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36"/>
          <w:szCs w:val="32"/>
        </w:rPr>
      </w:pPr>
    </w:p>
    <w:p>
      <w:pPr>
        <w:pStyle w:val="10"/>
        <w:jc w:val="center"/>
        <w:rPr>
          <w:sz w:val="36"/>
          <w:szCs w:val="32"/>
        </w:rPr>
      </w:pPr>
    </w:p>
    <w:p/>
    <w:p/>
    <w:p>
      <w:pPr>
        <w:pStyle w:val="10"/>
        <w:jc w:val="center"/>
        <w:rPr>
          <w:b/>
          <w:bCs/>
          <w:sz w:val="96"/>
          <w:szCs w:val="72"/>
        </w:rPr>
      </w:pPr>
      <w:r>
        <w:rPr>
          <w:rFonts w:hint="eastAsia"/>
          <w:b/>
          <w:bCs/>
          <w:sz w:val="44"/>
          <w:szCs w:val="40"/>
        </w:rPr>
        <w:t>海南省规划展览馆重点项目更新改造</w:t>
      </w:r>
    </w:p>
    <w:p>
      <w:pPr>
        <w:pStyle w:val="10"/>
        <w:rPr>
          <w:b/>
          <w:bCs/>
        </w:rPr>
      </w:pPr>
    </w:p>
    <w:p>
      <w:pPr>
        <w:pStyle w:val="10"/>
      </w:pPr>
    </w:p>
    <w:p/>
    <w:p>
      <w:pPr>
        <w:pStyle w:val="7"/>
      </w:pPr>
    </w:p>
    <w:p/>
    <w:p>
      <w:pPr>
        <w:pStyle w:val="10"/>
        <w:jc w:val="center"/>
        <w:rPr>
          <w:sz w:val="22"/>
          <w:szCs w:val="21"/>
        </w:rPr>
      </w:pPr>
      <w:r>
        <w:rPr>
          <w:rFonts w:hint="eastAsia"/>
          <w:b/>
          <w:sz w:val="40"/>
          <w:szCs w:val="40"/>
        </w:rPr>
        <w:t>竞争性磋商文件</w:t>
      </w:r>
    </w:p>
    <w:p>
      <w:pPr>
        <w:pStyle w:val="10"/>
        <w:jc w:val="center"/>
        <w:rPr>
          <w:b/>
          <w:sz w:val="72"/>
          <w:szCs w:val="72"/>
        </w:rPr>
      </w:pPr>
    </w:p>
    <w:p>
      <w:pPr>
        <w:jc w:val="both"/>
        <w:rPr>
          <w:b/>
          <w:sz w:val="72"/>
          <w:szCs w:val="72"/>
        </w:rPr>
      </w:pPr>
    </w:p>
    <w:p>
      <w:pPr>
        <w:pStyle w:val="10"/>
        <w:ind w:firstLine="0"/>
        <w:rPr>
          <w:rFonts w:ascii="宋体" w:hAnsi="宋体" w:cs="宋体"/>
          <w:b/>
          <w:sz w:val="30"/>
        </w:rPr>
      </w:pPr>
    </w:p>
    <w:p/>
    <w:p>
      <w:pPr>
        <w:ind w:firstLine="602" w:firstLineChars="200"/>
        <w:jc w:val="both"/>
        <w:rPr>
          <w:rFonts w:hAnsi="宋体" w:cs="宋体"/>
          <w:b/>
        </w:rPr>
      </w:pPr>
      <w:r>
        <w:rPr>
          <w:rFonts w:hint="eastAsia" w:hAnsi="宋体" w:cs="宋体"/>
          <w:b/>
        </w:rPr>
        <w:t xml:space="preserve"> 招 标 编 号：ZZXD-CG-2024007</w:t>
      </w:r>
    </w:p>
    <w:p>
      <w:pPr>
        <w:jc w:val="both"/>
        <w:rPr>
          <w:rFonts w:hAnsi="宋体" w:cs="宋体"/>
          <w:b/>
        </w:rPr>
      </w:pPr>
      <w:r>
        <w:rPr>
          <w:rFonts w:hint="eastAsia" w:hAnsi="宋体" w:cs="宋体"/>
          <w:b/>
        </w:rPr>
        <w:t xml:space="preserve">     采 购 单 位：海南省规划展览馆</w:t>
      </w:r>
    </w:p>
    <w:p>
      <w:pPr>
        <w:jc w:val="both"/>
        <w:rPr>
          <w:rFonts w:hAnsi="宋体" w:cs="宋体"/>
          <w:b/>
        </w:rPr>
      </w:pPr>
      <w:r>
        <w:rPr>
          <w:rFonts w:hint="eastAsia" w:hAnsi="宋体" w:cs="宋体"/>
          <w:b/>
        </w:rPr>
        <w:t xml:space="preserve">     采 购 代 理：中正信达建设集团有限公司</w:t>
      </w:r>
    </w:p>
    <w:p>
      <w:pPr>
        <w:jc w:val="center"/>
        <w:rPr>
          <w:rFonts w:hAnsi="宋体" w:cs="宋体"/>
          <w:b/>
          <w:w w:val="95"/>
          <w:kern w:val="2"/>
          <w:szCs w:val="30"/>
        </w:rPr>
      </w:pPr>
    </w:p>
    <w:p>
      <w:pPr>
        <w:jc w:val="center"/>
        <w:rPr>
          <w:rFonts w:hAnsi="宋体" w:cs="Tahoma"/>
          <w:b/>
          <w:sz w:val="48"/>
          <w:szCs w:val="48"/>
        </w:rPr>
        <w:sectPr>
          <w:headerReference r:id="rId5" w:type="default"/>
          <w:pgSz w:w="11906" w:h="16838"/>
          <w:pgMar w:top="1418" w:right="1418" w:bottom="1418" w:left="1418" w:header="851" w:footer="992" w:gutter="0"/>
          <w:cols w:space="720" w:num="1"/>
          <w:docGrid w:type="lines" w:linePitch="312" w:charSpace="0"/>
        </w:sectPr>
      </w:pPr>
      <w:r>
        <w:rPr>
          <w:rFonts w:hint="eastAsia" w:hAnsi="宋体" w:cs="宋体"/>
          <w:b/>
          <w:w w:val="95"/>
          <w:kern w:val="2"/>
          <w:szCs w:val="30"/>
        </w:rPr>
        <w:t>二 〇 二 四 年 四 月</w:t>
      </w:r>
    </w:p>
    <w:p>
      <w:pPr>
        <w:spacing w:line="240" w:lineRule="auto"/>
        <w:jc w:val="center"/>
      </w:pPr>
      <w:r>
        <w:rPr>
          <w:rFonts w:hAnsi="宋体"/>
          <w:b/>
          <w:bCs/>
          <w:sz w:val="36"/>
          <w:szCs w:val="32"/>
        </w:rPr>
        <w:t>目</w:t>
      </w:r>
      <w:r>
        <w:rPr>
          <w:rFonts w:hint="eastAsia" w:hAnsi="宋体"/>
          <w:b/>
          <w:bCs/>
          <w:sz w:val="36"/>
          <w:szCs w:val="32"/>
        </w:rPr>
        <w:t xml:space="preserve"> </w:t>
      </w:r>
      <w:r>
        <w:rPr>
          <w:rFonts w:hAnsi="宋体"/>
          <w:b/>
          <w:bCs/>
          <w:sz w:val="36"/>
          <w:szCs w:val="32"/>
        </w:rPr>
        <w:t>录</w:t>
      </w:r>
    </w:p>
    <w:p>
      <w:pPr>
        <w:pStyle w:val="18"/>
        <w:tabs>
          <w:tab w:val="right" w:leader="middleDot" w:pos="9070"/>
        </w:tabs>
        <w:rPr>
          <w:sz w:val="28"/>
          <w:szCs w:val="28"/>
        </w:rPr>
      </w:pPr>
      <w:r>
        <w:rPr>
          <w:sz w:val="28"/>
          <w:szCs w:val="28"/>
        </w:rPr>
        <w:fldChar w:fldCharType="begin"/>
      </w:r>
      <w:r>
        <w:rPr>
          <w:sz w:val="28"/>
          <w:szCs w:val="28"/>
        </w:rPr>
        <w:instrText xml:space="preserve">TOC \o "1-1" \h \u </w:instrText>
      </w:r>
      <w:r>
        <w:rPr>
          <w:sz w:val="28"/>
          <w:szCs w:val="28"/>
        </w:rPr>
        <w:fldChar w:fldCharType="separate"/>
      </w:r>
      <w:r>
        <w:fldChar w:fldCharType="begin"/>
      </w:r>
      <w:r>
        <w:instrText xml:space="preserve">Hyperlink \l "_Toc24018"</w:instrText>
      </w:r>
      <w:r>
        <w:fldChar w:fldCharType="separate"/>
      </w:r>
      <w:r>
        <w:rPr>
          <w:rFonts w:hint="eastAsia" w:ascii="Times New Roman" w:hAnsi="宋体"/>
          <w:kern w:val="44"/>
          <w:sz w:val="28"/>
          <w:szCs w:val="28"/>
        </w:rPr>
        <w:t>第一章 磋商公告</w:t>
      </w:r>
      <w:r>
        <w:rPr>
          <w:sz w:val="28"/>
          <w:szCs w:val="28"/>
        </w:rPr>
        <w:tab/>
      </w:r>
      <w:r>
        <w:rPr>
          <w:sz w:val="28"/>
          <w:szCs w:val="28"/>
        </w:rPr>
        <w:fldChar w:fldCharType="begin"/>
      </w:r>
      <w:r>
        <w:rPr>
          <w:sz w:val="28"/>
          <w:szCs w:val="28"/>
        </w:rPr>
        <w:instrText xml:space="preserve"> PAGEREF _Toc24018 \h </w:instrText>
      </w:r>
      <w:r>
        <w:rPr>
          <w:sz w:val="28"/>
          <w:szCs w:val="28"/>
        </w:rPr>
        <w:fldChar w:fldCharType="separate"/>
      </w:r>
      <w:r>
        <w:rPr>
          <w:sz w:val="28"/>
          <w:szCs w:val="28"/>
        </w:rPr>
        <w:t>1</w:t>
      </w:r>
      <w:r>
        <w:rPr>
          <w:sz w:val="28"/>
          <w:szCs w:val="28"/>
        </w:rPr>
        <w:fldChar w:fldCharType="end"/>
      </w:r>
      <w:r>
        <w:fldChar w:fldCharType="end"/>
      </w:r>
    </w:p>
    <w:p>
      <w:pPr>
        <w:pStyle w:val="18"/>
        <w:tabs>
          <w:tab w:val="right" w:leader="middleDot" w:pos="9070"/>
        </w:tabs>
        <w:rPr>
          <w:sz w:val="28"/>
          <w:szCs w:val="28"/>
        </w:rPr>
      </w:pPr>
      <w:r>
        <w:fldChar w:fldCharType="begin"/>
      </w:r>
      <w:r>
        <w:instrText xml:space="preserve">Hyperlink \l "_Toc11939"</w:instrText>
      </w:r>
      <w:r>
        <w:fldChar w:fldCharType="separate"/>
      </w:r>
      <w:r>
        <w:rPr>
          <w:rFonts w:hint="eastAsia" w:hAnsi="宋体"/>
          <w:sz w:val="28"/>
          <w:szCs w:val="28"/>
        </w:rPr>
        <w:t>第二章 磋商须知</w:t>
      </w:r>
      <w:r>
        <w:rPr>
          <w:sz w:val="28"/>
          <w:szCs w:val="28"/>
        </w:rPr>
        <w:tab/>
      </w:r>
      <w:r>
        <w:rPr>
          <w:sz w:val="28"/>
          <w:szCs w:val="28"/>
        </w:rPr>
        <w:fldChar w:fldCharType="begin"/>
      </w:r>
      <w:r>
        <w:rPr>
          <w:sz w:val="28"/>
          <w:szCs w:val="28"/>
        </w:rPr>
        <w:instrText xml:space="preserve"> PAGEREF _Toc11939 \h </w:instrText>
      </w:r>
      <w:r>
        <w:rPr>
          <w:sz w:val="28"/>
          <w:szCs w:val="28"/>
        </w:rPr>
        <w:fldChar w:fldCharType="separate"/>
      </w:r>
      <w:r>
        <w:rPr>
          <w:sz w:val="28"/>
          <w:szCs w:val="28"/>
        </w:rPr>
        <w:t>5</w:t>
      </w:r>
      <w:r>
        <w:rPr>
          <w:sz w:val="28"/>
          <w:szCs w:val="28"/>
        </w:rPr>
        <w:fldChar w:fldCharType="end"/>
      </w:r>
      <w:r>
        <w:fldChar w:fldCharType="end"/>
      </w:r>
    </w:p>
    <w:p>
      <w:pPr>
        <w:pStyle w:val="18"/>
        <w:tabs>
          <w:tab w:val="right" w:leader="middleDot" w:pos="9070"/>
        </w:tabs>
        <w:rPr>
          <w:sz w:val="28"/>
          <w:szCs w:val="28"/>
        </w:rPr>
      </w:pPr>
      <w:r>
        <w:fldChar w:fldCharType="begin"/>
      </w:r>
      <w:r>
        <w:instrText xml:space="preserve">Hyperlink \l "_Toc12805"</w:instrText>
      </w:r>
      <w:r>
        <w:fldChar w:fldCharType="separate"/>
      </w:r>
      <w:r>
        <w:rPr>
          <w:rFonts w:hint="eastAsia" w:hAnsi="宋体"/>
          <w:sz w:val="28"/>
          <w:szCs w:val="28"/>
        </w:rPr>
        <w:t>第三章 用户需求书</w:t>
      </w:r>
      <w:r>
        <w:rPr>
          <w:sz w:val="28"/>
          <w:szCs w:val="28"/>
        </w:rPr>
        <w:tab/>
      </w:r>
      <w:r>
        <w:rPr>
          <w:sz w:val="28"/>
          <w:szCs w:val="28"/>
        </w:rPr>
        <w:fldChar w:fldCharType="begin"/>
      </w:r>
      <w:r>
        <w:rPr>
          <w:sz w:val="28"/>
          <w:szCs w:val="28"/>
        </w:rPr>
        <w:instrText xml:space="preserve"> PAGEREF _Toc12805 \h </w:instrText>
      </w:r>
      <w:r>
        <w:rPr>
          <w:sz w:val="28"/>
          <w:szCs w:val="28"/>
        </w:rPr>
        <w:fldChar w:fldCharType="separate"/>
      </w:r>
      <w:r>
        <w:rPr>
          <w:sz w:val="28"/>
          <w:szCs w:val="28"/>
        </w:rPr>
        <w:t>14</w:t>
      </w:r>
      <w:r>
        <w:rPr>
          <w:sz w:val="28"/>
          <w:szCs w:val="28"/>
        </w:rPr>
        <w:fldChar w:fldCharType="end"/>
      </w:r>
      <w:r>
        <w:fldChar w:fldCharType="end"/>
      </w:r>
    </w:p>
    <w:p>
      <w:pPr>
        <w:pStyle w:val="18"/>
        <w:tabs>
          <w:tab w:val="right" w:leader="middleDot" w:pos="9070"/>
        </w:tabs>
        <w:rPr>
          <w:sz w:val="28"/>
          <w:szCs w:val="28"/>
        </w:rPr>
      </w:pPr>
      <w:r>
        <w:fldChar w:fldCharType="begin"/>
      </w:r>
      <w:r>
        <w:instrText xml:space="preserve">Hyperlink \l "_Toc5073"</w:instrText>
      </w:r>
      <w:r>
        <w:fldChar w:fldCharType="separate"/>
      </w:r>
      <w:r>
        <w:rPr>
          <w:rFonts w:hint="eastAsia" w:hAnsi="宋体"/>
          <w:sz w:val="28"/>
          <w:szCs w:val="28"/>
        </w:rPr>
        <w:t>第四章 合同条款</w:t>
      </w:r>
      <w:r>
        <w:rPr>
          <w:sz w:val="28"/>
          <w:szCs w:val="28"/>
        </w:rPr>
        <w:tab/>
      </w:r>
      <w:r>
        <w:rPr>
          <w:sz w:val="28"/>
          <w:szCs w:val="28"/>
        </w:rPr>
        <w:fldChar w:fldCharType="begin"/>
      </w:r>
      <w:r>
        <w:rPr>
          <w:sz w:val="28"/>
          <w:szCs w:val="28"/>
        </w:rPr>
        <w:instrText xml:space="preserve"> PAGEREF _Toc5073 \h </w:instrText>
      </w:r>
      <w:r>
        <w:rPr>
          <w:sz w:val="28"/>
          <w:szCs w:val="28"/>
        </w:rPr>
        <w:fldChar w:fldCharType="separate"/>
      </w:r>
      <w:r>
        <w:rPr>
          <w:rFonts w:hint="eastAsia"/>
          <w:sz w:val="28"/>
          <w:szCs w:val="28"/>
        </w:rPr>
        <w:t>17</w:t>
      </w:r>
      <w:r>
        <w:rPr>
          <w:sz w:val="28"/>
          <w:szCs w:val="28"/>
        </w:rPr>
        <w:fldChar w:fldCharType="end"/>
      </w:r>
      <w:r>
        <w:fldChar w:fldCharType="end"/>
      </w:r>
    </w:p>
    <w:p>
      <w:pPr>
        <w:pStyle w:val="18"/>
        <w:tabs>
          <w:tab w:val="right" w:leader="middleDot" w:pos="9070"/>
        </w:tabs>
        <w:rPr>
          <w:sz w:val="28"/>
          <w:szCs w:val="28"/>
        </w:rPr>
      </w:pPr>
      <w:r>
        <w:fldChar w:fldCharType="begin"/>
      </w:r>
      <w:r>
        <w:instrText xml:space="preserve">Hyperlink \l "_Toc583"</w:instrText>
      </w:r>
      <w:r>
        <w:fldChar w:fldCharType="separate"/>
      </w:r>
      <w:r>
        <w:rPr>
          <w:rFonts w:hint="eastAsia" w:hAnsi="宋体"/>
          <w:sz w:val="28"/>
          <w:szCs w:val="28"/>
        </w:rPr>
        <w:t>第五章 磋商响应文件内容和格式</w:t>
      </w:r>
      <w:r>
        <w:rPr>
          <w:sz w:val="28"/>
          <w:szCs w:val="28"/>
        </w:rPr>
        <w:tab/>
      </w:r>
      <w:r>
        <w:rPr>
          <w:sz w:val="28"/>
          <w:szCs w:val="28"/>
        </w:rPr>
        <w:fldChar w:fldCharType="begin"/>
      </w:r>
      <w:r>
        <w:rPr>
          <w:sz w:val="28"/>
          <w:szCs w:val="28"/>
        </w:rPr>
        <w:instrText xml:space="preserve"> PAGEREF _Toc583 \h </w:instrText>
      </w:r>
      <w:r>
        <w:rPr>
          <w:sz w:val="28"/>
          <w:szCs w:val="28"/>
        </w:rPr>
        <w:fldChar w:fldCharType="separate"/>
      </w:r>
      <w:r>
        <w:rPr>
          <w:rFonts w:hint="eastAsia"/>
          <w:sz w:val="28"/>
          <w:szCs w:val="28"/>
        </w:rPr>
        <w:t>30</w:t>
      </w:r>
      <w:r>
        <w:rPr>
          <w:sz w:val="28"/>
          <w:szCs w:val="28"/>
        </w:rPr>
        <w:fldChar w:fldCharType="end"/>
      </w:r>
      <w:r>
        <w:fldChar w:fldCharType="end"/>
      </w:r>
    </w:p>
    <w:p>
      <w:pPr>
        <w:pStyle w:val="18"/>
        <w:tabs>
          <w:tab w:val="right" w:leader="middleDot" w:pos="9070"/>
        </w:tabs>
        <w:rPr>
          <w:sz w:val="28"/>
          <w:szCs w:val="28"/>
        </w:rPr>
      </w:pPr>
      <w:r>
        <w:fldChar w:fldCharType="begin"/>
      </w:r>
      <w:r>
        <w:instrText xml:space="preserve">Hyperlink \l "_Toc13384"</w:instrText>
      </w:r>
      <w:r>
        <w:fldChar w:fldCharType="separate"/>
      </w:r>
      <w:r>
        <w:rPr>
          <w:rFonts w:hint="eastAsia" w:hAnsi="宋体"/>
          <w:sz w:val="28"/>
          <w:szCs w:val="28"/>
        </w:rPr>
        <w:t>第六章 评标办法和程序</w:t>
      </w:r>
      <w:r>
        <w:rPr>
          <w:sz w:val="28"/>
          <w:szCs w:val="28"/>
        </w:rPr>
        <w:tab/>
      </w:r>
      <w:r>
        <w:rPr>
          <w:sz w:val="28"/>
          <w:szCs w:val="28"/>
        </w:rPr>
        <w:fldChar w:fldCharType="begin"/>
      </w:r>
      <w:r>
        <w:rPr>
          <w:sz w:val="28"/>
          <w:szCs w:val="28"/>
        </w:rPr>
        <w:instrText xml:space="preserve"> PAGEREF _Toc13384 \h </w:instrText>
      </w:r>
      <w:r>
        <w:rPr>
          <w:sz w:val="28"/>
          <w:szCs w:val="28"/>
        </w:rPr>
        <w:fldChar w:fldCharType="separate"/>
      </w:r>
      <w:r>
        <w:rPr>
          <w:rFonts w:hint="eastAsia"/>
          <w:sz w:val="28"/>
          <w:szCs w:val="28"/>
        </w:rPr>
        <w:t>53</w:t>
      </w:r>
      <w:r>
        <w:rPr>
          <w:sz w:val="28"/>
          <w:szCs w:val="28"/>
        </w:rPr>
        <w:fldChar w:fldCharType="end"/>
      </w:r>
      <w:r>
        <w:fldChar w:fldCharType="end"/>
      </w:r>
    </w:p>
    <w:p>
      <w:pPr>
        <w:rPr>
          <w:rFonts w:cs="宋体"/>
          <w:b/>
          <w:bCs/>
          <w:sz w:val="28"/>
          <w:szCs w:val="28"/>
        </w:rPr>
      </w:pPr>
      <w:r>
        <w:rPr>
          <w:sz w:val="28"/>
          <w:szCs w:val="28"/>
        </w:rPr>
        <w:fldChar w:fldCharType="end"/>
      </w:r>
      <w:bookmarkStart w:id="0" w:name="_Toc386178226"/>
      <w:bookmarkStart w:id="1" w:name="_Toc401304794"/>
      <w:bookmarkStart w:id="2" w:name="_Toc13394"/>
      <w:r>
        <w:rPr>
          <w:rFonts w:hint="eastAsia" w:cs="宋体"/>
          <w:b/>
          <w:bCs/>
          <w:sz w:val="28"/>
          <w:szCs w:val="28"/>
        </w:rPr>
        <w:t xml:space="preserve">      </w:t>
      </w:r>
    </w:p>
    <w:p>
      <w:pPr>
        <w:adjustRightInd w:val="0"/>
        <w:snapToGrid w:val="0"/>
        <w:spacing w:line="360" w:lineRule="auto"/>
        <w:rPr>
          <w:rFonts w:cs="宋体"/>
          <w:b/>
          <w:bCs/>
          <w:sz w:val="24"/>
          <w:szCs w:val="24"/>
        </w:rPr>
      </w:pPr>
    </w:p>
    <w:p>
      <w:pPr>
        <w:adjustRightInd w:val="0"/>
        <w:snapToGrid w:val="0"/>
        <w:spacing w:line="360" w:lineRule="auto"/>
        <w:rPr>
          <w:rFonts w:cs="宋体"/>
          <w:b/>
          <w:bCs/>
          <w:sz w:val="24"/>
          <w:szCs w:val="24"/>
        </w:rPr>
      </w:pPr>
    </w:p>
    <w:p>
      <w:pPr>
        <w:tabs>
          <w:tab w:val="left" w:pos="8429"/>
        </w:tabs>
        <w:adjustRightInd w:val="0"/>
        <w:snapToGrid w:val="0"/>
        <w:spacing w:line="360" w:lineRule="auto"/>
        <w:rPr>
          <w:rFonts w:cs="宋体"/>
          <w:b/>
          <w:bCs/>
          <w:sz w:val="24"/>
          <w:szCs w:val="24"/>
        </w:rPr>
      </w:pPr>
      <w:r>
        <w:rPr>
          <w:rFonts w:hint="eastAsia" w:cs="宋体"/>
          <w:b/>
          <w:bCs/>
          <w:sz w:val="24"/>
          <w:szCs w:val="24"/>
        </w:rPr>
        <w:tab/>
      </w:r>
    </w:p>
    <w:p>
      <w:pPr>
        <w:tabs>
          <w:tab w:val="left" w:pos="7754"/>
        </w:tabs>
        <w:adjustRightInd w:val="0"/>
        <w:snapToGrid w:val="0"/>
        <w:spacing w:line="360" w:lineRule="auto"/>
        <w:rPr>
          <w:rFonts w:cs="宋体"/>
          <w:b/>
          <w:bCs/>
          <w:sz w:val="24"/>
          <w:szCs w:val="24"/>
        </w:rPr>
      </w:pPr>
      <w:r>
        <w:rPr>
          <w:rFonts w:hint="eastAsia" w:cs="宋体"/>
          <w:b/>
          <w:bCs/>
          <w:sz w:val="24"/>
          <w:szCs w:val="24"/>
        </w:rPr>
        <w:tab/>
      </w:r>
    </w:p>
    <w:p/>
    <w:p>
      <w:pPr>
        <w:adjustRightInd w:val="0"/>
        <w:snapToGrid w:val="0"/>
        <w:spacing w:line="360" w:lineRule="auto"/>
        <w:rPr>
          <w:rFonts w:cs="宋体"/>
          <w:b/>
          <w:bCs/>
          <w:sz w:val="24"/>
          <w:szCs w:val="24"/>
        </w:rPr>
      </w:pPr>
    </w:p>
    <w:p>
      <w:pPr>
        <w:adjustRightInd w:val="0"/>
        <w:snapToGrid w:val="0"/>
        <w:spacing w:line="360" w:lineRule="auto"/>
        <w:rPr>
          <w:rFonts w:cs="宋体"/>
          <w:b/>
          <w:bCs/>
          <w:sz w:val="24"/>
          <w:szCs w:val="24"/>
        </w:rPr>
      </w:pPr>
      <w:r>
        <w:rPr>
          <w:rFonts w:hint="eastAsia" w:cs="宋体"/>
          <w:b/>
          <w:bCs/>
          <w:sz w:val="24"/>
          <w:szCs w:val="24"/>
        </w:rPr>
        <w:t xml:space="preserve">       </w:t>
      </w:r>
    </w:p>
    <w:p>
      <w:pPr>
        <w:adjustRightInd w:val="0"/>
        <w:snapToGrid w:val="0"/>
        <w:spacing w:line="360" w:lineRule="auto"/>
        <w:jc w:val="center"/>
        <w:rPr>
          <w:rFonts w:ascii="Times New Roman" w:hAnsi="宋体"/>
          <w:b/>
          <w:bCs/>
          <w:kern w:val="44"/>
          <w:sz w:val="44"/>
          <w:szCs w:val="44"/>
        </w:rPr>
      </w:pPr>
    </w:p>
    <w:p>
      <w:pPr>
        <w:adjustRightInd w:val="0"/>
        <w:snapToGrid w:val="0"/>
        <w:spacing w:line="360" w:lineRule="auto"/>
        <w:jc w:val="center"/>
        <w:rPr>
          <w:rFonts w:ascii="Times New Roman" w:hAnsi="宋体"/>
          <w:b/>
          <w:bCs/>
          <w:kern w:val="44"/>
          <w:sz w:val="44"/>
          <w:szCs w:val="44"/>
        </w:rPr>
      </w:pPr>
    </w:p>
    <w:p>
      <w:pPr>
        <w:adjustRightInd w:val="0"/>
        <w:snapToGrid w:val="0"/>
        <w:spacing w:line="360" w:lineRule="auto"/>
        <w:jc w:val="center"/>
        <w:outlineLvl w:val="0"/>
        <w:rPr>
          <w:rFonts w:ascii="Times New Roman" w:hAnsi="宋体"/>
          <w:b/>
          <w:bCs/>
          <w:kern w:val="44"/>
          <w:sz w:val="44"/>
          <w:szCs w:val="44"/>
        </w:rPr>
        <w:sectPr>
          <w:footerReference r:id="rId6" w:type="default"/>
          <w:pgSz w:w="11906" w:h="16838"/>
          <w:pgMar w:top="1418" w:right="1418" w:bottom="1418" w:left="1418" w:header="851" w:footer="992" w:gutter="0"/>
          <w:cols w:space="720" w:num="1"/>
          <w:docGrid w:type="lines" w:linePitch="312" w:charSpace="0"/>
        </w:sectPr>
      </w:pPr>
      <w:bookmarkStart w:id="3" w:name="_Toc24018"/>
    </w:p>
    <w:p>
      <w:pPr>
        <w:adjustRightInd w:val="0"/>
        <w:snapToGrid w:val="0"/>
        <w:spacing w:line="360" w:lineRule="auto"/>
        <w:jc w:val="center"/>
        <w:outlineLvl w:val="0"/>
        <w:rPr>
          <w:rFonts w:hAnsi="宋体"/>
          <w:bCs/>
        </w:rPr>
      </w:pPr>
      <w:r>
        <w:rPr>
          <w:rFonts w:hint="eastAsia" w:ascii="Times New Roman" w:hAnsi="宋体"/>
          <w:b/>
          <w:bCs/>
          <w:kern w:val="44"/>
          <w:sz w:val="44"/>
          <w:szCs w:val="44"/>
        </w:rPr>
        <w:t xml:space="preserve">第一章 </w:t>
      </w:r>
      <w:bookmarkEnd w:id="0"/>
      <w:bookmarkEnd w:id="1"/>
      <w:bookmarkEnd w:id="2"/>
      <w:bookmarkEnd w:id="3"/>
      <w:r>
        <w:rPr>
          <w:rFonts w:hint="eastAsia" w:ascii="Times New Roman" w:hAnsi="宋体"/>
          <w:b/>
          <w:bCs/>
          <w:kern w:val="44"/>
          <w:sz w:val="44"/>
          <w:szCs w:val="44"/>
        </w:rPr>
        <w:t>竞争性磋商公告</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80" w:type="dxa"/>
          </w:tcPr>
          <w:p>
            <w:pPr>
              <w:adjustRightInd w:val="0"/>
              <w:snapToGrid w:val="0"/>
              <w:spacing w:line="360" w:lineRule="auto"/>
              <w:jc w:val="left"/>
              <w:rPr>
                <w:rFonts w:hAnsi="宋体" w:cs="宋体"/>
                <w:b/>
                <w:bCs/>
                <w:sz w:val="24"/>
                <w:szCs w:val="24"/>
                <w:lang w:val="zh-TW" w:eastAsia="zh-TW"/>
              </w:rPr>
            </w:pPr>
            <w:bookmarkStart w:id="4" w:name="_Toc7382"/>
            <w:r>
              <w:rPr>
                <w:rFonts w:hint="eastAsia" w:hAnsi="宋体" w:cs="宋体"/>
                <w:b/>
                <w:bCs/>
                <w:sz w:val="24"/>
                <w:szCs w:val="24"/>
              </w:rPr>
              <w:t>项目概况</w:t>
            </w:r>
          </w:p>
          <w:p>
            <w:pPr>
              <w:adjustRightInd w:val="0"/>
              <w:snapToGrid w:val="0"/>
              <w:spacing w:line="360" w:lineRule="auto"/>
              <w:ind w:firstLine="480" w:firstLineChars="200"/>
              <w:rPr>
                <w:rFonts w:hAnsi="宋体" w:cs="宋体"/>
                <w:b/>
                <w:sz w:val="24"/>
                <w:szCs w:val="24"/>
              </w:rPr>
            </w:pPr>
            <w:r>
              <w:rPr>
                <w:rFonts w:hint="eastAsia" w:hAnsi="宋体" w:cs="宋体"/>
                <w:sz w:val="24"/>
                <w:szCs w:val="24"/>
                <w:u w:val="single"/>
              </w:rPr>
              <w:t>海南省规划展览馆重点项目更新改造</w:t>
            </w:r>
            <w:r>
              <w:rPr>
                <w:rFonts w:hint="eastAsia" w:hAnsi="宋体" w:cs="宋体"/>
                <w:sz w:val="24"/>
                <w:szCs w:val="24"/>
              </w:rPr>
              <w:t>的潜在供应商应在海南政府采购网(www.ccgp-hainan.gov.cn)-海南省政府采购电子化交易管理系统(新)获取竞争性磋商文件，并于</w:t>
            </w:r>
            <w:r>
              <w:rPr>
                <w:rFonts w:hint="eastAsia" w:hAnsi="宋体" w:cs="宋体"/>
                <w:sz w:val="24"/>
                <w:szCs w:val="24"/>
                <w:u w:val="single"/>
              </w:rPr>
              <w:t>2024</w:t>
            </w:r>
            <w:r>
              <w:rPr>
                <w:rFonts w:hint="eastAsia" w:hAnsi="宋体" w:cs="宋体"/>
                <w:sz w:val="24"/>
                <w:szCs w:val="24"/>
              </w:rPr>
              <w:t>年</w:t>
            </w:r>
            <w:r>
              <w:rPr>
                <w:rFonts w:hint="eastAsia" w:hAnsi="宋体" w:cs="宋体"/>
                <w:sz w:val="24"/>
                <w:szCs w:val="24"/>
                <w:u w:val="single"/>
                <w:lang w:val="en-US" w:eastAsia="zh-CN"/>
              </w:rPr>
              <w:t>05</w:t>
            </w:r>
            <w:r>
              <w:rPr>
                <w:rFonts w:hint="eastAsia" w:hAnsi="宋体" w:cs="宋体"/>
                <w:sz w:val="24"/>
                <w:szCs w:val="24"/>
              </w:rPr>
              <w:t>月</w:t>
            </w:r>
            <w:r>
              <w:rPr>
                <w:rFonts w:hint="eastAsia" w:hAnsi="宋体" w:cs="宋体"/>
                <w:sz w:val="24"/>
                <w:szCs w:val="24"/>
                <w:u w:val="single"/>
                <w:lang w:val="en-US" w:eastAsia="zh-CN"/>
              </w:rPr>
              <w:t>08</w:t>
            </w:r>
            <w:r>
              <w:rPr>
                <w:rFonts w:hint="eastAsia" w:hAnsi="宋体" w:cs="宋体"/>
                <w:sz w:val="24"/>
                <w:szCs w:val="24"/>
              </w:rPr>
              <w:t>日</w:t>
            </w:r>
            <w:r>
              <w:rPr>
                <w:rFonts w:hint="eastAsia" w:hAnsi="宋体" w:cs="宋体"/>
                <w:sz w:val="24"/>
                <w:szCs w:val="24"/>
                <w:u w:val="single"/>
                <w:lang w:val="en-US" w:eastAsia="zh-CN"/>
              </w:rPr>
              <w:t>09</w:t>
            </w:r>
            <w:r>
              <w:rPr>
                <w:rFonts w:hint="eastAsia" w:hAnsi="宋体" w:cs="宋体"/>
                <w:sz w:val="24"/>
                <w:szCs w:val="24"/>
              </w:rPr>
              <w:t>时</w:t>
            </w:r>
            <w:r>
              <w:rPr>
                <w:rFonts w:hint="eastAsia" w:hAnsi="宋体" w:cs="宋体"/>
                <w:sz w:val="24"/>
                <w:szCs w:val="24"/>
                <w:u w:val="single"/>
                <w:lang w:val="en-US" w:eastAsia="zh-CN"/>
              </w:rPr>
              <w:t>00</w:t>
            </w:r>
            <w:r>
              <w:rPr>
                <w:rFonts w:hint="eastAsia" w:hAnsi="宋体" w:cs="宋体"/>
                <w:sz w:val="24"/>
                <w:szCs w:val="24"/>
              </w:rPr>
              <w:t>分（北京时间）前递交响应文件。</w:t>
            </w:r>
          </w:p>
        </w:tc>
      </w:tr>
    </w:tbl>
    <w:p>
      <w:pPr>
        <w:adjustRightInd w:val="0"/>
        <w:snapToGrid w:val="0"/>
        <w:spacing w:line="360" w:lineRule="auto"/>
        <w:ind w:firstLine="482" w:firstLineChars="200"/>
        <w:rPr>
          <w:rFonts w:hAnsi="宋体" w:cs="宋体"/>
          <w:b/>
          <w:sz w:val="24"/>
          <w:szCs w:val="24"/>
        </w:rPr>
      </w:pPr>
      <w:r>
        <w:rPr>
          <w:rFonts w:hint="eastAsia" w:hAnsi="宋体" w:cs="宋体"/>
          <w:b/>
          <w:sz w:val="24"/>
          <w:szCs w:val="24"/>
        </w:rPr>
        <w:t>一、</w:t>
      </w:r>
      <w:bookmarkEnd w:id="4"/>
      <w:r>
        <w:rPr>
          <w:rFonts w:hint="eastAsia" w:hAnsi="宋体" w:cs="宋体"/>
          <w:b/>
          <w:sz w:val="24"/>
          <w:szCs w:val="24"/>
        </w:rPr>
        <w:t>项目基本情况</w:t>
      </w:r>
    </w:p>
    <w:p>
      <w:pPr>
        <w:adjustRightInd w:val="0"/>
        <w:snapToGrid w:val="0"/>
        <w:spacing w:line="360" w:lineRule="auto"/>
        <w:ind w:firstLine="480" w:firstLineChars="200"/>
        <w:rPr>
          <w:rFonts w:hAnsi="宋体" w:cs="宋体"/>
          <w:kern w:val="28"/>
          <w:sz w:val="24"/>
          <w:szCs w:val="24"/>
        </w:rPr>
      </w:pPr>
      <w:r>
        <w:rPr>
          <w:rFonts w:hint="eastAsia" w:hAnsi="宋体" w:cs="宋体"/>
          <w:kern w:val="28"/>
          <w:sz w:val="24"/>
          <w:szCs w:val="24"/>
        </w:rPr>
        <w:t>项目编号：ZZXD-CG-2024007</w:t>
      </w:r>
    </w:p>
    <w:p>
      <w:pPr>
        <w:adjustRightInd w:val="0"/>
        <w:snapToGrid w:val="0"/>
        <w:spacing w:line="360" w:lineRule="auto"/>
        <w:ind w:firstLine="480" w:firstLineChars="200"/>
        <w:rPr>
          <w:rFonts w:hAnsi="宋体" w:cs="宋体"/>
          <w:sz w:val="24"/>
          <w:szCs w:val="24"/>
        </w:rPr>
      </w:pPr>
      <w:r>
        <w:rPr>
          <w:rFonts w:hint="eastAsia" w:hAnsi="宋体" w:cs="宋体"/>
          <w:kern w:val="28"/>
          <w:sz w:val="24"/>
          <w:szCs w:val="24"/>
        </w:rPr>
        <w:t>项目</w:t>
      </w:r>
      <w:r>
        <w:rPr>
          <w:rFonts w:hint="eastAsia" w:hAnsi="宋体" w:cs="宋体"/>
          <w:sz w:val="24"/>
          <w:szCs w:val="24"/>
        </w:rPr>
        <w:t>名称</w:t>
      </w:r>
      <w:r>
        <w:rPr>
          <w:rFonts w:hint="eastAsia" w:hAnsi="宋体" w:cs="宋体"/>
          <w:kern w:val="28"/>
          <w:sz w:val="24"/>
          <w:szCs w:val="24"/>
        </w:rPr>
        <w:t>：</w:t>
      </w:r>
      <w:r>
        <w:rPr>
          <w:rFonts w:hint="eastAsia" w:hAnsi="宋体" w:cs="宋体"/>
          <w:sz w:val="24"/>
          <w:szCs w:val="24"/>
        </w:rPr>
        <w:t>海南省规划展览馆重点项目更新改造</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釆购方式：竞争性磋商</w:t>
      </w:r>
    </w:p>
    <w:p>
      <w:pPr>
        <w:adjustRightInd w:val="0"/>
        <w:snapToGrid w:val="0"/>
        <w:spacing w:line="360" w:lineRule="auto"/>
        <w:ind w:firstLine="480" w:firstLineChars="200"/>
        <w:rPr>
          <w:rFonts w:hAnsi="宋体" w:cs="宋体"/>
          <w:kern w:val="28"/>
          <w:sz w:val="24"/>
          <w:szCs w:val="24"/>
        </w:rPr>
      </w:pPr>
      <w:r>
        <w:rPr>
          <w:rFonts w:hint="eastAsia" w:hAnsi="宋体" w:cs="宋体"/>
          <w:kern w:val="28"/>
          <w:sz w:val="24"/>
          <w:szCs w:val="24"/>
        </w:rPr>
        <w:t>采购需求：详见第三章“用户需求书”</w:t>
      </w:r>
    </w:p>
    <w:p>
      <w:pPr>
        <w:adjustRightInd w:val="0"/>
        <w:snapToGrid w:val="0"/>
        <w:spacing w:line="360" w:lineRule="auto"/>
        <w:ind w:firstLine="480" w:firstLineChars="200"/>
        <w:rPr>
          <w:rFonts w:hAnsi="宋体" w:cs="宋体"/>
          <w:kern w:val="28"/>
          <w:sz w:val="24"/>
          <w:szCs w:val="24"/>
        </w:rPr>
      </w:pPr>
      <w:r>
        <w:rPr>
          <w:rFonts w:hint="eastAsia" w:hAnsi="宋体" w:cs="宋体"/>
          <w:kern w:val="28"/>
          <w:sz w:val="24"/>
          <w:szCs w:val="24"/>
        </w:rPr>
        <w:t>预算金额：</w:t>
      </w:r>
      <w:bookmarkStart w:id="5" w:name="_Toc25153"/>
      <w:r>
        <w:rPr>
          <w:rFonts w:hint="eastAsia" w:hAnsi="宋体" w:cs="宋体"/>
          <w:kern w:val="28"/>
          <w:sz w:val="24"/>
          <w:szCs w:val="24"/>
        </w:rPr>
        <w:t>362.18万元</w:t>
      </w:r>
    </w:p>
    <w:p>
      <w:pPr>
        <w:adjustRightInd w:val="0"/>
        <w:snapToGrid w:val="0"/>
        <w:spacing w:line="360" w:lineRule="auto"/>
        <w:ind w:firstLine="480" w:firstLineChars="200"/>
        <w:rPr>
          <w:rFonts w:hAnsi="宋体" w:cs="宋体"/>
          <w:kern w:val="28"/>
          <w:sz w:val="24"/>
          <w:szCs w:val="24"/>
        </w:rPr>
      </w:pPr>
      <w:r>
        <w:rPr>
          <w:rFonts w:hint="eastAsia" w:hAnsi="宋体" w:cs="宋体"/>
          <w:kern w:val="28"/>
          <w:sz w:val="24"/>
          <w:szCs w:val="24"/>
        </w:rPr>
        <w:t>合同履行期限（服务期限）：合同签订之日起</w:t>
      </w:r>
      <w:r>
        <w:rPr>
          <w:rFonts w:hint="eastAsia" w:hAnsi="宋体" w:cs="宋体"/>
          <w:kern w:val="28"/>
          <w:sz w:val="24"/>
          <w:szCs w:val="24"/>
          <w:lang w:val="en-US" w:eastAsia="zh-CN"/>
        </w:rPr>
        <w:t>90天内</w:t>
      </w:r>
      <w:r>
        <w:rPr>
          <w:rFonts w:hint="eastAsia" w:hAnsi="宋体" w:cs="宋体"/>
          <w:kern w:val="28"/>
          <w:sz w:val="24"/>
          <w:szCs w:val="24"/>
        </w:rPr>
        <w:t>完</w:t>
      </w:r>
      <w:r>
        <w:rPr>
          <w:rFonts w:hint="eastAsia" w:hAnsi="宋体" w:cs="宋体"/>
          <w:kern w:val="28"/>
          <w:sz w:val="24"/>
          <w:szCs w:val="24"/>
          <w:lang w:val="en-US" w:eastAsia="zh-CN"/>
        </w:rPr>
        <w:t>成（包括竣工验收）</w:t>
      </w:r>
    </w:p>
    <w:p>
      <w:pPr>
        <w:adjustRightInd w:val="0"/>
        <w:snapToGrid w:val="0"/>
        <w:spacing w:line="360" w:lineRule="auto"/>
        <w:ind w:firstLine="480" w:firstLineChars="200"/>
        <w:rPr>
          <w:rFonts w:hAnsi="宋体" w:cs="宋体"/>
          <w:kern w:val="28"/>
          <w:sz w:val="24"/>
          <w:szCs w:val="24"/>
        </w:rPr>
      </w:pPr>
      <w:r>
        <w:rPr>
          <w:rFonts w:hint="eastAsia" w:hAnsi="宋体" w:cs="宋体"/>
          <w:kern w:val="28"/>
          <w:sz w:val="24"/>
          <w:szCs w:val="24"/>
        </w:rPr>
        <w:t>服务地点：采购人指定地点</w:t>
      </w:r>
    </w:p>
    <w:p>
      <w:pPr>
        <w:adjustRightInd w:val="0"/>
        <w:snapToGrid w:val="0"/>
        <w:spacing w:line="360" w:lineRule="auto"/>
        <w:ind w:firstLine="480" w:firstLineChars="200"/>
        <w:rPr>
          <w:rFonts w:hAnsi="宋体" w:cs="宋体"/>
          <w:kern w:val="28"/>
          <w:sz w:val="24"/>
          <w:szCs w:val="24"/>
        </w:rPr>
      </w:pPr>
      <w:r>
        <w:rPr>
          <w:rFonts w:hint="eastAsia" w:hAnsi="宋体" w:cs="宋体"/>
          <w:kern w:val="28"/>
          <w:sz w:val="24"/>
          <w:szCs w:val="24"/>
        </w:rPr>
        <w:t>本项目（是/否）接受联合体投标：否</w:t>
      </w:r>
      <w:r>
        <w:rPr>
          <w:rFonts w:hint="eastAsia" w:hAnsi="宋体" w:cs="宋体"/>
          <w:kern w:val="28"/>
          <w:sz w:val="24"/>
          <w:szCs w:val="24"/>
        </w:rPr>
        <w:tab/>
      </w:r>
    </w:p>
    <w:p>
      <w:pPr>
        <w:adjustRightInd w:val="0"/>
        <w:snapToGrid w:val="0"/>
        <w:spacing w:line="360" w:lineRule="auto"/>
        <w:ind w:firstLine="482" w:firstLineChars="200"/>
        <w:rPr>
          <w:rFonts w:hAnsi="宋体" w:cs="宋体"/>
          <w:b/>
          <w:sz w:val="24"/>
          <w:szCs w:val="24"/>
        </w:rPr>
      </w:pPr>
      <w:r>
        <w:rPr>
          <w:rFonts w:hint="eastAsia" w:hAnsi="宋体" w:cs="宋体"/>
          <w:b/>
          <w:sz w:val="24"/>
          <w:szCs w:val="24"/>
        </w:rPr>
        <w:t>二、</w:t>
      </w:r>
      <w:bookmarkEnd w:id="5"/>
      <w:r>
        <w:rPr>
          <w:rFonts w:hint="eastAsia" w:hAnsi="宋体" w:cs="宋体"/>
          <w:b/>
          <w:sz w:val="24"/>
          <w:szCs w:val="24"/>
        </w:rPr>
        <w:t>申请人的资格要求：</w:t>
      </w:r>
    </w:p>
    <w:p>
      <w:pPr>
        <w:pStyle w:val="28"/>
        <w:rPr>
          <w:rFonts w:hAnsi="宋体" w:cs="宋体"/>
          <w:szCs w:val="24"/>
        </w:rPr>
      </w:pPr>
      <w:bookmarkStart w:id="6" w:name="_Toc25289"/>
      <w:r>
        <w:rPr>
          <w:rFonts w:hint="eastAsia" w:hAnsi="宋体" w:cs="宋体"/>
          <w:szCs w:val="24"/>
        </w:rPr>
        <w:t>1.满足《中华人民共和国政府采购法》第二十二条规定；</w:t>
      </w:r>
    </w:p>
    <w:p>
      <w:pPr>
        <w:pStyle w:val="28"/>
        <w:rPr>
          <w:rFonts w:hAnsi="宋体" w:cs="宋体"/>
          <w:szCs w:val="24"/>
        </w:rPr>
      </w:pPr>
      <w:r>
        <w:rPr>
          <w:rFonts w:hint="eastAsia" w:hAnsi="宋体" w:cs="宋体"/>
          <w:szCs w:val="24"/>
        </w:rPr>
        <w:t>2.落实政府采购政策需满足的资格要求：本项目支持政府采购促进中小企业发展政策、政府采购支持监狱企业发展政策、促进残疾人就业政府采购政策、节能产品及环保标志产品采购政策等相关扶持政策、扶持不发达地区和少数民族地区等相关政策。</w:t>
      </w:r>
    </w:p>
    <w:p>
      <w:pPr>
        <w:pStyle w:val="28"/>
        <w:rPr>
          <w:rFonts w:hAnsi="宋体" w:cs="宋体"/>
          <w:szCs w:val="24"/>
        </w:rPr>
      </w:pPr>
      <w:r>
        <w:rPr>
          <w:rFonts w:hint="eastAsia" w:hAnsi="宋体" w:cs="宋体"/>
          <w:szCs w:val="24"/>
        </w:rPr>
        <w:t>3.本项目的特定资格要求：</w:t>
      </w:r>
    </w:p>
    <w:p>
      <w:pPr>
        <w:pStyle w:val="28"/>
        <w:rPr>
          <w:rFonts w:hAnsi="宋体" w:cs="宋体"/>
          <w:szCs w:val="24"/>
        </w:rPr>
      </w:pPr>
      <w:r>
        <w:rPr>
          <w:rFonts w:hint="eastAsia" w:hAnsi="宋体" w:cs="宋体"/>
          <w:szCs w:val="24"/>
        </w:rPr>
        <w:t>3.1在中华人民共和国注册，具有独立承担民事责任能力的供应商〔注：①供应商若为企业（包含合伙企业）的，提供有效“统一社会信用代码营业执照副本”；②若为事业单位的，提供有效“统一社会信用代码事业单位法人证书副本”；③若为其他组织的，提供“对应主管部门颁发的准许执业许可证等证明文件或营业执照副本”；④若为自然人的，提供“身份证明文件”。以上提供复印件加盖公章〕；</w:t>
      </w:r>
    </w:p>
    <w:p>
      <w:pPr>
        <w:pStyle w:val="28"/>
        <w:rPr>
          <w:rFonts w:hAnsi="宋体" w:cs="宋体"/>
          <w:szCs w:val="24"/>
        </w:rPr>
      </w:pPr>
      <w:r>
        <w:rPr>
          <w:rFonts w:hint="eastAsia" w:hAnsi="宋体" w:cs="宋体"/>
          <w:szCs w:val="24"/>
        </w:rPr>
        <w:t>3.2具有依法缴纳税收和社会保障资金的良好记录：提供承诺函（格式自拟）或2024年1月份至今任意一个月的纳税证明和社保缴费记录，企业注册时间不足的，按企业注册时间实际缴纳提供证明；（提供复印件加盖公章）；</w:t>
      </w:r>
    </w:p>
    <w:p>
      <w:pPr>
        <w:pStyle w:val="28"/>
        <w:rPr>
          <w:rFonts w:hAnsi="宋体" w:cs="宋体"/>
          <w:szCs w:val="24"/>
        </w:rPr>
      </w:pPr>
      <w:r>
        <w:rPr>
          <w:rFonts w:hint="eastAsia" w:hAnsi="宋体" w:cs="宋体"/>
          <w:szCs w:val="24"/>
        </w:rPr>
        <w:t>3.3具有良好的商业信誉和健全的财务会计制度：提供承诺函（格式自拟）或提供会计师事务所出具的2023年度完整财务审计报告复印件或2024年1月份至今任意一个月的企业财务报表（至少含“资产负债表、利润表”,提供复印件加盖公章）；</w:t>
      </w:r>
    </w:p>
    <w:p>
      <w:pPr>
        <w:pStyle w:val="28"/>
        <w:rPr>
          <w:rFonts w:hAnsi="宋体" w:cs="宋体"/>
          <w:szCs w:val="24"/>
        </w:rPr>
      </w:pPr>
      <w:r>
        <w:rPr>
          <w:rFonts w:hint="eastAsia" w:hAnsi="宋体" w:cs="宋体"/>
          <w:szCs w:val="24"/>
        </w:rPr>
        <w:t>3.4近三年内参加过的政府采购活动中没有重大违法记录，提供供应商无违法记录声明函（提供声明函加盖公章、注册成立时间不足三年的，从注册时间起算）；</w:t>
      </w:r>
    </w:p>
    <w:p>
      <w:pPr>
        <w:pStyle w:val="28"/>
        <w:rPr>
          <w:rFonts w:hAnsi="宋体" w:cs="宋体"/>
          <w:szCs w:val="24"/>
        </w:rPr>
      </w:pPr>
      <w:r>
        <w:rPr>
          <w:rFonts w:hint="eastAsia" w:hAnsi="宋体" w:cs="宋体"/>
          <w:szCs w:val="24"/>
        </w:rPr>
        <w:t>3.5提供参加政府采购活动前三年内，在经营活动中没有环保类行政处罚记录声明函（提供声明函加盖公章、注册成立时间不足三年的，从注册时间起算）；</w:t>
      </w:r>
    </w:p>
    <w:p>
      <w:pPr>
        <w:pStyle w:val="28"/>
        <w:rPr>
          <w:rFonts w:hAnsi="宋体" w:cs="宋体"/>
          <w:szCs w:val="24"/>
        </w:rPr>
      </w:pPr>
      <w:r>
        <w:rPr>
          <w:rFonts w:hint="eastAsia" w:hAnsi="宋体" w:cs="宋体"/>
          <w:szCs w:val="24"/>
        </w:rPr>
        <w:t>3.6具有履行合同所必需的设备和专业技术能力(提供履约能力承诺函加盖公章)；</w:t>
      </w:r>
    </w:p>
    <w:p>
      <w:pPr>
        <w:pStyle w:val="28"/>
        <w:rPr>
          <w:rFonts w:hAnsi="宋体" w:cs="宋体"/>
          <w:szCs w:val="24"/>
        </w:rPr>
      </w:pPr>
      <w:r>
        <w:rPr>
          <w:rFonts w:hint="eastAsia" w:hAnsi="宋体" w:cs="宋体"/>
          <w:szCs w:val="24"/>
        </w:rPr>
        <w:t>3.7必须为未被列入信用中国网站(www.creditchina.gov.cn)的“重大税收违法失信主体”、“政府采购严重违法失信行为记录名单”和中国政府采购网(www.ccgp.gov.cn)的“政府采购严重违法失信行为记录名单”以及中国执行信息公开网（http://zxgk.court.gov.cn/shixin/）“失信被执行人”的供应商。(须提供查询截图复印件</w:t>
      </w:r>
      <w:r>
        <w:rPr>
          <w:rFonts w:hint="eastAsia" w:hAnsi="宋体" w:cs="宋体"/>
          <w:szCs w:val="24"/>
          <w:lang w:val="en-US" w:eastAsia="zh-CN"/>
        </w:rPr>
        <w:t>或承诺函</w:t>
      </w:r>
      <w:r>
        <w:rPr>
          <w:rFonts w:hint="eastAsia" w:hAnsi="宋体" w:cs="宋体"/>
          <w:szCs w:val="24"/>
        </w:rPr>
        <w:t>加盖公章；未提供或提供内容不准确的，以采购代理机构在评标现场查询结果为准）。</w:t>
      </w:r>
    </w:p>
    <w:p>
      <w:pPr>
        <w:pStyle w:val="28"/>
        <w:rPr>
          <w:rFonts w:hAnsi="宋体" w:cs="宋体"/>
          <w:szCs w:val="24"/>
        </w:rPr>
      </w:pPr>
      <w:r>
        <w:rPr>
          <w:rFonts w:hint="eastAsia" w:hAnsi="宋体" w:cs="宋体"/>
          <w:szCs w:val="24"/>
        </w:rPr>
        <w:t>3.8具备法律、行政法规规定的其他条件（提供声明函加盖公章）。</w:t>
      </w:r>
    </w:p>
    <w:p>
      <w:pPr>
        <w:pStyle w:val="28"/>
        <w:rPr>
          <w:rFonts w:hAnsi="宋体" w:cs="宋体"/>
          <w:szCs w:val="24"/>
        </w:rPr>
      </w:pPr>
      <w:r>
        <w:rPr>
          <w:rFonts w:hint="eastAsia" w:hAnsi="宋体" w:cs="宋体"/>
          <w:szCs w:val="24"/>
        </w:rPr>
        <w:t>3.9单位负责人为同一人或者存在直接控股、管理关系的不同供应商，不得参加同一合同项下的政府采购活动（提供声明函加盖公章）</w:t>
      </w:r>
    </w:p>
    <w:p>
      <w:pPr>
        <w:pStyle w:val="28"/>
        <w:rPr>
          <w:rFonts w:hAnsi="宋体" w:cs="宋体"/>
          <w:b/>
          <w:szCs w:val="24"/>
        </w:rPr>
      </w:pPr>
      <w:r>
        <w:rPr>
          <w:rFonts w:hint="eastAsia" w:hAnsi="宋体" w:cs="宋体"/>
          <w:szCs w:val="24"/>
        </w:rPr>
        <w:t>3.10本项目不接受联合投标。</w:t>
      </w:r>
    </w:p>
    <w:p>
      <w:pPr>
        <w:pStyle w:val="28"/>
        <w:rPr>
          <w:rFonts w:hAnsi="宋体" w:cs="宋体"/>
          <w:b/>
          <w:szCs w:val="24"/>
        </w:rPr>
      </w:pPr>
      <w:r>
        <w:rPr>
          <w:rFonts w:hint="eastAsia" w:hAnsi="宋体" w:cs="宋体"/>
          <w:b/>
          <w:szCs w:val="24"/>
        </w:rPr>
        <w:t>三、</w:t>
      </w:r>
      <w:bookmarkEnd w:id="6"/>
      <w:r>
        <w:rPr>
          <w:rFonts w:hint="eastAsia" w:hAnsi="宋体" w:cs="宋体"/>
          <w:b/>
          <w:szCs w:val="24"/>
        </w:rPr>
        <w:t>获取采购文件：</w:t>
      </w:r>
    </w:p>
    <w:p>
      <w:pPr>
        <w:adjustRightInd w:val="0"/>
        <w:snapToGrid w:val="0"/>
        <w:spacing w:line="360" w:lineRule="auto"/>
        <w:ind w:firstLine="480" w:firstLineChars="200"/>
        <w:rPr>
          <w:rFonts w:hAnsi="宋体" w:cs="宋体"/>
          <w:sz w:val="24"/>
          <w:szCs w:val="24"/>
        </w:rPr>
      </w:pPr>
      <w:r>
        <w:rPr>
          <w:rFonts w:hint="eastAsia" w:hAnsi="宋体" w:cs="宋体"/>
          <w:bCs/>
          <w:sz w:val="24"/>
          <w:szCs w:val="24"/>
        </w:rPr>
        <w:t>3.1 时</w:t>
      </w:r>
      <w:r>
        <w:rPr>
          <w:rFonts w:hint="eastAsia" w:hAnsi="宋体" w:cs="宋体"/>
          <w:sz w:val="24"/>
          <w:szCs w:val="24"/>
        </w:rPr>
        <w:t>间：</w:t>
      </w:r>
      <w:r>
        <w:rPr>
          <w:rFonts w:hint="eastAsia" w:hAnsi="宋体" w:cs="宋体"/>
          <w:sz w:val="24"/>
          <w:szCs w:val="24"/>
          <w:u w:val="single"/>
        </w:rPr>
        <w:t>2024-04-</w:t>
      </w:r>
      <w:r>
        <w:rPr>
          <w:rFonts w:hint="eastAsia" w:hAnsi="宋体" w:cs="宋体"/>
          <w:sz w:val="24"/>
          <w:szCs w:val="24"/>
          <w:u w:val="single"/>
          <w:lang w:val="en-US" w:eastAsia="zh-CN"/>
        </w:rPr>
        <w:t>26</w:t>
      </w:r>
      <w:r>
        <w:rPr>
          <w:rFonts w:hint="eastAsia" w:hAnsi="宋体" w:cs="宋体"/>
          <w:sz w:val="24"/>
          <w:szCs w:val="24"/>
          <w:u w:val="single"/>
        </w:rPr>
        <w:t xml:space="preserve"> 00:00:00至2024-0</w:t>
      </w:r>
      <w:r>
        <w:rPr>
          <w:rFonts w:hint="eastAsia" w:hAnsi="宋体" w:cs="宋体"/>
          <w:sz w:val="24"/>
          <w:szCs w:val="24"/>
          <w:u w:val="single"/>
          <w:lang w:val="en-US" w:eastAsia="zh-CN"/>
        </w:rPr>
        <w:t>5</w:t>
      </w:r>
      <w:r>
        <w:rPr>
          <w:rFonts w:hint="eastAsia" w:hAnsi="宋体" w:cs="宋体"/>
          <w:sz w:val="24"/>
          <w:szCs w:val="24"/>
          <w:u w:val="single"/>
        </w:rPr>
        <w:t>-</w:t>
      </w:r>
      <w:r>
        <w:rPr>
          <w:rFonts w:hint="eastAsia" w:hAnsi="宋体" w:cs="宋体"/>
          <w:sz w:val="24"/>
          <w:szCs w:val="24"/>
          <w:u w:val="single"/>
          <w:lang w:val="en-US" w:eastAsia="zh-CN"/>
        </w:rPr>
        <w:t>07</w:t>
      </w:r>
      <w:r>
        <w:rPr>
          <w:rFonts w:hint="eastAsia" w:hAnsi="宋体" w:cs="宋体"/>
          <w:sz w:val="24"/>
          <w:szCs w:val="24"/>
          <w:u w:val="single"/>
        </w:rPr>
        <w:t xml:space="preserve"> 00:00:00</w:t>
      </w:r>
      <w:r>
        <w:rPr>
          <w:rFonts w:hint="eastAsia" w:hAnsi="宋体" w:cs="宋体"/>
          <w:sz w:val="24"/>
          <w:szCs w:val="24"/>
        </w:rPr>
        <w:t>，每天上午00:00至12:00， 下午12:00至24:00（北京时间，法定节假日除外）</w:t>
      </w:r>
    </w:p>
    <w:p>
      <w:pPr>
        <w:spacing w:line="360" w:lineRule="auto"/>
        <w:ind w:firstLine="480" w:firstLineChars="200"/>
        <w:rPr>
          <w:rFonts w:hAnsi="宋体" w:cs="宋体"/>
          <w:sz w:val="24"/>
          <w:szCs w:val="24"/>
        </w:rPr>
      </w:pPr>
      <w:bookmarkStart w:id="7" w:name="_Toc17864"/>
      <w:r>
        <w:rPr>
          <w:rFonts w:hint="eastAsia" w:hAnsi="宋体" w:cs="宋体"/>
          <w:bCs/>
          <w:sz w:val="24"/>
          <w:szCs w:val="24"/>
        </w:rPr>
        <w:t>3.2 发售标书地点：</w:t>
      </w:r>
      <w:r>
        <w:rPr>
          <w:rFonts w:hint="eastAsia" w:hAnsi="宋体" w:cs="宋体"/>
          <w:sz w:val="24"/>
          <w:szCs w:val="24"/>
        </w:rPr>
        <w:t>海南政府采购网(www.ccgp-hainan.gov.cn)-海南省政府采购电子化交易管理系统(新)</w:t>
      </w:r>
    </w:p>
    <w:p>
      <w:pPr>
        <w:spacing w:line="360" w:lineRule="auto"/>
        <w:ind w:firstLine="480" w:firstLineChars="200"/>
        <w:rPr>
          <w:rFonts w:hAnsi="宋体" w:cs="宋体"/>
          <w:bCs/>
          <w:sz w:val="24"/>
          <w:szCs w:val="24"/>
        </w:rPr>
      </w:pPr>
      <w:r>
        <w:rPr>
          <w:rFonts w:hint="eastAsia" w:hAnsi="宋体" w:cs="宋体"/>
          <w:bCs/>
          <w:sz w:val="24"/>
          <w:szCs w:val="24"/>
        </w:rPr>
        <w:t>3.3 获取方式：在海南省政府采购网上获取，未按时在系统平台注册报名视为无效报名。</w:t>
      </w:r>
    </w:p>
    <w:p>
      <w:pPr>
        <w:spacing w:line="360" w:lineRule="auto"/>
        <w:ind w:left="480" w:leftChars="160"/>
        <w:rPr>
          <w:rFonts w:hAnsi="宋体" w:cs="宋体"/>
          <w:bCs/>
          <w:sz w:val="24"/>
          <w:szCs w:val="24"/>
        </w:rPr>
      </w:pPr>
      <w:r>
        <w:rPr>
          <w:rFonts w:hint="eastAsia" w:hAnsi="宋体" w:cs="宋体"/>
          <w:bCs/>
          <w:sz w:val="24"/>
          <w:szCs w:val="24"/>
        </w:rPr>
        <w:t>3.4 标书售价：竞争性磋商文件每套售价0元。</w:t>
      </w:r>
    </w:p>
    <w:p>
      <w:pPr>
        <w:adjustRightInd w:val="0"/>
        <w:snapToGrid w:val="0"/>
        <w:spacing w:line="360" w:lineRule="auto"/>
        <w:ind w:firstLine="482" w:firstLineChars="200"/>
        <w:rPr>
          <w:rFonts w:hAnsi="宋体" w:cs="宋体"/>
          <w:b/>
          <w:sz w:val="24"/>
          <w:szCs w:val="24"/>
        </w:rPr>
      </w:pPr>
      <w:r>
        <w:rPr>
          <w:rFonts w:hint="eastAsia" w:hAnsi="宋体" w:cs="宋体"/>
          <w:b/>
          <w:sz w:val="24"/>
          <w:szCs w:val="24"/>
        </w:rPr>
        <w:t>四、</w:t>
      </w:r>
      <w:bookmarkEnd w:id="7"/>
      <w:r>
        <w:rPr>
          <w:rFonts w:hint="eastAsia" w:hAnsi="宋体" w:cs="宋体"/>
          <w:b/>
          <w:sz w:val="24"/>
          <w:szCs w:val="24"/>
        </w:rPr>
        <w:t>响应文件提交：</w:t>
      </w:r>
    </w:p>
    <w:p>
      <w:pPr>
        <w:tabs>
          <w:tab w:val="left" w:pos="4680"/>
        </w:tabs>
        <w:adjustRightInd w:val="0"/>
        <w:snapToGrid w:val="0"/>
        <w:spacing w:line="360" w:lineRule="auto"/>
        <w:ind w:firstLine="480" w:firstLineChars="200"/>
        <w:rPr>
          <w:rFonts w:hAnsi="宋体" w:cs="宋体"/>
          <w:sz w:val="24"/>
          <w:szCs w:val="24"/>
        </w:rPr>
      </w:pPr>
      <w:r>
        <w:rPr>
          <w:rFonts w:hint="eastAsia" w:hAnsi="宋体" w:cs="宋体"/>
          <w:sz w:val="24"/>
          <w:szCs w:val="24"/>
        </w:rPr>
        <w:t>4.1 递交磋商响应文件截止时间：2024年</w:t>
      </w:r>
      <w:r>
        <w:rPr>
          <w:rFonts w:hint="eastAsia" w:hAnsi="宋体" w:cs="宋体"/>
          <w:sz w:val="24"/>
          <w:szCs w:val="24"/>
          <w:u w:val="single"/>
        </w:rPr>
        <w:t xml:space="preserve"> </w:t>
      </w:r>
      <w:r>
        <w:rPr>
          <w:rFonts w:hint="eastAsia" w:hAnsi="宋体" w:cs="宋体"/>
          <w:sz w:val="24"/>
          <w:szCs w:val="24"/>
          <w:u w:val="single"/>
          <w:lang w:val="en-US" w:eastAsia="zh-CN"/>
        </w:rPr>
        <w:t>05</w:t>
      </w:r>
      <w:r>
        <w:rPr>
          <w:rFonts w:hint="eastAsia" w:hAnsi="宋体" w:cs="宋体"/>
          <w:sz w:val="24"/>
          <w:szCs w:val="24"/>
          <w:u w:val="single"/>
        </w:rPr>
        <w:t xml:space="preserve"> </w:t>
      </w:r>
      <w:r>
        <w:rPr>
          <w:rFonts w:hint="eastAsia" w:hAnsi="宋体" w:cs="宋体"/>
          <w:sz w:val="24"/>
          <w:szCs w:val="24"/>
        </w:rPr>
        <w:t>月</w:t>
      </w:r>
      <w:r>
        <w:rPr>
          <w:rFonts w:hint="eastAsia" w:hAnsi="宋体" w:cs="宋体"/>
          <w:sz w:val="24"/>
          <w:szCs w:val="24"/>
          <w:u w:val="single"/>
        </w:rPr>
        <w:t xml:space="preserve"> </w:t>
      </w:r>
      <w:r>
        <w:rPr>
          <w:rFonts w:hint="eastAsia" w:hAnsi="宋体" w:cs="宋体"/>
          <w:sz w:val="24"/>
          <w:szCs w:val="24"/>
          <w:u w:val="single"/>
          <w:lang w:val="en-US" w:eastAsia="zh-CN"/>
        </w:rPr>
        <w:t>08</w:t>
      </w:r>
      <w:r>
        <w:rPr>
          <w:rFonts w:hint="eastAsia" w:hAnsi="宋体" w:cs="宋体"/>
          <w:sz w:val="24"/>
          <w:szCs w:val="24"/>
          <w:u w:val="single"/>
        </w:rPr>
        <w:t xml:space="preserve"> </w:t>
      </w:r>
      <w:r>
        <w:rPr>
          <w:rFonts w:hint="eastAsia" w:hAnsi="宋体" w:cs="宋体"/>
          <w:sz w:val="24"/>
          <w:szCs w:val="24"/>
        </w:rPr>
        <w:t>日</w:t>
      </w:r>
      <w:r>
        <w:rPr>
          <w:rFonts w:hint="eastAsia" w:hAnsi="宋体" w:cs="宋体"/>
          <w:sz w:val="24"/>
          <w:szCs w:val="24"/>
          <w:u w:val="single"/>
        </w:rPr>
        <w:t>09:00</w:t>
      </w:r>
      <w:r>
        <w:rPr>
          <w:rFonts w:hint="eastAsia" w:hAnsi="宋体" w:cs="宋体"/>
          <w:sz w:val="24"/>
          <w:szCs w:val="24"/>
        </w:rPr>
        <w:t>；</w:t>
      </w:r>
    </w:p>
    <w:p>
      <w:pPr>
        <w:spacing w:line="360" w:lineRule="auto"/>
        <w:ind w:left="960" w:leftChars="160" w:hanging="480" w:hangingChars="200"/>
        <w:rPr>
          <w:rFonts w:hAnsi="宋体" w:cs="宋体"/>
          <w:bCs/>
          <w:sz w:val="24"/>
          <w:szCs w:val="24"/>
        </w:rPr>
      </w:pPr>
      <w:r>
        <w:rPr>
          <w:rFonts w:hint="eastAsia" w:hAnsi="宋体" w:cs="宋体"/>
          <w:sz w:val="24"/>
          <w:szCs w:val="24"/>
        </w:rPr>
        <w:t>4.2 磋商响应文件递交地址：全程线上远程开标-</w:t>
      </w:r>
      <w:r>
        <w:rPr>
          <w:rFonts w:hint="eastAsia" w:hAnsi="宋体" w:cs="宋体"/>
          <w:sz w:val="24"/>
          <w:szCs w:val="24"/>
          <w:u w:val="single"/>
        </w:rPr>
        <w:t>海南政府采购网(www.ccgp-hainan.gov.cn)-海南省政府采购电子化交易管理系统(新)</w:t>
      </w:r>
    </w:p>
    <w:p>
      <w:pPr>
        <w:adjustRightInd w:val="0"/>
        <w:snapToGrid w:val="0"/>
        <w:spacing w:line="360" w:lineRule="auto"/>
        <w:ind w:firstLine="482" w:firstLineChars="200"/>
        <w:rPr>
          <w:rFonts w:hAnsi="宋体" w:cs="宋体"/>
          <w:b/>
          <w:sz w:val="24"/>
          <w:szCs w:val="24"/>
        </w:rPr>
      </w:pPr>
      <w:r>
        <w:rPr>
          <w:rFonts w:hint="eastAsia" w:hAnsi="宋体" w:cs="宋体"/>
          <w:b/>
          <w:sz w:val="24"/>
          <w:szCs w:val="24"/>
        </w:rPr>
        <w:t>五、开启</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5.1 磋商响应文件开启时间：2024年</w:t>
      </w:r>
      <w:r>
        <w:rPr>
          <w:rFonts w:hint="eastAsia" w:hAnsi="宋体" w:cs="宋体"/>
          <w:sz w:val="24"/>
          <w:szCs w:val="24"/>
          <w:u w:val="single"/>
        </w:rPr>
        <w:t xml:space="preserve"> </w:t>
      </w:r>
      <w:r>
        <w:rPr>
          <w:rFonts w:hint="eastAsia" w:hAnsi="宋体" w:cs="宋体"/>
          <w:sz w:val="24"/>
          <w:szCs w:val="24"/>
          <w:u w:val="single"/>
          <w:lang w:val="en-US" w:eastAsia="zh-CN"/>
        </w:rPr>
        <w:t>05</w:t>
      </w:r>
      <w:r>
        <w:rPr>
          <w:rFonts w:hint="eastAsia" w:hAnsi="宋体" w:cs="宋体"/>
          <w:sz w:val="24"/>
          <w:szCs w:val="24"/>
          <w:u w:val="single"/>
        </w:rPr>
        <w:t xml:space="preserve"> </w:t>
      </w:r>
      <w:r>
        <w:rPr>
          <w:rFonts w:hint="eastAsia" w:hAnsi="宋体" w:cs="宋体"/>
          <w:sz w:val="24"/>
          <w:szCs w:val="24"/>
        </w:rPr>
        <w:t>月</w:t>
      </w:r>
      <w:r>
        <w:rPr>
          <w:rFonts w:hint="eastAsia" w:hAnsi="宋体" w:cs="宋体"/>
          <w:sz w:val="24"/>
          <w:szCs w:val="24"/>
          <w:u w:val="single"/>
        </w:rPr>
        <w:t xml:space="preserve"> </w:t>
      </w:r>
      <w:r>
        <w:rPr>
          <w:rFonts w:hint="eastAsia" w:hAnsi="宋体" w:cs="宋体"/>
          <w:sz w:val="24"/>
          <w:szCs w:val="24"/>
          <w:u w:val="single"/>
          <w:lang w:val="en-US" w:eastAsia="zh-CN"/>
        </w:rPr>
        <w:t>08</w:t>
      </w:r>
      <w:r>
        <w:rPr>
          <w:rFonts w:hint="eastAsia" w:hAnsi="宋体" w:cs="宋体"/>
          <w:sz w:val="24"/>
          <w:szCs w:val="24"/>
          <w:u w:val="single"/>
        </w:rPr>
        <w:t xml:space="preserve"> </w:t>
      </w:r>
      <w:r>
        <w:rPr>
          <w:rFonts w:hint="eastAsia" w:hAnsi="宋体" w:cs="宋体"/>
          <w:sz w:val="24"/>
          <w:szCs w:val="24"/>
        </w:rPr>
        <w:t>日</w:t>
      </w:r>
      <w:r>
        <w:rPr>
          <w:rFonts w:hint="eastAsia" w:hAnsi="宋体" w:cs="宋体"/>
          <w:sz w:val="24"/>
          <w:szCs w:val="24"/>
          <w:u w:val="single"/>
        </w:rPr>
        <w:t>09:00</w:t>
      </w:r>
      <w:r>
        <w:rPr>
          <w:rFonts w:hint="eastAsia" w:hAnsi="宋体" w:cs="宋体"/>
          <w:sz w:val="24"/>
          <w:szCs w:val="24"/>
        </w:rPr>
        <w:t>；</w:t>
      </w:r>
    </w:p>
    <w:p>
      <w:pPr>
        <w:spacing w:line="360" w:lineRule="auto"/>
        <w:ind w:left="960" w:leftChars="160" w:hanging="480" w:hangingChars="200"/>
        <w:rPr>
          <w:rFonts w:hAnsi="宋体" w:cs="宋体"/>
          <w:bCs/>
          <w:sz w:val="24"/>
          <w:szCs w:val="24"/>
        </w:rPr>
      </w:pPr>
      <w:r>
        <w:rPr>
          <w:rFonts w:hint="eastAsia" w:hAnsi="宋体" w:cs="宋体"/>
          <w:sz w:val="24"/>
          <w:szCs w:val="24"/>
        </w:rPr>
        <w:t>5.2 磋商响应文件开启地点：全程线上远程开标-</w:t>
      </w:r>
      <w:r>
        <w:rPr>
          <w:rFonts w:hint="eastAsia" w:hAnsi="宋体" w:cs="宋体"/>
          <w:sz w:val="24"/>
          <w:szCs w:val="24"/>
          <w:u w:val="single"/>
        </w:rPr>
        <w:t>海南政府采购网(www.ccgp-hainan.gov.cn)-海南省政府采购电子化交易管理系统(新)</w:t>
      </w:r>
    </w:p>
    <w:p>
      <w:pPr>
        <w:adjustRightInd w:val="0"/>
        <w:snapToGrid w:val="0"/>
        <w:spacing w:line="360" w:lineRule="auto"/>
        <w:ind w:firstLine="482" w:firstLineChars="200"/>
        <w:rPr>
          <w:rFonts w:hAnsi="宋体" w:cs="宋体"/>
          <w:sz w:val="24"/>
          <w:szCs w:val="24"/>
        </w:rPr>
      </w:pPr>
      <w:r>
        <w:rPr>
          <w:rFonts w:hint="eastAsia" w:hAnsi="宋体" w:cs="宋体"/>
          <w:b/>
          <w:sz w:val="24"/>
          <w:szCs w:val="24"/>
        </w:rPr>
        <w:t>六、公告期限</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公告期限：自本公告发布之日起3个工作日。</w:t>
      </w:r>
    </w:p>
    <w:p>
      <w:pPr>
        <w:adjustRightInd w:val="0"/>
        <w:snapToGrid w:val="0"/>
        <w:spacing w:line="360" w:lineRule="auto"/>
        <w:ind w:firstLine="482" w:firstLineChars="200"/>
        <w:rPr>
          <w:rFonts w:hAnsi="宋体" w:cs="宋体"/>
          <w:b/>
          <w:sz w:val="24"/>
          <w:szCs w:val="24"/>
        </w:rPr>
      </w:pPr>
      <w:bookmarkStart w:id="8" w:name="_Toc10810"/>
      <w:r>
        <w:rPr>
          <w:rFonts w:hint="eastAsia" w:hAnsi="宋体" w:cs="宋体"/>
          <w:b/>
          <w:sz w:val="24"/>
          <w:szCs w:val="24"/>
        </w:rPr>
        <w:t>七、其他补充事宜</w:t>
      </w:r>
    </w:p>
    <w:p>
      <w:pPr>
        <w:adjustRightInd w:val="0"/>
        <w:snapToGrid w:val="0"/>
        <w:spacing w:line="360" w:lineRule="auto"/>
        <w:ind w:firstLine="480" w:firstLineChars="200"/>
        <w:rPr>
          <w:rFonts w:hAnsi="宋体" w:cs="宋体"/>
          <w:bCs/>
          <w:sz w:val="24"/>
          <w:szCs w:val="24"/>
        </w:rPr>
      </w:pPr>
      <w:r>
        <w:rPr>
          <w:rFonts w:hint="eastAsia" w:hAnsi="宋体" w:cs="宋体"/>
          <w:bCs/>
          <w:sz w:val="24"/>
          <w:szCs w:val="24"/>
        </w:rPr>
        <w:t>7.1.本项目采购信息指定发布媒体为海南省政府采购网。</w:t>
      </w:r>
    </w:p>
    <w:p>
      <w:pPr>
        <w:adjustRightInd w:val="0"/>
        <w:snapToGrid w:val="0"/>
        <w:spacing w:line="360" w:lineRule="auto"/>
        <w:ind w:firstLine="480" w:firstLineChars="200"/>
        <w:rPr>
          <w:rFonts w:hAnsi="宋体" w:cs="宋体"/>
          <w:bCs/>
          <w:sz w:val="24"/>
          <w:szCs w:val="24"/>
        </w:rPr>
      </w:pPr>
      <w:r>
        <w:rPr>
          <w:rFonts w:hint="eastAsia" w:hAnsi="宋体" w:cs="宋体"/>
          <w:bCs/>
          <w:sz w:val="24"/>
          <w:szCs w:val="24"/>
        </w:rPr>
        <w:t>7.2.供应商须在海南政府采购网(www.ccgp-hainan.gov.cn)-海南省政府采购电子化交易管理系统(新)中下载、查看电子版的采购文件及其他文件。</w:t>
      </w:r>
    </w:p>
    <w:p>
      <w:pPr>
        <w:adjustRightInd w:val="0"/>
        <w:snapToGrid w:val="0"/>
        <w:spacing w:line="360" w:lineRule="auto"/>
        <w:ind w:firstLine="480" w:firstLineChars="200"/>
        <w:rPr>
          <w:rFonts w:hAnsi="宋体" w:cs="宋体"/>
          <w:bCs/>
          <w:sz w:val="24"/>
          <w:szCs w:val="24"/>
        </w:rPr>
      </w:pPr>
      <w:r>
        <w:rPr>
          <w:rFonts w:hint="eastAsia" w:hAnsi="宋体" w:cs="宋体"/>
          <w:bCs/>
          <w:sz w:val="24"/>
          <w:szCs w:val="24"/>
        </w:rPr>
        <w:t>7.3.电子标:必须使用最新版本的电子投标工具在海南政府采购网(www.ccgp-hainan.gov.cn)-海南省政府采购电子化交易管理系统(新)中下载；</w:t>
      </w:r>
    </w:p>
    <w:p>
      <w:pPr>
        <w:adjustRightInd w:val="0"/>
        <w:snapToGrid w:val="0"/>
        <w:spacing w:line="360" w:lineRule="auto"/>
        <w:ind w:firstLine="480" w:firstLineChars="200"/>
        <w:rPr>
          <w:rFonts w:hAnsi="宋体" w:cs="宋体"/>
          <w:bCs/>
          <w:sz w:val="24"/>
          <w:szCs w:val="24"/>
        </w:rPr>
      </w:pPr>
      <w:r>
        <w:rPr>
          <w:rFonts w:hint="eastAsia" w:hAnsi="宋体" w:cs="宋体"/>
          <w:bCs/>
          <w:sz w:val="24"/>
          <w:szCs w:val="24"/>
        </w:rPr>
        <w:t>7.4.必须使用最新版本的电子投标书编制工具制作电子版投标文件并使用 CA 数字证书（含手机 CA）的电子印章进行签章，且使用 CA 数字证书（含手机 CA）进行加密后在提交投标文件截止时间前上传至交易系统，否则视为无效投标（投标文件制作工具是配合政府采购交易系统制作投标文件的工具。供应商使用该工具打开从系统下载的招投标文件包【为wtbwj格式】，离线编辑完成的投标文件各组成部分导入pdf格式签章，最终生成加密的投标文件【为wenc格式】）。 电子投标书编制工具、投标工具使用手册及供应商使用手册等均可在海南省政府采购电子化交易管理系统（http://218.77.183.212:8199/u/loginu/）-帮助中心下载。 </w:t>
      </w:r>
    </w:p>
    <w:p>
      <w:pPr>
        <w:adjustRightInd w:val="0"/>
        <w:snapToGrid w:val="0"/>
        <w:spacing w:line="360" w:lineRule="auto"/>
        <w:ind w:firstLine="480" w:firstLineChars="200"/>
        <w:rPr>
          <w:rFonts w:hAnsi="宋体" w:cs="宋体"/>
          <w:bCs/>
          <w:sz w:val="24"/>
          <w:szCs w:val="24"/>
        </w:rPr>
      </w:pPr>
      <w:r>
        <w:rPr>
          <w:rFonts w:hint="eastAsia" w:hAnsi="宋体" w:cs="宋体"/>
          <w:bCs/>
          <w:sz w:val="24"/>
          <w:szCs w:val="24"/>
        </w:rPr>
        <w:t>7.5.本项目为远程不见面开标项目，供应商无需到达开标地点。开标时供应商使用个人电脑登入海南政府采购网(www.ccgp-hainan.gov.cn)-海南省政府采购电子化交易管理系统(新)(实体CA数字证书或移动CA数字证书，必须是生成投标文件时使用的使用数字认证锁) 进行远程解密。在开标前，供应商应利用参与开标的电脑提前登入开标系统进行电脑配置环境检测，并按提示设置电脑环境。</w:t>
      </w:r>
    </w:p>
    <w:p>
      <w:pPr>
        <w:adjustRightInd w:val="0"/>
        <w:snapToGrid w:val="0"/>
        <w:spacing w:line="360" w:lineRule="auto"/>
        <w:ind w:firstLine="480" w:firstLineChars="200"/>
        <w:rPr>
          <w:rFonts w:hAnsi="宋体" w:cs="宋体"/>
          <w:sz w:val="24"/>
          <w:szCs w:val="24"/>
        </w:rPr>
      </w:pPr>
      <w:r>
        <w:rPr>
          <w:rFonts w:hint="eastAsia" w:hAnsi="宋体" w:cs="宋体"/>
          <w:bCs/>
          <w:sz w:val="24"/>
          <w:szCs w:val="24"/>
        </w:rPr>
        <w:t>7.6.供应商使用交易系统遇到问题可进入https://www.yuque.com/haonan123/bzzx/ahre46查看《【全程电子化】供应商使用手册》或致电技术支持: 0898-68546705</w:t>
      </w:r>
    </w:p>
    <w:p>
      <w:pPr>
        <w:adjustRightInd w:val="0"/>
        <w:snapToGrid w:val="0"/>
        <w:spacing w:line="360" w:lineRule="auto"/>
        <w:ind w:firstLine="480" w:firstLineChars="200"/>
        <w:rPr>
          <w:rFonts w:hAnsi="宋体" w:cs="宋体"/>
          <w:bCs/>
          <w:sz w:val="24"/>
          <w:szCs w:val="24"/>
        </w:rPr>
      </w:pPr>
      <w:r>
        <w:rPr>
          <w:rFonts w:hint="eastAsia" w:hAnsi="宋体" w:cs="宋体"/>
          <w:bCs/>
          <w:sz w:val="24"/>
          <w:szCs w:val="24"/>
        </w:rPr>
        <w:t>注意：供应商签到需选择key签章，海南CA数字证书办理所需材料及地址</w:t>
      </w:r>
    </w:p>
    <w:p>
      <w:pPr>
        <w:adjustRightInd w:val="0"/>
        <w:snapToGrid w:val="0"/>
        <w:spacing w:line="360" w:lineRule="auto"/>
        <w:ind w:firstLine="480" w:firstLineChars="200"/>
        <w:rPr>
          <w:rFonts w:hAnsi="宋体" w:cs="宋体"/>
          <w:bCs/>
          <w:sz w:val="24"/>
          <w:szCs w:val="24"/>
        </w:rPr>
      </w:pPr>
      <w:r>
        <w:rPr>
          <w:rFonts w:hint="eastAsia" w:hAnsi="宋体" w:cs="宋体"/>
          <w:bCs/>
          <w:sz w:val="24"/>
          <w:szCs w:val="24"/>
        </w:rPr>
        <w:t>（1）CA数字证书所需材料：登录海南省数字证书认证中心网站（网址：http://www.hndca.com/CA/） “服务支持”中的“海南省电子招投标用户办理数字证书业务指南”下载。（可在线办理，也可现场办理）</w:t>
      </w:r>
    </w:p>
    <w:p>
      <w:pPr>
        <w:adjustRightInd w:val="0"/>
        <w:snapToGrid w:val="0"/>
        <w:spacing w:line="360" w:lineRule="auto"/>
        <w:ind w:firstLine="480" w:firstLineChars="200"/>
        <w:rPr>
          <w:rFonts w:hAnsi="宋体" w:cs="宋体"/>
          <w:b/>
          <w:sz w:val="24"/>
          <w:szCs w:val="24"/>
        </w:rPr>
      </w:pPr>
      <w:r>
        <w:rPr>
          <w:rFonts w:hint="eastAsia" w:hAnsi="宋体" w:cs="宋体"/>
          <w:bCs/>
          <w:sz w:val="24"/>
          <w:szCs w:val="24"/>
        </w:rPr>
        <w:t>（2）CA 数字证书现场办理地址：海南省海口市美兰区大英山东三路2号海南数据谷二号营地2层212室。数字证书咨询电话：0898-66668096、0898-66664947，电子签章咨询电话：0898-65203207。已注册备案通过并取得数字证书和电子签章的供应商不需要再重新备案。</w:t>
      </w:r>
    </w:p>
    <w:p>
      <w:pPr>
        <w:adjustRightInd w:val="0"/>
        <w:snapToGrid w:val="0"/>
        <w:spacing w:line="360" w:lineRule="auto"/>
        <w:ind w:firstLine="480" w:firstLineChars="200"/>
        <w:rPr>
          <w:rFonts w:hAnsi="宋体" w:cs="宋体"/>
          <w:bCs/>
          <w:sz w:val="24"/>
          <w:szCs w:val="24"/>
        </w:rPr>
      </w:pPr>
      <w:r>
        <w:rPr>
          <w:rFonts w:hint="eastAsia" w:hAnsi="宋体" w:cs="宋体"/>
          <w:bCs/>
          <w:sz w:val="24"/>
          <w:szCs w:val="24"/>
        </w:rPr>
        <w:t>注意事项：本项目采用全流程电子化操作，供应商应详细阅读海南省政府采购网的通知《海南省财政厅关于进一步推进政府采购全流程电子化的通知》，下载查看操作手册，在使用交易系统遇到问题可致电技术支持：0898-68546705。</w:t>
      </w:r>
    </w:p>
    <w:p>
      <w:pPr>
        <w:adjustRightInd w:val="0"/>
        <w:snapToGrid w:val="0"/>
        <w:spacing w:line="360" w:lineRule="auto"/>
        <w:ind w:firstLine="482" w:firstLineChars="200"/>
        <w:rPr>
          <w:rFonts w:hAnsi="宋体" w:cs="宋体"/>
          <w:b/>
          <w:sz w:val="24"/>
          <w:szCs w:val="24"/>
        </w:rPr>
      </w:pPr>
      <w:r>
        <w:rPr>
          <w:rFonts w:hint="eastAsia" w:hAnsi="宋体" w:cs="宋体"/>
          <w:b/>
          <w:sz w:val="24"/>
          <w:szCs w:val="24"/>
        </w:rPr>
        <w:t>八、联系方式</w:t>
      </w:r>
      <w:bookmarkEnd w:id="8"/>
      <w:r>
        <w:rPr>
          <w:rFonts w:hint="eastAsia" w:hAnsi="宋体" w:cs="宋体"/>
          <w:b/>
          <w:sz w:val="24"/>
          <w:szCs w:val="24"/>
        </w:rPr>
        <w:t xml:space="preserve"> </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1.采购人信息</w:t>
      </w:r>
    </w:p>
    <w:p>
      <w:pPr>
        <w:tabs>
          <w:tab w:val="left" w:pos="4680"/>
        </w:tabs>
        <w:adjustRightInd w:val="0"/>
        <w:snapToGrid w:val="0"/>
        <w:spacing w:line="360" w:lineRule="auto"/>
        <w:ind w:firstLine="480" w:firstLineChars="200"/>
        <w:rPr>
          <w:rFonts w:hAnsi="宋体" w:cs="宋体"/>
          <w:sz w:val="24"/>
          <w:szCs w:val="24"/>
        </w:rPr>
      </w:pPr>
      <w:r>
        <w:rPr>
          <w:rFonts w:hint="eastAsia" w:hAnsi="宋体" w:cs="宋体"/>
          <w:sz w:val="24"/>
          <w:szCs w:val="24"/>
        </w:rPr>
        <w:t>名称：海南省规划展览馆</w:t>
      </w:r>
    </w:p>
    <w:p>
      <w:pPr>
        <w:tabs>
          <w:tab w:val="left" w:pos="4680"/>
        </w:tabs>
        <w:adjustRightInd w:val="0"/>
        <w:snapToGrid w:val="0"/>
        <w:spacing w:line="360" w:lineRule="auto"/>
        <w:ind w:firstLine="480" w:firstLineChars="200"/>
        <w:rPr>
          <w:rFonts w:hAnsi="宋体" w:cs="宋体"/>
          <w:sz w:val="24"/>
          <w:szCs w:val="24"/>
        </w:rPr>
      </w:pPr>
      <w:r>
        <w:rPr>
          <w:rFonts w:hint="eastAsia" w:hAnsi="宋体" w:cs="宋体"/>
          <w:sz w:val="24"/>
          <w:szCs w:val="24"/>
        </w:rPr>
        <w:t>地址：海口市国兴大道9号省政府办公区会展楼西侧附楼</w:t>
      </w:r>
    </w:p>
    <w:p>
      <w:pPr>
        <w:tabs>
          <w:tab w:val="left" w:pos="4680"/>
        </w:tabs>
        <w:adjustRightInd w:val="0"/>
        <w:snapToGrid w:val="0"/>
        <w:spacing w:line="360" w:lineRule="auto"/>
        <w:ind w:firstLine="480" w:firstLineChars="200"/>
        <w:rPr>
          <w:rFonts w:hAnsi="宋体" w:cs="宋体"/>
          <w:sz w:val="24"/>
          <w:szCs w:val="24"/>
        </w:rPr>
      </w:pPr>
      <w:r>
        <w:rPr>
          <w:rFonts w:hint="eastAsia" w:hAnsi="宋体" w:cs="宋体"/>
          <w:sz w:val="24"/>
          <w:szCs w:val="24"/>
        </w:rPr>
        <w:t>联系人：吴女士</w:t>
      </w:r>
    </w:p>
    <w:p>
      <w:pPr>
        <w:tabs>
          <w:tab w:val="left" w:pos="4680"/>
        </w:tabs>
        <w:adjustRightInd w:val="0"/>
        <w:snapToGrid w:val="0"/>
        <w:spacing w:line="360" w:lineRule="auto"/>
        <w:ind w:firstLine="480" w:firstLineChars="200"/>
        <w:rPr>
          <w:rFonts w:hAnsi="宋体" w:cs="宋体"/>
          <w:sz w:val="24"/>
          <w:szCs w:val="24"/>
        </w:rPr>
      </w:pPr>
      <w:r>
        <w:rPr>
          <w:rFonts w:hint="eastAsia" w:hAnsi="宋体" w:cs="宋体"/>
          <w:sz w:val="24"/>
          <w:szCs w:val="24"/>
        </w:rPr>
        <w:t>联系方式：0898-65334671</w:t>
      </w:r>
    </w:p>
    <w:p>
      <w:pPr>
        <w:tabs>
          <w:tab w:val="left" w:pos="4680"/>
        </w:tabs>
        <w:adjustRightInd w:val="0"/>
        <w:snapToGrid w:val="0"/>
        <w:spacing w:line="360" w:lineRule="auto"/>
        <w:ind w:firstLine="480" w:firstLineChars="200"/>
        <w:rPr>
          <w:rFonts w:hAnsi="宋体" w:cs="宋体"/>
          <w:sz w:val="24"/>
          <w:szCs w:val="24"/>
        </w:rPr>
      </w:pPr>
      <w:r>
        <w:rPr>
          <w:rFonts w:hint="eastAsia" w:hAnsi="宋体" w:cs="宋体"/>
          <w:sz w:val="24"/>
          <w:szCs w:val="24"/>
        </w:rPr>
        <w:t>2.采购代理机构信息</w:t>
      </w:r>
    </w:p>
    <w:p>
      <w:pPr>
        <w:tabs>
          <w:tab w:val="left" w:pos="4680"/>
        </w:tabs>
        <w:adjustRightInd w:val="0"/>
        <w:snapToGrid w:val="0"/>
        <w:spacing w:line="360" w:lineRule="auto"/>
        <w:ind w:firstLine="480" w:firstLineChars="200"/>
        <w:rPr>
          <w:rFonts w:hAnsi="宋体" w:cs="宋体"/>
          <w:sz w:val="24"/>
          <w:szCs w:val="24"/>
        </w:rPr>
      </w:pPr>
      <w:r>
        <w:rPr>
          <w:rFonts w:hint="eastAsia" w:hAnsi="宋体" w:cs="宋体"/>
          <w:sz w:val="24"/>
          <w:szCs w:val="24"/>
        </w:rPr>
        <w:t>名称：中正信达建设集团有限公司</w:t>
      </w:r>
    </w:p>
    <w:p>
      <w:pPr>
        <w:tabs>
          <w:tab w:val="left" w:pos="4680"/>
        </w:tabs>
        <w:adjustRightInd w:val="0"/>
        <w:snapToGrid w:val="0"/>
        <w:spacing w:line="360" w:lineRule="auto"/>
        <w:ind w:firstLine="480" w:firstLineChars="200"/>
        <w:rPr>
          <w:rFonts w:hAnsi="宋体" w:cs="宋体"/>
          <w:sz w:val="24"/>
          <w:szCs w:val="24"/>
        </w:rPr>
      </w:pPr>
      <w:r>
        <w:rPr>
          <w:rFonts w:hint="eastAsia" w:hAnsi="宋体" w:cs="宋体"/>
          <w:sz w:val="24"/>
          <w:szCs w:val="24"/>
        </w:rPr>
        <w:t>地址：海南省海口市琼山区国兴大道海航豪庭南苑二期5栋2单元2302室</w:t>
      </w:r>
    </w:p>
    <w:p>
      <w:pPr>
        <w:tabs>
          <w:tab w:val="left" w:pos="4680"/>
        </w:tabs>
        <w:adjustRightInd w:val="0"/>
        <w:snapToGrid w:val="0"/>
        <w:spacing w:line="360" w:lineRule="auto"/>
        <w:ind w:firstLine="480" w:firstLineChars="200"/>
        <w:rPr>
          <w:rFonts w:hAnsi="宋体" w:cs="宋体"/>
          <w:sz w:val="24"/>
          <w:szCs w:val="24"/>
        </w:rPr>
      </w:pPr>
      <w:r>
        <w:rPr>
          <w:rFonts w:hint="eastAsia" w:hAnsi="宋体" w:cs="宋体"/>
          <w:sz w:val="24"/>
          <w:szCs w:val="24"/>
        </w:rPr>
        <w:t>联系人：梁先生</w:t>
      </w:r>
    </w:p>
    <w:p>
      <w:pPr>
        <w:tabs>
          <w:tab w:val="left" w:pos="4680"/>
        </w:tabs>
        <w:adjustRightInd w:val="0"/>
        <w:snapToGrid w:val="0"/>
        <w:spacing w:line="360" w:lineRule="auto"/>
        <w:ind w:firstLine="480" w:firstLineChars="200"/>
        <w:rPr>
          <w:rFonts w:hAnsi="宋体" w:cs="宋体"/>
          <w:sz w:val="24"/>
          <w:szCs w:val="24"/>
        </w:rPr>
      </w:pPr>
      <w:r>
        <w:rPr>
          <w:rFonts w:hint="eastAsia" w:hAnsi="宋体" w:cs="宋体"/>
          <w:sz w:val="24"/>
          <w:szCs w:val="24"/>
        </w:rPr>
        <w:t>联系方式：0898-65220227</w:t>
      </w:r>
    </w:p>
    <w:p>
      <w:pPr>
        <w:adjustRightInd w:val="0"/>
        <w:snapToGrid w:val="0"/>
        <w:spacing w:line="360" w:lineRule="auto"/>
        <w:jc w:val="center"/>
        <w:rPr>
          <w:rFonts w:hAnsi="宋体"/>
          <w:sz w:val="24"/>
          <w:szCs w:val="24"/>
        </w:rPr>
      </w:pPr>
      <w:r>
        <w:rPr>
          <w:rFonts w:hint="eastAsia" w:hAnsi="宋体" w:cs="宋体"/>
          <w:sz w:val="24"/>
          <w:szCs w:val="24"/>
        </w:rPr>
        <w:t xml:space="preserve"> </w:t>
      </w:r>
      <w:bookmarkStart w:id="9" w:name="_Toc25345"/>
      <w:bookmarkStart w:id="10" w:name="_Toc401304795"/>
      <w:bookmarkStart w:id="11" w:name="_Toc386178227"/>
    </w:p>
    <w:p>
      <w:pPr>
        <w:rPr>
          <w:rFonts w:hAnsi="宋体"/>
        </w:rPr>
      </w:pPr>
      <w:r>
        <w:rPr>
          <w:rFonts w:hint="eastAsia" w:hAnsi="宋体"/>
        </w:rPr>
        <w:br w:type="page"/>
      </w:r>
    </w:p>
    <w:p>
      <w:pPr>
        <w:pStyle w:val="5"/>
        <w:adjustRightInd w:val="0"/>
        <w:snapToGrid w:val="0"/>
        <w:spacing w:before="0" w:after="0" w:line="360" w:lineRule="auto"/>
        <w:jc w:val="center"/>
        <w:rPr>
          <w:rFonts w:hAnsi="宋体"/>
          <w:b w:val="0"/>
        </w:rPr>
      </w:pPr>
      <w:bookmarkStart w:id="12" w:name="_Toc11939"/>
      <w:r>
        <w:rPr>
          <w:rFonts w:hint="eastAsia" w:hAnsi="宋体"/>
        </w:rPr>
        <w:t>第二章 磋商须知</w:t>
      </w:r>
      <w:bookmarkEnd w:id="9"/>
      <w:bookmarkEnd w:id="12"/>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8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spacing w:line="314" w:lineRule="auto"/>
              <w:rPr>
                <w:rFonts w:hAnsi="宋体" w:cs="宋体"/>
                <w:b/>
                <w:bCs/>
                <w:sz w:val="24"/>
                <w:szCs w:val="24"/>
              </w:rPr>
            </w:pPr>
            <w:r>
              <w:rPr>
                <w:rFonts w:hint="eastAsia" w:hAnsi="宋体" w:cs="宋体"/>
                <w:b/>
                <w:bCs/>
                <w:sz w:val="24"/>
                <w:szCs w:val="24"/>
              </w:rPr>
              <w:t>序号</w:t>
            </w:r>
          </w:p>
        </w:tc>
        <w:tc>
          <w:tcPr>
            <w:tcW w:w="8271" w:type="dxa"/>
          </w:tcPr>
          <w:p>
            <w:pPr>
              <w:spacing w:line="314" w:lineRule="auto"/>
              <w:ind w:firstLine="482" w:firstLineChars="200"/>
              <w:jc w:val="center"/>
              <w:rPr>
                <w:rFonts w:hAnsi="宋体" w:cs="宋体"/>
                <w:b/>
                <w:bCs/>
                <w:sz w:val="24"/>
                <w:szCs w:val="24"/>
              </w:rPr>
            </w:pPr>
            <w:r>
              <w:rPr>
                <w:rFonts w:hint="eastAsia" w:hAnsi="宋体" w:cs="宋体"/>
                <w:b/>
                <w:bCs/>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894" w:type="dxa"/>
            <w:vAlign w:val="center"/>
          </w:tcPr>
          <w:p>
            <w:pPr>
              <w:spacing w:line="314" w:lineRule="auto"/>
              <w:jc w:val="center"/>
              <w:rPr>
                <w:rFonts w:hAnsi="宋体" w:cs="宋体"/>
                <w:sz w:val="24"/>
                <w:szCs w:val="24"/>
              </w:rPr>
            </w:pPr>
            <w:r>
              <w:rPr>
                <w:rFonts w:hint="eastAsia" w:hAnsi="宋体" w:cs="宋体"/>
                <w:sz w:val="24"/>
                <w:szCs w:val="24"/>
              </w:rPr>
              <w:t>1</w:t>
            </w:r>
          </w:p>
        </w:tc>
        <w:tc>
          <w:tcPr>
            <w:tcW w:w="8271" w:type="dxa"/>
            <w:tcBorders>
              <w:left w:val="single" w:color="auto" w:sz="4" w:space="0"/>
            </w:tcBorders>
            <w:vAlign w:val="center"/>
          </w:tcPr>
          <w:p>
            <w:pPr>
              <w:spacing w:line="314" w:lineRule="auto"/>
              <w:jc w:val="both"/>
              <w:rPr>
                <w:rFonts w:hAnsi="宋体" w:cs="宋体"/>
                <w:sz w:val="24"/>
                <w:szCs w:val="24"/>
              </w:rPr>
            </w:pPr>
            <w:r>
              <w:rPr>
                <w:rFonts w:hint="eastAsia" w:hAnsi="宋体" w:cs="宋体"/>
                <w:sz w:val="24"/>
                <w:szCs w:val="24"/>
              </w:rPr>
              <w:t>项目名称：海南省规划展览馆重点项目更新改造</w:t>
            </w:r>
          </w:p>
          <w:p>
            <w:pPr>
              <w:spacing w:line="314" w:lineRule="auto"/>
              <w:jc w:val="both"/>
              <w:rPr>
                <w:rFonts w:hAnsi="宋体" w:cs="宋体"/>
                <w:sz w:val="24"/>
                <w:szCs w:val="24"/>
              </w:rPr>
            </w:pPr>
            <w:r>
              <w:rPr>
                <w:rFonts w:hint="eastAsia" w:hAnsi="宋体" w:cs="宋体"/>
                <w:sz w:val="24"/>
                <w:szCs w:val="24"/>
              </w:rPr>
              <w:t>编号：</w:t>
            </w:r>
            <w:r>
              <w:rPr>
                <w:rFonts w:hint="eastAsia" w:hAnsi="宋体"/>
                <w:sz w:val="24"/>
                <w:szCs w:val="24"/>
              </w:rPr>
              <w:t>ZZXD-CG-2024007</w:t>
            </w:r>
          </w:p>
          <w:p>
            <w:pPr>
              <w:spacing w:line="314" w:lineRule="auto"/>
              <w:jc w:val="both"/>
              <w:rPr>
                <w:rFonts w:hAnsi="宋体" w:cs="宋体"/>
                <w:b/>
                <w:bCs/>
                <w:sz w:val="24"/>
                <w:szCs w:val="24"/>
              </w:rPr>
            </w:pPr>
            <w:r>
              <w:rPr>
                <w:rFonts w:hint="eastAsia" w:hAnsi="宋体" w:cs="宋体"/>
                <w:sz w:val="24"/>
                <w:szCs w:val="24"/>
              </w:rPr>
              <w:t>采购单位：</w:t>
            </w:r>
            <w:r>
              <w:rPr>
                <w:rFonts w:hint="eastAsia"/>
                <w:sz w:val="24"/>
                <w:szCs w:val="24"/>
              </w:rPr>
              <w:t>海南省规划展览馆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Align w:val="center"/>
          </w:tcPr>
          <w:p>
            <w:pPr>
              <w:spacing w:line="314" w:lineRule="auto"/>
              <w:jc w:val="center"/>
              <w:rPr>
                <w:rFonts w:hAnsi="宋体" w:cs="宋体"/>
                <w:sz w:val="24"/>
                <w:szCs w:val="24"/>
              </w:rPr>
            </w:pPr>
            <w:r>
              <w:rPr>
                <w:rFonts w:hint="eastAsia" w:hAnsi="宋体" w:cs="宋体"/>
                <w:sz w:val="24"/>
                <w:szCs w:val="24"/>
              </w:rPr>
              <w:t>2</w:t>
            </w:r>
          </w:p>
        </w:tc>
        <w:tc>
          <w:tcPr>
            <w:tcW w:w="8271" w:type="dxa"/>
            <w:tcBorders>
              <w:left w:val="single" w:color="auto" w:sz="4" w:space="0"/>
            </w:tcBorders>
          </w:tcPr>
          <w:p>
            <w:pPr>
              <w:spacing w:line="314" w:lineRule="auto"/>
              <w:rPr>
                <w:rFonts w:hAnsi="宋体" w:cs="宋体"/>
                <w:sz w:val="24"/>
                <w:szCs w:val="24"/>
              </w:rPr>
            </w:pPr>
            <w:r>
              <w:rPr>
                <w:rFonts w:hint="eastAsia" w:hAnsi="宋体" w:cs="宋体"/>
                <w:sz w:val="24"/>
                <w:szCs w:val="24"/>
              </w:rPr>
              <w:t>代理机构：中正信达建设集团有限公司</w:t>
            </w:r>
          </w:p>
          <w:p>
            <w:pPr>
              <w:spacing w:line="314" w:lineRule="auto"/>
              <w:rPr>
                <w:rFonts w:hAnsi="宋体" w:cs="宋体"/>
                <w:sz w:val="24"/>
                <w:szCs w:val="24"/>
              </w:rPr>
            </w:pPr>
            <w:r>
              <w:rPr>
                <w:rFonts w:hint="eastAsia" w:hAnsi="宋体" w:cs="宋体"/>
                <w:sz w:val="24"/>
                <w:szCs w:val="24"/>
              </w:rPr>
              <w:t xml:space="preserve">联 系 人：梁先生 </w:t>
            </w:r>
          </w:p>
          <w:p>
            <w:pPr>
              <w:spacing w:line="314" w:lineRule="auto"/>
              <w:rPr>
                <w:rFonts w:hAnsi="宋体" w:cs="宋体"/>
                <w:sz w:val="24"/>
                <w:szCs w:val="24"/>
              </w:rPr>
            </w:pPr>
            <w:r>
              <w:rPr>
                <w:rFonts w:hint="eastAsia" w:hAnsi="宋体" w:cs="宋体"/>
                <w:sz w:val="24"/>
                <w:szCs w:val="24"/>
              </w:rPr>
              <w:t xml:space="preserve">联系电话：0898-65220227 </w:t>
            </w:r>
          </w:p>
          <w:p>
            <w:pPr>
              <w:spacing w:line="314" w:lineRule="auto"/>
              <w:rPr>
                <w:rFonts w:hAnsi="宋体" w:cs="宋体"/>
                <w:bCs/>
                <w:sz w:val="24"/>
                <w:szCs w:val="24"/>
              </w:rPr>
            </w:pPr>
            <w:r>
              <w:rPr>
                <w:rFonts w:hint="eastAsia" w:hAnsi="宋体" w:cs="宋体"/>
                <w:bCs/>
                <w:sz w:val="24"/>
                <w:szCs w:val="24"/>
              </w:rPr>
              <w:t>地    址：海南省海口市琼山区国兴大道海航豪庭南苑二期5栋2单元2302室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Align w:val="center"/>
          </w:tcPr>
          <w:p>
            <w:pPr>
              <w:spacing w:line="314" w:lineRule="auto"/>
              <w:jc w:val="center"/>
              <w:rPr>
                <w:rFonts w:hAnsi="宋体" w:cs="宋体"/>
                <w:sz w:val="24"/>
                <w:szCs w:val="24"/>
              </w:rPr>
            </w:pPr>
            <w:r>
              <w:rPr>
                <w:rFonts w:hint="eastAsia" w:hAnsi="宋体" w:cs="宋体"/>
                <w:sz w:val="24"/>
                <w:szCs w:val="24"/>
              </w:rPr>
              <w:t>3</w:t>
            </w:r>
          </w:p>
        </w:tc>
        <w:tc>
          <w:tcPr>
            <w:tcW w:w="8271" w:type="dxa"/>
            <w:tcBorders>
              <w:left w:val="single" w:color="auto" w:sz="4" w:space="0"/>
            </w:tcBorders>
          </w:tcPr>
          <w:p>
            <w:pPr>
              <w:spacing w:line="314" w:lineRule="auto"/>
              <w:rPr>
                <w:rFonts w:hAnsi="宋体" w:cs="宋体"/>
                <w:b/>
                <w:bCs/>
                <w:sz w:val="24"/>
                <w:szCs w:val="24"/>
              </w:rPr>
            </w:pPr>
            <w:r>
              <w:rPr>
                <w:rFonts w:hint="eastAsia" w:hAnsi="宋体" w:cs="宋体"/>
                <w:sz w:val="24"/>
                <w:szCs w:val="24"/>
              </w:rPr>
              <w:t>本项目不收取保证金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Align w:val="center"/>
          </w:tcPr>
          <w:p>
            <w:pPr>
              <w:spacing w:line="314" w:lineRule="auto"/>
              <w:rPr>
                <w:rFonts w:hAnsi="宋体" w:cs="宋体"/>
                <w:b/>
                <w:bCs/>
                <w:sz w:val="24"/>
                <w:szCs w:val="24"/>
              </w:rPr>
            </w:pPr>
            <w:r>
              <w:rPr>
                <w:rFonts w:hint="eastAsia" w:hAnsi="宋体" w:cs="宋体"/>
                <w:sz w:val="24"/>
                <w:szCs w:val="24"/>
              </w:rPr>
              <w:t xml:space="preserve">  4</w:t>
            </w:r>
          </w:p>
        </w:tc>
        <w:tc>
          <w:tcPr>
            <w:tcW w:w="8271" w:type="dxa"/>
            <w:tcBorders>
              <w:left w:val="single" w:color="auto" w:sz="4" w:space="0"/>
            </w:tcBorders>
          </w:tcPr>
          <w:p>
            <w:pPr>
              <w:spacing w:line="314" w:lineRule="auto"/>
              <w:rPr>
                <w:rFonts w:hAnsi="宋体" w:cs="宋体"/>
                <w:b/>
                <w:bCs/>
                <w:sz w:val="24"/>
                <w:szCs w:val="24"/>
              </w:rPr>
            </w:pPr>
            <w:r>
              <w:rPr>
                <w:rFonts w:hint="eastAsia" w:hAnsi="宋体" w:cs="宋体"/>
                <w:sz w:val="24"/>
                <w:szCs w:val="24"/>
              </w:rPr>
              <w:t>竞争性磋商文件每套售价0元。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4" w:type="dxa"/>
            <w:vAlign w:val="center"/>
          </w:tcPr>
          <w:p>
            <w:pPr>
              <w:spacing w:line="314" w:lineRule="auto"/>
              <w:rPr>
                <w:rFonts w:hAnsi="宋体" w:cs="宋体"/>
                <w:sz w:val="24"/>
                <w:szCs w:val="24"/>
              </w:rPr>
            </w:pPr>
            <w:r>
              <w:rPr>
                <w:rFonts w:hint="eastAsia" w:hAnsi="宋体" w:cs="宋体"/>
                <w:sz w:val="24"/>
                <w:szCs w:val="24"/>
              </w:rPr>
              <w:t xml:space="preserve">  5</w:t>
            </w:r>
          </w:p>
        </w:tc>
        <w:tc>
          <w:tcPr>
            <w:tcW w:w="8271" w:type="dxa"/>
            <w:tcBorders>
              <w:left w:val="single" w:color="auto" w:sz="4" w:space="0"/>
            </w:tcBorders>
          </w:tcPr>
          <w:p>
            <w:pPr>
              <w:spacing w:line="314" w:lineRule="auto"/>
              <w:rPr>
                <w:rFonts w:hAnsi="宋体" w:cs="宋体"/>
                <w:sz w:val="24"/>
                <w:szCs w:val="24"/>
              </w:rPr>
            </w:pPr>
            <w:r>
              <w:rPr>
                <w:rFonts w:hint="eastAsia" w:hAnsi="宋体" w:cs="宋体"/>
                <w:sz w:val="24"/>
                <w:szCs w:val="24"/>
              </w:rPr>
              <w:t>评标委员会构成：3人，其中采购人代表1人，专家2人；</w:t>
            </w:r>
          </w:p>
          <w:p>
            <w:pPr>
              <w:spacing w:line="314" w:lineRule="auto"/>
              <w:rPr>
                <w:rFonts w:hAnsi="宋体" w:cs="宋体"/>
                <w:sz w:val="24"/>
                <w:szCs w:val="24"/>
              </w:rPr>
            </w:pPr>
            <w:r>
              <w:rPr>
                <w:rFonts w:hint="eastAsia" w:hAnsi="宋体" w:cs="宋体"/>
                <w:sz w:val="24"/>
                <w:szCs w:val="24"/>
              </w:rPr>
              <w:t>评标专家确定方式：从海南省综合评标专家库中随机抽取。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Align w:val="center"/>
          </w:tcPr>
          <w:p>
            <w:pPr>
              <w:spacing w:line="314" w:lineRule="auto"/>
              <w:rPr>
                <w:rFonts w:hAnsi="宋体" w:cs="宋体"/>
                <w:sz w:val="24"/>
                <w:szCs w:val="24"/>
              </w:rPr>
            </w:pPr>
            <w:r>
              <w:rPr>
                <w:rFonts w:hint="eastAsia" w:hAnsi="宋体" w:cs="宋体"/>
                <w:sz w:val="24"/>
                <w:szCs w:val="24"/>
              </w:rPr>
              <w:t xml:space="preserve">  6</w:t>
            </w:r>
          </w:p>
        </w:tc>
        <w:tc>
          <w:tcPr>
            <w:tcW w:w="8271" w:type="dxa"/>
            <w:tcBorders>
              <w:left w:val="single" w:color="auto" w:sz="4" w:space="0"/>
            </w:tcBorders>
          </w:tcPr>
          <w:p>
            <w:pPr>
              <w:spacing w:line="314" w:lineRule="auto"/>
              <w:rPr>
                <w:rFonts w:hAnsi="宋体" w:cs="宋体"/>
                <w:sz w:val="24"/>
                <w:szCs w:val="24"/>
              </w:rPr>
            </w:pPr>
            <w:r>
              <w:rPr>
                <w:rFonts w:hint="eastAsia" w:hAnsi="宋体"/>
                <w:color w:val="auto"/>
                <w:sz w:val="24"/>
                <w:szCs w:val="24"/>
              </w:rPr>
              <w:t>参照海南省物价局《关于降低部分招标代理服务收费标准的通知》（琼价费管[2011]225号）文件规定的费率计算收取招标代理服务费。本项目招标代理服务费</w:t>
            </w:r>
            <w:r>
              <w:rPr>
                <w:rFonts w:hAnsi="宋体"/>
                <w:color w:val="auto"/>
                <w:sz w:val="24"/>
                <w:szCs w:val="24"/>
              </w:rPr>
              <w:t>及一般性审计费</w:t>
            </w:r>
            <w:r>
              <w:rPr>
                <w:rFonts w:hint="eastAsia" w:hAnsi="宋体"/>
                <w:color w:val="auto"/>
                <w:sz w:val="24"/>
                <w:szCs w:val="24"/>
              </w:rPr>
              <w:t>由中标人支付。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Align w:val="center"/>
          </w:tcPr>
          <w:p>
            <w:pPr>
              <w:spacing w:line="314" w:lineRule="auto"/>
              <w:rPr>
                <w:rFonts w:hAnsi="宋体" w:cs="宋体"/>
                <w:sz w:val="24"/>
                <w:szCs w:val="24"/>
              </w:rPr>
            </w:pPr>
            <w:r>
              <w:rPr>
                <w:rFonts w:hint="eastAsia" w:hAnsi="宋体" w:cs="宋体"/>
                <w:sz w:val="24"/>
                <w:szCs w:val="24"/>
              </w:rPr>
              <w:t xml:space="preserve">  7</w:t>
            </w:r>
          </w:p>
        </w:tc>
        <w:tc>
          <w:tcPr>
            <w:tcW w:w="8271" w:type="dxa"/>
            <w:tcBorders>
              <w:left w:val="single" w:color="auto" w:sz="4" w:space="0"/>
            </w:tcBorders>
          </w:tcPr>
          <w:p>
            <w:pPr>
              <w:spacing w:line="314" w:lineRule="auto"/>
              <w:rPr>
                <w:rFonts w:hAnsi="宋体" w:cs="宋体"/>
                <w:sz w:val="24"/>
                <w:szCs w:val="24"/>
              </w:rPr>
            </w:pPr>
            <w:r>
              <w:rPr>
                <w:rFonts w:hint="eastAsia" w:hAnsi="宋体" w:cs="宋体"/>
                <w:sz w:val="24"/>
                <w:szCs w:val="24"/>
              </w:rPr>
              <w:t>投标有效期：</w:t>
            </w:r>
            <w:r>
              <w:rPr>
                <w:rFonts w:hint="eastAsia" w:hAnsi="宋体" w:cs="宋体"/>
                <w:sz w:val="24"/>
                <w:szCs w:val="24"/>
                <w:u w:val="single"/>
              </w:rPr>
              <w:t>自递交磋商响应文件截止之日起90天。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Align w:val="center"/>
          </w:tcPr>
          <w:p>
            <w:pPr>
              <w:spacing w:line="314" w:lineRule="auto"/>
              <w:rPr>
                <w:rFonts w:hAnsi="宋体" w:cs="宋体"/>
                <w:sz w:val="24"/>
                <w:szCs w:val="24"/>
              </w:rPr>
            </w:pPr>
            <w:r>
              <w:rPr>
                <w:rFonts w:hint="eastAsia" w:hAnsi="宋体" w:cs="宋体"/>
                <w:sz w:val="24"/>
                <w:szCs w:val="24"/>
              </w:rPr>
              <w:t xml:space="preserve">  8</w:t>
            </w:r>
          </w:p>
        </w:tc>
        <w:tc>
          <w:tcPr>
            <w:tcW w:w="8271" w:type="dxa"/>
            <w:tcBorders>
              <w:left w:val="single" w:color="auto" w:sz="4" w:space="0"/>
            </w:tcBorders>
          </w:tcPr>
          <w:p>
            <w:pPr>
              <w:spacing w:line="314" w:lineRule="auto"/>
              <w:rPr>
                <w:rFonts w:hAnsi="宋体" w:cs="宋体"/>
                <w:sz w:val="24"/>
                <w:szCs w:val="24"/>
              </w:rPr>
            </w:pPr>
            <w:r>
              <w:rPr>
                <w:rFonts w:hint="eastAsia" w:hAnsi="宋体" w:cs="宋体"/>
                <w:sz w:val="24"/>
                <w:szCs w:val="24"/>
              </w:rPr>
              <w:t>递交磋商响应文件开始时间：</w:t>
            </w:r>
            <w:r>
              <w:rPr>
                <w:rFonts w:hint="eastAsia" w:hAnsi="宋体"/>
                <w:sz w:val="24"/>
                <w:szCs w:val="24"/>
              </w:rPr>
              <w:t>2024年</w:t>
            </w:r>
            <w:r>
              <w:rPr>
                <w:rFonts w:hint="eastAsia" w:hAnsi="宋体"/>
                <w:sz w:val="24"/>
                <w:szCs w:val="24"/>
                <w:u w:val="single"/>
              </w:rPr>
              <w:t xml:space="preserve"> </w:t>
            </w:r>
            <w:r>
              <w:rPr>
                <w:rFonts w:hint="eastAsia" w:hAnsi="宋体"/>
                <w:sz w:val="24"/>
                <w:szCs w:val="24"/>
                <w:u w:val="single"/>
                <w:lang w:val="en-US" w:eastAsia="zh-CN"/>
              </w:rPr>
              <w:t>05</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u w:val="single"/>
                <w:lang w:val="en-US" w:eastAsia="zh-CN"/>
              </w:rPr>
              <w:t>08</w:t>
            </w:r>
            <w:r>
              <w:rPr>
                <w:rFonts w:hint="eastAsia" w:hAnsi="宋体"/>
                <w:sz w:val="24"/>
                <w:szCs w:val="24"/>
                <w:u w:val="single"/>
              </w:rPr>
              <w:t xml:space="preserve"> </w:t>
            </w:r>
            <w:r>
              <w:rPr>
                <w:rFonts w:hint="eastAsia" w:hAnsi="宋体"/>
                <w:sz w:val="24"/>
                <w:szCs w:val="24"/>
              </w:rPr>
              <w:t>日</w:t>
            </w:r>
            <w:r>
              <w:rPr>
                <w:rFonts w:hint="eastAsia" w:hAnsi="宋体"/>
                <w:sz w:val="24"/>
                <w:szCs w:val="24"/>
                <w:u w:val="single"/>
              </w:rPr>
              <w:t>08：30</w:t>
            </w:r>
          </w:p>
          <w:p>
            <w:pPr>
              <w:spacing w:line="314" w:lineRule="auto"/>
              <w:rPr>
                <w:rFonts w:hAnsi="宋体" w:cs="宋体"/>
                <w:sz w:val="24"/>
                <w:szCs w:val="24"/>
              </w:rPr>
            </w:pPr>
            <w:r>
              <w:rPr>
                <w:rFonts w:hint="eastAsia" w:hAnsi="宋体" w:cs="宋体"/>
                <w:sz w:val="24"/>
                <w:szCs w:val="24"/>
              </w:rPr>
              <w:t>递交磋商响应文件截止时间：</w:t>
            </w:r>
            <w:r>
              <w:rPr>
                <w:rFonts w:hint="eastAsia" w:hAnsi="宋体"/>
                <w:sz w:val="24"/>
                <w:szCs w:val="24"/>
              </w:rPr>
              <w:t>2024年</w:t>
            </w:r>
            <w:r>
              <w:rPr>
                <w:rFonts w:hint="eastAsia" w:hAnsi="宋体"/>
                <w:sz w:val="24"/>
                <w:szCs w:val="24"/>
                <w:u w:val="single"/>
              </w:rPr>
              <w:t xml:space="preserve"> </w:t>
            </w:r>
            <w:r>
              <w:rPr>
                <w:rFonts w:hint="eastAsia" w:hAnsi="宋体"/>
                <w:sz w:val="24"/>
                <w:szCs w:val="24"/>
                <w:u w:val="single"/>
                <w:lang w:val="en-US" w:eastAsia="zh-CN"/>
              </w:rPr>
              <w:t>05</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u w:val="single"/>
                <w:lang w:val="en-US" w:eastAsia="zh-CN"/>
              </w:rPr>
              <w:t>08</w:t>
            </w:r>
            <w:r>
              <w:rPr>
                <w:rFonts w:hint="eastAsia" w:hAnsi="宋体"/>
                <w:sz w:val="24"/>
                <w:szCs w:val="24"/>
                <w:u w:val="single"/>
              </w:rPr>
              <w:t xml:space="preserve"> </w:t>
            </w:r>
            <w:r>
              <w:rPr>
                <w:rFonts w:hint="eastAsia" w:hAnsi="宋体"/>
                <w:sz w:val="24"/>
                <w:szCs w:val="24"/>
              </w:rPr>
              <w:t>日</w:t>
            </w:r>
            <w:r>
              <w:rPr>
                <w:rFonts w:hint="eastAsia" w:hAnsi="宋体"/>
                <w:sz w:val="24"/>
                <w:szCs w:val="24"/>
                <w:u w:val="single"/>
              </w:rPr>
              <w:t>09：00</w:t>
            </w:r>
          </w:p>
          <w:p>
            <w:pPr>
              <w:spacing w:line="314" w:lineRule="auto"/>
              <w:rPr>
                <w:rFonts w:hAnsi="宋体" w:cs="宋体"/>
                <w:sz w:val="24"/>
                <w:szCs w:val="24"/>
              </w:rPr>
            </w:pPr>
            <w:r>
              <w:rPr>
                <w:rFonts w:hint="eastAsia" w:hAnsi="宋体" w:cs="宋体"/>
                <w:sz w:val="24"/>
                <w:szCs w:val="24"/>
              </w:rPr>
              <w:t>竞争性磋商时间：</w:t>
            </w:r>
            <w:r>
              <w:rPr>
                <w:rFonts w:hint="eastAsia" w:hAnsi="宋体"/>
                <w:sz w:val="24"/>
                <w:szCs w:val="24"/>
              </w:rPr>
              <w:t>2024年</w:t>
            </w:r>
            <w:r>
              <w:rPr>
                <w:rFonts w:hint="eastAsia" w:hAnsi="宋体"/>
                <w:sz w:val="24"/>
                <w:szCs w:val="24"/>
                <w:u w:val="single"/>
              </w:rPr>
              <w:t xml:space="preserve"> </w:t>
            </w:r>
            <w:r>
              <w:rPr>
                <w:rFonts w:hint="eastAsia" w:hAnsi="宋体"/>
                <w:sz w:val="24"/>
                <w:szCs w:val="24"/>
                <w:u w:val="single"/>
                <w:lang w:val="en-US" w:eastAsia="zh-CN"/>
              </w:rPr>
              <w:t>05</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u w:val="single"/>
                <w:lang w:val="en-US" w:eastAsia="zh-CN"/>
              </w:rPr>
              <w:t>08</w:t>
            </w:r>
            <w:r>
              <w:rPr>
                <w:rFonts w:hint="eastAsia" w:hAnsi="宋体"/>
                <w:sz w:val="24"/>
                <w:szCs w:val="24"/>
                <w:u w:val="single"/>
              </w:rPr>
              <w:t xml:space="preserve"> </w:t>
            </w:r>
            <w:r>
              <w:rPr>
                <w:rFonts w:hint="eastAsia" w:hAnsi="宋体"/>
                <w:sz w:val="24"/>
                <w:szCs w:val="24"/>
              </w:rPr>
              <w:t>日</w:t>
            </w:r>
            <w:r>
              <w:rPr>
                <w:rFonts w:hint="eastAsia" w:hAnsi="宋体"/>
                <w:sz w:val="24"/>
                <w:szCs w:val="24"/>
                <w:u w:val="single"/>
              </w:rPr>
              <w:t>09：00</w:t>
            </w:r>
            <w:r>
              <w:rPr>
                <w:rFonts w:hint="eastAsia" w:hAnsi="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Align w:val="center"/>
          </w:tcPr>
          <w:p>
            <w:pPr>
              <w:spacing w:line="314" w:lineRule="auto"/>
              <w:jc w:val="center"/>
              <w:rPr>
                <w:rFonts w:hAnsi="宋体" w:cs="宋体"/>
                <w:sz w:val="24"/>
                <w:szCs w:val="24"/>
              </w:rPr>
            </w:pPr>
            <w:r>
              <w:rPr>
                <w:rFonts w:hint="eastAsia" w:hAnsi="宋体" w:cs="宋体"/>
                <w:sz w:val="24"/>
                <w:szCs w:val="24"/>
              </w:rPr>
              <w:t>9</w:t>
            </w:r>
          </w:p>
        </w:tc>
        <w:tc>
          <w:tcPr>
            <w:tcW w:w="8271" w:type="dxa"/>
            <w:tcBorders>
              <w:left w:val="single" w:color="auto" w:sz="4" w:space="0"/>
            </w:tcBorders>
          </w:tcPr>
          <w:p>
            <w:pPr>
              <w:spacing w:line="314" w:lineRule="auto"/>
              <w:rPr>
                <w:rFonts w:hAnsi="宋体" w:cs="宋体"/>
                <w:sz w:val="24"/>
                <w:szCs w:val="24"/>
              </w:rPr>
            </w:pPr>
            <w:r>
              <w:rPr>
                <w:rFonts w:hint="eastAsia" w:hAnsi="宋体" w:cs="宋体"/>
                <w:sz w:val="24"/>
                <w:szCs w:val="24"/>
              </w:rPr>
              <w:t>磋商地点：磋商响应文件递交地址：海南政府采购网(www.ccgp-hainan.gov.cn)-海南省政府采购电子化交易管理系统(新)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Align w:val="center"/>
          </w:tcPr>
          <w:p>
            <w:pPr>
              <w:spacing w:line="314" w:lineRule="auto"/>
              <w:jc w:val="center"/>
              <w:rPr>
                <w:rFonts w:hAnsi="宋体" w:cs="宋体"/>
                <w:sz w:val="24"/>
                <w:szCs w:val="24"/>
              </w:rPr>
            </w:pPr>
            <w:r>
              <w:rPr>
                <w:rFonts w:hint="eastAsia" w:hAnsi="宋体" w:cs="宋体"/>
                <w:sz w:val="24"/>
                <w:szCs w:val="24"/>
              </w:rPr>
              <w:t>10</w:t>
            </w:r>
          </w:p>
        </w:tc>
        <w:tc>
          <w:tcPr>
            <w:tcW w:w="8271" w:type="dxa"/>
            <w:tcBorders>
              <w:left w:val="single" w:color="auto" w:sz="4" w:space="0"/>
            </w:tcBorders>
          </w:tcPr>
          <w:p>
            <w:pPr>
              <w:spacing w:line="314" w:lineRule="auto"/>
              <w:rPr>
                <w:rFonts w:hAnsi="宋体" w:cs="宋体"/>
                <w:sz w:val="24"/>
                <w:szCs w:val="24"/>
              </w:rPr>
            </w:pPr>
            <w:r>
              <w:rPr>
                <w:rFonts w:hint="eastAsia" w:hAnsi="宋体" w:cs="宋体"/>
                <w:sz w:val="24"/>
                <w:szCs w:val="24"/>
              </w:rPr>
              <w:t>评标方法：</w:t>
            </w:r>
            <w:r>
              <w:rPr>
                <w:rFonts w:hint="eastAsia" w:hAnsi="宋体" w:cs="宋体"/>
                <w:sz w:val="24"/>
                <w:szCs w:val="24"/>
                <w:u w:val="single"/>
              </w:rPr>
              <w:t>详见评标方法</w:t>
            </w:r>
          </w:p>
        </w:tc>
      </w:tr>
    </w:tbl>
    <w:p>
      <w:pPr>
        <w:pStyle w:val="7"/>
        <w:adjustRightInd w:val="0"/>
        <w:snapToGrid w:val="0"/>
        <w:spacing w:before="0" w:after="0" w:line="360" w:lineRule="auto"/>
        <w:jc w:val="center"/>
        <w:rPr>
          <w:rFonts w:hAnsi="宋体"/>
          <w:b w:val="0"/>
          <w:sz w:val="30"/>
        </w:rPr>
      </w:pPr>
      <w:bookmarkStart w:id="13" w:name="_Toc6916"/>
      <w:r>
        <w:rPr>
          <w:rFonts w:hint="eastAsia" w:ascii="宋体" w:hAnsi="宋体" w:eastAsia="宋体" w:cs="宋体"/>
          <w:sz w:val="36"/>
          <w:szCs w:val="36"/>
        </w:rPr>
        <w:t>须知正文</w:t>
      </w:r>
      <w:bookmarkEnd w:id="13"/>
    </w:p>
    <w:bookmarkEnd w:id="10"/>
    <w:bookmarkEnd w:id="11"/>
    <w:p>
      <w:pPr>
        <w:adjustRightInd w:val="0"/>
        <w:snapToGrid w:val="0"/>
        <w:spacing w:line="360" w:lineRule="auto"/>
        <w:ind w:firstLine="643" w:firstLineChars="200"/>
        <w:outlineLvl w:val="1"/>
        <w:rPr>
          <w:rFonts w:hAnsi="宋体"/>
          <w:b/>
          <w:sz w:val="32"/>
          <w:szCs w:val="32"/>
        </w:rPr>
      </w:pPr>
      <w:bookmarkStart w:id="14" w:name="_Toc19940"/>
      <w:r>
        <w:rPr>
          <w:rFonts w:hint="eastAsia" w:hAnsi="宋体"/>
          <w:b/>
          <w:sz w:val="32"/>
          <w:szCs w:val="32"/>
        </w:rPr>
        <w:t>一、总则</w:t>
      </w:r>
      <w:bookmarkEnd w:id="14"/>
    </w:p>
    <w:p>
      <w:pPr>
        <w:adjustRightInd w:val="0"/>
        <w:snapToGrid w:val="0"/>
        <w:spacing w:line="360" w:lineRule="auto"/>
        <w:ind w:firstLine="482" w:firstLineChars="200"/>
        <w:rPr>
          <w:rFonts w:hAnsi="宋体"/>
          <w:b/>
          <w:bCs/>
          <w:sz w:val="24"/>
        </w:rPr>
      </w:pPr>
      <w:r>
        <w:rPr>
          <w:rFonts w:hint="eastAsia" w:hAnsi="宋体"/>
          <w:b/>
          <w:bCs/>
          <w:sz w:val="24"/>
        </w:rPr>
        <w:t>1.</w:t>
      </w:r>
      <w:r>
        <w:rPr>
          <w:rFonts w:hAnsi="宋体"/>
          <w:b/>
          <w:bCs/>
          <w:sz w:val="24"/>
        </w:rPr>
        <w:t>名词解释</w:t>
      </w:r>
    </w:p>
    <w:p>
      <w:pPr>
        <w:adjustRightInd w:val="0"/>
        <w:snapToGrid w:val="0"/>
        <w:spacing w:line="360" w:lineRule="auto"/>
        <w:ind w:firstLine="480" w:firstLineChars="200"/>
        <w:rPr>
          <w:rFonts w:hAnsi="宋体"/>
          <w:sz w:val="24"/>
        </w:rPr>
      </w:pPr>
      <w:r>
        <w:rPr>
          <w:rFonts w:hAnsi="宋体"/>
          <w:sz w:val="24"/>
        </w:rPr>
        <w:t>1.1</w:t>
      </w:r>
      <w:r>
        <w:rPr>
          <w:rFonts w:hint="eastAsia" w:hAnsi="宋体"/>
          <w:sz w:val="24"/>
        </w:rPr>
        <w:t xml:space="preserve"> “采购人”系指依法进行政府采购的国家机关、事业单位、团体组织。本次</w:t>
      </w:r>
      <w:r>
        <w:rPr>
          <w:rFonts w:hint="eastAsia" w:hAnsi="宋体"/>
          <w:sz w:val="24"/>
          <w:lang w:val="en-GB"/>
        </w:rPr>
        <w:t>竞争性磋商的</w:t>
      </w:r>
      <w:r>
        <w:rPr>
          <w:rFonts w:hint="eastAsia" w:hAnsi="宋体"/>
          <w:sz w:val="24"/>
        </w:rPr>
        <w:t>采购人是：海南省规划展览馆。</w:t>
      </w:r>
    </w:p>
    <w:p>
      <w:pPr>
        <w:adjustRightInd w:val="0"/>
        <w:snapToGrid w:val="0"/>
        <w:spacing w:line="360" w:lineRule="auto"/>
        <w:ind w:firstLine="480" w:firstLineChars="200"/>
        <w:rPr>
          <w:rFonts w:hAnsi="宋体"/>
          <w:sz w:val="24"/>
        </w:rPr>
      </w:pPr>
      <w:r>
        <w:rPr>
          <w:rFonts w:hAnsi="宋体"/>
          <w:sz w:val="24"/>
        </w:rPr>
        <w:t>1.2</w:t>
      </w:r>
      <w:r>
        <w:rPr>
          <w:rFonts w:hint="eastAsia" w:hAnsi="宋体"/>
          <w:sz w:val="24"/>
        </w:rPr>
        <w:t xml:space="preserve"> “采购代理机构”系指受采购人的委托依法办理</w:t>
      </w:r>
      <w:r>
        <w:rPr>
          <w:rFonts w:hint="eastAsia" w:hAnsi="宋体"/>
          <w:sz w:val="24"/>
          <w:lang w:val="en-GB"/>
        </w:rPr>
        <w:t>采购</w:t>
      </w:r>
      <w:r>
        <w:rPr>
          <w:rFonts w:hint="eastAsia" w:hAnsi="宋体"/>
          <w:sz w:val="24"/>
        </w:rPr>
        <w:t>事宜的机构。本次</w:t>
      </w:r>
      <w:r>
        <w:rPr>
          <w:rFonts w:hint="eastAsia" w:hAnsi="宋体"/>
          <w:sz w:val="24"/>
          <w:lang w:val="en-GB"/>
        </w:rPr>
        <w:t>竞争性磋商</w:t>
      </w:r>
      <w:r>
        <w:rPr>
          <w:rFonts w:hint="eastAsia" w:hAnsi="宋体"/>
          <w:sz w:val="24"/>
        </w:rPr>
        <w:t>的采购代理机构是：中正信达建设集团有限公司。</w:t>
      </w:r>
    </w:p>
    <w:p>
      <w:pPr>
        <w:adjustRightInd w:val="0"/>
        <w:snapToGrid w:val="0"/>
        <w:spacing w:line="360" w:lineRule="auto"/>
        <w:ind w:firstLine="480" w:firstLineChars="200"/>
        <w:rPr>
          <w:rFonts w:hAnsi="宋体"/>
          <w:sz w:val="24"/>
        </w:rPr>
      </w:pPr>
      <w:r>
        <w:rPr>
          <w:rFonts w:hint="eastAsia" w:hAnsi="宋体"/>
          <w:sz w:val="24"/>
        </w:rPr>
        <w:t>1.3 “供应商”系指实名购买竞争性磋商文件拟参加竞争性磋商和拟向采购人提供服务的供应商。其职责如下：</w:t>
      </w:r>
    </w:p>
    <w:p>
      <w:pPr>
        <w:adjustRightInd w:val="0"/>
        <w:snapToGrid w:val="0"/>
        <w:spacing w:line="360" w:lineRule="auto"/>
        <w:ind w:firstLine="480" w:firstLineChars="200"/>
        <w:rPr>
          <w:rFonts w:hAnsi="宋体"/>
          <w:sz w:val="24"/>
        </w:rPr>
      </w:pPr>
      <w:r>
        <w:rPr>
          <w:rFonts w:hint="eastAsia" w:hAnsi="宋体"/>
          <w:sz w:val="24"/>
        </w:rPr>
        <w:t>1.3.1 对竞争性磋商文件错、漏之处提出澄清、说明要求或质疑；</w:t>
      </w:r>
    </w:p>
    <w:p>
      <w:pPr>
        <w:adjustRightInd w:val="0"/>
        <w:snapToGrid w:val="0"/>
        <w:spacing w:line="360" w:lineRule="auto"/>
        <w:ind w:firstLine="480" w:firstLineChars="200"/>
        <w:rPr>
          <w:rFonts w:hAnsi="宋体"/>
          <w:sz w:val="24"/>
        </w:rPr>
      </w:pPr>
      <w:r>
        <w:rPr>
          <w:rFonts w:hint="eastAsia" w:hAnsi="宋体"/>
          <w:sz w:val="24"/>
        </w:rPr>
        <w:t>1.3.2 按要求编制响应文件；</w:t>
      </w:r>
    </w:p>
    <w:p>
      <w:pPr>
        <w:adjustRightInd w:val="0"/>
        <w:snapToGrid w:val="0"/>
        <w:spacing w:line="360" w:lineRule="auto"/>
        <w:ind w:firstLine="480" w:firstLineChars="200"/>
        <w:rPr>
          <w:rFonts w:hAnsi="宋体"/>
          <w:sz w:val="24"/>
        </w:rPr>
      </w:pPr>
      <w:r>
        <w:rPr>
          <w:rFonts w:hint="eastAsia" w:hAnsi="宋体"/>
          <w:sz w:val="24"/>
        </w:rPr>
        <w:t>1.3.3 派磋商代表递交响应文件，参加磋商活动，对评审小组就响应文件提出的问题进行澄清；“磋商代表”系指在磋商过程中代表提交响应文件单位处理磋商事宜的人员，包括单位法定代表人或负责人及取得授权的单位人员；</w:t>
      </w:r>
    </w:p>
    <w:p>
      <w:pPr>
        <w:adjustRightInd w:val="0"/>
        <w:snapToGrid w:val="0"/>
        <w:spacing w:line="360" w:lineRule="auto"/>
        <w:ind w:firstLine="480" w:firstLineChars="200"/>
        <w:rPr>
          <w:rFonts w:hAnsi="宋体"/>
          <w:sz w:val="24"/>
        </w:rPr>
      </w:pPr>
      <w:r>
        <w:rPr>
          <w:rFonts w:hint="eastAsia" w:hAnsi="宋体"/>
          <w:sz w:val="24"/>
        </w:rPr>
        <w:t>1.3.4 配合相关职能部门就竞争性磋商采购项目的质疑、投诉和举报的处理工作；</w:t>
      </w:r>
    </w:p>
    <w:p>
      <w:pPr>
        <w:adjustRightInd w:val="0"/>
        <w:snapToGrid w:val="0"/>
        <w:spacing w:line="360" w:lineRule="auto"/>
        <w:ind w:firstLine="480" w:firstLineChars="200"/>
        <w:rPr>
          <w:rFonts w:hAnsi="宋体"/>
          <w:sz w:val="24"/>
        </w:rPr>
      </w:pPr>
      <w:r>
        <w:rPr>
          <w:rFonts w:hint="eastAsia" w:hAnsi="宋体"/>
          <w:sz w:val="24"/>
        </w:rPr>
        <w:t>1.3.5 与采购人签订采购合同，按照合同规定向采购人提供货物及服务；</w:t>
      </w:r>
    </w:p>
    <w:p>
      <w:pPr>
        <w:adjustRightInd w:val="0"/>
        <w:snapToGrid w:val="0"/>
        <w:spacing w:line="360" w:lineRule="auto"/>
        <w:ind w:firstLine="480" w:firstLineChars="200"/>
        <w:rPr>
          <w:rFonts w:hAnsi="宋体"/>
          <w:sz w:val="24"/>
          <w:szCs w:val="22"/>
        </w:rPr>
      </w:pPr>
      <w:r>
        <w:rPr>
          <w:rFonts w:hint="eastAsia" w:hAnsi="宋体"/>
          <w:sz w:val="24"/>
        </w:rPr>
        <w:t>1.3.6 政府采购法律法规所规定的其他职责。</w:t>
      </w:r>
    </w:p>
    <w:p>
      <w:pPr>
        <w:adjustRightInd w:val="0"/>
        <w:snapToGrid w:val="0"/>
        <w:spacing w:line="360" w:lineRule="auto"/>
        <w:ind w:firstLine="482" w:firstLineChars="200"/>
        <w:rPr>
          <w:rFonts w:hAnsi="宋体"/>
          <w:b/>
          <w:bCs/>
          <w:sz w:val="24"/>
        </w:rPr>
      </w:pPr>
      <w:r>
        <w:rPr>
          <w:rFonts w:hint="eastAsia" w:hAnsi="宋体"/>
          <w:b/>
          <w:bCs/>
          <w:sz w:val="24"/>
        </w:rPr>
        <w:t>2.磋商程序</w:t>
      </w:r>
    </w:p>
    <w:p>
      <w:pPr>
        <w:adjustRightInd w:val="0"/>
        <w:snapToGrid w:val="0"/>
        <w:spacing w:line="360" w:lineRule="auto"/>
        <w:ind w:firstLine="480" w:firstLineChars="200"/>
        <w:rPr>
          <w:rFonts w:hAnsi="宋体"/>
          <w:sz w:val="24"/>
        </w:rPr>
      </w:pPr>
      <w:r>
        <w:rPr>
          <w:rFonts w:hint="eastAsia" w:hAnsi="宋体"/>
          <w:sz w:val="24"/>
        </w:rPr>
        <w:t>2.1 在规定的时间内由供应商将磋商响应文件提交给采购代理机构，由评标委员会对磋商响应文件进行评标。</w:t>
      </w:r>
    </w:p>
    <w:p>
      <w:pPr>
        <w:adjustRightInd w:val="0"/>
        <w:snapToGrid w:val="0"/>
        <w:spacing w:line="360" w:lineRule="auto"/>
        <w:ind w:firstLine="480" w:firstLineChars="200"/>
        <w:rPr>
          <w:rFonts w:hAnsi="宋体"/>
          <w:sz w:val="24"/>
        </w:rPr>
      </w:pPr>
      <w:r>
        <w:rPr>
          <w:rFonts w:hint="eastAsia" w:hAnsi="宋体"/>
          <w:sz w:val="24"/>
        </w:rPr>
        <w:t>2.2 就服务、商务及价格进行磋商，经过评标委员会的评标确定最终成交供应商。</w:t>
      </w:r>
    </w:p>
    <w:p>
      <w:pPr>
        <w:adjustRightInd w:val="0"/>
        <w:snapToGrid w:val="0"/>
        <w:spacing w:line="360" w:lineRule="auto"/>
        <w:ind w:firstLine="480" w:firstLineChars="200"/>
        <w:rPr>
          <w:rFonts w:hAnsi="宋体"/>
          <w:sz w:val="24"/>
        </w:rPr>
      </w:pPr>
      <w:r>
        <w:rPr>
          <w:rFonts w:hint="eastAsia" w:hAnsi="宋体"/>
          <w:sz w:val="24"/>
        </w:rPr>
        <w:t>2.3 “成交供应商”系指经磋商小组评审，并授予合同的供应商。</w:t>
      </w:r>
    </w:p>
    <w:p>
      <w:pPr>
        <w:adjustRightInd w:val="0"/>
        <w:snapToGrid w:val="0"/>
        <w:spacing w:line="360" w:lineRule="auto"/>
        <w:ind w:firstLine="482" w:firstLineChars="200"/>
        <w:rPr>
          <w:rFonts w:hAnsi="宋体"/>
          <w:b/>
          <w:bCs/>
          <w:sz w:val="24"/>
        </w:rPr>
      </w:pPr>
      <w:r>
        <w:rPr>
          <w:rFonts w:hint="eastAsia" w:hAnsi="宋体"/>
          <w:b/>
          <w:bCs/>
          <w:sz w:val="24"/>
        </w:rPr>
        <w:t>3.适用范围</w:t>
      </w:r>
    </w:p>
    <w:p>
      <w:pPr>
        <w:adjustRightInd w:val="0"/>
        <w:snapToGrid w:val="0"/>
        <w:spacing w:line="360" w:lineRule="auto"/>
        <w:ind w:firstLine="480" w:firstLineChars="200"/>
        <w:rPr>
          <w:rFonts w:hAnsi="宋体"/>
          <w:sz w:val="24"/>
        </w:rPr>
      </w:pPr>
      <w:r>
        <w:rPr>
          <w:rFonts w:hint="eastAsia" w:hAnsi="宋体"/>
          <w:sz w:val="24"/>
        </w:rPr>
        <w:t>本竞争性磋商文件仅适用于采购代理机构组织的本次竞争性磋商活动。</w:t>
      </w:r>
    </w:p>
    <w:p>
      <w:pPr>
        <w:adjustRightInd w:val="0"/>
        <w:snapToGrid w:val="0"/>
        <w:spacing w:line="360" w:lineRule="auto"/>
        <w:ind w:firstLine="482" w:firstLineChars="200"/>
        <w:rPr>
          <w:rFonts w:hAnsi="宋体"/>
          <w:b/>
          <w:bCs/>
          <w:sz w:val="24"/>
        </w:rPr>
      </w:pPr>
      <w:r>
        <w:rPr>
          <w:rFonts w:hint="eastAsia" w:hAnsi="宋体"/>
          <w:b/>
          <w:bCs/>
          <w:sz w:val="24"/>
        </w:rPr>
        <w:t>4.合格的供应商</w:t>
      </w:r>
    </w:p>
    <w:p>
      <w:pPr>
        <w:adjustRightInd w:val="0"/>
        <w:snapToGrid w:val="0"/>
        <w:spacing w:line="360" w:lineRule="auto"/>
        <w:ind w:firstLine="480" w:firstLineChars="200"/>
        <w:rPr>
          <w:rFonts w:hAnsi="宋体"/>
          <w:sz w:val="24"/>
          <w:lang w:val="en-GB"/>
        </w:rPr>
      </w:pPr>
      <w:r>
        <w:rPr>
          <w:rFonts w:hint="eastAsia" w:hAnsi="宋体"/>
          <w:sz w:val="24"/>
        </w:rPr>
        <w:t xml:space="preserve">4.1 </w:t>
      </w:r>
      <w:r>
        <w:rPr>
          <w:rFonts w:hint="eastAsia" w:hAnsi="宋体"/>
          <w:sz w:val="24"/>
          <w:lang w:val="en-GB"/>
        </w:rPr>
        <w:t>符合《中华人民共和国政府采购法》第二十二条规定的供应商。</w:t>
      </w:r>
    </w:p>
    <w:p>
      <w:pPr>
        <w:adjustRightInd w:val="0"/>
        <w:snapToGrid w:val="0"/>
        <w:spacing w:line="360" w:lineRule="auto"/>
        <w:ind w:firstLine="480" w:firstLineChars="200"/>
        <w:rPr>
          <w:rFonts w:hAnsi="宋体"/>
          <w:sz w:val="24"/>
          <w:lang w:val="en-GB"/>
        </w:rPr>
      </w:pPr>
      <w:r>
        <w:rPr>
          <w:rFonts w:hint="eastAsia" w:hAnsi="宋体"/>
          <w:sz w:val="24"/>
        </w:rPr>
        <w:t xml:space="preserve">4.2 </w:t>
      </w:r>
      <w:r>
        <w:rPr>
          <w:rFonts w:hint="eastAsia" w:hAnsi="宋体"/>
          <w:sz w:val="24"/>
          <w:lang w:val="en-GB"/>
        </w:rPr>
        <w:t>符合竞争性磋商</w:t>
      </w:r>
      <w:r>
        <w:rPr>
          <w:rFonts w:hint="eastAsia" w:hAnsi="宋体"/>
          <w:sz w:val="24"/>
        </w:rPr>
        <w:t>文件</w:t>
      </w:r>
      <w:r>
        <w:rPr>
          <w:rFonts w:hint="eastAsia" w:hAnsi="宋体"/>
          <w:sz w:val="24"/>
          <w:lang w:val="en-GB"/>
        </w:rPr>
        <w:t>规定的资质要求，有能力提供满足竞争性磋商</w:t>
      </w:r>
      <w:r>
        <w:rPr>
          <w:rFonts w:hint="eastAsia" w:hAnsi="宋体"/>
          <w:sz w:val="24"/>
        </w:rPr>
        <w:t>文件</w:t>
      </w:r>
      <w:r>
        <w:rPr>
          <w:rFonts w:hint="eastAsia" w:hAnsi="宋体"/>
          <w:sz w:val="24"/>
          <w:lang w:val="en-GB"/>
        </w:rPr>
        <w:t>要求的相关货物及服务的法人实体。</w:t>
      </w:r>
    </w:p>
    <w:p>
      <w:pPr>
        <w:adjustRightInd w:val="0"/>
        <w:snapToGrid w:val="0"/>
        <w:spacing w:line="360" w:lineRule="auto"/>
        <w:ind w:firstLine="482" w:firstLineChars="200"/>
        <w:rPr>
          <w:rFonts w:hAnsi="宋体"/>
          <w:b/>
          <w:bCs/>
          <w:sz w:val="24"/>
        </w:rPr>
      </w:pPr>
      <w:r>
        <w:rPr>
          <w:rFonts w:hint="eastAsia" w:hAnsi="宋体"/>
          <w:b/>
          <w:bCs/>
          <w:sz w:val="24"/>
        </w:rPr>
        <w:t xml:space="preserve">5.磋商费用 </w:t>
      </w:r>
    </w:p>
    <w:p>
      <w:pPr>
        <w:adjustRightInd w:val="0"/>
        <w:snapToGrid w:val="0"/>
        <w:spacing w:line="360" w:lineRule="auto"/>
        <w:ind w:firstLine="480" w:firstLineChars="200"/>
        <w:rPr>
          <w:rFonts w:hAnsi="宋体"/>
          <w:sz w:val="24"/>
        </w:rPr>
      </w:pPr>
      <w:r>
        <w:rPr>
          <w:rFonts w:hint="eastAsia" w:hAnsi="宋体"/>
          <w:sz w:val="24"/>
        </w:rPr>
        <w:t>5.1 供应商应承担所有与准备和参加磋商有关的费用。不论磋商的结果如何，采购代理机构和采购人均无义务和责任承担这些费用。</w:t>
      </w:r>
    </w:p>
    <w:p>
      <w:pPr>
        <w:adjustRightInd w:val="0"/>
        <w:snapToGrid w:val="0"/>
        <w:spacing w:line="360" w:lineRule="auto"/>
        <w:ind w:firstLine="480" w:firstLineChars="200"/>
        <w:rPr>
          <w:rFonts w:hAnsi="宋体"/>
          <w:sz w:val="24"/>
        </w:rPr>
      </w:pPr>
      <w:r>
        <w:rPr>
          <w:rFonts w:hint="eastAsia" w:hAnsi="宋体"/>
          <w:sz w:val="24"/>
        </w:rPr>
        <w:t>5.2 采购代理机构按国家相关部门的规定标准计算，由采购人向中正信达建设集团有限公司支付此次的招标代理服务费。</w:t>
      </w:r>
    </w:p>
    <w:p>
      <w:pPr>
        <w:adjustRightInd w:val="0"/>
        <w:snapToGrid w:val="0"/>
        <w:spacing w:line="360" w:lineRule="auto"/>
        <w:ind w:firstLine="482" w:firstLineChars="200"/>
        <w:rPr>
          <w:rFonts w:hAnsi="宋体"/>
          <w:b/>
          <w:bCs/>
          <w:sz w:val="24"/>
        </w:rPr>
      </w:pPr>
      <w:r>
        <w:rPr>
          <w:rFonts w:hint="eastAsia" w:hAnsi="宋体"/>
          <w:b/>
          <w:bCs/>
          <w:sz w:val="24"/>
        </w:rPr>
        <w:t>6.竞争性磋商文件文件的约束力</w:t>
      </w:r>
    </w:p>
    <w:p>
      <w:pPr>
        <w:adjustRightInd w:val="0"/>
        <w:snapToGrid w:val="0"/>
        <w:spacing w:line="360" w:lineRule="auto"/>
        <w:ind w:firstLine="480" w:firstLineChars="200"/>
        <w:rPr>
          <w:rFonts w:hAnsi="宋体"/>
          <w:sz w:val="24"/>
        </w:rPr>
      </w:pPr>
      <w:r>
        <w:rPr>
          <w:rFonts w:hint="eastAsia" w:hAnsi="宋体"/>
          <w:sz w:val="24"/>
        </w:rPr>
        <w:t>6.1 供应商在知道或者应知其权益受到损害之日起七个工作日内向采购代理一次性提出书面质疑，逾期即视为接受了本竞争性磋商文件中的所有条款和规定。</w:t>
      </w:r>
    </w:p>
    <w:p>
      <w:pPr>
        <w:adjustRightInd w:val="0"/>
        <w:snapToGrid w:val="0"/>
        <w:spacing w:line="360" w:lineRule="auto"/>
        <w:ind w:firstLine="480" w:firstLineChars="200"/>
        <w:rPr>
          <w:rFonts w:hAnsi="宋体"/>
          <w:sz w:val="24"/>
        </w:rPr>
      </w:pPr>
      <w:r>
        <w:rPr>
          <w:rFonts w:hint="eastAsia" w:hAnsi="宋体"/>
          <w:sz w:val="24"/>
        </w:rPr>
        <w:t>6.2 本竞争性磋商文件由采购代理负责解释。</w:t>
      </w:r>
      <w:bookmarkStart w:id="15" w:name="_Toc24251"/>
    </w:p>
    <w:p>
      <w:pPr>
        <w:adjustRightInd w:val="0"/>
        <w:snapToGrid w:val="0"/>
        <w:spacing w:line="360" w:lineRule="auto"/>
        <w:ind w:firstLine="643" w:firstLineChars="200"/>
        <w:rPr>
          <w:rFonts w:hAnsi="宋体"/>
          <w:b/>
          <w:sz w:val="32"/>
          <w:szCs w:val="32"/>
        </w:rPr>
      </w:pPr>
      <w:r>
        <w:rPr>
          <w:rFonts w:hint="eastAsia" w:hAnsi="宋体"/>
          <w:b/>
          <w:sz w:val="32"/>
          <w:szCs w:val="32"/>
        </w:rPr>
        <w:t>二、磋商文件</w:t>
      </w:r>
      <w:bookmarkEnd w:id="15"/>
    </w:p>
    <w:p>
      <w:pPr>
        <w:adjustRightInd w:val="0"/>
        <w:snapToGrid w:val="0"/>
        <w:spacing w:line="360" w:lineRule="auto"/>
        <w:ind w:firstLine="482" w:firstLineChars="200"/>
        <w:rPr>
          <w:rFonts w:hAnsi="宋体"/>
          <w:b/>
          <w:bCs/>
          <w:sz w:val="24"/>
        </w:rPr>
      </w:pPr>
      <w:r>
        <w:rPr>
          <w:rFonts w:hint="eastAsia" w:hAnsi="宋体"/>
          <w:b/>
          <w:bCs/>
          <w:sz w:val="24"/>
        </w:rPr>
        <w:t>7.磋商文件的组成</w:t>
      </w:r>
    </w:p>
    <w:p>
      <w:pPr>
        <w:adjustRightInd w:val="0"/>
        <w:snapToGrid w:val="0"/>
        <w:spacing w:line="360" w:lineRule="auto"/>
        <w:ind w:firstLine="480" w:firstLineChars="200"/>
        <w:rPr>
          <w:rFonts w:hAnsi="宋体"/>
          <w:sz w:val="24"/>
        </w:rPr>
      </w:pPr>
      <w:r>
        <w:rPr>
          <w:rFonts w:hint="eastAsia" w:hAnsi="宋体"/>
          <w:sz w:val="24"/>
        </w:rPr>
        <w:t>7.l 磋商文件由六部分组成，包括：</w:t>
      </w:r>
    </w:p>
    <w:p>
      <w:pPr>
        <w:adjustRightInd w:val="0"/>
        <w:snapToGrid w:val="0"/>
        <w:spacing w:line="360" w:lineRule="auto"/>
        <w:ind w:firstLine="960" w:firstLineChars="400"/>
        <w:rPr>
          <w:rFonts w:hAnsi="宋体"/>
          <w:sz w:val="24"/>
        </w:rPr>
      </w:pPr>
      <w:r>
        <w:rPr>
          <w:rFonts w:hint="eastAsia" w:hAnsi="宋体"/>
          <w:sz w:val="24"/>
        </w:rPr>
        <w:t>第一章  竞争性磋商公告</w:t>
      </w:r>
    </w:p>
    <w:p>
      <w:pPr>
        <w:adjustRightInd w:val="0"/>
        <w:snapToGrid w:val="0"/>
        <w:spacing w:line="360" w:lineRule="auto"/>
        <w:ind w:firstLine="480" w:firstLineChars="200"/>
        <w:rPr>
          <w:rFonts w:hAnsi="宋体"/>
          <w:sz w:val="24"/>
        </w:rPr>
      </w:pPr>
      <w:r>
        <w:rPr>
          <w:rFonts w:hint="eastAsia" w:hAnsi="宋体"/>
          <w:sz w:val="24"/>
        </w:rPr>
        <w:t xml:space="preserve">    第二章  磋商须知</w:t>
      </w:r>
    </w:p>
    <w:p>
      <w:pPr>
        <w:adjustRightInd w:val="0"/>
        <w:snapToGrid w:val="0"/>
        <w:spacing w:line="360" w:lineRule="auto"/>
        <w:ind w:firstLine="960" w:firstLineChars="400"/>
        <w:rPr>
          <w:rFonts w:hAnsi="宋体"/>
          <w:sz w:val="24"/>
        </w:rPr>
      </w:pPr>
      <w:r>
        <w:rPr>
          <w:rFonts w:hint="eastAsia" w:hAnsi="宋体"/>
          <w:sz w:val="24"/>
        </w:rPr>
        <w:t>第三章  用户需求书</w:t>
      </w:r>
    </w:p>
    <w:p>
      <w:pPr>
        <w:adjustRightInd w:val="0"/>
        <w:snapToGrid w:val="0"/>
        <w:spacing w:line="360" w:lineRule="auto"/>
        <w:ind w:firstLine="480" w:firstLineChars="200"/>
        <w:rPr>
          <w:rFonts w:hAnsi="宋体"/>
          <w:sz w:val="24"/>
        </w:rPr>
      </w:pPr>
      <w:r>
        <w:rPr>
          <w:rFonts w:hint="eastAsia" w:hAnsi="宋体"/>
          <w:sz w:val="24"/>
        </w:rPr>
        <w:t xml:space="preserve">    第四章  合同条款</w:t>
      </w:r>
    </w:p>
    <w:p>
      <w:pPr>
        <w:adjustRightInd w:val="0"/>
        <w:snapToGrid w:val="0"/>
        <w:spacing w:line="360" w:lineRule="auto"/>
        <w:ind w:firstLine="960" w:firstLineChars="400"/>
        <w:rPr>
          <w:rFonts w:hAnsi="宋体"/>
          <w:sz w:val="24"/>
        </w:rPr>
      </w:pPr>
      <w:r>
        <w:rPr>
          <w:rFonts w:hint="eastAsia" w:hAnsi="宋体"/>
          <w:sz w:val="24"/>
        </w:rPr>
        <w:t>第五章  磋商响应文件内容和格式</w:t>
      </w:r>
    </w:p>
    <w:p>
      <w:pPr>
        <w:adjustRightInd w:val="0"/>
        <w:snapToGrid w:val="0"/>
        <w:spacing w:line="360" w:lineRule="auto"/>
        <w:ind w:firstLine="960" w:firstLineChars="400"/>
        <w:rPr>
          <w:rFonts w:hAnsi="宋体"/>
          <w:sz w:val="24"/>
        </w:rPr>
      </w:pPr>
      <w:r>
        <w:rPr>
          <w:rFonts w:hint="eastAsia" w:hAnsi="宋体"/>
          <w:sz w:val="24"/>
        </w:rPr>
        <w:t>第六章  评标方法和程序</w:t>
      </w:r>
    </w:p>
    <w:p>
      <w:pPr>
        <w:adjustRightInd w:val="0"/>
        <w:snapToGrid w:val="0"/>
        <w:spacing w:line="360" w:lineRule="auto"/>
        <w:ind w:firstLine="482" w:firstLineChars="200"/>
        <w:rPr>
          <w:rFonts w:hAnsi="宋体"/>
          <w:sz w:val="24"/>
        </w:rPr>
      </w:pPr>
      <w:r>
        <w:rPr>
          <w:rFonts w:hint="eastAsia" w:hAnsi="宋体"/>
          <w:b/>
          <w:bCs/>
          <w:sz w:val="24"/>
        </w:rPr>
        <w:t>注：请仔细检查磋商文件是否齐全，如有缺漏，请立即与采购代理机构联系解决。</w:t>
      </w:r>
    </w:p>
    <w:p>
      <w:pPr>
        <w:adjustRightInd w:val="0"/>
        <w:snapToGrid w:val="0"/>
        <w:spacing w:line="360" w:lineRule="auto"/>
        <w:ind w:firstLine="480" w:firstLineChars="200"/>
        <w:rPr>
          <w:rFonts w:hAnsi="宋体"/>
          <w:sz w:val="24"/>
        </w:rPr>
      </w:pPr>
      <w:r>
        <w:rPr>
          <w:rFonts w:hint="eastAsia" w:hAnsi="宋体"/>
          <w:sz w:val="24"/>
        </w:rPr>
        <w:t>7.2 供应商必须详阅磋商文件的所有条款、文件及表格格式。供应商若未按磋商文件的要求和规范编制、提交磋商响应文件，将有可能导致磋商响应文件被拒绝接受，所造成的负面后果由供应商负责。</w:t>
      </w:r>
    </w:p>
    <w:p>
      <w:pPr>
        <w:adjustRightInd w:val="0"/>
        <w:snapToGrid w:val="0"/>
        <w:spacing w:line="360" w:lineRule="auto"/>
        <w:ind w:firstLine="482" w:firstLineChars="200"/>
        <w:rPr>
          <w:rFonts w:hAnsi="宋体"/>
          <w:b/>
          <w:bCs/>
          <w:sz w:val="24"/>
        </w:rPr>
      </w:pPr>
      <w:r>
        <w:rPr>
          <w:rFonts w:hint="eastAsia" w:hAnsi="宋体"/>
          <w:b/>
          <w:bCs/>
          <w:sz w:val="24"/>
        </w:rPr>
        <w:t>8.磋商文件的澄清</w:t>
      </w:r>
    </w:p>
    <w:p>
      <w:pPr>
        <w:adjustRightInd w:val="0"/>
        <w:snapToGrid w:val="0"/>
        <w:spacing w:line="360" w:lineRule="auto"/>
        <w:ind w:firstLine="480" w:firstLineChars="200"/>
        <w:rPr>
          <w:rFonts w:hAnsi="宋体"/>
          <w:sz w:val="24"/>
        </w:rPr>
      </w:pPr>
      <w:r>
        <w:rPr>
          <w:rFonts w:hint="eastAsia" w:hAnsi="宋体"/>
          <w:sz w:val="24"/>
        </w:rPr>
        <w:t>供应商在收到竞争性磋商文件后，若有疑问需要澄清，可以书面形式（包括信函、传真、电传，下同）在响应文件提交截止时间5日前（逾期不受理）通知采购代理机构，采购代理机构将以书面形式进行答复，同时采购代理机构有权将答复内容（包括所提问题，但不包括问题来源）分发给所有购买了本磋商文件的供应商。未对采购代理机构提出书面意见，即视为接受了本竞争性磋商文件中的所有条款和规定。</w:t>
      </w:r>
    </w:p>
    <w:p>
      <w:pPr>
        <w:adjustRightInd w:val="0"/>
        <w:snapToGrid w:val="0"/>
        <w:spacing w:line="360" w:lineRule="auto"/>
        <w:ind w:firstLine="482" w:firstLineChars="200"/>
        <w:rPr>
          <w:rFonts w:hAnsi="宋体"/>
          <w:b/>
          <w:bCs/>
          <w:sz w:val="24"/>
        </w:rPr>
      </w:pPr>
      <w:r>
        <w:rPr>
          <w:rFonts w:hint="eastAsia" w:hAnsi="宋体"/>
          <w:b/>
          <w:bCs/>
          <w:sz w:val="24"/>
        </w:rPr>
        <w:t>9.磋商文件的修改或补充</w:t>
      </w:r>
    </w:p>
    <w:p>
      <w:pPr>
        <w:adjustRightInd w:val="0"/>
        <w:snapToGrid w:val="0"/>
        <w:spacing w:line="360" w:lineRule="auto"/>
        <w:ind w:firstLine="480" w:firstLineChars="200"/>
        <w:rPr>
          <w:rFonts w:hAnsi="宋体"/>
          <w:sz w:val="24"/>
        </w:rPr>
      </w:pPr>
      <w:r>
        <w:rPr>
          <w:rFonts w:hint="eastAsia" w:hAnsi="宋体"/>
          <w:sz w:val="24"/>
        </w:rPr>
        <w:t>9.l 在磋商截止时间五天前，采购代理机构可以书面通知的方式修改/补充磋商文件。修改/补充通知作为磋商文件的组成部分，对供应商起同等约束作用。</w:t>
      </w:r>
    </w:p>
    <w:p>
      <w:pPr>
        <w:adjustRightInd w:val="0"/>
        <w:snapToGrid w:val="0"/>
        <w:spacing w:line="360" w:lineRule="auto"/>
        <w:ind w:firstLine="480" w:firstLineChars="200"/>
        <w:rPr>
          <w:rFonts w:hAnsi="宋体"/>
          <w:sz w:val="24"/>
        </w:rPr>
      </w:pPr>
      <w:r>
        <w:rPr>
          <w:rFonts w:hint="eastAsia" w:hAnsi="宋体"/>
          <w:sz w:val="24"/>
        </w:rPr>
        <w:t>9.2 当磋商文件与修改/补充公告的内容相互矛盾时，以采购代理机构最后发出的修改/补充公告为准。</w:t>
      </w:r>
    </w:p>
    <w:p>
      <w:pPr>
        <w:adjustRightInd w:val="0"/>
        <w:snapToGrid w:val="0"/>
        <w:spacing w:line="360" w:lineRule="auto"/>
        <w:ind w:firstLine="480" w:firstLineChars="200"/>
        <w:rPr>
          <w:rFonts w:hAnsi="宋体"/>
          <w:sz w:val="24"/>
        </w:rPr>
      </w:pPr>
      <w:r>
        <w:rPr>
          <w:rFonts w:hint="eastAsia" w:hAnsi="宋体"/>
          <w:sz w:val="24"/>
        </w:rPr>
        <w:t>9.3 供应商收到修改/补充公告后，应在1个工作日内以书面形式回复采购代理机构，逾期不回者，被视为已收到修改/补充公告。</w:t>
      </w:r>
    </w:p>
    <w:p>
      <w:pPr>
        <w:adjustRightInd w:val="0"/>
        <w:snapToGrid w:val="0"/>
        <w:spacing w:line="360" w:lineRule="auto"/>
        <w:ind w:firstLine="480" w:firstLineChars="200"/>
        <w:rPr>
          <w:rFonts w:hAnsi="宋体"/>
          <w:sz w:val="24"/>
        </w:rPr>
      </w:pPr>
      <w:r>
        <w:rPr>
          <w:rFonts w:hint="eastAsia" w:hAnsi="宋体"/>
          <w:sz w:val="24"/>
        </w:rPr>
        <w:t>9.4 为使供应商有足够的时间按磋商文件的修改/补充要求修正磋商响应文件，采购代理机构有权决定推迟磋商截止日期和磋商时间，并将此变更书面通知所有购买了此磋商文件的供应商。</w:t>
      </w:r>
    </w:p>
    <w:p>
      <w:pPr>
        <w:adjustRightInd w:val="0"/>
        <w:snapToGrid w:val="0"/>
        <w:spacing w:line="360" w:lineRule="auto"/>
        <w:ind w:firstLine="643" w:firstLineChars="200"/>
        <w:outlineLvl w:val="1"/>
        <w:rPr>
          <w:rFonts w:hAnsi="宋体"/>
          <w:b/>
          <w:sz w:val="32"/>
          <w:szCs w:val="32"/>
        </w:rPr>
      </w:pPr>
      <w:bookmarkStart w:id="16" w:name="_Toc16707"/>
      <w:r>
        <w:rPr>
          <w:rFonts w:hint="eastAsia" w:hAnsi="宋体"/>
          <w:b/>
          <w:sz w:val="32"/>
          <w:szCs w:val="32"/>
        </w:rPr>
        <w:t>三、磋商响应文件</w:t>
      </w:r>
      <w:bookmarkEnd w:id="16"/>
    </w:p>
    <w:p>
      <w:pPr>
        <w:adjustRightInd w:val="0"/>
        <w:snapToGrid w:val="0"/>
        <w:spacing w:line="360" w:lineRule="auto"/>
        <w:ind w:firstLine="482" w:firstLineChars="200"/>
        <w:rPr>
          <w:rFonts w:hAnsi="宋体"/>
          <w:b/>
          <w:bCs/>
          <w:sz w:val="24"/>
        </w:rPr>
      </w:pPr>
      <w:r>
        <w:rPr>
          <w:rFonts w:hint="eastAsia" w:hAnsi="宋体"/>
          <w:b/>
          <w:bCs/>
          <w:sz w:val="24"/>
        </w:rPr>
        <w:t>10.磋商响应文件的组成</w:t>
      </w:r>
    </w:p>
    <w:p>
      <w:pPr>
        <w:adjustRightInd w:val="0"/>
        <w:snapToGrid w:val="0"/>
        <w:spacing w:line="360" w:lineRule="auto"/>
        <w:ind w:firstLine="480" w:firstLineChars="200"/>
        <w:rPr>
          <w:rFonts w:hAnsi="宋体"/>
          <w:sz w:val="24"/>
        </w:rPr>
      </w:pPr>
      <w:r>
        <w:rPr>
          <w:rFonts w:hint="eastAsia" w:hAnsi="宋体"/>
          <w:sz w:val="24"/>
        </w:rPr>
        <w:t>10.1 磋商响应文件应按“第五章 磋商响应文件内容和格式”要求编制。（凡有具体格式要求详见竞争性磋商文件“第五章 磋商响应文件内容和格式”，本竞争性磋商文件没有具体规定和要求的内容格式不限，由供应商自拟）。</w:t>
      </w:r>
    </w:p>
    <w:p>
      <w:pPr>
        <w:adjustRightInd w:val="0"/>
        <w:snapToGrid w:val="0"/>
        <w:spacing w:line="360" w:lineRule="auto"/>
        <w:ind w:firstLine="480" w:firstLineChars="200"/>
        <w:rPr>
          <w:rFonts w:ascii="华文宋体" w:hAnsi="华文宋体"/>
          <w:sz w:val="24"/>
        </w:rPr>
      </w:pPr>
      <w:r>
        <w:rPr>
          <w:rFonts w:hint="eastAsia" w:hAnsi="宋体"/>
          <w:sz w:val="24"/>
        </w:rPr>
        <w:t xml:space="preserve">10.2 </w:t>
      </w:r>
      <w:r>
        <w:rPr>
          <w:rFonts w:hint="eastAsia" w:ascii="华文宋体" w:hAnsi="华文宋体"/>
          <w:sz w:val="24"/>
        </w:rPr>
        <w:t>若供应商未按磋商文件的要求提供资料，或未对磋商文件做出实质性响应，将可能导致磋商响应文件被视为无效。</w:t>
      </w:r>
    </w:p>
    <w:p>
      <w:pPr>
        <w:adjustRightInd w:val="0"/>
        <w:snapToGrid w:val="0"/>
        <w:spacing w:line="360" w:lineRule="auto"/>
        <w:ind w:firstLine="480" w:firstLineChars="200"/>
        <w:rPr>
          <w:rFonts w:ascii="华文宋体" w:hAnsi="华文宋体"/>
          <w:sz w:val="24"/>
        </w:rPr>
      </w:pPr>
      <w:r>
        <w:rPr>
          <w:rFonts w:hint="eastAsia" w:ascii="华文宋体" w:hAnsi="华文宋体"/>
          <w:sz w:val="24"/>
        </w:rPr>
        <w:t>10.3 投标文件所使用的印章必须为企业公章，且与投标单位名称完全一致，不能以其它业务章或附属机构印章代替。</w:t>
      </w:r>
    </w:p>
    <w:p>
      <w:pPr>
        <w:adjustRightInd w:val="0"/>
        <w:snapToGrid w:val="0"/>
        <w:spacing w:line="360" w:lineRule="auto"/>
        <w:ind w:firstLine="482" w:firstLineChars="200"/>
        <w:rPr>
          <w:rFonts w:hAnsi="宋体"/>
          <w:b/>
          <w:bCs/>
          <w:sz w:val="24"/>
        </w:rPr>
      </w:pPr>
      <w:r>
        <w:rPr>
          <w:rFonts w:hint="eastAsia" w:hAnsi="宋体"/>
          <w:b/>
          <w:bCs/>
          <w:sz w:val="24"/>
        </w:rPr>
        <w:t>11.磋商报价</w:t>
      </w:r>
    </w:p>
    <w:p>
      <w:pPr>
        <w:adjustRightInd w:val="0"/>
        <w:snapToGrid w:val="0"/>
        <w:spacing w:line="360" w:lineRule="auto"/>
        <w:ind w:firstLine="480" w:firstLineChars="200"/>
        <w:rPr>
          <w:rFonts w:hAnsi="宋体"/>
          <w:sz w:val="24"/>
        </w:rPr>
      </w:pPr>
      <w:r>
        <w:rPr>
          <w:rFonts w:hint="eastAsia" w:hAnsi="宋体"/>
          <w:sz w:val="24"/>
        </w:rPr>
        <w:t>11.1 报价均须以人民币为计算单位。</w:t>
      </w:r>
    </w:p>
    <w:p>
      <w:pPr>
        <w:adjustRightInd w:val="0"/>
        <w:snapToGrid w:val="0"/>
        <w:spacing w:line="360" w:lineRule="auto"/>
        <w:ind w:firstLine="480" w:firstLineChars="200"/>
        <w:rPr>
          <w:rFonts w:hAnsi="宋体"/>
          <w:sz w:val="24"/>
        </w:rPr>
      </w:pPr>
      <w:r>
        <w:rPr>
          <w:rFonts w:hint="eastAsia" w:hAnsi="宋体"/>
          <w:sz w:val="24"/>
        </w:rPr>
        <w:t>11.2 成交候选人的报价如超过采购预算而采购人不能支付的，采购人有权拒绝而递选下一个顺位的候选人。</w:t>
      </w:r>
    </w:p>
    <w:p>
      <w:pPr>
        <w:adjustRightInd w:val="0"/>
        <w:snapToGrid w:val="0"/>
        <w:spacing w:line="360" w:lineRule="auto"/>
        <w:ind w:firstLine="480" w:firstLineChars="200"/>
        <w:rPr>
          <w:rFonts w:hAnsi="宋体"/>
          <w:sz w:val="24"/>
        </w:rPr>
      </w:pPr>
      <w:r>
        <w:rPr>
          <w:rFonts w:hint="eastAsia" w:hAnsi="宋体"/>
          <w:sz w:val="24"/>
        </w:rPr>
        <w:t>11.3 不得恶意低价竞标。评标委员会认为供应商的报价明显低于其他通过初步审查供应商的报价，有可能影响服务质量或者不能诚信履约的，将要求其在评标现场合理的时间内提供书面说明，必要时提交相关证明材料；供应商不能证明其报价合理性的，投标将作为无效投标处理。</w:t>
      </w:r>
    </w:p>
    <w:p>
      <w:pPr>
        <w:adjustRightInd w:val="0"/>
        <w:snapToGrid w:val="0"/>
        <w:spacing w:line="360" w:lineRule="auto"/>
        <w:ind w:firstLine="482" w:firstLineChars="200"/>
        <w:rPr>
          <w:rFonts w:hAnsi="宋体"/>
          <w:sz w:val="24"/>
        </w:rPr>
      </w:pPr>
      <w:r>
        <w:rPr>
          <w:rFonts w:hint="eastAsia" w:hAnsi="宋体"/>
          <w:b/>
          <w:bCs/>
          <w:sz w:val="24"/>
        </w:rPr>
        <w:t>12.磋商保证金</w:t>
      </w:r>
    </w:p>
    <w:p>
      <w:pPr>
        <w:adjustRightInd w:val="0"/>
        <w:snapToGrid w:val="0"/>
        <w:spacing w:line="360" w:lineRule="auto"/>
        <w:ind w:firstLine="480" w:firstLineChars="200"/>
        <w:rPr>
          <w:rFonts w:hAnsi="宋体"/>
          <w:sz w:val="24"/>
        </w:rPr>
      </w:pPr>
      <w:r>
        <w:rPr>
          <w:rFonts w:hint="eastAsia" w:hAnsi="宋体"/>
          <w:sz w:val="24"/>
        </w:rPr>
        <w:t>本项目不收取磋商保证金。</w:t>
      </w:r>
    </w:p>
    <w:p>
      <w:pPr>
        <w:adjustRightInd w:val="0"/>
        <w:snapToGrid w:val="0"/>
        <w:spacing w:line="360" w:lineRule="auto"/>
        <w:ind w:firstLine="482" w:firstLineChars="200"/>
        <w:rPr>
          <w:rFonts w:hAnsi="宋体"/>
          <w:sz w:val="24"/>
        </w:rPr>
      </w:pPr>
      <w:r>
        <w:rPr>
          <w:rFonts w:hint="eastAsia" w:hAnsi="宋体"/>
          <w:b/>
          <w:bCs/>
          <w:sz w:val="24"/>
        </w:rPr>
        <w:t>13.投标有效期</w:t>
      </w:r>
    </w:p>
    <w:p>
      <w:pPr>
        <w:adjustRightInd w:val="0"/>
        <w:snapToGrid w:val="0"/>
        <w:spacing w:line="360" w:lineRule="auto"/>
        <w:ind w:firstLine="480" w:firstLineChars="200"/>
        <w:rPr>
          <w:rFonts w:hAnsi="宋体"/>
          <w:b/>
          <w:szCs w:val="21"/>
        </w:rPr>
      </w:pPr>
      <w:r>
        <w:rPr>
          <w:rFonts w:hint="eastAsia" w:hAnsi="宋体"/>
          <w:sz w:val="24"/>
        </w:rPr>
        <w:t xml:space="preserve">13.l </w:t>
      </w:r>
      <w:r>
        <w:rPr>
          <w:rFonts w:hint="eastAsia" w:hAnsi="宋体"/>
          <w:sz w:val="24"/>
          <w:szCs w:val="24"/>
        </w:rPr>
        <w:t>投标有</w:t>
      </w:r>
      <w:r>
        <w:rPr>
          <w:rFonts w:hint="eastAsia" w:hAnsi="宋体"/>
          <w:sz w:val="24"/>
        </w:rPr>
        <w:t>效期为自递交磋商响应文件截止之日起</w:t>
      </w:r>
      <w:r>
        <w:rPr>
          <w:rFonts w:hint="eastAsia" w:hAnsi="宋体"/>
          <w:b/>
          <w:sz w:val="24"/>
          <w:u w:val="single"/>
        </w:rPr>
        <w:t>90天</w:t>
      </w:r>
      <w:r>
        <w:rPr>
          <w:rFonts w:hint="eastAsia" w:hAnsi="宋体"/>
          <w:sz w:val="24"/>
        </w:rPr>
        <w:t>，有效期短于此规定的磋商响应文件将被视为无效。</w:t>
      </w:r>
    </w:p>
    <w:p>
      <w:pPr>
        <w:adjustRightInd w:val="0"/>
        <w:snapToGrid w:val="0"/>
        <w:spacing w:line="360" w:lineRule="auto"/>
        <w:ind w:firstLine="480" w:firstLineChars="200"/>
        <w:rPr>
          <w:rFonts w:hAnsi="宋体"/>
          <w:sz w:val="24"/>
        </w:rPr>
      </w:pPr>
      <w:r>
        <w:rPr>
          <w:rFonts w:hint="eastAsia" w:hAnsi="宋体"/>
          <w:sz w:val="24"/>
        </w:rPr>
        <w:t>13.2 在特殊情况下，采购代理机构可于投标有效期满之前，征得供应商同意延长投标有效期，要求与答复均应以书面形式进行。供应商可以拒绝接受这一要求而放弃投标，磋商保证金将尽快无息退还。同意这一要求的供应商，无需也不允许修改其磋商响应文件，但须相应延长磋商保证金的有效期。受投标有效期制约的所有权利和义务均应延长至新的有效期。</w:t>
      </w:r>
    </w:p>
    <w:p>
      <w:pPr>
        <w:adjustRightInd w:val="0"/>
        <w:snapToGrid w:val="0"/>
        <w:spacing w:line="360" w:lineRule="auto"/>
        <w:ind w:firstLine="482" w:firstLineChars="200"/>
        <w:rPr>
          <w:rFonts w:hAnsi="宋体"/>
          <w:sz w:val="24"/>
        </w:rPr>
      </w:pPr>
      <w:r>
        <w:rPr>
          <w:rFonts w:hint="eastAsia" w:hAnsi="宋体"/>
          <w:b/>
          <w:bCs/>
          <w:sz w:val="24"/>
        </w:rPr>
        <w:t>14.磋商响应文件的签署及形式</w:t>
      </w:r>
    </w:p>
    <w:p>
      <w:pPr>
        <w:adjustRightInd w:val="0"/>
        <w:snapToGrid w:val="0"/>
        <w:spacing w:line="360" w:lineRule="auto"/>
        <w:ind w:firstLine="480" w:firstLineChars="200"/>
        <w:rPr>
          <w:rFonts w:hAnsi="宋体"/>
          <w:sz w:val="24"/>
          <w:szCs w:val="22"/>
        </w:rPr>
      </w:pPr>
      <w:r>
        <w:rPr>
          <w:rFonts w:hint="eastAsia" w:hAnsi="宋体"/>
          <w:sz w:val="24"/>
          <w:szCs w:val="22"/>
        </w:rPr>
        <w:t>4.1 电子标盖章要求：使用 CA 锁在投标文件制作工具中逐页加盖单位公章。</w:t>
      </w:r>
    </w:p>
    <w:p>
      <w:pPr>
        <w:adjustRightInd w:val="0"/>
        <w:snapToGrid w:val="0"/>
        <w:spacing w:line="360" w:lineRule="auto"/>
        <w:ind w:firstLine="480" w:firstLineChars="200"/>
        <w:rPr>
          <w:rFonts w:hAnsi="宋体"/>
          <w:sz w:val="24"/>
        </w:rPr>
      </w:pPr>
      <w:r>
        <w:rPr>
          <w:rFonts w:hint="eastAsia" w:hAnsi="宋体"/>
          <w:sz w:val="24"/>
          <w:szCs w:val="22"/>
        </w:rPr>
        <w:t>4.2 电子标签字以下四种形式之一均有效：（1）投标文件制作工具中加盖签名章或签字章；（2）签章工具中使用“手写签名”签字；（3）投标文件打印为文本签字后扫描上传；（4）投标文件打印为文本盖签名章或签字章后扫描上传。由委托代理人签字的，投标人应附有法定代表人授权书。</w:t>
      </w:r>
    </w:p>
    <w:p>
      <w:pPr>
        <w:adjustRightInd w:val="0"/>
        <w:snapToGrid w:val="0"/>
        <w:spacing w:line="360" w:lineRule="auto"/>
        <w:ind w:firstLine="643" w:firstLineChars="200"/>
        <w:outlineLvl w:val="1"/>
        <w:rPr>
          <w:rFonts w:hAnsi="宋体"/>
          <w:b/>
          <w:sz w:val="32"/>
          <w:szCs w:val="32"/>
        </w:rPr>
      </w:pPr>
      <w:r>
        <w:rPr>
          <w:rFonts w:hint="eastAsia" w:hAnsi="宋体"/>
          <w:b/>
          <w:sz w:val="32"/>
          <w:szCs w:val="32"/>
        </w:rPr>
        <w:t>四、投标文件电子版的提交</w:t>
      </w:r>
    </w:p>
    <w:p>
      <w:pPr>
        <w:adjustRightInd w:val="0"/>
        <w:snapToGrid w:val="0"/>
        <w:spacing w:line="360" w:lineRule="auto"/>
        <w:ind w:firstLine="482" w:firstLineChars="200"/>
        <w:rPr>
          <w:rFonts w:hAnsi="宋体"/>
          <w:sz w:val="24"/>
        </w:rPr>
      </w:pPr>
      <w:r>
        <w:rPr>
          <w:rFonts w:hint="eastAsia" w:hAnsi="宋体"/>
          <w:b/>
          <w:bCs/>
          <w:sz w:val="24"/>
        </w:rPr>
        <w:t>15.磋商响应文件的提交</w:t>
      </w:r>
    </w:p>
    <w:p>
      <w:pPr>
        <w:widowControl/>
        <w:spacing w:line="360" w:lineRule="auto"/>
        <w:ind w:firstLine="482" w:firstLineChars="200"/>
      </w:pPr>
      <w:r>
        <w:rPr>
          <w:rFonts w:hint="eastAsia" w:hAnsi="宋体" w:cs="宋体"/>
          <w:b/>
          <w:bCs/>
          <w:sz w:val="24"/>
          <w:szCs w:val="24"/>
        </w:rPr>
        <w:t xml:space="preserve">（一）投标文件电子版提交时间 </w:t>
      </w:r>
    </w:p>
    <w:p>
      <w:pPr>
        <w:adjustRightInd w:val="0"/>
        <w:snapToGrid w:val="0"/>
        <w:spacing w:line="360" w:lineRule="auto"/>
        <w:ind w:firstLine="480" w:firstLineChars="200"/>
        <w:rPr>
          <w:rFonts w:ascii="华文宋体" w:hAnsi="华文宋体"/>
          <w:sz w:val="24"/>
        </w:rPr>
      </w:pPr>
      <w:r>
        <w:rPr>
          <w:rFonts w:hint="eastAsia" w:ascii="华文宋体" w:hAnsi="华文宋体"/>
          <w:sz w:val="24"/>
        </w:rPr>
        <w:t>15.</w:t>
      </w:r>
      <w:r>
        <w:rPr>
          <w:rFonts w:ascii="华文宋体" w:hAnsi="华文宋体"/>
          <w:sz w:val="24"/>
        </w:rPr>
        <w:t>1</w:t>
      </w:r>
      <w:r>
        <w:rPr>
          <w:rFonts w:hint="eastAsia" w:ascii="华文宋体" w:hAnsi="华文宋体"/>
          <w:sz w:val="24"/>
        </w:rPr>
        <w:t>.1 本项目为远程不见面开标项目，</w:t>
      </w:r>
      <w:r>
        <w:rPr>
          <w:rFonts w:hint="eastAsia" w:hAnsi="宋体" w:cs="宋体"/>
          <w:bCs/>
          <w:sz w:val="24"/>
          <w:szCs w:val="24"/>
        </w:rPr>
        <w:t>供应商</w:t>
      </w:r>
      <w:r>
        <w:rPr>
          <w:rFonts w:hint="eastAsia" w:ascii="华文宋体" w:hAnsi="华文宋体"/>
          <w:sz w:val="24"/>
        </w:rPr>
        <w:t>无需到达开标地点。开标时</w:t>
      </w:r>
      <w:r>
        <w:rPr>
          <w:rFonts w:hint="eastAsia" w:hAnsi="宋体" w:cs="宋体"/>
          <w:bCs/>
          <w:sz w:val="24"/>
          <w:szCs w:val="24"/>
        </w:rPr>
        <w:t>供应商</w:t>
      </w:r>
      <w:r>
        <w:rPr>
          <w:rFonts w:hint="eastAsia" w:ascii="华文宋体" w:hAnsi="华文宋体"/>
          <w:sz w:val="24"/>
        </w:rPr>
        <w:t>使用个人电脑登入海南政府采购网(www.ccgp-hainan.gov.cn)-海南省政府采购电子化交易管理系统(新)(实体CA数字证书或移动CA数字证书，必须是生成投标文件时使用的使用数字认证锁) 进行远程解密。在开标前，</w:t>
      </w:r>
      <w:r>
        <w:rPr>
          <w:rFonts w:hint="eastAsia" w:hAnsi="宋体" w:cs="宋体"/>
          <w:bCs/>
          <w:sz w:val="24"/>
          <w:szCs w:val="24"/>
        </w:rPr>
        <w:t>供应商</w:t>
      </w:r>
      <w:r>
        <w:rPr>
          <w:rFonts w:hint="eastAsia" w:ascii="华文宋体" w:hAnsi="华文宋体"/>
          <w:sz w:val="24"/>
        </w:rPr>
        <w:t xml:space="preserve">应利用参与开标的电脑提前登入开标系统进行电脑配置环境检测，并按提示设置电脑环境。 </w:t>
      </w:r>
    </w:p>
    <w:p>
      <w:pPr>
        <w:widowControl/>
        <w:spacing w:line="360" w:lineRule="auto"/>
        <w:ind w:firstLine="482" w:firstLineChars="200"/>
      </w:pPr>
      <w:r>
        <w:rPr>
          <w:rFonts w:hint="eastAsia" w:hAnsi="宋体" w:cs="宋体"/>
          <w:b/>
          <w:bCs/>
          <w:sz w:val="24"/>
          <w:szCs w:val="24"/>
        </w:rPr>
        <w:t xml:space="preserve">（二）投标无效的情形 </w:t>
      </w:r>
    </w:p>
    <w:p>
      <w:pPr>
        <w:adjustRightInd w:val="0"/>
        <w:snapToGrid w:val="0"/>
        <w:spacing w:line="360" w:lineRule="auto"/>
        <w:ind w:firstLine="480" w:firstLineChars="200"/>
        <w:rPr>
          <w:rFonts w:ascii="华文宋体" w:hAnsi="华文宋体"/>
          <w:sz w:val="24"/>
        </w:rPr>
      </w:pPr>
      <w:r>
        <w:rPr>
          <w:rFonts w:hint="eastAsia" w:hAnsi="宋体" w:cs="宋体"/>
          <w:bCs/>
          <w:sz w:val="24"/>
          <w:szCs w:val="24"/>
        </w:rPr>
        <w:t>供应商</w:t>
      </w:r>
      <w:r>
        <w:rPr>
          <w:rFonts w:hint="eastAsia" w:ascii="华文宋体" w:hAnsi="华文宋体"/>
          <w:sz w:val="24"/>
        </w:rPr>
        <w:t>存在下列情况之一的，投标无效</w:t>
      </w:r>
      <w:r>
        <w:rPr>
          <w:rFonts w:ascii="华文宋体" w:hAnsi="华文宋体"/>
          <w:sz w:val="24"/>
        </w:rPr>
        <w:t xml:space="preserve">: </w:t>
      </w:r>
    </w:p>
    <w:p>
      <w:pPr>
        <w:adjustRightInd w:val="0"/>
        <w:snapToGrid w:val="0"/>
        <w:spacing w:line="360" w:lineRule="auto"/>
        <w:ind w:firstLine="480" w:firstLineChars="200"/>
        <w:rPr>
          <w:rFonts w:ascii="华文宋体" w:hAnsi="华文宋体"/>
          <w:sz w:val="24"/>
        </w:rPr>
      </w:pPr>
      <w:r>
        <w:rPr>
          <w:rFonts w:hint="eastAsia" w:ascii="华文宋体" w:hAnsi="华文宋体"/>
          <w:sz w:val="24"/>
        </w:rPr>
        <w:t xml:space="preserve">15.2.1 投标文件未按采购文件要求签署、盖章的； </w:t>
      </w:r>
    </w:p>
    <w:p>
      <w:pPr>
        <w:adjustRightInd w:val="0"/>
        <w:snapToGrid w:val="0"/>
        <w:spacing w:line="360" w:lineRule="auto"/>
        <w:ind w:firstLine="480" w:firstLineChars="200"/>
        <w:rPr>
          <w:rFonts w:ascii="华文宋体" w:hAnsi="华文宋体"/>
          <w:sz w:val="24"/>
        </w:rPr>
      </w:pPr>
      <w:r>
        <w:rPr>
          <w:rFonts w:hint="eastAsia" w:ascii="华文宋体" w:hAnsi="华文宋体"/>
          <w:sz w:val="24"/>
        </w:rPr>
        <w:t xml:space="preserve">15.2.2 不具备采购文件中规定的资格要求的； </w:t>
      </w:r>
    </w:p>
    <w:p>
      <w:pPr>
        <w:adjustRightInd w:val="0"/>
        <w:snapToGrid w:val="0"/>
        <w:spacing w:line="360" w:lineRule="auto"/>
        <w:ind w:firstLine="480" w:firstLineChars="200"/>
        <w:rPr>
          <w:rFonts w:ascii="华文宋体" w:hAnsi="华文宋体"/>
          <w:sz w:val="24"/>
        </w:rPr>
      </w:pPr>
      <w:r>
        <w:rPr>
          <w:rFonts w:hint="eastAsia" w:ascii="华文宋体" w:hAnsi="华文宋体"/>
          <w:sz w:val="24"/>
        </w:rPr>
        <w:t xml:space="preserve">15.2.3 报价超过采购文件中规定的预算金额或者最高限价的； </w:t>
      </w:r>
    </w:p>
    <w:p>
      <w:pPr>
        <w:adjustRightInd w:val="0"/>
        <w:snapToGrid w:val="0"/>
        <w:spacing w:line="360" w:lineRule="auto"/>
        <w:ind w:firstLine="480" w:firstLineChars="200"/>
        <w:rPr>
          <w:rFonts w:ascii="华文宋体" w:hAnsi="华文宋体"/>
          <w:sz w:val="24"/>
        </w:rPr>
      </w:pPr>
      <w:r>
        <w:rPr>
          <w:rFonts w:hint="eastAsia" w:ascii="华文宋体" w:hAnsi="华文宋体"/>
          <w:sz w:val="24"/>
        </w:rPr>
        <w:t>15.2.5 响应文件含有采购人不能接受的附加条件的</w:t>
      </w:r>
      <w:r>
        <w:rPr>
          <w:rFonts w:ascii="华文宋体" w:hAnsi="华文宋体"/>
          <w:sz w:val="24"/>
        </w:rPr>
        <w:t xml:space="preserve">; </w:t>
      </w:r>
    </w:p>
    <w:p>
      <w:pPr>
        <w:adjustRightInd w:val="0"/>
        <w:snapToGrid w:val="0"/>
        <w:spacing w:line="360" w:lineRule="auto"/>
        <w:ind w:firstLine="480" w:firstLineChars="200"/>
        <w:rPr>
          <w:rFonts w:ascii="华文宋体" w:hAnsi="华文宋体"/>
          <w:sz w:val="24"/>
        </w:rPr>
      </w:pPr>
      <w:r>
        <w:rPr>
          <w:rFonts w:hint="eastAsia" w:ascii="华文宋体" w:hAnsi="华文宋体"/>
          <w:sz w:val="24"/>
        </w:rPr>
        <w:t>15.2.6 法律、法规和采购文件规定的其他无效情形。</w:t>
      </w:r>
    </w:p>
    <w:p>
      <w:pPr>
        <w:adjustRightInd w:val="0"/>
        <w:snapToGrid w:val="0"/>
        <w:spacing w:line="360" w:lineRule="auto"/>
        <w:ind w:firstLine="482" w:firstLineChars="200"/>
        <w:rPr>
          <w:rFonts w:hAnsi="宋体"/>
          <w:sz w:val="24"/>
        </w:rPr>
      </w:pPr>
      <w:r>
        <w:rPr>
          <w:rFonts w:hint="eastAsia" w:hAnsi="宋体"/>
          <w:b/>
          <w:bCs/>
          <w:sz w:val="24"/>
        </w:rPr>
        <w:t>16.磋商截止时间</w:t>
      </w:r>
    </w:p>
    <w:p>
      <w:pPr>
        <w:adjustRightInd w:val="0"/>
        <w:snapToGrid w:val="0"/>
        <w:spacing w:line="360" w:lineRule="auto"/>
        <w:ind w:firstLine="480" w:firstLineChars="200"/>
        <w:rPr>
          <w:rFonts w:hAnsi="宋体"/>
          <w:sz w:val="24"/>
        </w:rPr>
      </w:pPr>
      <w:r>
        <w:rPr>
          <w:rFonts w:hint="eastAsia" w:hAnsi="宋体"/>
          <w:sz w:val="24"/>
        </w:rPr>
        <w:t>16.l 供应商须在磋商截止时间前将磋商响应文件送达采购代理机构规定的地点。</w:t>
      </w:r>
    </w:p>
    <w:p>
      <w:pPr>
        <w:adjustRightInd w:val="0"/>
        <w:snapToGrid w:val="0"/>
        <w:spacing w:line="360" w:lineRule="auto"/>
        <w:ind w:firstLine="480" w:firstLineChars="200"/>
        <w:rPr>
          <w:rFonts w:hAnsi="宋体"/>
          <w:sz w:val="24"/>
        </w:rPr>
      </w:pPr>
      <w:r>
        <w:rPr>
          <w:rFonts w:hint="eastAsia" w:hAnsi="宋体"/>
          <w:sz w:val="24"/>
        </w:rPr>
        <w:t>16.2 若采购代理机构推迟了磋商截止时间，应以公告的形式通知所有供应商。在这种情况下，采购代理机构、采购人和供应商的权利和义务均应以新的截止时间为准。</w:t>
      </w:r>
    </w:p>
    <w:p>
      <w:pPr>
        <w:adjustRightInd w:val="0"/>
        <w:snapToGrid w:val="0"/>
        <w:spacing w:line="360" w:lineRule="auto"/>
        <w:ind w:firstLine="480" w:firstLineChars="200"/>
        <w:rPr>
          <w:rFonts w:hAnsi="宋体"/>
          <w:sz w:val="24"/>
        </w:rPr>
      </w:pPr>
      <w:r>
        <w:rPr>
          <w:rFonts w:hint="eastAsia" w:hAnsi="宋体"/>
          <w:sz w:val="24"/>
        </w:rPr>
        <w:t>16.3 在磋商截止时间后递交的磋商响应文件，采购代理机构将拒绝接受。</w:t>
      </w:r>
    </w:p>
    <w:p>
      <w:pPr>
        <w:adjustRightInd w:val="0"/>
        <w:snapToGrid w:val="0"/>
        <w:spacing w:line="360" w:lineRule="auto"/>
        <w:ind w:firstLine="643" w:firstLineChars="200"/>
        <w:outlineLvl w:val="1"/>
        <w:rPr>
          <w:rFonts w:hAnsi="宋体"/>
          <w:b/>
          <w:sz w:val="32"/>
          <w:szCs w:val="32"/>
        </w:rPr>
      </w:pPr>
      <w:bookmarkStart w:id="17" w:name="_Toc11990"/>
      <w:r>
        <w:rPr>
          <w:rFonts w:hint="eastAsia" w:hAnsi="宋体"/>
          <w:b/>
          <w:sz w:val="32"/>
          <w:szCs w:val="32"/>
        </w:rPr>
        <w:t>五、磋商响应文件的评标</w:t>
      </w:r>
      <w:bookmarkEnd w:id="17"/>
    </w:p>
    <w:p>
      <w:pPr>
        <w:adjustRightInd w:val="0"/>
        <w:snapToGrid w:val="0"/>
        <w:spacing w:line="360" w:lineRule="auto"/>
        <w:ind w:firstLine="482" w:firstLineChars="200"/>
        <w:rPr>
          <w:rFonts w:hAnsi="宋体"/>
          <w:sz w:val="24"/>
        </w:rPr>
      </w:pPr>
      <w:bookmarkStart w:id="18" w:name="_Toc6100"/>
      <w:r>
        <w:rPr>
          <w:rFonts w:hint="eastAsia" w:hAnsi="宋体"/>
          <w:b/>
          <w:bCs/>
          <w:sz w:val="24"/>
        </w:rPr>
        <w:t>17.磋商</w:t>
      </w:r>
    </w:p>
    <w:p>
      <w:pPr>
        <w:adjustRightInd w:val="0"/>
        <w:snapToGrid w:val="0"/>
        <w:spacing w:line="360" w:lineRule="auto"/>
        <w:ind w:firstLine="480" w:firstLineChars="200"/>
        <w:rPr>
          <w:rFonts w:hAnsi="宋体"/>
          <w:sz w:val="24"/>
        </w:rPr>
      </w:pPr>
      <w:r>
        <w:rPr>
          <w:rFonts w:hint="eastAsia" w:hAnsi="宋体"/>
          <w:sz w:val="24"/>
        </w:rPr>
        <w:t>17.l  磋商小组应当对响应文件进行评审，并根据磋商文件规定的程序、评定成交的标准等事项与实质性响应磋商文件要求的供应商进行磋商。评标委员会（即磋商小组）专家向供应商发起磋商，供应商对问题进行回复。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以书面形式同时通知所有参加磋商的供应商。</w:t>
      </w:r>
    </w:p>
    <w:p>
      <w:pPr>
        <w:adjustRightInd w:val="0"/>
        <w:snapToGrid w:val="0"/>
        <w:spacing w:line="360" w:lineRule="auto"/>
        <w:ind w:firstLine="480" w:firstLineChars="200"/>
        <w:rPr>
          <w:rFonts w:hAnsi="宋体"/>
          <w:sz w:val="24"/>
        </w:rPr>
      </w:pPr>
      <w:r>
        <w:rPr>
          <w:rFonts w:hint="eastAsia" w:hAnsi="宋体"/>
          <w:sz w:val="24"/>
        </w:rPr>
        <w:t>17.2 政府采购主管部门、监督部门、国家公证机关公证员由其视情况决定是否派代表到现场进行监督。</w:t>
      </w:r>
    </w:p>
    <w:p>
      <w:pPr>
        <w:adjustRightInd w:val="0"/>
        <w:snapToGrid w:val="0"/>
        <w:spacing w:line="360" w:lineRule="auto"/>
        <w:ind w:firstLine="482" w:firstLineChars="200"/>
        <w:rPr>
          <w:rFonts w:hAnsi="宋体"/>
          <w:sz w:val="24"/>
        </w:rPr>
      </w:pPr>
      <w:r>
        <w:rPr>
          <w:rFonts w:hint="eastAsia" w:hAnsi="宋体"/>
          <w:b/>
          <w:bCs/>
          <w:sz w:val="24"/>
        </w:rPr>
        <w:t>18.磋商小组的组成</w:t>
      </w:r>
    </w:p>
    <w:p>
      <w:pPr>
        <w:adjustRightInd w:val="0"/>
        <w:snapToGrid w:val="0"/>
        <w:spacing w:line="360" w:lineRule="auto"/>
        <w:ind w:firstLine="480" w:firstLineChars="200"/>
        <w:rPr>
          <w:rFonts w:hAnsi="宋体"/>
          <w:sz w:val="24"/>
        </w:rPr>
      </w:pPr>
      <w:r>
        <w:rPr>
          <w:rFonts w:hint="eastAsia" w:hAnsi="宋体" w:cs="宋体"/>
          <w:sz w:val="24"/>
        </w:rPr>
        <w:t>详见</w:t>
      </w:r>
      <w:r>
        <w:rPr>
          <w:rFonts w:hint="eastAsia" w:hAnsi="宋体" w:cs="宋体"/>
          <w:bCs/>
          <w:sz w:val="24"/>
          <w:szCs w:val="24"/>
        </w:rPr>
        <w:t>磋商</w:t>
      </w:r>
      <w:r>
        <w:rPr>
          <w:rFonts w:hint="eastAsia" w:hAnsi="宋体" w:cs="宋体"/>
          <w:sz w:val="24"/>
        </w:rPr>
        <w:t>须知前附表</w:t>
      </w:r>
      <w:r>
        <w:rPr>
          <w:rFonts w:hint="eastAsia" w:hAnsi="宋体"/>
          <w:sz w:val="24"/>
        </w:rPr>
        <w:t>。</w:t>
      </w:r>
    </w:p>
    <w:p>
      <w:pPr>
        <w:adjustRightInd w:val="0"/>
        <w:snapToGrid w:val="0"/>
        <w:spacing w:line="360" w:lineRule="auto"/>
        <w:ind w:firstLine="482" w:firstLineChars="200"/>
        <w:rPr>
          <w:rFonts w:hAnsi="宋体"/>
          <w:sz w:val="24"/>
        </w:rPr>
      </w:pPr>
      <w:r>
        <w:rPr>
          <w:rFonts w:hint="eastAsia" w:hAnsi="宋体"/>
          <w:b/>
          <w:bCs/>
          <w:sz w:val="24"/>
        </w:rPr>
        <w:t>19.评标</w:t>
      </w:r>
    </w:p>
    <w:p>
      <w:pPr>
        <w:adjustRightInd w:val="0"/>
        <w:snapToGrid w:val="0"/>
        <w:spacing w:line="360" w:lineRule="auto"/>
        <w:ind w:firstLine="480"/>
        <w:rPr>
          <w:rFonts w:hAnsi="宋体"/>
          <w:sz w:val="24"/>
        </w:rPr>
      </w:pPr>
      <w:r>
        <w:rPr>
          <w:rFonts w:hint="eastAsia" w:hAnsi="宋体"/>
          <w:sz w:val="24"/>
        </w:rPr>
        <w:t>见“第六章 评标方法和程序”。</w:t>
      </w:r>
    </w:p>
    <w:p>
      <w:pPr>
        <w:adjustRightInd w:val="0"/>
        <w:snapToGrid w:val="0"/>
        <w:spacing w:line="360" w:lineRule="auto"/>
        <w:ind w:firstLine="482" w:firstLineChars="200"/>
        <w:rPr>
          <w:rFonts w:hAnsi="宋体"/>
          <w:sz w:val="24"/>
          <w:szCs w:val="22"/>
        </w:rPr>
      </w:pPr>
      <w:r>
        <w:rPr>
          <w:rFonts w:hint="eastAsia" w:hAnsi="宋体"/>
          <w:b/>
          <w:bCs/>
          <w:sz w:val="24"/>
          <w:szCs w:val="22"/>
        </w:rPr>
        <w:t>20.关于政策性加分</w:t>
      </w:r>
      <w:r>
        <w:rPr>
          <w:rFonts w:hint="eastAsia" w:hAnsi="宋体"/>
          <w:sz w:val="24"/>
          <w:szCs w:val="22"/>
        </w:rPr>
        <w:tab/>
      </w:r>
    </w:p>
    <w:p>
      <w:pPr>
        <w:widowControl/>
        <w:spacing w:line="360" w:lineRule="auto"/>
        <w:ind w:firstLine="480" w:firstLineChars="200"/>
        <w:rPr>
          <w:rFonts w:hAnsi="宋体" w:cs="宋体"/>
          <w:sz w:val="24"/>
          <w:szCs w:val="24"/>
        </w:rPr>
      </w:pPr>
      <w:r>
        <w:rPr>
          <w:rFonts w:hint="eastAsia" w:hAnsi="宋体" w:cs="宋体"/>
          <w:sz w:val="24"/>
          <w:szCs w:val="24"/>
        </w:rPr>
        <w:t xml:space="preserve">根据财政部、工业和信息化部《政府采购促进中小企业发展管理办法》（财库〔2020〕46 号）和财政部《财政部关于进一步加大政府采购支持中小企业力度的通知》（财库〔2022〕19 号）的要求，政府关于强制采购节能产品、信息安全产品和优先采购环境标志产品的实施意见，以及根据《财政部、司法部关于政府采购支持监狱企业发展有关问题的通知》和《财政部、民政部、中国残疾人联合会关于促进残疾人就业政府采购政策的通知》（财库〔2017〕141 号）的文件精神，本项目相应的政府采购政策优惠条件及要求如下： </w:t>
      </w:r>
    </w:p>
    <w:p>
      <w:pPr>
        <w:widowControl/>
        <w:spacing w:line="360" w:lineRule="auto"/>
        <w:ind w:firstLine="482" w:firstLineChars="200"/>
        <w:rPr>
          <w:rFonts w:hAnsi="宋体" w:cs="宋体"/>
          <w:b/>
          <w:bCs/>
          <w:sz w:val="24"/>
          <w:szCs w:val="24"/>
        </w:rPr>
      </w:pPr>
      <w:r>
        <w:rPr>
          <w:rFonts w:hint="eastAsia" w:hAnsi="宋体" w:cs="宋体"/>
          <w:b/>
          <w:bCs/>
          <w:sz w:val="24"/>
          <w:szCs w:val="24"/>
        </w:rPr>
        <w:t xml:space="preserve">节能环保优先政策 </w:t>
      </w:r>
    </w:p>
    <w:p>
      <w:pPr>
        <w:widowControl/>
        <w:spacing w:line="360" w:lineRule="auto"/>
        <w:ind w:firstLine="480" w:firstLineChars="200"/>
        <w:rPr>
          <w:rFonts w:hAnsi="宋体" w:cs="宋体"/>
          <w:sz w:val="24"/>
          <w:szCs w:val="24"/>
        </w:rPr>
      </w:pPr>
      <w:r>
        <w:rPr>
          <w:rFonts w:hint="eastAsia" w:hAnsi="宋体" w:cs="宋体"/>
          <w:sz w:val="24"/>
          <w:szCs w:val="24"/>
        </w:rPr>
        <w:t xml:space="preserve">20.1 所投分包(如不分包则指本项目)的所有投标产品进入当期节能清单的，其评标价=投标报价*（1-2%）；供应商所投产品满足此规定的，必须提供声明函并提供相关证明文件。 </w:t>
      </w:r>
    </w:p>
    <w:p>
      <w:pPr>
        <w:widowControl/>
        <w:spacing w:line="360" w:lineRule="auto"/>
        <w:ind w:firstLine="480" w:firstLineChars="200"/>
        <w:rPr>
          <w:rFonts w:hAnsi="宋体" w:cs="宋体"/>
          <w:sz w:val="24"/>
          <w:szCs w:val="24"/>
        </w:rPr>
      </w:pPr>
      <w:r>
        <w:rPr>
          <w:rFonts w:hint="eastAsia" w:hAnsi="宋体" w:cs="宋体"/>
          <w:sz w:val="24"/>
          <w:szCs w:val="24"/>
        </w:rPr>
        <w:t xml:space="preserve">20.2 所投分包(如不分包则指本项目)的所有投标产品进入当期环保清单的，其评标价=投标报价*（1-1%）；供应商所投产品满足此规定的，必须提供声明函并提供相关证明文件。  </w:t>
      </w:r>
    </w:p>
    <w:p>
      <w:pPr>
        <w:widowControl/>
        <w:spacing w:line="360" w:lineRule="auto"/>
        <w:ind w:firstLine="482" w:firstLineChars="200"/>
        <w:rPr>
          <w:rFonts w:hAnsi="宋体" w:cs="宋体"/>
          <w:b/>
          <w:bCs/>
          <w:sz w:val="24"/>
          <w:szCs w:val="24"/>
        </w:rPr>
      </w:pPr>
      <w:r>
        <w:rPr>
          <w:rFonts w:hint="eastAsia" w:hAnsi="宋体" w:cs="宋体"/>
          <w:b/>
          <w:bCs/>
          <w:sz w:val="24"/>
          <w:szCs w:val="24"/>
        </w:rPr>
        <w:t>中小企业扶持政策</w:t>
      </w:r>
    </w:p>
    <w:p>
      <w:pPr>
        <w:widowControl/>
        <w:spacing w:line="360" w:lineRule="auto"/>
        <w:ind w:firstLine="480" w:firstLineChars="200"/>
        <w:rPr>
          <w:rFonts w:hAnsi="宋体" w:cs="宋体"/>
          <w:sz w:val="24"/>
          <w:szCs w:val="24"/>
        </w:rPr>
      </w:pPr>
      <w:r>
        <w:rPr>
          <w:rFonts w:hint="eastAsia" w:hAnsi="宋体" w:cs="宋体"/>
          <w:sz w:val="24"/>
          <w:szCs w:val="24"/>
        </w:rPr>
        <w:t>20.3 供应商为小型和微型企业（含监狱企业和残疾人福利性单位）的情况：</w:t>
      </w:r>
    </w:p>
    <w:p>
      <w:pPr>
        <w:widowControl/>
        <w:spacing w:line="360" w:lineRule="auto"/>
        <w:ind w:firstLine="480" w:firstLineChars="200"/>
        <w:rPr>
          <w:rFonts w:hAnsi="宋体" w:cs="宋体"/>
          <w:sz w:val="24"/>
          <w:szCs w:val="24"/>
        </w:rPr>
      </w:pPr>
      <w:r>
        <w:rPr>
          <w:rFonts w:hint="eastAsia" w:hAnsi="宋体" w:cs="宋体"/>
          <w:sz w:val="24"/>
          <w:szCs w:val="24"/>
        </w:rPr>
        <w:t>20.3.1 中小企业的认定标准：</w:t>
      </w:r>
    </w:p>
    <w:p>
      <w:pPr>
        <w:widowControl/>
        <w:spacing w:line="360" w:lineRule="auto"/>
        <w:ind w:firstLine="480" w:firstLineChars="200"/>
        <w:rPr>
          <w:rFonts w:hAnsi="宋体" w:cs="宋体"/>
          <w:sz w:val="24"/>
          <w:szCs w:val="24"/>
        </w:rPr>
      </w:pPr>
      <w:r>
        <w:rPr>
          <w:rFonts w:hint="eastAsia" w:hAnsi="宋体" w:cs="宋体"/>
          <w:sz w:val="24"/>
          <w:szCs w:val="24"/>
        </w:rPr>
        <w:t>1）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widowControl/>
        <w:spacing w:line="360" w:lineRule="auto"/>
        <w:ind w:firstLine="480" w:firstLineChars="200"/>
        <w:rPr>
          <w:rFonts w:hAnsi="宋体" w:cs="宋体"/>
          <w:sz w:val="24"/>
          <w:szCs w:val="24"/>
        </w:rPr>
      </w:pPr>
      <w:r>
        <w:rPr>
          <w:rFonts w:hint="eastAsia" w:hAnsi="宋体" w:cs="宋体"/>
          <w:sz w:val="24"/>
          <w:szCs w:val="24"/>
        </w:rPr>
        <w:t xml:space="preserve">2）本规定所称中小企业划分标准，是指国务院有关部门根据企业从业人员、营业收入、资产总额等指标制定的中小企业划型标准（工信部联企业〔2011〕300号）； </w:t>
      </w:r>
    </w:p>
    <w:p>
      <w:pPr>
        <w:widowControl/>
        <w:spacing w:line="360" w:lineRule="auto"/>
        <w:ind w:firstLine="480" w:firstLineChars="200"/>
        <w:rPr>
          <w:rFonts w:hAnsi="宋体" w:cs="宋体"/>
          <w:sz w:val="24"/>
          <w:szCs w:val="24"/>
        </w:rPr>
      </w:pPr>
      <w:r>
        <w:rPr>
          <w:rFonts w:hint="eastAsia" w:hAnsi="宋体" w:cs="宋体"/>
          <w:sz w:val="24"/>
          <w:szCs w:val="24"/>
        </w:rPr>
        <w:t xml:space="preserve">3）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 </w:t>
      </w:r>
    </w:p>
    <w:p>
      <w:pPr>
        <w:widowControl/>
        <w:spacing w:line="360" w:lineRule="auto"/>
        <w:ind w:firstLine="480" w:firstLineChars="200"/>
        <w:rPr>
          <w:rFonts w:hAnsi="宋体" w:cs="宋体"/>
          <w:sz w:val="24"/>
          <w:szCs w:val="24"/>
        </w:rPr>
      </w:pPr>
      <w:r>
        <w:rPr>
          <w:rFonts w:hint="eastAsia" w:hAnsi="宋体" w:cs="宋体"/>
          <w:sz w:val="24"/>
          <w:szCs w:val="24"/>
        </w:rPr>
        <w:t xml:space="preserve">4）小型、微型企业提供有中型企业制造的货物的，视同为中型企业；小型、微型、中型企业提供有大型企业制造的货物的，视同为大型企业。 </w:t>
      </w:r>
    </w:p>
    <w:p>
      <w:pPr>
        <w:widowControl/>
        <w:spacing w:line="360" w:lineRule="auto"/>
        <w:ind w:firstLine="480" w:firstLineChars="200"/>
        <w:rPr>
          <w:rFonts w:hAnsi="宋体" w:cs="宋体"/>
          <w:sz w:val="24"/>
          <w:szCs w:val="24"/>
        </w:rPr>
      </w:pPr>
      <w:r>
        <w:rPr>
          <w:rFonts w:hint="eastAsia" w:hAnsi="宋体" w:cs="宋体"/>
          <w:sz w:val="24"/>
          <w:szCs w:val="24"/>
        </w:rPr>
        <w:t xml:space="preserve">5）既有货物又有服务/工程的采购项目，采购人应当根据政府采购有关规定和采购项目的实际情况，确定拟采购项目是货物、工程还是服务项目。享受中小企业扶持政策的供应商应当满足下列条件：在货物采购项目中，货物应当由中小企业制造，不对其中涉及的服务的承接商作出要求；在工程采购项目中，工程应当由中小企业承建，不对其中涉及的货物的制造商和服务的承接商作出要求；在服务采购项目中，服务的承接商应当为中小企业，不对其中涉及的货物的制造商作出要求。 </w:t>
      </w:r>
    </w:p>
    <w:p>
      <w:pPr>
        <w:widowControl/>
        <w:spacing w:line="360" w:lineRule="auto"/>
        <w:ind w:firstLine="480" w:firstLineChars="200"/>
        <w:rPr>
          <w:rFonts w:hAnsi="宋体" w:cs="宋体"/>
          <w:sz w:val="24"/>
          <w:szCs w:val="24"/>
        </w:rPr>
      </w:pPr>
      <w:r>
        <w:rPr>
          <w:rFonts w:hint="eastAsia" w:hAnsi="宋体" w:cs="宋体"/>
          <w:sz w:val="24"/>
          <w:szCs w:val="24"/>
        </w:rPr>
        <w:t xml:space="preserve">20.3.2 具体评审价说明： </w:t>
      </w:r>
    </w:p>
    <w:p>
      <w:pPr>
        <w:widowControl/>
        <w:spacing w:line="360" w:lineRule="auto"/>
        <w:ind w:firstLine="480" w:firstLineChars="200"/>
        <w:rPr>
          <w:rFonts w:hAnsi="宋体" w:cs="宋体"/>
          <w:sz w:val="24"/>
          <w:szCs w:val="24"/>
        </w:rPr>
      </w:pPr>
      <w:r>
        <w:rPr>
          <w:rFonts w:hint="eastAsia" w:hAnsi="宋体" w:cs="宋体"/>
          <w:sz w:val="24"/>
          <w:szCs w:val="24"/>
        </w:rPr>
        <w:t xml:space="preserve">1）供应商符合（财库〔2020〕46 号）规定的小微型企业报价给予10%（工程项目为 3%）扣除，用扣除后的价格参加评审。 </w:t>
      </w:r>
    </w:p>
    <w:p>
      <w:pPr>
        <w:widowControl/>
        <w:spacing w:line="360" w:lineRule="auto"/>
        <w:ind w:firstLine="480" w:firstLineChars="200"/>
        <w:rPr>
          <w:rFonts w:hAnsi="宋体" w:cs="宋体"/>
          <w:sz w:val="24"/>
          <w:szCs w:val="24"/>
        </w:rPr>
      </w:pPr>
      <w:r>
        <w:rPr>
          <w:rFonts w:hint="eastAsia" w:hAnsi="宋体" w:cs="宋体"/>
          <w:sz w:val="24"/>
          <w:szCs w:val="24"/>
        </w:rPr>
        <w:t xml:space="preserve">适用招标投标法的政府采购工程建设项目，采用综合评估法但未采用低价优先法计算价格分的，评标时在采用原报价进行评分的基础上增加其价格得分的3%作为其价格分。 </w:t>
      </w:r>
    </w:p>
    <w:p>
      <w:pPr>
        <w:widowControl/>
        <w:spacing w:line="360" w:lineRule="auto"/>
        <w:ind w:firstLine="480" w:firstLineChars="200"/>
        <w:rPr>
          <w:rFonts w:hAnsi="宋体" w:cs="宋体"/>
          <w:sz w:val="24"/>
          <w:szCs w:val="24"/>
        </w:rPr>
      </w:pPr>
      <w:r>
        <w:rPr>
          <w:rFonts w:hint="eastAsia" w:hAnsi="宋体" w:cs="宋体"/>
          <w:sz w:val="24"/>
          <w:szCs w:val="24"/>
        </w:rPr>
        <w:t xml:space="preserve">2）接受大中型企业与小微企业组成联合体或者允许大中型企业向一家或者多家小微企业分包的采购项目，对于联合协议或者分包意向协议约定小微企业的合同份额占到合同总金额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30%以上的，对联合体或者大中型企业的报价给予2% （工程项目为 1%）的扣除，用扣除后的价格参加评审。 </w:t>
      </w:r>
    </w:p>
    <w:p>
      <w:pPr>
        <w:widowControl/>
        <w:spacing w:line="360" w:lineRule="auto"/>
        <w:ind w:firstLine="480" w:firstLineChars="200"/>
        <w:rPr>
          <w:rFonts w:hAnsi="宋体" w:cs="宋体"/>
          <w:sz w:val="24"/>
          <w:szCs w:val="24"/>
        </w:rPr>
      </w:pPr>
      <w:r>
        <w:rPr>
          <w:rFonts w:hint="eastAsia" w:hAnsi="宋体" w:cs="宋体"/>
          <w:sz w:val="24"/>
          <w:szCs w:val="24"/>
        </w:rPr>
        <w:t xml:space="preserve">适用招标投标法的政府采购工程建设项目，采用综合评估法但未采用低价优先法计算价格分的，评标时在采用原报价进行评分的基础上增加其价格得分的1%作为其价格分。 </w:t>
      </w:r>
    </w:p>
    <w:p>
      <w:pPr>
        <w:widowControl/>
        <w:spacing w:line="360" w:lineRule="auto"/>
        <w:ind w:firstLine="480" w:firstLineChars="200"/>
        <w:rPr>
          <w:rFonts w:hAnsi="宋体" w:cs="宋体"/>
          <w:sz w:val="24"/>
          <w:szCs w:val="24"/>
        </w:rPr>
      </w:pPr>
      <w:r>
        <w:rPr>
          <w:rFonts w:hint="eastAsia" w:hAnsi="宋体" w:cs="宋体"/>
          <w:sz w:val="24"/>
          <w:szCs w:val="24"/>
        </w:rPr>
        <w:t xml:space="preserve">组成联合体或者接受分包的小微企业与联合体内其他企业、分包企业之间存在直接控股、管理关系的，不享受价格扣除优惠政策。 </w:t>
      </w:r>
    </w:p>
    <w:p>
      <w:pPr>
        <w:widowControl/>
        <w:spacing w:line="360" w:lineRule="auto"/>
        <w:ind w:firstLine="480" w:firstLineChars="200"/>
        <w:rPr>
          <w:rFonts w:hAnsi="宋体" w:cs="宋体"/>
          <w:sz w:val="24"/>
          <w:szCs w:val="24"/>
        </w:rPr>
      </w:pPr>
      <w:r>
        <w:rPr>
          <w:rFonts w:hint="eastAsia" w:hAnsi="宋体" w:cs="宋体"/>
          <w:sz w:val="24"/>
          <w:szCs w:val="24"/>
        </w:rPr>
        <w:t xml:space="preserve">20.3.3 供应商为工信部联企业〔2011〕300 号文规定的小型和微型企业（含联合体）的，必须如实填写“中小企业声明函”（内容、格式见“财库〔2020〕46 号”），否则不得享受相关中小企业扶持政策。 </w:t>
      </w:r>
    </w:p>
    <w:p>
      <w:pPr>
        <w:widowControl/>
        <w:spacing w:line="360" w:lineRule="auto"/>
        <w:ind w:firstLine="482" w:firstLineChars="200"/>
        <w:rPr>
          <w:rFonts w:hAnsi="宋体" w:cs="宋体"/>
          <w:b/>
          <w:bCs/>
          <w:sz w:val="24"/>
          <w:szCs w:val="24"/>
        </w:rPr>
      </w:pPr>
      <w:r>
        <w:rPr>
          <w:rFonts w:hint="eastAsia" w:hAnsi="宋体" w:cs="宋体"/>
          <w:b/>
          <w:bCs/>
          <w:sz w:val="24"/>
          <w:szCs w:val="24"/>
        </w:rPr>
        <w:t xml:space="preserve">监狱企业 </w:t>
      </w:r>
    </w:p>
    <w:p>
      <w:pPr>
        <w:widowControl/>
        <w:spacing w:line="360" w:lineRule="auto"/>
        <w:ind w:firstLine="480" w:firstLineChars="200"/>
        <w:rPr>
          <w:rFonts w:hAnsi="宋体" w:cs="宋体"/>
          <w:sz w:val="24"/>
          <w:szCs w:val="24"/>
        </w:rPr>
      </w:pPr>
      <w:r>
        <w:rPr>
          <w:rFonts w:hint="eastAsia" w:hAnsi="宋体" w:cs="宋体"/>
          <w:sz w:val="24"/>
          <w:szCs w:val="24"/>
        </w:rPr>
        <w:t xml:space="preserve">20.3.4 监狱企业视同小型、微型企业，享受相同的价格扣除优惠政策；监狱企业属于小型、微型企业的，不重复享受政策。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否则不得享受相关扶持政策。 </w:t>
      </w:r>
    </w:p>
    <w:p>
      <w:pPr>
        <w:widowControl/>
        <w:spacing w:line="360" w:lineRule="auto"/>
        <w:ind w:firstLine="482" w:firstLineChars="200"/>
        <w:rPr>
          <w:rFonts w:hAnsi="宋体" w:cs="宋体"/>
          <w:b/>
          <w:bCs/>
          <w:sz w:val="24"/>
          <w:szCs w:val="24"/>
        </w:rPr>
      </w:pPr>
      <w:r>
        <w:rPr>
          <w:rFonts w:hint="eastAsia" w:hAnsi="宋体" w:cs="宋体"/>
          <w:b/>
          <w:bCs/>
          <w:sz w:val="24"/>
          <w:szCs w:val="24"/>
        </w:rPr>
        <w:t xml:space="preserve">残疾人福利性单位 </w:t>
      </w:r>
    </w:p>
    <w:p>
      <w:pPr>
        <w:widowControl/>
        <w:spacing w:line="360" w:lineRule="auto"/>
        <w:ind w:firstLine="480" w:firstLineChars="200"/>
        <w:rPr>
          <w:rFonts w:hAnsi="宋体" w:cs="宋体"/>
          <w:sz w:val="24"/>
          <w:szCs w:val="24"/>
        </w:rPr>
      </w:pPr>
      <w:r>
        <w:rPr>
          <w:rFonts w:hint="eastAsia" w:hAnsi="宋体" w:cs="宋体"/>
          <w:sz w:val="24"/>
          <w:szCs w:val="24"/>
        </w:rPr>
        <w:t xml:space="preserve">20.3.5 残疾人福利性单位视同小型、微型企业，享受相同的价格扣除优惠政策；残疾人福利性单位属于小型、微型企业的，不重复享受政策。残疾人福利性单位的具体标准及要求见“关于促进残疾人就业政府采购政策的通知（财库〔2017〕141 号）”。属于残疾人福利性单位的，投标时需按照有关要求提供规定 的《残疾人福利性单位声明函》（规定格式见“财库〔2017〕141 号”的附件）， 并对声明的真实性负责，否则不得享受相关扶持政策。 </w:t>
      </w:r>
    </w:p>
    <w:p>
      <w:pPr>
        <w:spacing w:line="360" w:lineRule="auto"/>
        <w:ind w:firstLine="482" w:firstLineChars="200"/>
        <w:rPr>
          <w:rFonts w:hAnsi="宋体"/>
          <w:b/>
          <w:sz w:val="32"/>
          <w:szCs w:val="32"/>
        </w:rPr>
      </w:pPr>
      <w:r>
        <w:rPr>
          <w:rFonts w:hint="eastAsia" w:hAnsi="宋体" w:cs="宋体"/>
          <w:b/>
          <w:bCs/>
          <w:sz w:val="24"/>
          <w:szCs w:val="24"/>
        </w:rPr>
        <w:t>如有虚假骗取政策性优惠，将依法承担相应责任。</w:t>
      </w:r>
    </w:p>
    <w:p>
      <w:pPr>
        <w:adjustRightInd w:val="0"/>
        <w:snapToGrid w:val="0"/>
        <w:spacing w:line="360" w:lineRule="auto"/>
        <w:ind w:firstLine="643" w:firstLineChars="200"/>
        <w:outlineLvl w:val="1"/>
        <w:rPr>
          <w:rFonts w:hAnsi="宋体"/>
          <w:b/>
          <w:sz w:val="32"/>
          <w:szCs w:val="32"/>
        </w:rPr>
      </w:pPr>
      <w:r>
        <w:rPr>
          <w:rFonts w:hint="eastAsia" w:hAnsi="宋体"/>
          <w:b/>
          <w:sz w:val="32"/>
          <w:szCs w:val="32"/>
        </w:rPr>
        <w:t>六、成交及签约</w:t>
      </w:r>
      <w:bookmarkEnd w:id="18"/>
    </w:p>
    <w:p>
      <w:pPr>
        <w:adjustRightInd w:val="0"/>
        <w:snapToGrid w:val="0"/>
        <w:spacing w:line="360" w:lineRule="auto"/>
        <w:ind w:firstLine="482" w:firstLineChars="200"/>
        <w:rPr>
          <w:rFonts w:hAnsi="宋体"/>
          <w:sz w:val="24"/>
        </w:rPr>
      </w:pPr>
      <w:r>
        <w:rPr>
          <w:rFonts w:hint="eastAsia" w:hAnsi="宋体"/>
          <w:b/>
          <w:bCs/>
          <w:sz w:val="24"/>
        </w:rPr>
        <w:t>21.成交原则</w:t>
      </w:r>
    </w:p>
    <w:p>
      <w:pPr>
        <w:adjustRightInd w:val="0"/>
        <w:snapToGrid w:val="0"/>
        <w:spacing w:line="360" w:lineRule="auto"/>
        <w:ind w:firstLine="480" w:firstLineChars="200"/>
        <w:rPr>
          <w:rFonts w:hAnsi="宋体"/>
          <w:sz w:val="24"/>
        </w:rPr>
      </w:pPr>
      <w:r>
        <w:rPr>
          <w:rFonts w:hint="eastAsia" w:hAnsi="宋体"/>
          <w:sz w:val="24"/>
        </w:rPr>
        <w:t>21.1 评标委员会将严格按照磋商文件的要求和条件进行评标,根据评标办法推荐出中标候选人，并标明排列顺序。采购人将确定排名第一的成交候选人为成交人并向其授予合同。排名第一的成交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成交候选人因前款规定的同样原因不能签订合同的，采购人将把合同授予排名第三的成交候选人。</w:t>
      </w:r>
    </w:p>
    <w:p>
      <w:pPr>
        <w:adjustRightInd w:val="0"/>
        <w:snapToGrid w:val="0"/>
        <w:spacing w:line="360" w:lineRule="auto"/>
        <w:ind w:firstLine="480" w:firstLineChars="200"/>
        <w:rPr>
          <w:rFonts w:hAnsi="宋体"/>
          <w:sz w:val="24"/>
        </w:rPr>
      </w:pPr>
      <w:r>
        <w:rPr>
          <w:rFonts w:hint="eastAsia" w:hAnsi="宋体"/>
          <w:sz w:val="24"/>
        </w:rPr>
        <w:t>21.2 采购代理机构将在指定的网站上公示成交结果。</w:t>
      </w:r>
    </w:p>
    <w:p>
      <w:pPr>
        <w:adjustRightInd w:val="0"/>
        <w:snapToGrid w:val="0"/>
        <w:spacing w:line="360" w:lineRule="auto"/>
        <w:ind w:firstLine="482" w:firstLineChars="200"/>
        <w:rPr>
          <w:rFonts w:hAnsi="宋体"/>
          <w:sz w:val="24"/>
        </w:rPr>
      </w:pPr>
      <w:r>
        <w:rPr>
          <w:rFonts w:hint="eastAsia" w:hAnsi="宋体"/>
          <w:b/>
          <w:bCs/>
          <w:sz w:val="24"/>
        </w:rPr>
        <w:t>22.成交通知</w:t>
      </w:r>
    </w:p>
    <w:p>
      <w:pPr>
        <w:adjustRightInd w:val="0"/>
        <w:snapToGrid w:val="0"/>
        <w:spacing w:line="360" w:lineRule="auto"/>
        <w:ind w:firstLine="480" w:firstLineChars="200"/>
        <w:rPr>
          <w:rFonts w:hAnsi="宋体"/>
          <w:sz w:val="24"/>
        </w:rPr>
      </w:pPr>
      <w:r>
        <w:rPr>
          <w:rFonts w:hint="eastAsia" w:hAnsi="宋体"/>
          <w:sz w:val="24"/>
        </w:rPr>
        <w:t>22.l 成交后,采购代理机构应将成交结果通知所有的供应商。</w:t>
      </w:r>
    </w:p>
    <w:p>
      <w:pPr>
        <w:adjustRightInd w:val="0"/>
        <w:snapToGrid w:val="0"/>
        <w:spacing w:line="360" w:lineRule="auto"/>
        <w:ind w:firstLine="480" w:firstLineChars="200"/>
        <w:rPr>
          <w:rFonts w:hAnsi="宋体"/>
          <w:sz w:val="24"/>
        </w:rPr>
      </w:pPr>
      <w:r>
        <w:rPr>
          <w:rFonts w:hint="eastAsia" w:hAnsi="宋体"/>
          <w:sz w:val="24"/>
        </w:rPr>
        <w:t>22.2 成交人收到成交通知后，应在规定时间内到采购代理机构处领取成交通知书，并办理相关手续。</w:t>
      </w:r>
    </w:p>
    <w:p>
      <w:pPr>
        <w:adjustRightInd w:val="0"/>
        <w:snapToGrid w:val="0"/>
        <w:spacing w:line="360" w:lineRule="auto"/>
        <w:ind w:firstLine="480" w:firstLineChars="200"/>
        <w:rPr>
          <w:rFonts w:hAnsi="宋体"/>
          <w:sz w:val="24"/>
        </w:rPr>
      </w:pPr>
      <w:r>
        <w:rPr>
          <w:rFonts w:hint="eastAsia" w:hAnsi="宋体"/>
          <w:sz w:val="24"/>
        </w:rPr>
        <w:t>22.3 成交通知书将是合同的一个组成部分。</w:t>
      </w:r>
    </w:p>
    <w:p>
      <w:pPr>
        <w:adjustRightInd w:val="0"/>
        <w:snapToGrid w:val="0"/>
        <w:spacing w:line="360" w:lineRule="auto"/>
        <w:ind w:firstLine="482" w:firstLineChars="200"/>
        <w:rPr>
          <w:rFonts w:hAnsi="宋体"/>
          <w:sz w:val="24"/>
        </w:rPr>
      </w:pPr>
      <w:r>
        <w:rPr>
          <w:rFonts w:hint="eastAsia" w:hAnsi="宋体"/>
          <w:b/>
          <w:bCs/>
          <w:sz w:val="24"/>
        </w:rPr>
        <w:t>23.签订合同</w:t>
      </w:r>
    </w:p>
    <w:p>
      <w:pPr>
        <w:adjustRightInd w:val="0"/>
        <w:snapToGrid w:val="0"/>
        <w:spacing w:line="360" w:lineRule="auto"/>
        <w:ind w:firstLine="480" w:firstLineChars="200"/>
        <w:rPr>
          <w:rFonts w:hAnsi="宋体"/>
          <w:sz w:val="24"/>
        </w:rPr>
      </w:pPr>
      <w:r>
        <w:rPr>
          <w:rFonts w:hint="eastAsia" w:hAnsi="宋体"/>
          <w:sz w:val="24"/>
        </w:rPr>
        <w:t>23.l 成交人应按成交通知书规定的时间、地点与采购人签订中标合同,给采购人和采购代理机构造成损失的，供应商还应承担赔偿责任。</w:t>
      </w:r>
    </w:p>
    <w:p>
      <w:pPr>
        <w:adjustRightInd w:val="0"/>
        <w:snapToGrid w:val="0"/>
        <w:spacing w:line="360" w:lineRule="auto"/>
        <w:ind w:firstLine="480" w:firstLineChars="200"/>
        <w:rPr>
          <w:rFonts w:hAnsi="宋体"/>
          <w:sz w:val="24"/>
        </w:rPr>
      </w:pPr>
      <w:r>
        <w:rPr>
          <w:rFonts w:hint="eastAsia" w:hAnsi="宋体"/>
          <w:sz w:val="24"/>
        </w:rPr>
        <w:t>23.2 磋商文件、成交人的磋商响应文件及评标过程中有关澄清文件均应作为合同附件。</w:t>
      </w:r>
    </w:p>
    <w:p>
      <w:pPr>
        <w:adjustRightInd w:val="0"/>
        <w:snapToGrid w:val="0"/>
        <w:spacing w:line="360" w:lineRule="auto"/>
        <w:ind w:firstLine="482" w:firstLineChars="200"/>
        <w:rPr>
          <w:rFonts w:hAnsi="宋体"/>
          <w:sz w:val="24"/>
        </w:rPr>
      </w:pPr>
      <w:r>
        <w:rPr>
          <w:rFonts w:hint="eastAsia" w:hAnsi="宋体"/>
          <w:b/>
          <w:bCs/>
          <w:sz w:val="24"/>
        </w:rPr>
        <w:t>24.质疑处理</w:t>
      </w:r>
    </w:p>
    <w:p>
      <w:pPr>
        <w:adjustRightInd w:val="0"/>
        <w:snapToGrid w:val="0"/>
        <w:spacing w:line="360" w:lineRule="auto"/>
        <w:ind w:firstLine="480" w:firstLineChars="200"/>
        <w:rPr>
          <w:rFonts w:hAnsi="宋体"/>
          <w:sz w:val="24"/>
        </w:rPr>
      </w:pPr>
      <w:r>
        <w:rPr>
          <w:rFonts w:hint="eastAsia" w:hAnsi="宋体"/>
          <w:sz w:val="24"/>
        </w:rPr>
        <w:t>24.1 供应商如认为磋商文件、磋商过程和成交结果使自己的权益受到损害的，应在知道或应知道其权益受到损害之日起七个工作日内以书面形式向采购代理机构提出质疑。匿名、非书面形式、七个工作日之外的质疑均不予受理。</w:t>
      </w:r>
    </w:p>
    <w:p>
      <w:pPr>
        <w:adjustRightInd w:val="0"/>
        <w:snapToGrid w:val="0"/>
        <w:spacing w:line="360" w:lineRule="auto"/>
        <w:ind w:firstLine="482" w:firstLineChars="200"/>
        <w:rPr>
          <w:rFonts w:hAnsi="宋体"/>
          <w:sz w:val="24"/>
        </w:rPr>
      </w:pPr>
      <w:r>
        <w:rPr>
          <w:rFonts w:hint="eastAsia" w:hAnsi="宋体"/>
          <w:b/>
          <w:bCs/>
          <w:sz w:val="24"/>
        </w:rPr>
        <w:t>25.本项目不召开答疑会。</w:t>
      </w:r>
    </w:p>
    <w:p>
      <w:pPr>
        <w:pStyle w:val="5"/>
        <w:numPr>
          <w:ilvl w:val="0"/>
          <w:numId w:val="1"/>
        </w:numPr>
        <w:adjustRightInd w:val="0"/>
        <w:snapToGrid w:val="0"/>
        <w:spacing w:before="0" w:after="0" w:line="360" w:lineRule="auto"/>
        <w:jc w:val="center"/>
        <w:rPr>
          <w:rFonts w:hAnsi="宋体"/>
        </w:rPr>
      </w:pPr>
      <w:r>
        <w:rPr>
          <w:rFonts w:hAnsi="宋体"/>
          <w:b w:val="0"/>
          <w:sz w:val="48"/>
          <w:szCs w:val="48"/>
        </w:rPr>
        <w:br w:type="page"/>
      </w:r>
      <w:bookmarkStart w:id="19" w:name="_Toc401304796"/>
      <w:bookmarkStart w:id="20" w:name="_Toc16050_WPSOffice_Level1"/>
      <w:bookmarkStart w:id="21" w:name="_Toc386178228"/>
      <w:r>
        <w:rPr>
          <w:rFonts w:hint="eastAsia" w:hAnsi="宋体"/>
          <w:b w:val="0"/>
          <w:sz w:val="48"/>
          <w:szCs w:val="48"/>
        </w:rPr>
        <w:t xml:space="preserve"> </w:t>
      </w:r>
      <w:bookmarkStart w:id="22" w:name="_Toc12805"/>
      <w:r>
        <w:rPr>
          <w:rFonts w:hint="eastAsia" w:hAnsi="宋体"/>
        </w:rPr>
        <w:t>用户需求书</w:t>
      </w:r>
      <w:bookmarkEnd w:id="19"/>
      <w:bookmarkEnd w:id="20"/>
      <w:bookmarkEnd w:id="21"/>
      <w:bookmarkEnd w:id="22"/>
    </w:p>
    <w:p>
      <w:pPr>
        <w:spacing w:line="360" w:lineRule="auto"/>
        <w:rPr>
          <w:rFonts w:hAnsi="宋体" w:cs="宋体"/>
          <w:b/>
          <w:sz w:val="24"/>
        </w:rPr>
      </w:pPr>
      <w:bookmarkStart w:id="23" w:name="_Toc5073"/>
      <w:r>
        <w:rPr>
          <w:rFonts w:hint="eastAsia" w:hAnsi="宋体" w:cs="宋体"/>
          <w:b/>
          <w:sz w:val="24"/>
        </w:rPr>
        <w:t>一、项目概况</w:t>
      </w:r>
    </w:p>
    <w:p>
      <w:pPr>
        <w:shd w:val="clear" w:color="auto" w:fill="FFFFFF"/>
        <w:tabs>
          <w:tab w:val="left" w:pos="2520"/>
        </w:tabs>
        <w:spacing w:line="360" w:lineRule="auto"/>
        <w:ind w:firstLine="480" w:firstLineChars="200"/>
        <w:rPr>
          <w:rFonts w:hAnsi="宋体" w:cs="宋体"/>
          <w:bCs/>
          <w:sz w:val="24"/>
          <w:highlight w:val="yellow"/>
        </w:rPr>
      </w:pPr>
      <w:r>
        <w:rPr>
          <w:rFonts w:hint="eastAsia" w:hAnsi="宋体" w:cs="宋体"/>
          <w:sz w:val="24"/>
        </w:rPr>
        <w:t>1.项目名称：海南省规划展览馆重点项目更新改造</w:t>
      </w:r>
    </w:p>
    <w:p>
      <w:pPr>
        <w:spacing w:line="360" w:lineRule="auto"/>
        <w:ind w:firstLine="480" w:firstLineChars="200"/>
        <w:rPr>
          <w:rFonts w:hAnsi="宋体" w:cs="宋体"/>
          <w:sz w:val="24"/>
        </w:rPr>
      </w:pPr>
      <w:r>
        <w:rPr>
          <w:rFonts w:hint="eastAsia" w:hAnsi="宋体" w:cs="宋体"/>
          <w:sz w:val="24"/>
        </w:rPr>
        <w:t>2.项目编号：ZZXD-CG-2024007</w:t>
      </w:r>
    </w:p>
    <w:p>
      <w:pPr>
        <w:spacing w:line="360" w:lineRule="auto"/>
        <w:ind w:firstLine="480" w:firstLineChars="200"/>
        <w:rPr>
          <w:rFonts w:hAnsi="宋体" w:cs="宋体"/>
          <w:sz w:val="24"/>
        </w:rPr>
      </w:pPr>
      <w:r>
        <w:rPr>
          <w:rFonts w:hint="eastAsia" w:hAnsi="宋体" w:cs="宋体"/>
          <w:sz w:val="24"/>
        </w:rPr>
        <w:t>3.预算金额（最高限价）：362.18万元</w:t>
      </w:r>
    </w:p>
    <w:p>
      <w:pPr>
        <w:spacing w:line="360" w:lineRule="auto"/>
        <w:ind w:firstLine="723" w:firstLineChars="300"/>
        <w:rPr>
          <w:rFonts w:hAnsi="宋体" w:cs="宋体"/>
          <w:b/>
          <w:bCs/>
          <w:sz w:val="24"/>
        </w:rPr>
      </w:pPr>
      <w:r>
        <w:rPr>
          <w:rFonts w:hint="eastAsia" w:hAnsi="宋体" w:cs="宋体"/>
          <w:b/>
          <w:bCs/>
          <w:sz w:val="24"/>
        </w:rPr>
        <w:t>注：本项目不接受超预算报价，供应商响应报价超出本项目预算金额（最高限价），按无效投标处理。</w:t>
      </w:r>
    </w:p>
    <w:p>
      <w:pPr>
        <w:spacing w:line="360" w:lineRule="auto"/>
        <w:ind w:firstLine="480" w:firstLineChars="200"/>
        <w:rPr>
          <w:rFonts w:hint="eastAsia" w:hAnsi="宋体" w:eastAsia="宋体" w:cs="宋体"/>
          <w:color w:val="000000"/>
          <w:sz w:val="24"/>
          <w:lang w:val="en-US" w:eastAsia="zh-CN"/>
        </w:rPr>
      </w:pPr>
      <w:r>
        <w:rPr>
          <w:rFonts w:hint="eastAsia" w:hAnsi="宋体" w:cs="宋体"/>
          <w:sz w:val="24"/>
        </w:rPr>
        <w:t>4.服务期</w:t>
      </w:r>
      <w:r>
        <w:rPr>
          <w:rFonts w:hint="eastAsia" w:hAnsi="宋体" w:cs="宋体"/>
          <w:color w:val="000000"/>
          <w:sz w:val="24"/>
        </w:rPr>
        <w:t>：</w:t>
      </w:r>
      <w:r>
        <w:rPr>
          <w:rFonts w:hint="eastAsia" w:hAnsi="宋体" w:cs="宋体"/>
          <w:color w:val="000000"/>
          <w:sz w:val="24"/>
          <w:highlight w:val="none"/>
        </w:rPr>
        <w:t>合同签订之日起</w:t>
      </w:r>
      <w:r>
        <w:rPr>
          <w:rFonts w:hint="eastAsia" w:hAnsi="宋体" w:cs="宋体"/>
          <w:color w:val="000000"/>
          <w:sz w:val="24"/>
          <w:highlight w:val="none"/>
          <w:lang w:val="en-US" w:eastAsia="zh-CN"/>
        </w:rPr>
        <w:t>90天内</w:t>
      </w:r>
      <w:r>
        <w:rPr>
          <w:rFonts w:hint="eastAsia" w:hAnsi="宋体" w:cs="宋体"/>
          <w:color w:val="000000"/>
          <w:sz w:val="24"/>
          <w:highlight w:val="none"/>
        </w:rPr>
        <w:t>完</w:t>
      </w:r>
      <w:r>
        <w:rPr>
          <w:rFonts w:hint="eastAsia" w:hAnsi="宋体" w:cs="宋体"/>
          <w:color w:val="000000"/>
          <w:sz w:val="24"/>
          <w:highlight w:val="none"/>
          <w:lang w:val="en-US" w:eastAsia="zh-CN"/>
        </w:rPr>
        <w:t>成（包括竣工验收）</w:t>
      </w:r>
    </w:p>
    <w:p>
      <w:pPr>
        <w:spacing w:line="360" w:lineRule="auto"/>
        <w:ind w:firstLine="480" w:firstLineChars="200"/>
        <w:rPr>
          <w:rFonts w:hAnsi="宋体" w:cs="宋体"/>
          <w:sz w:val="24"/>
        </w:rPr>
      </w:pPr>
      <w:r>
        <w:rPr>
          <w:rFonts w:hint="eastAsia" w:hAnsi="宋体" w:cs="宋体"/>
          <w:sz w:val="24"/>
        </w:rPr>
        <w:t>5.服务地点：采购人指定地点</w:t>
      </w:r>
    </w:p>
    <w:p>
      <w:pPr>
        <w:spacing w:line="360" w:lineRule="auto"/>
        <w:rPr>
          <w:rFonts w:hAnsi="宋体" w:cs="宋体"/>
          <w:b/>
          <w:sz w:val="24"/>
        </w:rPr>
      </w:pPr>
      <w:r>
        <w:rPr>
          <w:rFonts w:hint="eastAsia" w:hAnsi="宋体" w:cs="宋体"/>
          <w:b/>
          <w:sz w:val="24"/>
        </w:rPr>
        <w:t>二、采购需求及技术要求</w:t>
      </w:r>
    </w:p>
    <w:p>
      <w:pPr>
        <w:spacing w:line="360" w:lineRule="auto"/>
        <w:ind w:firstLine="480" w:firstLineChars="200"/>
        <w:rPr>
          <w:rFonts w:hAnsi="宋体" w:cs="宋体"/>
          <w:sz w:val="24"/>
        </w:rPr>
      </w:pPr>
      <w:r>
        <w:rPr>
          <w:rFonts w:hint="eastAsia" w:hAnsi="宋体" w:cs="宋体"/>
          <w:sz w:val="24"/>
        </w:rPr>
        <w:t>2.1 项目范围</w:t>
      </w:r>
    </w:p>
    <w:p>
      <w:pPr>
        <w:spacing w:line="360" w:lineRule="auto"/>
        <w:ind w:firstLine="480" w:firstLineChars="200"/>
        <w:rPr>
          <w:rFonts w:hAnsi="宋体" w:cs="宋体"/>
          <w:sz w:val="24"/>
        </w:rPr>
      </w:pPr>
      <w:r>
        <w:rPr>
          <w:rFonts w:hint="eastAsia" w:hAnsi="宋体" w:cs="宋体"/>
          <w:sz w:val="24"/>
        </w:rPr>
        <w:t>本项目范围包括展馆</w:t>
      </w:r>
      <w:r>
        <w:rPr>
          <w:rFonts w:hint="eastAsia" w:hAnsi="宋体" w:cs="宋体"/>
          <w:sz w:val="24"/>
          <w:highlight w:val="none"/>
        </w:rPr>
        <w:t>数字沙盘区域、美丽海南体验剧场、180度弧幕影院</w:t>
      </w:r>
      <w:r>
        <w:rPr>
          <w:rFonts w:hint="eastAsia" w:hAnsi="宋体" w:cs="宋体"/>
          <w:sz w:val="24"/>
        </w:rPr>
        <w:t>等展厅（区）进行内容更新和改造。</w:t>
      </w:r>
    </w:p>
    <w:p>
      <w:pPr>
        <w:spacing w:line="360" w:lineRule="auto"/>
        <w:ind w:firstLine="480" w:firstLineChars="200"/>
        <w:rPr>
          <w:rFonts w:hAnsi="宋体" w:cs="宋体"/>
          <w:sz w:val="24"/>
        </w:rPr>
      </w:pPr>
      <w:r>
        <w:rPr>
          <w:rFonts w:hint="eastAsia" w:hAnsi="宋体" w:cs="宋体"/>
          <w:sz w:val="24"/>
        </w:rPr>
        <w:t>2.3更新内容</w:t>
      </w:r>
    </w:p>
    <w:p>
      <w:pPr>
        <w:pStyle w:val="3"/>
        <w:numPr>
          <w:ilvl w:val="0"/>
          <w:numId w:val="2"/>
        </w:numPr>
        <w:ind w:left="600" w:leftChars="200"/>
        <w:rPr>
          <w:rFonts w:ascii="宋体" w:hAnsi="宋体" w:cs="宋体"/>
          <w:szCs w:val="24"/>
        </w:rPr>
      </w:pPr>
      <w:r>
        <w:rPr>
          <w:rFonts w:hint="eastAsia" w:ascii="宋体" w:hAnsi="宋体" w:cs="宋体"/>
          <w:szCs w:val="24"/>
        </w:rPr>
        <w:t>材料梳理设计</w:t>
      </w:r>
    </w:p>
    <w:p>
      <w:pPr>
        <w:spacing w:line="360" w:lineRule="auto"/>
        <w:ind w:firstLine="480" w:firstLineChars="200"/>
        <w:rPr>
          <w:rFonts w:hAnsi="宋体" w:cs="宋体"/>
          <w:sz w:val="24"/>
        </w:rPr>
      </w:pPr>
      <w:r>
        <w:rPr>
          <w:rFonts w:hint="eastAsia" w:hAnsi="宋体" w:cs="宋体"/>
          <w:sz w:val="24"/>
        </w:rPr>
        <w:t>根据展馆</w:t>
      </w:r>
      <w:r>
        <w:rPr>
          <w:rFonts w:hint="eastAsia" w:hAnsi="宋体" w:cs="宋体"/>
          <w:sz w:val="24"/>
          <w:highlight w:val="yellow"/>
        </w:rPr>
        <w:t>180度弧幕影院</w:t>
      </w:r>
      <w:r>
        <w:rPr>
          <w:rFonts w:hint="eastAsia" w:hAnsi="宋体" w:cs="宋体"/>
          <w:sz w:val="24"/>
        </w:rPr>
        <w:t>对《海南省国土空间规划》</w:t>
      </w:r>
      <w:r>
        <w:rPr>
          <w:rFonts w:hint="eastAsia" w:hAnsi="宋体" w:cs="宋体"/>
          <w:sz w:val="24"/>
          <w:highlight w:val="yellow"/>
        </w:rPr>
        <w:t>内容和美丽海南体验剧场对海南特色资源进行布展内容总结、梳理、提炼整合，形成最终通过甲方确认实施方案。</w:t>
      </w:r>
    </w:p>
    <w:p>
      <w:pPr>
        <w:pStyle w:val="3"/>
        <w:numPr>
          <w:ilvl w:val="0"/>
          <w:numId w:val="2"/>
        </w:numPr>
        <w:ind w:left="600" w:leftChars="200"/>
        <w:rPr>
          <w:rFonts w:ascii="宋体" w:hAnsi="宋体" w:cs="宋体"/>
          <w:szCs w:val="24"/>
          <w:highlight w:val="yellow"/>
        </w:rPr>
      </w:pPr>
      <w:r>
        <w:rPr>
          <w:rFonts w:hint="eastAsia" w:ascii="宋体" w:hAnsi="宋体" w:cs="宋体"/>
          <w:szCs w:val="24"/>
          <w:highlight w:val="yellow"/>
        </w:rPr>
        <w:t>数字沙盘区域</w:t>
      </w:r>
    </w:p>
    <w:p>
      <w:pPr>
        <w:pStyle w:val="3"/>
        <w:numPr>
          <w:ilvl w:val="0"/>
          <w:numId w:val="3"/>
        </w:numPr>
        <w:ind w:left="600" w:leftChars="200"/>
        <w:rPr>
          <w:rFonts w:ascii="宋体" w:hAnsi="宋体" w:cs="宋体"/>
          <w:szCs w:val="24"/>
          <w:highlight w:val="yellow"/>
        </w:rPr>
      </w:pPr>
      <w:r>
        <w:rPr>
          <w:rFonts w:hint="eastAsia" w:ascii="宋体" w:hAnsi="宋体" w:cs="宋体"/>
          <w:szCs w:val="24"/>
          <w:highlight w:val="yellow"/>
        </w:rPr>
        <w:t>在沙盘区域主观看平台设置座椅，达到合理观看沙盘演示，并满足展示要求。</w:t>
      </w:r>
    </w:p>
    <w:p>
      <w:pPr>
        <w:pStyle w:val="3"/>
        <w:numPr>
          <w:ilvl w:val="0"/>
          <w:numId w:val="3"/>
        </w:numPr>
        <w:ind w:left="600" w:leftChars="200"/>
        <w:rPr>
          <w:rFonts w:ascii="宋体" w:hAnsi="宋体" w:cs="宋体"/>
          <w:szCs w:val="24"/>
          <w:highlight w:val="yellow"/>
        </w:rPr>
      </w:pPr>
      <w:r>
        <w:rPr>
          <w:rFonts w:hint="eastAsia" w:ascii="宋体" w:hAnsi="宋体" w:cs="宋体"/>
          <w:szCs w:val="24"/>
          <w:highlight w:val="yellow"/>
        </w:rPr>
        <w:t>在沙盘区域主观看平台与省域规划总图展示区合理设置书柜，合理划分沙盘区域主观看平台与省域规划总图展示区，满足展示要求。</w:t>
      </w:r>
    </w:p>
    <w:p>
      <w:pPr>
        <w:pStyle w:val="3"/>
        <w:numPr>
          <w:ilvl w:val="0"/>
          <w:numId w:val="3"/>
        </w:numPr>
        <w:ind w:left="600" w:leftChars="200"/>
        <w:rPr>
          <w:rFonts w:ascii="宋体" w:hAnsi="宋体" w:cs="宋体"/>
          <w:szCs w:val="24"/>
          <w:highlight w:val="yellow"/>
        </w:rPr>
      </w:pPr>
      <w:r>
        <w:rPr>
          <w:rFonts w:hint="eastAsia" w:ascii="宋体" w:hAnsi="宋体" w:cs="宋体"/>
          <w:szCs w:val="24"/>
          <w:highlight w:val="yellow"/>
        </w:rPr>
        <w:t>数字沙盘区域主观看平台仅增设书架、座椅及座椅位置的基础装饰。</w:t>
      </w:r>
    </w:p>
    <w:p>
      <w:pPr>
        <w:pStyle w:val="3"/>
        <w:numPr>
          <w:ilvl w:val="0"/>
          <w:numId w:val="3"/>
        </w:numPr>
        <w:ind w:left="600" w:leftChars="200"/>
        <w:rPr>
          <w:rFonts w:ascii="宋体" w:hAnsi="宋体" w:cs="宋体"/>
          <w:szCs w:val="24"/>
          <w:highlight w:val="yellow"/>
        </w:rPr>
      </w:pPr>
      <w:r>
        <w:rPr>
          <w:rFonts w:hint="eastAsia" w:ascii="宋体" w:hAnsi="宋体" w:cs="宋体"/>
          <w:szCs w:val="24"/>
          <w:highlight w:val="yellow"/>
        </w:rPr>
        <w:t>不破坏原有墙体铝板结构及主墙体、承重结构等，尽量不破坏原有天花及地面；</w:t>
      </w:r>
    </w:p>
    <w:p>
      <w:pPr>
        <w:pStyle w:val="3"/>
        <w:numPr>
          <w:ilvl w:val="0"/>
          <w:numId w:val="3"/>
        </w:numPr>
        <w:ind w:left="600" w:leftChars="200"/>
        <w:rPr>
          <w:rFonts w:ascii="宋体" w:hAnsi="宋体" w:cs="宋体"/>
          <w:szCs w:val="24"/>
          <w:highlight w:val="yellow"/>
        </w:rPr>
      </w:pPr>
      <w:r>
        <w:rPr>
          <w:rFonts w:hint="eastAsia" w:ascii="宋体" w:hAnsi="宋体" w:cs="宋体"/>
          <w:szCs w:val="24"/>
          <w:highlight w:val="yellow"/>
        </w:rPr>
        <w:t>如涉及到管线及其他隐蔽工程的增加及减少，应当尽量隐藏施工。</w:t>
      </w:r>
    </w:p>
    <w:p>
      <w:pPr>
        <w:pStyle w:val="3"/>
        <w:numPr>
          <w:ilvl w:val="0"/>
          <w:numId w:val="2"/>
        </w:numPr>
        <w:ind w:left="600" w:leftChars="200"/>
        <w:rPr>
          <w:rFonts w:ascii="宋体" w:hAnsi="宋体" w:cs="宋体"/>
          <w:szCs w:val="24"/>
          <w:highlight w:val="yellow"/>
        </w:rPr>
      </w:pPr>
      <w:r>
        <w:rPr>
          <w:rFonts w:hint="eastAsia" w:ascii="宋体" w:hAnsi="宋体" w:cs="宋体"/>
          <w:szCs w:val="24"/>
          <w:highlight w:val="yellow"/>
        </w:rPr>
        <w:t>美丽海南体验剧场</w:t>
      </w:r>
    </w:p>
    <w:p>
      <w:pPr>
        <w:pStyle w:val="3"/>
        <w:numPr>
          <w:ilvl w:val="0"/>
          <w:numId w:val="4"/>
        </w:numPr>
        <w:ind w:left="1025" w:leftChars="0" w:firstLineChars="0"/>
        <w:rPr>
          <w:rFonts w:ascii="宋体" w:hAnsi="宋体" w:cs="宋体"/>
          <w:szCs w:val="24"/>
          <w:highlight w:val="yellow"/>
        </w:rPr>
      </w:pPr>
      <w:r>
        <w:rPr>
          <w:rFonts w:hint="eastAsia" w:ascii="宋体" w:hAnsi="宋体" w:cs="宋体"/>
          <w:szCs w:val="24"/>
          <w:highlight w:val="yellow"/>
        </w:rPr>
        <w:t>展区投影机及相关配套硬件更新及拆除，合理利旧；</w:t>
      </w:r>
    </w:p>
    <w:p>
      <w:pPr>
        <w:pStyle w:val="4"/>
      </w:pPr>
    </w:p>
    <w:p/>
    <w:p>
      <w:pPr>
        <w:pStyle w:val="2"/>
      </w:pPr>
    </w:p>
    <w:p>
      <w:pPr>
        <w:pStyle w:val="3"/>
      </w:pPr>
    </w:p>
    <w:p>
      <w:pPr>
        <w:pStyle w:val="4"/>
      </w:pPr>
    </w:p>
    <w:tbl>
      <w:tblPr>
        <w:tblStyle w:val="22"/>
        <w:tblW w:w="90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5"/>
        <w:gridCol w:w="1888"/>
        <w:gridCol w:w="4170"/>
        <w:gridCol w:w="1140"/>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75" w:type="dxa"/>
            <w:vMerge w:val="restart"/>
            <w:tcBorders>
              <w:top w:val="single" w:color="000000" w:sz="8" w:space="0"/>
              <w:left w:val="single" w:color="000000" w:sz="8" w:space="0"/>
              <w:bottom w:val="single" w:color="000000" w:sz="4" w:space="0"/>
              <w:right w:val="single" w:color="000000" w:sz="4" w:space="0"/>
            </w:tcBorders>
            <w:shd w:val="clear" w:color="FFFFFF" w:fill="D9D9D9"/>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888" w:type="dxa"/>
            <w:vMerge w:val="restart"/>
            <w:tcBorders>
              <w:top w:val="single" w:color="000000" w:sz="8" w:space="0"/>
              <w:left w:val="single" w:color="000000" w:sz="4" w:space="0"/>
              <w:bottom w:val="single" w:color="000000" w:sz="4" w:space="0"/>
              <w:right w:val="single" w:color="000000" w:sz="4" w:space="0"/>
            </w:tcBorders>
            <w:shd w:val="clear" w:color="FFFFFF" w:fill="D9D9D9"/>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hAnsi="宋体" w:cs="宋体"/>
                <w:i w:val="0"/>
                <w:iCs w:val="0"/>
                <w:color w:val="000000"/>
                <w:kern w:val="0"/>
                <w:sz w:val="18"/>
                <w:szCs w:val="18"/>
                <w:u w:val="none"/>
                <w:lang w:val="en-US" w:eastAsia="zh-CN" w:bidi="ar"/>
              </w:rPr>
              <w:t>设备</w:t>
            </w:r>
            <w:r>
              <w:rPr>
                <w:rFonts w:hint="eastAsia" w:ascii="宋体" w:hAnsi="宋体" w:eastAsia="宋体" w:cs="宋体"/>
                <w:i w:val="0"/>
                <w:iCs w:val="0"/>
                <w:color w:val="000000"/>
                <w:kern w:val="0"/>
                <w:sz w:val="18"/>
                <w:szCs w:val="18"/>
                <w:u w:val="none"/>
                <w:lang w:val="en-US" w:eastAsia="zh-CN" w:bidi="ar"/>
              </w:rPr>
              <w:t>名称</w:t>
            </w:r>
          </w:p>
        </w:tc>
        <w:tc>
          <w:tcPr>
            <w:tcW w:w="4170" w:type="dxa"/>
            <w:vMerge w:val="restart"/>
            <w:tcBorders>
              <w:top w:val="single" w:color="000000" w:sz="8" w:space="0"/>
              <w:left w:val="single" w:color="000000" w:sz="4" w:space="0"/>
              <w:bottom w:val="single" w:color="000000" w:sz="4" w:space="0"/>
              <w:right w:val="single" w:color="000000" w:sz="4" w:space="0"/>
            </w:tcBorders>
            <w:shd w:val="clear" w:color="FFFFFF" w:fill="D9D9D9"/>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参数及技术备注</w:t>
            </w:r>
          </w:p>
        </w:tc>
        <w:tc>
          <w:tcPr>
            <w:tcW w:w="1140" w:type="dxa"/>
            <w:vMerge w:val="restart"/>
            <w:tcBorders>
              <w:top w:val="single" w:color="000000" w:sz="8" w:space="0"/>
              <w:left w:val="single" w:color="000000" w:sz="4" w:space="0"/>
              <w:bottom w:val="single" w:color="000000" w:sz="4" w:space="0"/>
              <w:right w:val="single" w:color="000000" w:sz="4" w:space="0"/>
            </w:tcBorders>
            <w:shd w:val="clear" w:color="FFFFFF" w:fill="D9D9D9"/>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185" w:type="dxa"/>
            <w:vMerge w:val="restart"/>
            <w:tcBorders>
              <w:top w:val="single" w:color="000000" w:sz="8" w:space="0"/>
              <w:left w:val="single" w:color="000000" w:sz="4" w:space="0"/>
              <w:bottom w:val="single" w:color="000000" w:sz="4" w:space="0"/>
              <w:right w:val="single" w:color="000000" w:sz="4" w:space="0"/>
            </w:tcBorders>
            <w:shd w:val="clear" w:color="FFFFFF" w:fill="D9D9D9"/>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675" w:type="dxa"/>
            <w:vMerge w:val="continue"/>
            <w:tcBorders>
              <w:top w:val="single" w:color="000000" w:sz="8" w:space="0"/>
              <w:left w:val="single" w:color="000000" w:sz="8" w:space="0"/>
              <w:bottom w:val="single" w:color="000000" w:sz="4" w:space="0"/>
              <w:right w:val="single" w:color="000000" w:sz="4" w:space="0"/>
            </w:tcBorders>
            <w:shd w:val="clear" w:color="FFFFFF" w:fill="D9D9D9"/>
            <w:vAlign w:val="center"/>
          </w:tcPr>
          <w:p>
            <w:pPr>
              <w:jc w:val="center"/>
              <w:rPr>
                <w:rFonts w:hint="eastAsia" w:ascii="宋体" w:hAnsi="宋体" w:eastAsia="宋体" w:cs="宋体"/>
                <w:i w:val="0"/>
                <w:iCs w:val="0"/>
                <w:color w:val="000000"/>
                <w:sz w:val="18"/>
                <w:szCs w:val="18"/>
                <w:u w:val="none"/>
              </w:rPr>
            </w:pPr>
          </w:p>
        </w:tc>
        <w:tc>
          <w:tcPr>
            <w:tcW w:w="1888" w:type="dxa"/>
            <w:vMerge w:val="continue"/>
            <w:tcBorders>
              <w:top w:val="single" w:color="000000" w:sz="8" w:space="0"/>
              <w:left w:val="single" w:color="000000" w:sz="4" w:space="0"/>
              <w:bottom w:val="single" w:color="000000" w:sz="4" w:space="0"/>
              <w:right w:val="single" w:color="000000" w:sz="4" w:space="0"/>
            </w:tcBorders>
            <w:shd w:val="clear" w:color="FFFFFF" w:fill="D9D9D9"/>
            <w:vAlign w:val="center"/>
          </w:tcPr>
          <w:p>
            <w:pPr>
              <w:jc w:val="center"/>
              <w:rPr>
                <w:rFonts w:hint="eastAsia" w:ascii="宋体" w:hAnsi="宋体" w:eastAsia="宋体" w:cs="宋体"/>
                <w:i w:val="0"/>
                <w:iCs w:val="0"/>
                <w:color w:val="000000"/>
                <w:sz w:val="18"/>
                <w:szCs w:val="18"/>
                <w:u w:val="none"/>
              </w:rPr>
            </w:pPr>
          </w:p>
        </w:tc>
        <w:tc>
          <w:tcPr>
            <w:tcW w:w="4170" w:type="dxa"/>
            <w:vMerge w:val="continue"/>
            <w:tcBorders>
              <w:top w:val="single" w:color="000000" w:sz="8" w:space="0"/>
              <w:left w:val="single" w:color="000000" w:sz="4" w:space="0"/>
              <w:bottom w:val="single" w:color="000000" w:sz="4" w:space="0"/>
              <w:right w:val="single" w:color="000000" w:sz="4" w:space="0"/>
            </w:tcBorders>
            <w:shd w:val="clear" w:color="FFFFFF" w:fill="D9D9D9"/>
            <w:vAlign w:val="center"/>
          </w:tcPr>
          <w:p>
            <w:pPr>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8" w:space="0"/>
              <w:left w:val="single" w:color="000000" w:sz="4" w:space="0"/>
              <w:bottom w:val="single" w:color="000000" w:sz="4" w:space="0"/>
              <w:right w:val="single" w:color="000000" w:sz="4" w:space="0"/>
            </w:tcBorders>
            <w:shd w:val="clear" w:color="FFFFFF" w:fill="D9D9D9"/>
            <w:vAlign w:val="center"/>
          </w:tcPr>
          <w:p>
            <w:pPr>
              <w:jc w:val="center"/>
              <w:rPr>
                <w:rFonts w:hint="eastAsia" w:ascii="宋体" w:hAnsi="宋体" w:eastAsia="宋体" w:cs="宋体"/>
                <w:i w:val="0"/>
                <w:iCs w:val="0"/>
                <w:color w:val="000000"/>
                <w:sz w:val="18"/>
                <w:szCs w:val="18"/>
                <w:u w:val="none"/>
              </w:rPr>
            </w:pPr>
          </w:p>
        </w:tc>
        <w:tc>
          <w:tcPr>
            <w:tcW w:w="1185" w:type="dxa"/>
            <w:vMerge w:val="continue"/>
            <w:tcBorders>
              <w:top w:val="single" w:color="000000" w:sz="8" w:space="0"/>
              <w:left w:val="single" w:color="000000" w:sz="4" w:space="0"/>
              <w:bottom w:val="single" w:color="000000" w:sz="4" w:space="0"/>
              <w:right w:val="single" w:color="000000" w:sz="4" w:space="0"/>
            </w:tcBorders>
            <w:shd w:val="clear" w:color="FFFFFF" w:fill="D9D9D9"/>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9" w:hRule="atLeast"/>
        </w:trPr>
        <w:tc>
          <w:tcPr>
            <w:tcW w:w="67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8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投影机</w:t>
            </w:r>
          </w:p>
        </w:tc>
        <w:tc>
          <w:tcPr>
            <w:tcW w:w="417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numPr>
                <w:ilvl w:val="0"/>
                <w:numId w:val="5"/>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显示方式:1dlp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2.光源:单色激光</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3.亮度≥7600lm（中心亮度），≥7400（ISO21118标准）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4.分辨率≥1920*1200</w:t>
            </w:r>
            <w:bookmarkStart w:id="98" w:name="_GoBack"/>
            <w:bookmarkEnd w:id="98"/>
            <w:r>
              <w:rPr>
                <w:rFonts w:hint="eastAsia" w:ascii="宋体" w:hAnsi="宋体" w:eastAsia="宋体" w:cs="宋体"/>
                <w:i w:val="0"/>
                <w:iCs w:val="0"/>
                <w:color w:val="000000"/>
                <w:kern w:val="0"/>
                <w:sz w:val="20"/>
                <w:szCs w:val="20"/>
                <w:u w:val="none"/>
                <w:lang w:val="en-US" w:eastAsia="zh-CN" w:bidi="ar"/>
              </w:rPr>
              <w:br w:type="textWrapping"/>
            </w:r>
            <w:r>
              <w:rPr>
                <w:rFonts w:hint="eastAsia" w:hAnsi="宋体" w:cs="宋体"/>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.售后质保两年及配套服务</w:t>
            </w:r>
          </w:p>
        </w:tc>
        <w:tc>
          <w:tcPr>
            <w:tcW w:w="11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hAnsi="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9" w:hRule="atLeast"/>
        </w:trPr>
        <w:tc>
          <w:tcPr>
            <w:tcW w:w="67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8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多媒体服务器</w:t>
            </w:r>
          </w:p>
        </w:tc>
        <w:tc>
          <w:tcPr>
            <w:tcW w:w="417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numPr>
                <w:ilvl w:val="0"/>
                <w:numId w:val="6"/>
              </w:numPr>
              <w:suppressLineNumbers w:val="0"/>
              <w:jc w:val="left"/>
              <w:textAlignment w:val="center"/>
              <w:rPr>
                <w:rStyle w:val="34"/>
                <w:color w:val="auto"/>
                <w:lang w:val="en-US" w:eastAsia="zh-CN" w:bidi="ar"/>
              </w:rPr>
            </w:pPr>
            <w:r>
              <w:rPr>
                <w:rStyle w:val="34"/>
                <w:lang w:val="en-US" w:eastAsia="zh-CN" w:bidi="ar"/>
              </w:rPr>
              <w:t>规格：多媒体服务器</w:t>
            </w:r>
            <w:r>
              <w:rPr>
                <w:rStyle w:val="34"/>
                <w:lang w:val="en-US" w:eastAsia="zh-CN" w:bidi="ar"/>
              </w:rPr>
              <w:br w:type="textWrapping"/>
            </w:r>
            <w:r>
              <w:rPr>
                <w:rStyle w:val="34"/>
                <w:lang w:val="en-US" w:eastAsia="zh-CN" w:bidi="ar"/>
              </w:rPr>
              <w:t>2.CPU：</w:t>
            </w:r>
            <w:r>
              <w:rPr>
                <w:rStyle w:val="34"/>
                <w:rFonts w:hint="eastAsia"/>
                <w:color w:val="auto"/>
                <w:lang w:val="en-US" w:eastAsia="zh-CN" w:bidi="ar"/>
              </w:rPr>
              <w:t>主频(GHz)</w:t>
            </w:r>
            <w:r>
              <w:rPr>
                <w:rStyle w:val="35"/>
                <w:color w:val="auto"/>
                <w:lang w:val="en-US" w:eastAsia="zh-CN" w:bidi="ar"/>
              </w:rPr>
              <w:t>≥</w:t>
            </w:r>
            <w:r>
              <w:rPr>
                <w:rStyle w:val="35"/>
                <w:rFonts w:hint="eastAsia"/>
                <w:color w:val="auto"/>
                <w:lang w:val="en-US" w:eastAsia="zh-CN" w:bidi="ar"/>
              </w:rPr>
              <w:t>2.3</w:t>
            </w:r>
            <w:r>
              <w:rPr>
                <w:rStyle w:val="34"/>
                <w:color w:val="auto"/>
                <w:lang w:val="en-US" w:eastAsia="zh-CN" w:bidi="ar"/>
              </w:rPr>
              <w:br w:type="textWrapping"/>
            </w:r>
            <w:r>
              <w:rPr>
                <w:rStyle w:val="34"/>
                <w:color w:val="auto"/>
                <w:lang w:val="en-US" w:eastAsia="zh-CN" w:bidi="ar"/>
              </w:rPr>
              <w:t>3.内存：</w:t>
            </w:r>
            <w:r>
              <w:rPr>
                <w:rStyle w:val="35"/>
                <w:color w:val="auto"/>
                <w:lang w:val="en-US" w:eastAsia="zh-CN" w:bidi="ar"/>
              </w:rPr>
              <w:t>≥</w:t>
            </w:r>
            <w:r>
              <w:rPr>
                <w:rStyle w:val="34"/>
                <w:color w:val="auto"/>
                <w:lang w:val="en-US" w:eastAsia="zh-CN" w:bidi="ar"/>
              </w:rPr>
              <w:t>32GB</w:t>
            </w:r>
            <w:r>
              <w:rPr>
                <w:rStyle w:val="34"/>
                <w:color w:val="auto"/>
                <w:lang w:val="en-US" w:eastAsia="zh-CN" w:bidi="ar"/>
              </w:rPr>
              <w:br w:type="textWrapping"/>
            </w:r>
            <w:r>
              <w:rPr>
                <w:rStyle w:val="34"/>
                <w:color w:val="auto"/>
                <w:lang w:val="en-US" w:eastAsia="zh-CN" w:bidi="ar"/>
              </w:rPr>
              <w:t>4.硬盘：</w:t>
            </w:r>
            <w:r>
              <w:rPr>
                <w:rStyle w:val="35"/>
                <w:color w:val="auto"/>
                <w:lang w:val="en-US" w:eastAsia="zh-CN" w:bidi="ar"/>
              </w:rPr>
              <w:t>≥</w:t>
            </w:r>
            <w:r>
              <w:rPr>
                <w:rStyle w:val="34"/>
                <w:color w:val="auto"/>
                <w:lang w:val="en-US" w:eastAsia="zh-CN" w:bidi="ar"/>
              </w:rPr>
              <w:t>250G</w:t>
            </w:r>
            <w:r>
              <w:rPr>
                <w:rStyle w:val="34"/>
                <w:rFonts w:hint="eastAsia"/>
                <w:color w:val="auto"/>
                <w:lang w:val="en-US" w:eastAsia="zh-CN" w:bidi="ar"/>
              </w:rPr>
              <w:t>B</w:t>
            </w:r>
            <w:r>
              <w:rPr>
                <w:rStyle w:val="34"/>
                <w:color w:val="auto"/>
                <w:lang w:val="en-US" w:eastAsia="zh-CN" w:bidi="ar"/>
              </w:rPr>
              <w:t>固态硬盘</w:t>
            </w:r>
            <w:r>
              <w:rPr>
                <w:rStyle w:val="34"/>
                <w:color w:val="auto"/>
                <w:lang w:val="en-US" w:eastAsia="zh-CN" w:bidi="ar"/>
              </w:rPr>
              <w:br w:type="textWrapping"/>
            </w:r>
            <w:r>
              <w:rPr>
                <w:rStyle w:val="34"/>
                <w:color w:val="auto"/>
                <w:lang w:val="en-US" w:eastAsia="zh-CN" w:bidi="ar"/>
              </w:rPr>
              <w:t>5.显卡：</w:t>
            </w:r>
            <w:r>
              <w:rPr>
                <w:rStyle w:val="35"/>
                <w:color w:val="auto"/>
                <w:lang w:val="en-US" w:eastAsia="zh-CN" w:bidi="ar"/>
              </w:rPr>
              <w:t>≥</w:t>
            </w:r>
            <w:r>
              <w:rPr>
                <w:rStyle w:val="34"/>
                <w:color w:val="auto"/>
                <w:lang w:val="en-US" w:eastAsia="zh-CN" w:bidi="ar"/>
              </w:rPr>
              <w:t>16G</w:t>
            </w:r>
            <w:r>
              <w:rPr>
                <w:rStyle w:val="34"/>
                <w:color w:val="auto"/>
                <w:lang w:val="en-US" w:eastAsia="zh-CN" w:bidi="ar"/>
              </w:rPr>
              <w:br w:type="textWrapping"/>
            </w:r>
            <w:r>
              <w:rPr>
                <w:rStyle w:val="34"/>
                <w:color w:val="auto"/>
                <w:lang w:val="en-US" w:eastAsia="zh-CN" w:bidi="ar"/>
              </w:rPr>
              <w:t>6.机箱：工控机箱</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0"/>
                <w:szCs w:val="20"/>
                <w:u w:val="none"/>
              </w:rPr>
            </w:pPr>
            <w:r>
              <w:rPr>
                <w:rFonts w:hint="eastAsia" w:hAnsi="宋体" w:cs="宋体"/>
                <w:i w:val="0"/>
                <w:iCs w:val="0"/>
                <w:color w:val="000000"/>
                <w:kern w:val="0"/>
                <w:sz w:val="20"/>
                <w:szCs w:val="20"/>
                <w:u w:val="none"/>
                <w:lang w:val="en-US" w:eastAsia="zh-CN" w:bidi="ar"/>
              </w:rPr>
              <w:t>7.主板：至少国内外一线品牌</w:t>
            </w:r>
            <w:r>
              <w:rPr>
                <w:rFonts w:hint="eastAsia" w:ascii="宋体" w:hAnsi="宋体" w:eastAsia="宋体" w:cs="宋体"/>
                <w:i w:val="0"/>
                <w:iCs w:val="0"/>
                <w:color w:val="000000"/>
                <w:kern w:val="0"/>
                <w:sz w:val="20"/>
                <w:szCs w:val="20"/>
                <w:u w:val="none"/>
                <w:lang w:val="en-US" w:eastAsia="zh-CN" w:bidi="ar"/>
              </w:rPr>
              <w:br w:type="textWrapping"/>
            </w:r>
            <w:r>
              <w:rPr>
                <w:rFonts w:hint="eastAsia" w:hAnsi="宋体" w:cs="宋体"/>
                <w:i w:val="0"/>
                <w:iCs w:val="0"/>
                <w:color w:val="000000"/>
                <w:kern w:val="0"/>
                <w:sz w:val="20"/>
                <w:szCs w:val="20"/>
                <w:u w:val="none"/>
                <w:lang w:val="en-US" w:eastAsia="zh-CN" w:bidi="ar"/>
              </w:rPr>
              <w:t>8</w:t>
            </w:r>
            <w:r>
              <w:rPr>
                <w:rFonts w:hint="eastAsia" w:ascii="宋体" w:hAnsi="宋体" w:eastAsia="宋体" w:cs="宋体"/>
                <w:i w:val="0"/>
                <w:iCs w:val="0"/>
                <w:color w:val="000000"/>
                <w:kern w:val="0"/>
                <w:sz w:val="20"/>
                <w:szCs w:val="20"/>
                <w:u w:val="none"/>
                <w:lang w:val="en-US" w:eastAsia="zh-CN" w:bidi="ar"/>
              </w:rPr>
              <w:t>.售后质保两年及配套服务</w:t>
            </w:r>
          </w:p>
        </w:tc>
        <w:tc>
          <w:tcPr>
            <w:tcW w:w="11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hAnsi="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2" w:hRule="atLeast"/>
        </w:trPr>
        <w:tc>
          <w:tcPr>
            <w:tcW w:w="67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8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图形几何校正系统</w:t>
            </w:r>
          </w:p>
        </w:tc>
        <w:tc>
          <w:tcPr>
            <w:tcW w:w="417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1.规格型号：图形几何校正系统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2.图形几何校正系统应用软件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3.售后质保两年及配套服务</w:t>
            </w:r>
          </w:p>
        </w:tc>
        <w:tc>
          <w:tcPr>
            <w:tcW w:w="11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2" w:hRule="atLeast"/>
        </w:trPr>
        <w:tc>
          <w:tcPr>
            <w:tcW w:w="67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8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图像边缘融合系统</w:t>
            </w:r>
          </w:p>
        </w:tc>
        <w:tc>
          <w:tcPr>
            <w:tcW w:w="417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1.规格型号：图像边缘融合系统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2.图像边缘融合系统应用软件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3.售后质保两年及配套服务</w:t>
            </w:r>
          </w:p>
        </w:tc>
        <w:tc>
          <w:tcPr>
            <w:tcW w:w="11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2" w:hRule="atLeast"/>
        </w:trPr>
        <w:tc>
          <w:tcPr>
            <w:tcW w:w="67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hAnsi="宋体" w:cs="宋体"/>
                <w:i w:val="0"/>
                <w:iCs w:val="0"/>
                <w:color w:val="000000"/>
                <w:kern w:val="0"/>
                <w:sz w:val="20"/>
                <w:szCs w:val="20"/>
                <w:u w:val="none"/>
                <w:lang w:val="en-US" w:eastAsia="zh-CN" w:bidi="ar"/>
              </w:rPr>
              <w:t>5</w:t>
            </w:r>
          </w:p>
        </w:tc>
        <w:tc>
          <w:tcPr>
            <w:tcW w:w="18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投影机及镜头拆除</w:t>
            </w:r>
          </w:p>
        </w:tc>
        <w:tc>
          <w:tcPr>
            <w:tcW w:w="417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1.投影机及镜头拆除</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2.堆放整理归类</w:t>
            </w:r>
          </w:p>
        </w:tc>
        <w:tc>
          <w:tcPr>
            <w:tcW w:w="11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hAnsi="宋体" w:cs="宋体"/>
                <w:i w:val="0"/>
                <w:iCs w:val="0"/>
                <w:color w:val="000000"/>
                <w:kern w:val="0"/>
                <w:sz w:val="20"/>
                <w:szCs w:val="20"/>
                <w:u w:val="none"/>
                <w:lang w:val="en-US" w:eastAsia="zh-CN" w:bidi="ar"/>
              </w:rPr>
              <w:t>台</w:t>
            </w: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hAnsi="宋体" w:cs="宋体"/>
                <w:i w:val="0"/>
                <w:iCs w:val="0"/>
                <w:color w:val="000000"/>
                <w:kern w:val="0"/>
                <w:sz w:val="20"/>
                <w:szCs w:val="20"/>
                <w:u w:val="none"/>
                <w:lang w:val="en-US" w:eastAsia="zh-CN" w:bidi="ar"/>
              </w:rPr>
              <w:t>14</w:t>
            </w:r>
          </w:p>
        </w:tc>
      </w:tr>
    </w:tbl>
    <w:p/>
    <w:p>
      <w:pPr>
        <w:pStyle w:val="3"/>
        <w:numPr>
          <w:ilvl w:val="0"/>
          <w:numId w:val="4"/>
        </w:numPr>
        <w:ind w:left="1025" w:leftChars="0" w:firstLineChars="0"/>
        <w:rPr>
          <w:rFonts w:ascii="宋体" w:hAnsi="宋体" w:cs="宋体"/>
          <w:szCs w:val="24"/>
          <w:highlight w:val="yellow"/>
        </w:rPr>
      </w:pPr>
      <w:r>
        <w:rPr>
          <w:rFonts w:hint="eastAsia" w:ascii="宋体" w:hAnsi="宋体" w:cs="宋体"/>
          <w:szCs w:val="24"/>
          <w:highlight w:val="yellow"/>
        </w:rPr>
        <w:t>更新《美丽海南体验剧场》影片内容，</w:t>
      </w:r>
      <w:r>
        <w:rPr>
          <w:rFonts w:hint="eastAsia" w:ascii="宋体" w:hAnsi="宋体" w:cs="宋体"/>
          <w:szCs w:val="24"/>
          <w:highlight w:val="yellow"/>
          <w:lang w:val="en-US" w:eastAsia="zh-CN"/>
        </w:rPr>
        <w:t>影片拍摄制作团队配套一级导演、知名制作团队、一级国家配音员配音。</w:t>
      </w:r>
      <w:r>
        <w:rPr>
          <w:rFonts w:hint="eastAsia" w:ascii="宋体" w:hAnsi="宋体" w:cs="宋体"/>
          <w:szCs w:val="24"/>
          <w:highlight w:val="yellow"/>
        </w:rPr>
        <w:t>影片内容时</w:t>
      </w:r>
      <w:r>
        <w:rPr>
          <w:rFonts w:hint="eastAsia" w:ascii="宋体" w:hAnsi="宋体" w:cs="宋体"/>
          <w:szCs w:val="24"/>
          <w:highlight w:val="yellow"/>
          <w:lang w:val="en-US" w:eastAsia="zh-CN"/>
        </w:rPr>
        <w:t>长约</w:t>
      </w:r>
      <w:r>
        <w:rPr>
          <w:rFonts w:hint="eastAsia" w:ascii="宋体" w:hAnsi="宋体" w:cs="宋体"/>
          <w:szCs w:val="24"/>
          <w:highlight w:val="yellow"/>
        </w:rPr>
        <w:t>6分钟</w:t>
      </w:r>
      <w:r>
        <w:rPr>
          <w:rFonts w:hint="eastAsia" w:ascii="宋体" w:hAnsi="宋体" w:cs="宋体"/>
          <w:szCs w:val="24"/>
          <w:highlight w:val="yellow"/>
          <w:lang w:eastAsia="zh-CN"/>
        </w:rPr>
        <w:t>，</w:t>
      </w:r>
      <w:r>
        <w:rPr>
          <w:rFonts w:hint="eastAsia" w:ascii="宋体" w:hAnsi="宋体" w:cs="宋体"/>
          <w:szCs w:val="24"/>
          <w:highlight w:val="yellow"/>
          <w:lang w:val="en-US" w:eastAsia="zh-CN"/>
        </w:rPr>
        <w:t>具备中英文字幕，影片清晰度达4K以上，分辨率规格为18620*1200</w:t>
      </w:r>
      <w:r>
        <w:rPr>
          <w:rFonts w:hint="eastAsia" w:ascii="宋体" w:hAnsi="宋体" w:cs="宋体"/>
          <w:szCs w:val="24"/>
          <w:highlight w:val="yellow"/>
        </w:rPr>
        <w:t>；</w:t>
      </w:r>
    </w:p>
    <w:p>
      <w:pPr>
        <w:pStyle w:val="3"/>
        <w:numPr>
          <w:ilvl w:val="0"/>
          <w:numId w:val="4"/>
        </w:numPr>
        <w:ind w:left="1025" w:leftChars="0" w:firstLineChars="0"/>
        <w:rPr>
          <w:rFonts w:ascii="宋体" w:hAnsi="宋体" w:cs="宋体"/>
          <w:szCs w:val="24"/>
          <w:highlight w:val="yellow"/>
        </w:rPr>
      </w:pPr>
      <w:r>
        <w:rPr>
          <w:rFonts w:hint="eastAsia" w:ascii="宋体" w:hAnsi="宋体" w:cs="宋体"/>
          <w:szCs w:val="24"/>
          <w:highlight w:val="yellow"/>
        </w:rPr>
        <w:t>制作手法可采用实景拍摄、多媒体特效包装、三维建模等最新技术形成数字模型。通过达芬奇调色输出影片成为海南窗口，向外传递海南名片。</w:t>
      </w:r>
    </w:p>
    <w:p>
      <w:pPr>
        <w:pStyle w:val="3"/>
        <w:numPr>
          <w:ilvl w:val="0"/>
          <w:numId w:val="4"/>
        </w:numPr>
        <w:ind w:left="1025" w:leftChars="0" w:firstLineChars="0"/>
        <w:rPr>
          <w:rFonts w:ascii="宋体" w:hAnsi="宋体" w:cs="宋体"/>
          <w:szCs w:val="24"/>
          <w:highlight w:val="yellow"/>
        </w:rPr>
      </w:pPr>
      <w:r>
        <w:rPr>
          <w:rFonts w:hint="eastAsia" w:ascii="宋体" w:hAnsi="宋体" w:cs="宋体"/>
          <w:szCs w:val="24"/>
          <w:highlight w:val="yellow"/>
        </w:rPr>
        <w:t>展示影片主题应当简洁明了、结合海南最新发展规划，选取最优质的风光、产业、城市等面貌，展示形式也不宜过于复杂浮夸，以适度为宜</w:t>
      </w:r>
      <w:r>
        <w:rPr>
          <w:rFonts w:hint="eastAsia" w:ascii="宋体" w:hAnsi="宋体" w:cs="宋体"/>
          <w:szCs w:val="24"/>
          <w:highlight w:val="yellow"/>
          <w:lang w:eastAsia="zh-CN"/>
        </w:rPr>
        <w:t>，</w:t>
      </w:r>
      <w:r>
        <w:rPr>
          <w:rFonts w:hint="eastAsia" w:ascii="宋体" w:hAnsi="宋体" w:cs="宋体"/>
          <w:szCs w:val="24"/>
          <w:highlight w:val="yellow"/>
          <w:lang w:val="en-US" w:eastAsia="zh-CN"/>
        </w:rPr>
        <w:t>打造沉浸式体验效果，</w:t>
      </w:r>
      <w:r>
        <w:rPr>
          <w:rFonts w:hint="eastAsia" w:ascii="宋体" w:hAnsi="宋体" w:cs="宋体"/>
          <w:szCs w:val="24"/>
          <w:highlight w:val="yellow"/>
        </w:rPr>
        <w:t>有效提升大美海南传播效果。</w:t>
      </w:r>
    </w:p>
    <w:p>
      <w:pPr>
        <w:pStyle w:val="3"/>
        <w:numPr>
          <w:ilvl w:val="0"/>
          <w:numId w:val="4"/>
        </w:numPr>
        <w:ind w:left="1025" w:leftChars="0" w:firstLineChars="0"/>
        <w:rPr>
          <w:rFonts w:ascii="宋体" w:hAnsi="宋体" w:cs="宋体"/>
          <w:szCs w:val="24"/>
          <w:highlight w:val="yellow"/>
        </w:rPr>
      </w:pPr>
      <w:r>
        <w:rPr>
          <w:rFonts w:hint="eastAsia" w:ascii="宋体" w:hAnsi="宋体" w:cs="宋体"/>
          <w:szCs w:val="24"/>
          <w:highlight w:val="yellow"/>
        </w:rPr>
        <w:t>不破坏原有墙体铝板结构及主墙体、承重结构等，尽量不破坏原有天花及地面；</w:t>
      </w:r>
    </w:p>
    <w:p>
      <w:pPr>
        <w:pStyle w:val="3"/>
        <w:numPr>
          <w:ilvl w:val="0"/>
          <w:numId w:val="4"/>
        </w:numPr>
        <w:ind w:left="1025" w:leftChars="0" w:firstLineChars="0"/>
        <w:rPr>
          <w:rFonts w:ascii="宋体" w:hAnsi="宋体" w:cs="宋体"/>
          <w:szCs w:val="24"/>
          <w:highlight w:val="yellow"/>
        </w:rPr>
      </w:pPr>
      <w:r>
        <w:rPr>
          <w:rFonts w:hint="eastAsia" w:ascii="宋体" w:hAnsi="宋体" w:cs="宋体"/>
          <w:szCs w:val="24"/>
          <w:highlight w:val="yellow"/>
        </w:rPr>
        <w:t>如涉及到管线及其他隐蔽工程的增加及减少，应当尽量隐藏施工。</w:t>
      </w:r>
    </w:p>
    <w:p>
      <w:pPr>
        <w:rPr>
          <w:rFonts w:hint="default" w:eastAsia="宋体"/>
          <w:lang w:val="en-US" w:eastAsia="zh-CN"/>
        </w:rPr>
      </w:pPr>
      <w:r>
        <w:rPr>
          <w:rFonts w:hint="eastAsia" w:hAnsi="宋体" w:cs="宋体"/>
          <w:szCs w:val="24"/>
          <w:highlight w:val="yellow"/>
          <w:lang w:val="en-US" w:eastAsia="zh-CN"/>
        </w:rPr>
        <w:t xml:space="preserve">    </w:t>
      </w:r>
      <w:r>
        <w:rPr>
          <w:rFonts w:hint="eastAsia" w:ascii="宋体" w:hAnsi="宋体" w:eastAsia="宋体" w:cs="宋体"/>
          <w:sz w:val="24"/>
          <w:szCs w:val="24"/>
          <w:highlight w:val="yellow"/>
          <w:lang w:val="en-US" w:eastAsia="zh-CN" w:bidi="ar-SA"/>
        </w:rPr>
        <w:t>(7)</w:t>
      </w:r>
      <w:r>
        <w:rPr>
          <w:rFonts w:hint="eastAsia" w:hAnsi="宋体" w:cs="宋体"/>
          <w:sz w:val="24"/>
          <w:szCs w:val="24"/>
          <w:highlight w:val="yellow"/>
          <w:lang w:val="en-US" w:eastAsia="zh-CN" w:bidi="ar-SA"/>
        </w:rPr>
        <w:t>该展项的播放系统需具备现场播放及集成远程播放等两个功能。</w:t>
      </w:r>
    </w:p>
    <w:p>
      <w:pPr>
        <w:pStyle w:val="3"/>
        <w:numPr>
          <w:ilvl w:val="0"/>
          <w:numId w:val="2"/>
        </w:numPr>
        <w:ind w:left="600" w:leftChars="200"/>
        <w:rPr>
          <w:rFonts w:ascii="宋体" w:hAnsi="宋体" w:cs="宋体"/>
          <w:szCs w:val="24"/>
          <w:highlight w:val="yellow"/>
        </w:rPr>
      </w:pPr>
      <w:r>
        <w:rPr>
          <w:rFonts w:hint="eastAsia" w:ascii="宋体" w:hAnsi="宋体" w:cs="宋体"/>
          <w:szCs w:val="24"/>
          <w:highlight w:val="yellow"/>
        </w:rPr>
        <w:t>180度弧幕影院</w:t>
      </w:r>
    </w:p>
    <w:p>
      <w:pPr>
        <w:pStyle w:val="3"/>
        <w:numPr>
          <w:ilvl w:val="0"/>
          <w:numId w:val="7"/>
        </w:numPr>
        <w:jc w:val="both"/>
        <w:rPr>
          <w:rFonts w:ascii="宋体" w:hAnsi="宋体" w:cs="宋体"/>
          <w:szCs w:val="24"/>
          <w:highlight w:val="yellow"/>
        </w:rPr>
      </w:pPr>
      <w:r>
        <w:rPr>
          <w:rFonts w:hint="eastAsia" w:ascii="宋体" w:hAnsi="宋体" w:cs="宋体"/>
          <w:szCs w:val="24"/>
          <w:highlight w:val="yellow"/>
        </w:rPr>
        <w:t>根展区投影机及相关配套硬件更新及拆除，合理利旧；</w:t>
      </w:r>
    </w:p>
    <w:p/>
    <w:tbl>
      <w:tblPr>
        <w:tblStyle w:val="22"/>
        <w:tblW w:w="90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5"/>
        <w:gridCol w:w="1873"/>
        <w:gridCol w:w="15"/>
        <w:gridCol w:w="4170"/>
        <w:gridCol w:w="15"/>
        <w:gridCol w:w="1125"/>
        <w:gridCol w:w="15"/>
        <w:gridCol w:w="1155"/>
        <w:gridCol w:w="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75" w:type="dxa"/>
            <w:tcBorders>
              <w:top w:val="single" w:color="000000" w:sz="8" w:space="0"/>
              <w:left w:val="single" w:color="000000" w:sz="8" w:space="0"/>
              <w:bottom w:val="single" w:color="000000" w:sz="4" w:space="0"/>
              <w:right w:val="single" w:color="000000" w:sz="4" w:space="0"/>
            </w:tcBorders>
            <w:shd w:val="clear" w:color="FFFFFF" w:fill="D9D9D9"/>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888" w:type="dxa"/>
            <w:gridSpan w:val="2"/>
            <w:tcBorders>
              <w:top w:val="single" w:color="000000" w:sz="8" w:space="0"/>
              <w:left w:val="single" w:color="000000" w:sz="4" w:space="0"/>
              <w:bottom w:val="single" w:color="000000" w:sz="4" w:space="0"/>
              <w:right w:val="single" w:color="000000" w:sz="4" w:space="0"/>
            </w:tcBorders>
            <w:shd w:val="clear" w:color="FFFFFF" w:fill="D9D9D9"/>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hAnsi="宋体" w:cs="宋体"/>
                <w:i w:val="0"/>
                <w:iCs w:val="0"/>
                <w:color w:val="000000"/>
                <w:kern w:val="0"/>
                <w:sz w:val="18"/>
                <w:szCs w:val="18"/>
                <w:u w:val="none"/>
                <w:lang w:val="en-US" w:eastAsia="zh-CN" w:bidi="ar"/>
              </w:rPr>
              <w:t>设备</w:t>
            </w:r>
            <w:r>
              <w:rPr>
                <w:rFonts w:hint="eastAsia" w:ascii="宋体" w:hAnsi="宋体" w:eastAsia="宋体" w:cs="宋体"/>
                <w:i w:val="0"/>
                <w:iCs w:val="0"/>
                <w:color w:val="000000"/>
                <w:kern w:val="0"/>
                <w:sz w:val="18"/>
                <w:szCs w:val="18"/>
                <w:u w:val="none"/>
                <w:lang w:val="en-US" w:eastAsia="zh-CN" w:bidi="ar"/>
              </w:rPr>
              <w:t>名称</w:t>
            </w:r>
          </w:p>
        </w:tc>
        <w:tc>
          <w:tcPr>
            <w:tcW w:w="4170" w:type="dxa"/>
            <w:tcBorders>
              <w:top w:val="single" w:color="000000" w:sz="8" w:space="0"/>
              <w:left w:val="single" w:color="000000" w:sz="4" w:space="0"/>
              <w:bottom w:val="single" w:color="000000" w:sz="4" w:space="0"/>
              <w:right w:val="single" w:color="000000" w:sz="4" w:space="0"/>
            </w:tcBorders>
            <w:shd w:val="clear" w:color="FFFFFF" w:fill="D9D9D9"/>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参数及技术备注</w:t>
            </w:r>
          </w:p>
        </w:tc>
        <w:tc>
          <w:tcPr>
            <w:tcW w:w="1140" w:type="dxa"/>
            <w:gridSpan w:val="2"/>
            <w:tcBorders>
              <w:top w:val="single" w:color="000000" w:sz="8" w:space="0"/>
              <w:left w:val="single" w:color="000000" w:sz="4" w:space="0"/>
              <w:bottom w:val="single" w:color="000000" w:sz="4" w:space="0"/>
              <w:right w:val="single" w:color="000000" w:sz="4" w:space="0"/>
            </w:tcBorders>
            <w:shd w:val="clear" w:color="FFFFFF" w:fill="D9D9D9"/>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185" w:type="dxa"/>
            <w:gridSpan w:val="3"/>
            <w:tcBorders>
              <w:top w:val="single" w:color="000000" w:sz="8" w:space="0"/>
              <w:left w:val="single" w:color="000000" w:sz="4" w:space="0"/>
              <w:bottom w:val="single" w:color="000000" w:sz="4" w:space="0"/>
              <w:right w:val="single" w:color="000000" w:sz="4" w:space="0"/>
            </w:tcBorders>
            <w:shd w:val="clear" w:color="FFFFFF" w:fill="D9D9D9"/>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1999" w:hRule="atLeast"/>
        </w:trPr>
        <w:tc>
          <w:tcPr>
            <w:tcW w:w="67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8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投影机</w:t>
            </w:r>
          </w:p>
        </w:tc>
        <w:tc>
          <w:tcPr>
            <w:tcW w:w="4200" w:type="dxa"/>
            <w:gridSpan w:val="3"/>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1.显示方式:1dlp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2.光源:单色激光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3.亮度≥7600lm（中心亮度），≥7400（ISO21118标准）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4.分辨率≥1920*1200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5.售后质保两年及配套服务</w:t>
            </w:r>
          </w:p>
        </w:tc>
        <w:tc>
          <w:tcPr>
            <w:tcW w:w="11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1999" w:hRule="atLeast"/>
        </w:trPr>
        <w:tc>
          <w:tcPr>
            <w:tcW w:w="67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8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多媒体服务器</w:t>
            </w:r>
          </w:p>
        </w:tc>
        <w:tc>
          <w:tcPr>
            <w:tcW w:w="4200" w:type="dxa"/>
            <w:gridSpan w:val="3"/>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numPr>
                <w:ilvl w:val="0"/>
                <w:numId w:val="8"/>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规格：多媒体服务器</w:t>
            </w:r>
          </w:p>
          <w:p>
            <w:pPr>
              <w:keepNext w:val="0"/>
              <w:keepLines w:val="0"/>
              <w:widowControl/>
              <w:numPr>
                <w:ilvl w:val="0"/>
                <w:numId w:val="8"/>
              </w:numPr>
              <w:suppressLineNumbers w:val="0"/>
              <w:ind w:left="0" w:leftChars="0" w:firstLine="0"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CPU：</w:t>
            </w:r>
            <w:r>
              <w:rPr>
                <w:rStyle w:val="34"/>
                <w:rFonts w:hint="eastAsia"/>
                <w:color w:val="auto"/>
                <w:lang w:val="en-US" w:eastAsia="zh-CN" w:bidi="ar"/>
              </w:rPr>
              <w:t>主频(GHz)</w:t>
            </w:r>
            <w:r>
              <w:rPr>
                <w:rStyle w:val="35"/>
                <w:color w:val="auto"/>
                <w:lang w:val="en-US" w:eastAsia="zh-CN" w:bidi="ar"/>
              </w:rPr>
              <w:t>≥</w:t>
            </w:r>
            <w:r>
              <w:rPr>
                <w:rStyle w:val="35"/>
                <w:rFonts w:hint="eastAsia"/>
                <w:color w:val="auto"/>
                <w:lang w:val="en-US" w:eastAsia="zh-CN" w:bidi="ar"/>
              </w:rPr>
              <w:t>2.3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3.内存：</w:t>
            </w:r>
            <w:r>
              <w:rPr>
                <w:rStyle w:val="36"/>
                <w:color w:val="auto"/>
                <w:lang w:val="en-US" w:eastAsia="zh-CN" w:bidi="ar"/>
              </w:rPr>
              <w:t>≥</w:t>
            </w:r>
            <w:r>
              <w:rPr>
                <w:rFonts w:hint="eastAsia" w:ascii="宋体" w:hAnsi="宋体" w:eastAsia="宋体" w:cs="宋体"/>
                <w:i w:val="0"/>
                <w:iCs w:val="0"/>
                <w:color w:val="auto"/>
                <w:kern w:val="0"/>
                <w:sz w:val="20"/>
                <w:szCs w:val="20"/>
                <w:u w:val="none"/>
                <w:lang w:val="en-US" w:eastAsia="zh-CN" w:bidi="ar"/>
              </w:rPr>
              <w:t>32GB</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4.硬盘：</w:t>
            </w:r>
            <w:r>
              <w:rPr>
                <w:rStyle w:val="36"/>
                <w:color w:val="auto"/>
                <w:lang w:val="en-US" w:eastAsia="zh-CN" w:bidi="ar"/>
              </w:rPr>
              <w:t>≥</w:t>
            </w:r>
            <w:r>
              <w:rPr>
                <w:rFonts w:hint="eastAsia" w:ascii="宋体" w:hAnsi="宋体" w:eastAsia="宋体" w:cs="宋体"/>
                <w:i w:val="0"/>
                <w:iCs w:val="0"/>
                <w:color w:val="000000"/>
                <w:kern w:val="0"/>
                <w:sz w:val="20"/>
                <w:szCs w:val="20"/>
                <w:u w:val="none"/>
                <w:lang w:val="en-US" w:eastAsia="zh-CN" w:bidi="ar"/>
              </w:rPr>
              <w:t>250GB固态硬盘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5.显卡：16G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6.机箱：工控机箱</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sz w:val="20"/>
                <w:szCs w:val="20"/>
                <w:u w:val="none"/>
              </w:rPr>
            </w:pPr>
            <w:r>
              <w:rPr>
                <w:rFonts w:hint="eastAsia" w:hAnsi="宋体" w:cs="宋体"/>
                <w:i w:val="0"/>
                <w:iCs w:val="0"/>
                <w:color w:val="000000"/>
                <w:kern w:val="0"/>
                <w:sz w:val="20"/>
                <w:szCs w:val="20"/>
                <w:u w:val="none"/>
                <w:lang w:val="en-US" w:eastAsia="zh-CN" w:bidi="ar"/>
              </w:rPr>
              <w:t>7.主板：至少国内外一线品牌</w:t>
            </w:r>
            <w:r>
              <w:rPr>
                <w:rFonts w:hint="eastAsia" w:ascii="宋体" w:hAnsi="宋体" w:eastAsia="宋体" w:cs="宋体"/>
                <w:i w:val="0"/>
                <w:iCs w:val="0"/>
                <w:color w:val="000000"/>
                <w:kern w:val="0"/>
                <w:sz w:val="20"/>
                <w:szCs w:val="20"/>
                <w:u w:val="none"/>
                <w:lang w:val="en-US" w:eastAsia="zh-CN" w:bidi="ar"/>
              </w:rPr>
              <w:br w:type="textWrapping"/>
            </w:r>
            <w:r>
              <w:rPr>
                <w:rFonts w:hint="eastAsia" w:hAnsi="宋体" w:cs="宋体"/>
                <w:i w:val="0"/>
                <w:iCs w:val="0"/>
                <w:color w:val="000000"/>
                <w:kern w:val="0"/>
                <w:sz w:val="20"/>
                <w:szCs w:val="20"/>
                <w:u w:val="none"/>
                <w:lang w:val="en-US" w:eastAsia="zh-CN" w:bidi="ar"/>
              </w:rPr>
              <w:t>8</w:t>
            </w:r>
            <w:r>
              <w:rPr>
                <w:rFonts w:hint="eastAsia" w:ascii="宋体" w:hAnsi="宋体" w:eastAsia="宋体" w:cs="宋体"/>
                <w:i w:val="0"/>
                <w:iCs w:val="0"/>
                <w:color w:val="000000"/>
                <w:kern w:val="0"/>
                <w:sz w:val="20"/>
                <w:szCs w:val="20"/>
                <w:u w:val="none"/>
                <w:lang w:val="en-US" w:eastAsia="zh-CN" w:bidi="ar"/>
              </w:rPr>
              <w:t>.售后质保两年及配套服务</w:t>
            </w:r>
          </w:p>
        </w:tc>
        <w:tc>
          <w:tcPr>
            <w:tcW w:w="11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1002" w:hRule="atLeast"/>
        </w:trPr>
        <w:tc>
          <w:tcPr>
            <w:tcW w:w="67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8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图形几何校正系统</w:t>
            </w:r>
          </w:p>
        </w:tc>
        <w:tc>
          <w:tcPr>
            <w:tcW w:w="4200" w:type="dxa"/>
            <w:gridSpan w:val="3"/>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1.规格型号：图形几何校正系统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2.图形几何校正系统应用软件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3.售后质保两年及配套服务</w:t>
            </w:r>
          </w:p>
        </w:tc>
        <w:tc>
          <w:tcPr>
            <w:tcW w:w="11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1002" w:hRule="atLeast"/>
        </w:trPr>
        <w:tc>
          <w:tcPr>
            <w:tcW w:w="67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8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图像边缘融合系统</w:t>
            </w:r>
          </w:p>
        </w:tc>
        <w:tc>
          <w:tcPr>
            <w:tcW w:w="4200" w:type="dxa"/>
            <w:gridSpan w:val="3"/>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1.规格型号：图像边缘融合系统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2.图像边缘融合系统应用软件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3.售后质保两年及配套服务</w:t>
            </w:r>
          </w:p>
        </w:tc>
        <w:tc>
          <w:tcPr>
            <w:tcW w:w="11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1002" w:hRule="atLeast"/>
        </w:trPr>
        <w:tc>
          <w:tcPr>
            <w:tcW w:w="67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hAnsi="宋体" w:cs="宋体"/>
                <w:i w:val="0"/>
                <w:iCs w:val="0"/>
                <w:color w:val="000000"/>
                <w:kern w:val="0"/>
                <w:sz w:val="20"/>
                <w:szCs w:val="20"/>
                <w:u w:val="none"/>
                <w:lang w:val="en-US" w:eastAsia="zh-CN" w:bidi="ar"/>
              </w:rPr>
              <w:t>5</w:t>
            </w:r>
          </w:p>
        </w:tc>
        <w:tc>
          <w:tcPr>
            <w:tcW w:w="18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投影机及镜头拆除</w:t>
            </w:r>
          </w:p>
        </w:tc>
        <w:tc>
          <w:tcPr>
            <w:tcW w:w="4200" w:type="dxa"/>
            <w:gridSpan w:val="3"/>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1.投影机及镜头拆除</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2.堆放整理归类</w:t>
            </w:r>
          </w:p>
        </w:tc>
        <w:tc>
          <w:tcPr>
            <w:tcW w:w="11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hAnsi="宋体" w:cs="宋体"/>
                <w:i w:val="0"/>
                <w:iCs w:val="0"/>
                <w:color w:val="000000"/>
                <w:kern w:val="0"/>
                <w:sz w:val="20"/>
                <w:szCs w:val="20"/>
                <w:u w:val="none"/>
                <w:lang w:val="en-US" w:eastAsia="zh-CN" w:bidi="ar"/>
              </w:rPr>
              <w:t>台</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hAnsi="宋体" w:cs="宋体"/>
                <w:i w:val="0"/>
                <w:iCs w:val="0"/>
                <w:color w:val="000000"/>
                <w:kern w:val="0"/>
                <w:sz w:val="20"/>
                <w:szCs w:val="20"/>
                <w:u w:val="none"/>
                <w:lang w:val="en-US" w:eastAsia="zh-CN" w:bidi="ar"/>
              </w:rPr>
              <w:t>5</w:t>
            </w:r>
          </w:p>
        </w:tc>
      </w:tr>
    </w:tbl>
    <w:p/>
    <w:p>
      <w:pPr>
        <w:pStyle w:val="3"/>
        <w:numPr>
          <w:ilvl w:val="0"/>
          <w:numId w:val="7"/>
        </w:numPr>
        <w:rPr>
          <w:rFonts w:ascii="宋体" w:hAnsi="宋体" w:cs="宋体"/>
          <w:szCs w:val="24"/>
          <w:highlight w:val="yellow"/>
        </w:rPr>
      </w:pPr>
      <w:r>
        <w:rPr>
          <w:rFonts w:hint="eastAsia" w:ascii="宋体" w:hAnsi="宋体" w:cs="宋体"/>
          <w:szCs w:val="24"/>
          <w:highlight w:val="yellow"/>
        </w:rPr>
        <w:t>更新《180度弧幕影院》影片内容，</w:t>
      </w:r>
      <w:r>
        <w:rPr>
          <w:rFonts w:hint="eastAsia" w:ascii="宋体" w:hAnsi="宋体" w:cs="宋体"/>
          <w:szCs w:val="24"/>
          <w:highlight w:val="yellow"/>
          <w:lang w:val="en-US" w:eastAsia="zh-CN"/>
        </w:rPr>
        <w:t>影片拍摄制作团队配套一级导演、知名制作团队、一级国家配音员配音。</w:t>
      </w:r>
      <w:r>
        <w:rPr>
          <w:rFonts w:hint="eastAsia" w:ascii="宋体" w:hAnsi="宋体" w:cs="宋体"/>
          <w:szCs w:val="24"/>
          <w:highlight w:val="yellow"/>
        </w:rPr>
        <w:t>影片内容时</w:t>
      </w:r>
      <w:r>
        <w:rPr>
          <w:rFonts w:hint="eastAsia" w:ascii="宋体" w:hAnsi="宋体" w:cs="宋体"/>
          <w:szCs w:val="24"/>
          <w:highlight w:val="yellow"/>
          <w:lang w:val="en-US" w:eastAsia="zh-CN"/>
        </w:rPr>
        <w:t>长约</w:t>
      </w:r>
      <w:r>
        <w:rPr>
          <w:rFonts w:hint="eastAsia" w:ascii="宋体" w:hAnsi="宋体" w:cs="宋体"/>
          <w:szCs w:val="24"/>
          <w:highlight w:val="yellow"/>
        </w:rPr>
        <w:t>6分钟</w:t>
      </w:r>
      <w:r>
        <w:rPr>
          <w:rFonts w:hint="eastAsia" w:ascii="宋体" w:hAnsi="宋体" w:cs="宋体"/>
          <w:szCs w:val="24"/>
          <w:highlight w:val="yellow"/>
          <w:lang w:eastAsia="zh-CN"/>
        </w:rPr>
        <w:t>，</w:t>
      </w:r>
      <w:r>
        <w:rPr>
          <w:rFonts w:hint="eastAsia" w:ascii="宋体" w:hAnsi="宋体" w:cs="宋体"/>
          <w:szCs w:val="24"/>
          <w:highlight w:val="yellow"/>
          <w:lang w:val="en-US" w:eastAsia="zh-CN"/>
        </w:rPr>
        <w:t>具备中英文字幕，影片清晰度达4K以上，分辨率规格为6640*1200</w:t>
      </w:r>
      <w:r>
        <w:rPr>
          <w:rFonts w:hint="eastAsia" w:ascii="宋体" w:hAnsi="宋体" w:cs="宋体"/>
          <w:szCs w:val="24"/>
          <w:highlight w:val="yellow"/>
        </w:rPr>
        <w:t>；</w:t>
      </w:r>
    </w:p>
    <w:p>
      <w:pPr>
        <w:pStyle w:val="3"/>
        <w:numPr>
          <w:ilvl w:val="0"/>
          <w:numId w:val="7"/>
        </w:numPr>
        <w:rPr>
          <w:rFonts w:ascii="宋体" w:hAnsi="宋体" w:cs="宋体"/>
          <w:szCs w:val="24"/>
          <w:highlight w:val="yellow"/>
        </w:rPr>
      </w:pPr>
      <w:r>
        <w:rPr>
          <w:rFonts w:hint="eastAsia" w:ascii="宋体" w:hAnsi="宋体" w:cs="宋体"/>
          <w:szCs w:val="24"/>
          <w:highlight w:val="yellow"/>
        </w:rPr>
        <w:t>制作手法可采用实景拍摄、多媒体特效包装、三维建模等最新技术形成数字模型。通过达芬奇调色输出影片成为海南窗口，向外传递海南名片。有效提升国土空间规划成果的公众知晓度和社会参与度。</w:t>
      </w:r>
    </w:p>
    <w:p>
      <w:pPr>
        <w:pStyle w:val="3"/>
        <w:numPr>
          <w:ilvl w:val="0"/>
          <w:numId w:val="7"/>
        </w:numPr>
        <w:rPr>
          <w:rFonts w:ascii="宋体" w:hAnsi="宋体" w:cs="宋体"/>
          <w:szCs w:val="24"/>
          <w:highlight w:val="yellow"/>
        </w:rPr>
      </w:pPr>
      <w:r>
        <w:rPr>
          <w:rFonts w:hint="eastAsia" w:ascii="宋体" w:hAnsi="宋体" w:cs="宋体"/>
          <w:szCs w:val="24"/>
          <w:highlight w:val="yellow"/>
        </w:rPr>
        <w:t>展示影片主题应当简洁明了、结合海南最新发展规划，选取最优质的风光、产业、城市等面貌，展示形式也不宜过于复杂浮夸，以适度为宜</w:t>
      </w:r>
      <w:r>
        <w:rPr>
          <w:rFonts w:hint="eastAsia" w:ascii="宋体" w:hAnsi="宋体" w:cs="宋体"/>
          <w:szCs w:val="24"/>
          <w:highlight w:val="yellow"/>
          <w:lang w:eastAsia="zh-CN"/>
        </w:rPr>
        <w:t>，</w:t>
      </w:r>
      <w:r>
        <w:rPr>
          <w:rFonts w:hint="eastAsia" w:ascii="宋体" w:hAnsi="宋体" w:cs="宋体"/>
          <w:szCs w:val="24"/>
          <w:highlight w:val="yellow"/>
          <w:lang w:val="en-US" w:eastAsia="zh-CN"/>
        </w:rPr>
        <w:t>打造沉浸式体验效果</w:t>
      </w:r>
      <w:r>
        <w:rPr>
          <w:rFonts w:hint="eastAsia" w:ascii="宋体" w:hAnsi="宋体" w:cs="宋体"/>
          <w:szCs w:val="24"/>
          <w:highlight w:val="yellow"/>
        </w:rPr>
        <w:t>。</w:t>
      </w:r>
    </w:p>
    <w:p>
      <w:pPr>
        <w:pStyle w:val="3"/>
        <w:numPr>
          <w:ilvl w:val="0"/>
          <w:numId w:val="7"/>
        </w:numPr>
        <w:rPr>
          <w:rFonts w:ascii="宋体" w:hAnsi="宋体" w:cs="宋体"/>
          <w:szCs w:val="24"/>
          <w:highlight w:val="yellow"/>
        </w:rPr>
      </w:pPr>
      <w:r>
        <w:rPr>
          <w:rFonts w:hint="eastAsia" w:ascii="宋体" w:hAnsi="宋体" w:cs="宋体"/>
          <w:szCs w:val="24"/>
          <w:highlight w:val="yellow"/>
        </w:rPr>
        <w:t>不破坏原有墙体铝板结构及主墙体、承重结构等，尽量不破坏原有天花及地面；</w:t>
      </w:r>
    </w:p>
    <w:p>
      <w:pPr>
        <w:pStyle w:val="3"/>
        <w:numPr>
          <w:ilvl w:val="0"/>
          <w:numId w:val="7"/>
        </w:numPr>
        <w:rPr>
          <w:rFonts w:ascii="宋体" w:hAnsi="宋体" w:cs="宋体"/>
          <w:szCs w:val="24"/>
          <w:highlight w:val="yellow"/>
        </w:rPr>
      </w:pPr>
      <w:r>
        <w:rPr>
          <w:rFonts w:hint="eastAsia" w:ascii="宋体" w:hAnsi="宋体" w:cs="宋体"/>
          <w:szCs w:val="24"/>
          <w:highlight w:val="yellow"/>
        </w:rPr>
        <w:t>如涉及到管线及其他隐蔽工程的增加及减少，应当尽量隐藏施工。</w:t>
      </w:r>
    </w:p>
    <w:p>
      <w:pPr>
        <w:ind w:firstLine="480" w:firstLineChars="200"/>
      </w:pPr>
      <w:r>
        <w:rPr>
          <w:rFonts w:hint="eastAsia" w:ascii="宋体" w:hAnsi="宋体" w:eastAsia="宋体" w:cs="宋体"/>
          <w:sz w:val="24"/>
          <w:szCs w:val="24"/>
          <w:highlight w:val="yellow"/>
          <w:lang w:val="en-US" w:eastAsia="zh-CN" w:bidi="ar-SA"/>
        </w:rPr>
        <w:t>(7)</w:t>
      </w:r>
      <w:r>
        <w:rPr>
          <w:rFonts w:hint="eastAsia" w:hAnsi="宋体" w:cs="宋体"/>
          <w:sz w:val="24"/>
          <w:szCs w:val="24"/>
          <w:highlight w:val="yellow"/>
          <w:lang w:val="en-US" w:eastAsia="zh-CN" w:bidi="ar-SA"/>
        </w:rPr>
        <w:t>该展项的播放系统需具备现场播放及集成远程播放等两个功能。</w:t>
      </w:r>
    </w:p>
    <w:p>
      <w:pPr>
        <w:spacing w:line="360" w:lineRule="auto"/>
        <w:rPr>
          <w:rFonts w:hAnsi="宋体" w:cs="宋体"/>
          <w:b/>
          <w:sz w:val="24"/>
        </w:rPr>
      </w:pPr>
      <w:r>
        <w:rPr>
          <w:rFonts w:hint="eastAsia" w:hAnsi="宋体" w:cs="宋体"/>
          <w:b/>
          <w:sz w:val="24"/>
        </w:rPr>
        <w:t>三、本次采购项目专利权的说明</w:t>
      </w:r>
    </w:p>
    <w:p>
      <w:pPr>
        <w:spacing w:line="360" w:lineRule="auto"/>
        <w:ind w:firstLine="480" w:firstLineChars="200"/>
        <w:rPr>
          <w:rFonts w:hAnsi="宋体" w:cs="宋体"/>
          <w:sz w:val="24"/>
        </w:rPr>
      </w:pPr>
      <w:r>
        <w:rPr>
          <w:rFonts w:hint="eastAsia" w:hAnsi="宋体" w:cs="宋体"/>
          <w:sz w:val="24"/>
        </w:rPr>
        <w:t>中标供应商须保障采购方在使用该“作品内容”或其任何一部分时，不受到第三方关于侵犯专利权、商标权、版权、专有技术等权利的指控。如果任何第三方提出侵权指控，中标供应商须与第三方交涉并承担可能发生的一切损失和费用。</w:t>
      </w:r>
    </w:p>
    <w:p>
      <w:pPr>
        <w:spacing w:line="360" w:lineRule="auto"/>
        <w:rPr>
          <w:rFonts w:hAnsi="宋体" w:cs="宋体"/>
          <w:b/>
          <w:sz w:val="24"/>
        </w:rPr>
      </w:pPr>
      <w:r>
        <w:rPr>
          <w:rFonts w:hint="eastAsia" w:hAnsi="宋体" w:cs="宋体"/>
          <w:b/>
          <w:sz w:val="24"/>
        </w:rPr>
        <w:t>四、其他要求</w:t>
      </w:r>
    </w:p>
    <w:p>
      <w:pPr>
        <w:spacing w:line="360" w:lineRule="auto"/>
        <w:ind w:firstLine="480" w:firstLineChars="200"/>
        <w:rPr>
          <w:rFonts w:hAnsi="宋体" w:cs="宋体"/>
          <w:sz w:val="24"/>
        </w:rPr>
      </w:pPr>
      <w:r>
        <w:rPr>
          <w:rFonts w:hint="eastAsia" w:hAnsi="宋体" w:cs="宋体"/>
          <w:sz w:val="24"/>
        </w:rPr>
        <w:t>1.供应商须根据所投产品的技术参数、资质资料编写磋商响应文件。在成交结果公示期间，采购人有权对成交候选供应商的相关情况等进行核查，如发现与其磋商响应文件的描述不一致，代理机构将报政府采购主管部门严肃处理。</w:t>
      </w:r>
    </w:p>
    <w:p>
      <w:pPr>
        <w:spacing w:line="360" w:lineRule="auto"/>
        <w:ind w:firstLine="480" w:firstLineChars="200"/>
        <w:rPr>
          <w:rFonts w:hAnsi="宋体" w:cs="宋体"/>
          <w:sz w:val="24"/>
        </w:rPr>
      </w:pPr>
      <w:r>
        <w:rPr>
          <w:rFonts w:hint="eastAsia" w:hAnsi="宋体" w:cs="宋体"/>
          <w:sz w:val="24"/>
        </w:rPr>
        <w:t>2.本项目不接受超预算报价，响应报价超出预算金额（最高限价）的按无效报价处理。</w:t>
      </w:r>
    </w:p>
    <w:p>
      <w:pPr>
        <w:spacing w:line="360" w:lineRule="auto"/>
        <w:ind w:firstLine="480" w:firstLineChars="200"/>
        <w:rPr>
          <w:rFonts w:hAnsi="宋体" w:cs="宋体"/>
          <w:sz w:val="24"/>
        </w:rPr>
      </w:pPr>
      <w:r>
        <w:rPr>
          <w:rFonts w:hint="eastAsia" w:hAnsi="宋体" w:cs="宋体"/>
          <w:sz w:val="24"/>
        </w:rPr>
        <w:t>3.供应商须对竞争性磋商文件所列的所有品名、清单及服务内容进行投标，如有遗漏，则视为无效投标。</w:t>
      </w:r>
    </w:p>
    <w:p>
      <w:pPr>
        <w:spacing w:line="360" w:lineRule="auto"/>
        <w:ind w:firstLine="480" w:firstLineChars="200"/>
        <w:rPr>
          <w:rFonts w:hAnsi="宋体" w:cs="宋体"/>
          <w:sz w:val="24"/>
        </w:rPr>
      </w:pPr>
      <w:r>
        <w:rPr>
          <w:rFonts w:hint="eastAsia" w:hAnsi="宋体" w:cs="宋体"/>
          <w:sz w:val="24"/>
        </w:rPr>
        <w:t>4.验收方式：采购人组织验收或采购人委托第三方权威机构进行验收，成交供应商负责提交验收所需文件。（1）采购人应按照国家已出台的相关标准、竞争性谈判文件及磋商响应文件的相关要求进行验收；（2）成交供应商须无条件全程配合验收，验收产生的相关费用在合同中具体约定。</w:t>
      </w:r>
    </w:p>
    <w:p>
      <w:pPr>
        <w:spacing w:line="360" w:lineRule="auto"/>
        <w:ind w:firstLine="480" w:firstLineChars="200"/>
        <w:rPr>
          <w:rFonts w:hAnsi="宋体" w:cs="宋体"/>
          <w:sz w:val="24"/>
        </w:rPr>
      </w:pPr>
      <w:r>
        <w:rPr>
          <w:rFonts w:hint="eastAsia" w:hAnsi="宋体" w:cs="宋体"/>
          <w:sz w:val="24"/>
        </w:rPr>
        <w:t>5.本项目不统一组织踏勘现场，供应商自行安排现场踏勘，供应商递交的磋商响应文件，视为已充分考虑了项目实际情况、技术标准及要求、工期、交付场地等特点和相关风险。</w:t>
      </w:r>
    </w:p>
    <w:p>
      <w:pPr>
        <w:spacing w:line="360" w:lineRule="auto"/>
        <w:ind w:firstLine="480" w:firstLineChars="200"/>
        <w:rPr>
          <w:rFonts w:hAnsi="宋体" w:cs="宋体"/>
          <w:sz w:val="24"/>
        </w:rPr>
      </w:pPr>
      <w:r>
        <w:rPr>
          <w:rFonts w:hint="eastAsia" w:hAnsi="宋体" w:cs="宋体"/>
          <w:sz w:val="24"/>
        </w:rPr>
        <w:t>6.合同履约过程中，根据项目工程实际情况需对检测的内容、数量或相关技术和服务要求进行调整或变更的，由采购人和成交供应商进行协商，具体内容在合同条款中进行约定。</w:t>
      </w:r>
    </w:p>
    <w:p>
      <w:pPr>
        <w:pStyle w:val="3"/>
        <w:spacing w:line="560" w:lineRule="exact"/>
        <w:ind w:firstLine="454" w:firstLineChars="200"/>
        <w:rPr>
          <w:rFonts w:ascii="宋体" w:hAnsi="宋体" w:cs="宋体"/>
          <w:b/>
          <w:bCs/>
          <w:spacing w:val="-7"/>
        </w:rPr>
      </w:pPr>
    </w:p>
    <w:p/>
    <w:p>
      <w:pPr>
        <w:pStyle w:val="2"/>
      </w:pPr>
    </w:p>
    <w:p>
      <w:pPr>
        <w:jc w:val="center"/>
        <w:outlineLvl w:val="0"/>
        <w:rPr>
          <w:rFonts w:hAnsi="宋体"/>
          <w:b/>
          <w:bCs/>
          <w:sz w:val="44"/>
          <w:szCs w:val="28"/>
        </w:rPr>
      </w:pPr>
    </w:p>
    <w:p>
      <w:pPr>
        <w:jc w:val="center"/>
        <w:outlineLvl w:val="0"/>
        <w:rPr>
          <w:rFonts w:hAnsi="宋体"/>
          <w:b/>
          <w:bCs/>
          <w:sz w:val="44"/>
          <w:szCs w:val="28"/>
        </w:rPr>
      </w:pPr>
      <w:r>
        <w:rPr>
          <w:rFonts w:hint="eastAsia" w:hAnsi="宋体"/>
          <w:b/>
          <w:bCs/>
          <w:sz w:val="44"/>
          <w:szCs w:val="28"/>
        </w:rPr>
        <w:t>第四章 合同条款</w:t>
      </w:r>
      <w:bookmarkEnd w:id="23"/>
    </w:p>
    <w:p>
      <w:pPr>
        <w:pStyle w:val="7"/>
      </w:pPr>
    </w:p>
    <w:p>
      <w:pPr>
        <w:rPr>
          <w:rFonts w:hAnsi="宋体" w:cs="宋体"/>
          <w:sz w:val="28"/>
          <w:szCs w:val="28"/>
          <w:u w:val="single"/>
        </w:rPr>
      </w:pPr>
      <w:bookmarkStart w:id="24" w:name="_Toc401304798"/>
      <w:bookmarkStart w:id="25" w:name="_Toc386178232"/>
      <w:bookmarkStart w:id="26" w:name="_Toc15350"/>
      <w:r>
        <w:rPr>
          <w:rFonts w:hint="eastAsia" w:hAnsi="宋体" w:cs="宋体"/>
          <w:b/>
          <w:sz w:val="28"/>
          <w:szCs w:val="28"/>
        </w:rPr>
        <w:t>合同编号：</w:t>
      </w:r>
      <w:r>
        <w:rPr>
          <w:rFonts w:hint="eastAsia" w:hAnsi="宋体" w:cs="宋体"/>
          <w:sz w:val="28"/>
          <w:szCs w:val="28"/>
          <w:u w:val="single"/>
        </w:rPr>
        <w:t xml:space="preserve">           </w:t>
      </w:r>
    </w:p>
    <w:p>
      <w:pPr>
        <w:spacing w:line="360" w:lineRule="auto"/>
        <w:rPr>
          <w:rFonts w:ascii="仿宋" w:hAnsi="仿宋" w:eastAsia="仿宋" w:cs="仿宋"/>
          <w:b/>
          <w:sz w:val="24"/>
          <w:szCs w:val="24"/>
        </w:rPr>
      </w:pPr>
    </w:p>
    <w:p>
      <w:pPr>
        <w:spacing w:line="360" w:lineRule="auto"/>
        <w:ind w:right="40" w:firstLine="3480" w:firstLineChars="1450"/>
        <w:rPr>
          <w:rFonts w:ascii="仿宋" w:hAnsi="仿宋" w:eastAsia="仿宋" w:cs="仿宋"/>
          <w:color w:val="000000"/>
          <w:sz w:val="24"/>
          <w:szCs w:val="24"/>
        </w:rPr>
      </w:pPr>
    </w:p>
    <w:p>
      <w:pPr>
        <w:spacing w:line="360" w:lineRule="auto"/>
        <w:ind w:right="40"/>
        <w:rPr>
          <w:rFonts w:ascii="仿宋" w:hAnsi="仿宋" w:eastAsia="仿宋" w:cs="仿宋"/>
          <w:color w:val="000000"/>
          <w:sz w:val="40"/>
          <w:szCs w:val="40"/>
        </w:rPr>
      </w:pPr>
    </w:p>
    <w:p>
      <w:pPr>
        <w:spacing w:line="360" w:lineRule="auto"/>
        <w:jc w:val="center"/>
        <w:rPr>
          <w:rFonts w:ascii="仿宋" w:hAnsi="仿宋" w:eastAsia="仿宋" w:cs="仿宋"/>
          <w:b/>
          <w:sz w:val="52"/>
          <w:szCs w:val="52"/>
        </w:rPr>
      </w:pPr>
      <w:r>
        <w:rPr>
          <w:rFonts w:hint="eastAsia" w:ascii="仿宋" w:hAnsi="仿宋" w:eastAsia="仿宋" w:cs="仿宋"/>
          <w:b/>
          <w:sz w:val="52"/>
          <w:szCs w:val="52"/>
        </w:rPr>
        <w:t>海南省政府采购项目</w:t>
      </w:r>
    </w:p>
    <w:p>
      <w:pPr>
        <w:spacing w:line="360" w:lineRule="auto"/>
        <w:rPr>
          <w:rFonts w:ascii="仿宋" w:hAnsi="仿宋" w:eastAsia="仿宋" w:cs="仿宋"/>
          <w:b/>
          <w:sz w:val="52"/>
          <w:szCs w:val="52"/>
        </w:rPr>
      </w:pPr>
    </w:p>
    <w:p>
      <w:pPr>
        <w:spacing w:line="360" w:lineRule="auto"/>
        <w:jc w:val="center"/>
        <w:rPr>
          <w:rFonts w:ascii="仿宋" w:hAnsi="仿宋" w:eastAsia="仿宋" w:cs="仿宋"/>
          <w:b/>
          <w:sz w:val="36"/>
          <w:szCs w:val="36"/>
        </w:rPr>
      </w:pPr>
      <w:r>
        <w:rPr>
          <w:rFonts w:hint="eastAsia" w:ascii="仿宋" w:hAnsi="仿宋" w:eastAsia="仿宋" w:cs="仿宋"/>
          <w:b/>
          <w:sz w:val="52"/>
          <w:szCs w:val="52"/>
        </w:rPr>
        <w:t>合   同   书</w:t>
      </w:r>
    </w:p>
    <w:p>
      <w:pPr>
        <w:spacing w:line="360" w:lineRule="auto"/>
        <w:jc w:val="center"/>
        <w:rPr>
          <w:rFonts w:ascii="仿宋" w:hAnsi="仿宋" w:eastAsia="仿宋" w:cs="仿宋"/>
          <w:b/>
          <w:sz w:val="24"/>
          <w:szCs w:val="24"/>
        </w:rPr>
      </w:pPr>
    </w:p>
    <w:p>
      <w:pPr>
        <w:adjustRightInd w:val="0"/>
        <w:snapToGrid w:val="0"/>
        <w:spacing w:line="360" w:lineRule="auto"/>
        <w:jc w:val="center"/>
        <w:rPr>
          <w:rFonts w:ascii="仿宋" w:hAnsi="仿宋" w:eastAsia="仿宋" w:cs="仿宋"/>
          <w:b/>
          <w:bCs/>
          <w:sz w:val="24"/>
          <w:szCs w:val="24"/>
        </w:rPr>
      </w:pPr>
    </w:p>
    <w:p>
      <w:pPr>
        <w:adjustRightInd w:val="0"/>
        <w:snapToGrid w:val="0"/>
        <w:spacing w:line="360" w:lineRule="auto"/>
        <w:jc w:val="center"/>
        <w:rPr>
          <w:rFonts w:ascii="仿宋" w:hAnsi="仿宋" w:eastAsia="仿宋" w:cs="仿宋"/>
          <w:b/>
          <w:sz w:val="24"/>
          <w:szCs w:val="24"/>
        </w:rPr>
      </w:pPr>
      <w:r>
        <w:rPr>
          <w:rFonts w:hint="eastAsia" w:hAnsi="宋体" w:cs="宋体"/>
          <w:b/>
          <w:bCs/>
          <w:sz w:val="28"/>
          <w:szCs w:val="28"/>
        </w:rPr>
        <w:t>【注：本合同内容及格式为参考合同模板，采购人与中标人另行订立合同条款的，从其约定，但不得与文件存在偏差。】</w:t>
      </w:r>
    </w:p>
    <w:p>
      <w:pPr>
        <w:pStyle w:val="3"/>
        <w:rPr>
          <w:rFonts w:ascii="仿宋" w:hAnsi="仿宋" w:eastAsia="仿宋" w:cs="仿宋"/>
          <w:b/>
          <w:szCs w:val="24"/>
        </w:rPr>
      </w:pPr>
    </w:p>
    <w:p>
      <w:pPr>
        <w:pStyle w:val="3"/>
        <w:rPr>
          <w:rFonts w:ascii="仿宋" w:hAnsi="仿宋" w:eastAsia="仿宋" w:cs="仿宋"/>
          <w:b/>
          <w:szCs w:val="24"/>
        </w:rPr>
      </w:pPr>
    </w:p>
    <w:p>
      <w:pPr>
        <w:tabs>
          <w:tab w:val="left" w:pos="1260"/>
          <w:tab w:val="left" w:pos="1620"/>
          <w:tab w:val="left" w:pos="6840"/>
          <w:tab w:val="left" w:pos="7020"/>
          <w:tab w:val="left" w:pos="7200"/>
        </w:tabs>
        <w:spacing w:line="360" w:lineRule="auto"/>
        <w:ind w:right="-483" w:rightChars="-161" w:firstLine="1446" w:firstLineChars="600"/>
        <w:rPr>
          <w:rFonts w:ascii="仿宋" w:hAnsi="仿宋" w:eastAsia="仿宋" w:cs="仿宋"/>
          <w:b/>
          <w:sz w:val="24"/>
          <w:szCs w:val="24"/>
        </w:rPr>
      </w:pPr>
    </w:p>
    <w:p>
      <w:pPr>
        <w:tabs>
          <w:tab w:val="left" w:pos="1260"/>
          <w:tab w:val="left" w:pos="1620"/>
          <w:tab w:val="left" w:pos="6840"/>
          <w:tab w:val="left" w:pos="7020"/>
          <w:tab w:val="left" w:pos="7200"/>
        </w:tabs>
        <w:spacing w:line="360" w:lineRule="auto"/>
        <w:ind w:right="-483" w:rightChars="-161" w:firstLine="1687" w:firstLineChars="600"/>
        <w:rPr>
          <w:rFonts w:hAnsi="宋体" w:cs="宋体"/>
          <w:b/>
          <w:sz w:val="28"/>
          <w:szCs w:val="28"/>
        </w:rPr>
      </w:pPr>
      <w:r>
        <w:rPr>
          <w:rFonts w:hint="eastAsia" w:hAnsi="宋体" w:cs="宋体"/>
          <w:b/>
          <w:sz w:val="28"/>
          <w:szCs w:val="28"/>
        </w:rPr>
        <w:t>项目名称：</w:t>
      </w:r>
      <w:r>
        <w:rPr>
          <w:rFonts w:hint="eastAsia" w:hAnsi="宋体" w:cs="宋体"/>
          <w:bCs/>
          <w:sz w:val="28"/>
          <w:szCs w:val="28"/>
          <w:u w:val="single"/>
        </w:rPr>
        <w:t>海南省规划展览馆重点项目更新改造</w:t>
      </w:r>
      <w:r>
        <w:rPr>
          <w:rFonts w:hint="eastAsia" w:hAnsi="宋体" w:cs="宋体"/>
          <w:b/>
          <w:sz w:val="28"/>
          <w:szCs w:val="28"/>
        </w:rPr>
        <w:t xml:space="preserve"> </w:t>
      </w:r>
    </w:p>
    <w:p>
      <w:pPr>
        <w:tabs>
          <w:tab w:val="left" w:pos="1260"/>
          <w:tab w:val="left" w:pos="1620"/>
          <w:tab w:val="left" w:pos="6840"/>
          <w:tab w:val="left" w:pos="7020"/>
          <w:tab w:val="left" w:pos="7200"/>
        </w:tabs>
        <w:spacing w:line="360" w:lineRule="auto"/>
        <w:ind w:right="-483" w:rightChars="-161" w:firstLine="1687" w:firstLineChars="600"/>
        <w:rPr>
          <w:rFonts w:hAnsi="宋体" w:cs="宋体"/>
          <w:b/>
          <w:sz w:val="28"/>
          <w:szCs w:val="28"/>
        </w:rPr>
      </w:pPr>
      <w:r>
        <w:rPr>
          <w:rFonts w:hint="eastAsia" w:hAnsi="宋体" w:cs="宋体"/>
          <w:b/>
          <w:sz w:val="28"/>
          <w:szCs w:val="28"/>
        </w:rPr>
        <w:t>项目编号：</w:t>
      </w:r>
      <w:r>
        <w:rPr>
          <w:rFonts w:hint="eastAsia" w:hAnsi="宋体" w:cs="宋体"/>
          <w:bCs/>
          <w:sz w:val="28"/>
          <w:szCs w:val="28"/>
          <w:u w:val="single"/>
        </w:rPr>
        <w:t>ZZXD-CG-2024007</w:t>
      </w:r>
    </w:p>
    <w:p>
      <w:pPr>
        <w:tabs>
          <w:tab w:val="left" w:pos="1260"/>
          <w:tab w:val="left" w:pos="1620"/>
          <w:tab w:val="left" w:pos="6840"/>
          <w:tab w:val="left" w:pos="7020"/>
          <w:tab w:val="left" w:pos="7200"/>
        </w:tabs>
        <w:spacing w:line="360" w:lineRule="auto"/>
        <w:ind w:right="-483" w:rightChars="-161" w:firstLine="1687" w:firstLineChars="600"/>
        <w:rPr>
          <w:rFonts w:hAnsi="宋体" w:cs="宋体"/>
          <w:b/>
          <w:sz w:val="28"/>
          <w:szCs w:val="28"/>
        </w:rPr>
      </w:pPr>
      <w:r>
        <w:rPr>
          <w:rFonts w:hint="eastAsia" w:hAnsi="宋体" w:cs="宋体"/>
          <w:b/>
          <w:sz w:val="28"/>
          <w:szCs w:val="28"/>
        </w:rPr>
        <w:t>甲    方：</w:t>
      </w:r>
      <w:r>
        <w:rPr>
          <w:rFonts w:hint="eastAsia" w:hAnsi="宋体" w:cs="宋体"/>
          <w:bCs/>
          <w:sz w:val="28"/>
          <w:szCs w:val="28"/>
          <w:u w:val="single"/>
        </w:rPr>
        <w:t>海南省规划展览馆</w:t>
      </w:r>
    </w:p>
    <w:p>
      <w:pPr>
        <w:tabs>
          <w:tab w:val="left" w:pos="1260"/>
          <w:tab w:val="left" w:pos="1620"/>
          <w:tab w:val="left" w:pos="6840"/>
          <w:tab w:val="left" w:pos="7020"/>
          <w:tab w:val="left" w:pos="7200"/>
        </w:tabs>
        <w:spacing w:line="360" w:lineRule="auto"/>
        <w:ind w:right="-483" w:rightChars="-161" w:firstLine="1687" w:firstLineChars="600"/>
        <w:rPr>
          <w:rFonts w:hAnsi="宋体" w:cs="宋体"/>
          <w:b/>
          <w:sz w:val="28"/>
          <w:szCs w:val="28"/>
        </w:rPr>
      </w:pPr>
      <w:r>
        <w:rPr>
          <w:rFonts w:hint="eastAsia" w:hAnsi="宋体" w:cs="宋体"/>
          <w:b/>
          <w:sz w:val="28"/>
          <w:szCs w:val="28"/>
        </w:rPr>
        <w:t>乙    方：</w:t>
      </w:r>
      <w:r>
        <w:rPr>
          <w:rFonts w:hint="eastAsia" w:hAnsi="宋体" w:cs="宋体"/>
          <w:b/>
          <w:sz w:val="28"/>
          <w:szCs w:val="28"/>
          <w:u w:val="single"/>
        </w:rPr>
        <w:t xml:space="preserve"> </w:t>
      </w:r>
      <w:r>
        <w:rPr>
          <w:rFonts w:hint="eastAsia" w:hAnsi="宋体" w:cs="宋体"/>
          <w:bCs/>
          <w:sz w:val="28"/>
          <w:szCs w:val="28"/>
          <w:u w:val="single"/>
        </w:rPr>
        <w:t xml:space="preserve">               </w:t>
      </w:r>
      <w:r>
        <w:rPr>
          <w:rFonts w:hint="eastAsia" w:hAnsi="宋体" w:cs="宋体"/>
          <w:b/>
          <w:sz w:val="28"/>
          <w:szCs w:val="28"/>
        </w:rPr>
        <w:t xml:space="preserve"> </w:t>
      </w:r>
    </w:p>
    <w:p>
      <w:pPr>
        <w:tabs>
          <w:tab w:val="left" w:pos="1260"/>
          <w:tab w:val="left" w:pos="1620"/>
          <w:tab w:val="left" w:pos="6840"/>
          <w:tab w:val="left" w:pos="7020"/>
          <w:tab w:val="left" w:pos="7200"/>
        </w:tabs>
        <w:spacing w:line="360" w:lineRule="auto"/>
        <w:ind w:right="-483" w:rightChars="-161" w:firstLine="1687" w:firstLineChars="600"/>
        <w:rPr>
          <w:rFonts w:hAnsi="宋体" w:cs="宋体"/>
          <w:b/>
          <w:sz w:val="28"/>
          <w:szCs w:val="28"/>
        </w:rPr>
      </w:pPr>
      <w:r>
        <w:rPr>
          <w:rFonts w:hint="eastAsia" w:hAnsi="宋体" w:cs="宋体"/>
          <w:b/>
          <w:sz w:val="28"/>
          <w:szCs w:val="28"/>
        </w:rPr>
        <w:t>签订日期：</w:t>
      </w:r>
      <w:r>
        <w:rPr>
          <w:rFonts w:hint="eastAsia" w:hAnsi="宋体" w:cs="宋体"/>
          <w:b/>
          <w:sz w:val="28"/>
          <w:szCs w:val="28"/>
          <w:u w:val="single"/>
        </w:rPr>
        <w:t xml:space="preserve">     </w:t>
      </w:r>
      <w:r>
        <w:rPr>
          <w:rFonts w:hint="eastAsia" w:hAnsi="宋体" w:cs="宋体"/>
          <w:b/>
          <w:sz w:val="28"/>
          <w:szCs w:val="28"/>
        </w:rPr>
        <w:t>年</w:t>
      </w:r>
      <w:r>
        <w:rPr>
          <w:rFonts w:hint="eastAsia" w:hAnsi="宋体" w:cs="宋体"/>
          <w:b/>
          <w:sz w:val="28"/>
          <w:szCs w:val="28"/>
          <w:u w:val="single"/>
        </w:rPr>
        <w:t xml:space="preserve">  </w:t>
      </w:r>
      <w:r>
        <w:rPr>
          <w:rFonts w:hint="eastAsia" w:hAnsi="宋体" w:cs="宋体"/>
          <w:b/>
          <w:sz w:val="28"/>
          <w:szCs w:val="28"/>
          <w:u w:val="single"/>
          <w:lang w:val="en-US" w:eastAsia="zh-CN"/>
        </w:rPr>
        <w:t xml:space="preserve"> </w:t>
      </w:r>
      <w:r>
        <w:rPr>
          <w:rFonts w:hint="eastAsia" w:hAnsi="宋体" w:cs="宋体"/>
          <w:b/>
          <w:sz w:val="28"/>
          <w:szCs w:val="28"/>
          <w:u w:val="single"/>
        </w:rPr>
        <w:t xml:space="preserve"> </w:t>
      </w:r>
      <w:r>
        <w:rPr>
          <w:rFonts w:hint="eastAsia" w:hAnsi="宋体" w:cs="宋体"/>
          <w:b/>
          <w:sz w:val="28"/>
          <w:szCs w:val="28"/>
        </w:rPr>
        <w:t xml:space="preserve"> 月</w:t>
      </w:r>
      <w:r>
        <w:rPr>
          <w:rFonts w:hint="eastAsia" w:hAnsi="宋体" w:cs="宋体"/>
          <w:b/>
          <w:sz w:val="28"/>
          <w:szCs w:val="28"/>
          <w:u w:val="single"/>
        </w:rPr>
        <w:t xml:space="preserve">   </w:t>
      </w:r>
      <w:r>
        <w:rPr>
          <w:rFonts w:hint="eastAsia" w:hAnsi="宋体" w:cs="宋体"/>
          <w:b/>
          <w:sz w:val="28"/>
          <w:szCs w:val="28"/>
        </w:rPr>
        <w:t>日</w:t>
      </w:r>
    </w:p>
    <w:p>
      <w:pPr>
        <w:pStyle w:val="19"/>
        <w:sectPr>
          <w:headerReference r:id="rId7" w:type="default"/>
          <w:footerReference r:id="rId8" w:type="default"/>
          <w:pgSz w:w="11906" w:h="16838"/>
          <w:pgMar w:top="1361" w:right="1418" w:bottom="1361" w:left="1418" w:header="851" w:footer="992" w:gutter="0"/>
          <w:pgNumType w:start="1"/>
          <w:cols w:space="720" w:num="1"/>
          <w:docGrid w:type="lines" w:linePitch="312" w:charSpace="0"/>
        </w:sectPr>
      </w:pPr>
    </w:p>
    <w:p>
      <w:pPr>
        <w:spacing w:line="360" w:lineRule="auto"/>
        <w:jc w:val="center"/>
        <w:rPr>
          <w:rFonts w:ascii="仿宋" w:hAnsi="仿宋" w:eastAsia="仿宋" w:cs="仿宋"/>
          <w:sz w:val="24"/>
          <w:szCs w:val="24"/>
        </w:rPr>
      </w:pPr>
      <w:r>
        <w:rPr>
          <w:rFonts w:hint="eastAsia" w:hAnsi="宋体" w:cs="宋体"/>
          <w:b/>
          <w:sz w:val="28"/>
          <w:szCs w:val="28"/>
        </w:rPr>
        <w:t>专用条款</w:t>
      </w:r>
    </w:p>
    <w:p>
      <w:pPr>
        <w:spacing w:line="500" w:lineRule="exact"/>
        <w:rPr>
          <w:rFonts w:hAnsi="宋体" w:cs="宋体"/>
          <w:bCs/>
          <w:sz w:val="24"/>
          <w:szCs w:val="24"/>
        </w:rPr>
      </w:pPr>
      <w:r>
        <w:rPr>
          <w:rFonts w:hint="eastAsia" w:hAnsi="宋体" w:cs="宋体"/>
          <w:b/>
          <w:bCs/>
          <w:sz w:val="24"/>
          <w:szCs w:val="24"/>
        </w:rPr>
        <w:t>甲方（发包人）：</w:t>
      </w:r>
      <w:r>
        <w:rPr>
          <w:rFonts w:hint="eastAsia" w:hAnsi="宋体" w:cs="宋体"/>
          <w:bCs/>
          <w:sz w:val="24"/>
          <w:szCs w:val="24"/>
        </w:rPr>
        <w:t xml:space="preserve"> 海南省规划展览馆</w:t>
      </w:r>
    </w:p>
    <w:p>
      <w:pPr>
        <w:spacing w:line="500" w:lineRule="exact"/>
        <w:rPr>
          <w:rFonts w:hAnsi="宋体" w:cs="宋体"/>
          <w:sz w:val="24"/>
          <w:szCs w:val="24"/>
        </w:rPr>
      </w:pPr>
      <w:r>
        <w:rPr>
          <w:rFonts w:hint="eastAsia" w:hAnsi="宋体" w:cs="宋体"/>
          <w:b/>
          <w:bCs/>
          <w:sz w:val="24"/>
          <w:szCs w:val="24"/>
        </w:rPr>
        <w:t xml:space="preserve">乙方（承包人）： </w:t>
      </w:r>
    </w:p>
    <w:p>
      <w:pPr>
        <w:spacing w:line="360" w:lineRule="auto"/>
        <w:ind w:firstLine="480" w:firstLineChars="200"/>
        <w:rPr>
          <w:rFonts w:hAnsi="宋体" w:cs="宋体"/>
          <w:sz w:val="24"/>
          <w:szCs w:val="24"/>
        </w:rPr>
      </w:pPr>
      <w:r>
        <w:rPr>
          <w:rFonts w:hint="eastAsia" w:hAnsi="宋体" w:cs="宋体"/>
          <w:sz w:val="24"/>
          <w:szCs w:val="24"/>
        </w:rPr>
        <w:t>甲、乙双方本着平等互利、真诚合作的原则，经友好协商，就乙方承包实施甲方</w:t>
      </w:r>
      <w:r>
        <w:rPr>
          <w:rFonts w:hint="eastAsia" w:hAnsi="宋体" w:cs="宋体"/>
          <w:bCs/>
          <w:sz w:val="24"/>
          <w:szCs w:val="24"/>
          <w:u w:val="single"/>
        </w:rPr>
        <w:t>海南省规划展览馆重点项目更新改造</w:t>
      </w:r>
      <w:r>
        <w:rPr>
          <w:rFonts w:hint="eastAsia" w:hAnsi="宋体" w:cs="宋体"/>
          <w:sz w:val="24"/>
          <w:szCs w:val="24"/>
        </w:rPr>
        <w:t>，根据《中华人民共和国合同法》</w:t>
      </w:r>
      <w:r>
        <w:rPr>
          <w:rFonts w:hint="eastAsia" w:hAnsi="宋体" w:cs="宋体"/>
          <w:sz w:val="24"/>
          <w:szCs w:val="24"/>
          <w:lang w:val="zh-CN"/>
        </w:rPr>
        <w:t>等相</w:t>
      </w:r>
      <w:r>
        <w:rPr>
          <w:rFonts w:hint="eastAsia" w:hAnsi="宋体" w:cs="宋体"/>
          <w:sz w:val="24"/>
          <w:szCs w:val="24"/>
        </w:rPr>
        <w:t>关法律法规，遵循平等、公平原则，同意按照下面的条款和条件订立本项目升级改造合同，共同信守。</w:t>
      </w:r>
    </w:p>
    <w:p>
      <w:pPr>
        <w:spacing w:line="360" w:lineRule="auto"/>
        <w:ind w:firstLine="482" w:firstLineChars="200"/>
        <w:rPr>
          <w:rFonts w:hAnsi="宋体" w:cs="宋体"/>
          <w:b/>
          <w:sz w:val="24"/>
          <w:szCs w:val="24"/>
        </w:rPr>
      </w:pPr>
      <w:r>
        <w:rPr>
          <w:rFonts w:hint="eastAsia" w:hAnsi="宋体" w:cs="宋体"/>
          <w:b/>
          <w:sz w:val="24"/>
          <w:szCs w:val="24"/>
        </w:rPr>
        <w:t>一、项目概况</w:t>
      </w:r>
    </w:p>
    <w:p>
      <w:pPr>
        <w:spacing w:line="360" w:lineRule="auto"/>
        <w:ind w:firstLine="480" w:firstLineChars="200"/>
        <w:rPr>
          <w:rFonts w:hAnsi="宋体" w:cs="宋体"/>
          <w:bCs/>
          <w:sz w:val="24"/>
          <w:szCs w:val="24"/>
        </w:rPr>
      </w:pPr>
      <w:r>
        <w:rPr>
          <w:rFonts w:hint="eastAsia" w:hAnsi="宋体" w:cs="宋体"/>
          <w:bCs/>
          <w:sz w:val="24"/>
          <w:szCs w:val="24"/>
        </w:rPr>
        <w:t>1.项目名称：</w:t>
      </w:r>
      <w:r>
        <w:rPr>
          <w:rFonts w:hint="eastAsia" w:hAnsi="宋体" w:cs="宋体"/>
          <w:bCs/>
          <w:sz w:val="24"/>
          <w:szCs w:val="24"/>
          <w:u w:val="single"/>
        </w:rPr>
        <w:t>海南省规划展览馆重点项目更新改造</w:t>
      </w:r>
      <w:r>
        <w:rPr>
          <w:rFonts w:hint="eastAsia" w:hAnsi="宋体" w:cs="宋体"/>
          <w:bCs/>
          <w:sz w:val="24"/>
          <w:szCs w:val="24"/>
        </w:rPr>
        <w:t>。</w:t>
      </w:r>
    </w:p>
    <w:p>
      <w:pPr>
        <w:spacing w:line="360" w:lineRule="auto"/>
        <w:ind w:firstLine="480" w:firstLineChars="200"/>
        <w:rPr>
          <w:rFonts w:hAnsi="宋体" w:cs="宋体"/>
          <w:bCs/>
          <w:sz w:val="24"/>
          <w:szCs w:val="24"/>
          <w:u w:val="single"/>
        </w:rPr>
      </w:pPr>
      <w:r>
        <w:rPr>
          <w:rFonts w:hint="eastAsia" w:hAnsi="宋体" w:cs="宋体"/>
          <w:bCs/>
          <w:sz w:val="24"/>
          <w:szCs w:val="24"/>
        </w:rPr>
        <w:t>2.项目地点：</w:t>
      </w:r>
      <w:bookmarkStart w:id="27" w:name="_Hlk53239835"/>
      <w:r>
        <w:rPr>
          <w:rFonts w:hint="eastAsia" w:hAnsi="宋体" w:cs="宋体"/>
          <w:bCs/>
          <w:sz w:val="24"/>
          <w:szCs w:val="24"/>
          <w:u w:val="single"/>
        </w:rPr>
        <w:t>海南省规划展览馆</w:t>
      </w:r>
      <w:bookmarkEnd w:id="27"/>
      <w:r>
        <w:rPr>
          <w:rFonts w:hint="eastAsia" w:hAnsi="宋体" w:cs="宋体"/>
          <w:bCs/>
          <w:sz w:val="24"/>
          <w:szCs w:val="24"/>
          <w:u w:val="single"/>
        </w:rPr>
        <w:t>展厅</w:t>
      </w:r>
      <w:r>
        <w:rPr>
          <w:rFonts w:hint="eastAsia" w:hAnsi="宋体" w:cs="宋体"/>
          <w:bCs/>
          <w:sz w:val="24"/>
          <w:szCs w:val="24"/>
        </w:rPr>
        <w:t>。</w:t>
      </w:r>
    </w:p>
    <w:p>
      <w:pPr>
        <w:spacing w:line="360" w:lineRule="auto"/>
        <w:ind w:firstLine="480" w:firstLineChars="200"/>
        <w:rPr>
          <w:rFonts w:hAnsi="宋体" w:cs="宋体"/>
          <w:bCs/>
          <w:sz w:val="24"/>
          <w:szCs w:val="24"/>
        </w:rPr>
      </w:pPr>
      <w:r>
        <w:rPr>
          <w:rFonts w:hint="eastAsia" w:hAnsi="宋体" w:cs="宋体"/>
          <w:bCs/>
          <w:sz w:val="24"/>
          <w:szCs w:val="24"/>
        </w:rPr>
        <w:t>3.实施范围：升级改造内容详见甲方要求及合同附件。</w:t>
      </w:r>
    </w:p>
    <w:p>
      <w:pPr>
        <w:spacing w:line="360" w:lineRule="auto"/>
        <w:ind w:left="798" w:leftChars="266"/>
        <w:rPr>
          <w:rFonts w:hAnsi="宋体" w:cs="宋体"/>
          <w:bCs/>
          <w:sz w:val="24"/>
          <w:szCs w:val="24"/>
        </w:rPr>
      </w:pPr>
      <w:r>
        <w:rPr>
          <w:rFonts w:hint="eastAsia" w:hAnsi="宋体" w:cs="宋体"/>
          <w:bCs/>
          <w:sz w:val="24"/>
          <w:szCs w:val="24"/>
        </w:rPr>
        <w:t>4.项目期限：双方完成合同签署后</w:t>
      </w:r>
      <w:r>
        <w:rPr>
          <w:rFonts w:hint="eastAsia" w:hAnsi="宋体" w:cs="宋体"/>
          <w:bCs/>
          <w:sz w:val="24"/>
          <w:szCs w:val="24"/>
          <w:u w:val="single"/>
        </w:rPr>
        <w:t xml:space="preserve">     </w:t>
      </w:r>
      <w:r>
        <w:rPr>
          <w:rFonts w:hint="eastAsia" w:hAnsi="宋体" w:cs="宋体"/>
          <w:bCs/>
          <w:sz w:val="24"/>
          <w:szCs w:val="24"/>
        </w:rPr>
        <w:t>日完成，暂定项目开工日为</w:t>
      </w:r>
      <w:r>
        <w:rPr>
          <w:rFonts w:hint="eastAsia" w:hAnsi="宋体" w:cs="宋体"/>
          <w:bCs/>
          <w:sz w:val="24"/>
          <w:szCs w:val="24"/>
          <w:u w:val="single"/>
        </w:rPr>
        <w:t xml:space="preserve">     </w:t>
      </w:r>
      <w:r>
        <w:rPr>
          <w:rFonts w:hint="eastAsia" w:hAnsi="宋体" w:cs="宋体"/>
          <w:bCs/>
          <w:sz w:val="24"/>
          <w:szCs w:val="24"/>
        </w:rPr>
        <w:t>年</w:t>
      </w:r>
      <w:r>
        <w:rPr>
          <w:rFonts w:hint="eastAsia" w:hAnsi="宋体" w:cs="宋体"/>
          <w:bCs/>
          <w:sz w:val="24"/>
          <w:szCs w:val="24"/>
          <w:u w:val="single"/>
        </w:rPr>
        <w:t xml:space="preserve">  </w:t>
      </w:r>
      <w:r>
        <w:rPr>
          <w:rFonts w:hint="eastAsia" w:hAnsi="宋体" w:cs="宋体"/>
          <w:bCs/>
          <w:sz w:val="24"/>
          <w:szCs w:val="24"/>
        </w:rPr>
        <w:t>月</w:t>
      </w:r>
      <w:r>
        <w:rPr>
          <w:rFonts w:hint="eastAsia" w:hAnsi="宋体" w:cs="宋体"/>
          <w:bCs/>
          <w:sz w:val="24"/>
          <w:szCs w:val="24"/>
          <w:u w:val="single"/>
        </w:rPr>
        <w:t xml:space="preserve">   </w:t>
      </w:r>
      <w:r>
        <w:rPr>
          <w:rFonts w:hint="eastAsia" w:hAnsi="宋体" w:cs="宋体"/>
          <w:bCs/>
          <w:sz w:val="24"/>
          <w:szCs w:val="24"/>
        </w:rPr>
        <w:t>日（以乙方提交给甲方签字确认的函件日期为准），竣工日为</w:t>
      </w:r>
      <w:r>
        <w:rPr>
          <w:rFonts w:hint="eastAsia" w:hAnsi="宋体" w:cs="宋体"/>
          <w:bCs/>
          <w:sz w:val="24"/>
          <w:szCs w:val="24"/>
          <w:u w:val="single"/>
        </w:rPr>
        <w:t xml:space="preserve">       </w:t>
      </w:r>
      <w:r>
        <w:rPr>
          <w:rFonts w:hint="eastAsia" w:hAnsi="宋体" w:cs="宋体"/>
          <w:bCs/>
          <w:sz w:val="24"/>
          <w:szCs w:val="24"/>
        </w:rPr>
        <w:t>年</w:t>
      </w:r>
      <w:r>
        <w:rPr>
          <w:rFonts w:hint="eastAsia" w:hAnsi="宋体" w:cs="宋体"/>
          <w:bCs/>
          <w:sz w:val="24"/>
          <w:szCs w:val="24"/>
          <w:u w:val="single"/>
        </w:rPr>
        <w:t xml:space="preserve">   </w:t>
      </w:r>
      <w:r>
        <w:rPr>
          <w:rFonts w:hint="eastAsia" w:hAnsi="宋体" w:cs="宋体"/>
          <w:bCs/>
          <w:sz w:val="24"/>
          <w:szCs w:val="24"/>
        </w:rPr>
        <w:t>月</w:t>
      </w:r>
      <w:r>
        <w:rPr>
          <w:rFonts w:hint="eastAsia" w:hAnsi="宋体" w:cs="宋体"/>
          <w:bCs/>
          <w:sz w:val="24"/>
          <w:szCs w:val="24"/>
          <w:u w:val="single"/>
        </w:rPr>
        <w:t xml:space="preserve">   </w:t>
      </w:r>
      <w:r>
        <w:rPr>
          <w:rFonts w:hint="eastAsia" w:hAnsi="宋体" w:cs="宋体"/>
          <w:bCs/>
          <w:sz w:val="24"/>
          <w:szCs w:val="24"/>
        </w:rPr>
        <w:t>日。</w:t>
      </w:r>
    </w:p>
    <w:p>
      <w:pPr>
        <w:spacing w:line="360" w:lineRule="auto"/>
        <w:ind w:firstLine="480" w:firstLineChars="200"/>
        <w:rPr>
          <w:rFonts w:hAnsi="宋体" w:cs="宋体"/>
          <w:bCs/>
          <w:sz w:val="24"/>
          <w:szCs w:val="24"/>
        </w:rPr>
      </w:pPr>
      <w:r>
        <w:rPr>
          <w:rFonts w:hint="eastAsia" w:hAnsi="宋体" w:cs="宋体"/>
          <w:bCs/>
          <w:sz w:val="24"/>
          <w:szCs w:val="24"/>
        </w:rPr>
        <w:t>5.质量标准：符合甲方确认的相关设计文件、变更要求及双方约定，达到按国家相关规定的专业质量验收标准。</w:t>
      </w:r>
    </w:p>
    <w:p>
      <w:pPr>
        <w:spacing w:line="360" w:lineRule="auto"/>
        <w:ind w:firstLine="480" w:firstLineChars="200"/>
        <w:rPr>
          <w:rFonts w:hAnsi="宋体" w:cs="宋体"/>
          <w:bCs/>
          <w:sz w:val="24"/>
          <w:szCs w:val="24"/>
        </w:rPr>
      </w:pPr>
      <w:r>
        <w:rPr>
          <w:rFonts w:hint="eastAsia" w:hAnsi="宋体" w:cs="宋体"/>
          <w:bCs/>
          <w:sz w:val="24"/>
          <w:szCs w:val="24"/>
        </w:rPr>
        <w:t>6.质量保修期为竣工验收合格后贰年，自竣工验收合格之日起算。</w:t>
      </w:r>
    </w:p>
    <w:p>
      <w:pPr>
        <w:spacing w:before="156" w:beforeLines="50" w:line="360" w:lineRule="auto"/>
        <w:ind w:firstLine="482" w:firstLineChars="200"/>
        <w:outlineLvl w:val="0"/>
        <w:rPr>
          <w:rFonts w:hAnsi="宋体" w:cs="宋体"/>
          <w:b/>
          <w:sz w:val="24"/>
          <w:szCs w:val="24"/>
        </w:rPr>
      </w:pPr>
      <w:bookmarkStart w:id="28" w:name="_Toc28825"/>
      <w:r>
        <w:rPr>
          <w:rFonts w:hint="eastAsia" w:hAnsi="宋体" w:cs="宋体"/>
          <w:b/>
          <w:sz w:val="24"/>
          <w:szCs w:val="24"/>
        </w:rPr>
        <w:t>二、合同金额</w:t>
      </w:r>
      <w:bookmarkEnd w:id="28"/>
    </w:p>
    <w:p>
      <w:pPr>
        <w:spacing w:line="360" w:lineRule="auto"/>
        <w:rPr>
          <w:rFonts w:hAnsi="宋体" w:cs="宋体"/>
          <w:b/>
          <w:sz w:val="24"/>
          <w:szCs w:val="24"/>
        </w:rPr>
      </w:pPr>
      <w:r>
        <w:rPr>
          <w:rFonts w:hint="eastAsia" w:hAnsi="宋体" w:cs="宋体"/>
          <w:sz w:val="24"/>
          <w:szCs w:val="24"/>
        </w:rPr>
        <w:t xml:space="preserve">    根据甲方合同文件要求，本项目的合同价款总金额（含</w:t>
      </w:r>
      <w:r>
        <w:rPr>
          <w:rFonts w:hint="eastAsia" w:hAnsi="宋体" w:cs="宋体"/>
          <w:sz w:val="24"/>
          <w:szCs w:val="24"/>
          <w:u w:val="single"/>
        </w:rPr>
        <w:t xml:space="preserve"> / </w:t>
      </w:r>
      <w:r>
        <w:rPr>
          <w:rFonts w:hint="eastAsia" w:hAnsi="宋体" w:cs="宋体"/>
          <w:sz w:val="24"/>
          <w:szCs w:val="24"/>
        </w:rPr>
        <w:t>税率）暂定为人民币(大写)</w:t>
      </w:r>
      <w:r>
        <w:rPr>
          <w:rFonts w:hint="eastAsia" w:hAnsi="宋体" w:cs="宋体"/>
          <w:sz w:val="24"/>
          <w:szCs w:val="24"/>
          <w:u w:val="single"/>
        </w:rPr>
        <w:t xml:space="preserve">        </w:t>
      </w:r>
      <w:r>
        <w:rPr>
          <w:rFonts w:hint="eastAsia" w:hAnsi="宋体" w:cs="宋体"/>
          <w:sz w:val="24"/>
          <w:szCs w:val="24"/>
        </w:rPr>
        <w:t>，小写：</w:t>
      </w:r>
      <w:r>
        <w:rPr>
          <w:rFonts w:hint="eastAsia" w:hAnsi="宋体" w:cs="宋体"/>
          <w:sz w:val="24"/>
          <w:szCs w:val="24"/>
          <w:u w:val="single"/>
        </w:rPr>
        <w:t xml:space="preserve">     </w:t>
      </w:r>
      <w:r>
        <w:rPr>
          <w:rFonts w:hint="eastAsia" w:hAnsi="宋体" w:cs="宋体"/>
          <w:sz w:val="24"/>
          <w:szCs w:val="24"/>
        </w:rPr>
        <w:t xml:space="preserve">元。 </w:t>
      </w:r>
    </w:p>
    <w:p>
      <w:pPr>
        <w:spacing w:before="156" w:beforeLines="50" w:line="360" w:lineRule="auto"/>
        <w:ind w:firstLine="482" w:firstLineChars="200"/>
        <w:outlineLvl w:val="0"/>
        <w:rPr>
          <w:rFonts w:hAnsi="宋体" w:cs="宋体"/>
          <w:b/>
          <w:sz w:val="24"/>
          <w:szCs w:val="24"/>
        </w:rPr>
      </w:pPr>
      <w:bookmarkStart w:id="29" w:name="_Toc27127"/>
      <w:r>
        <w:rPr>
          <w:rFonts w:hint="eastAsia" w:hAnsi="宋体" w:cs="宋体"/>
          <w:b/>
          <w:sz w:val="24"/>
          <w:szCs w:val="24"/>
        </w:rPr>
        <w:t>三、付款方式</w:t>
      </w:r>
      <w:bookmarkEnd w:id="29"/>
    </w:p>
    <w:p>
      <w:pPr>
        <w:numPr>
          <w:ilvl w:val="0"/>
          <w:numId w:val="9"/>
        </w:numPr>
        <w:spacing w:before="156" w:beforeLines="50" w:line="360" w:lineRule="auto"/>
        <w:ind w:left="0" w:firstLine="669" w:firstLineChars="279"/>
        <w:outlineLvl w:val="0"/>
        <w:rPr>
          <w:rFonts w:hAnsi="宋体" w:cs="宋体"/>
          <w:bCs/>
          <w:color w:val="auto"/>
          <w:sz w:val="24"/>
          <w:szCs w:val="24"/>
        </w:rPr>
      </w:pPr>
      <w:bookmarkStart w:id="30" w:name="_Toc30386"/>
      <w:r>
        <w:rPr>
          <w:rFonts w:hint="eastAsia" w:hAnsi="宋体" w:cs="宋体"/>
          <w:bCs/>
          <w:color w:val="auto"/>
          <w:sz w:val="24"/>
          <w:szCs w:val="24"/>
        </w:rPr>
        <w:t>合同签订后</w:t>
      </w:r>
      <w:r>
        <w:rPr>
          <w:rFonts w:hint="eastAsia" w:hAnsi="宋体" w:cs="宋体"/>
          <w:bCs/>
          <w:color w:val="auto"/>
          <w:sz w:val="24"/>
          <w:szCs w:val="24"/>
          <w:u w:val="single"/>
        </w:rPr>
        <w:t xml:space="preserve">   </w:t>
      </w:r>
      <w:r>
        <w:rPr>
          <w:rFonts w:hint="eastAsia" w:hAnsi="宋体" w:cs="宋体"/>
          <w:bCs/>
          <w:color w:val="auto"/>
          <w:sz w:val="24"/>
          <w:szCs w:val="24"/>
        </w:rPr>
        <w:t>个工作日内，甲方应支付至合同价款的30%；</w:t>
      </w:r>
      <w:bookmarkEnd w:id="30"/>
    </w:p>
    <w:p>
      <w:pPr>
        <w:numPr>
          <w:ilvl w:val="0"/>
          <w:numId w:val="9"/>
        </w:numPr>
        <w:spacing w:before="156" w:beforeLines="50" w:line="360" w:lineRule="auto"/>
        <w:ind w:left="0" w:firstLine="669" w:firstLineChars="279"/>
        <w:outlineLvl w:val="0"/>
        <w:rPr>
          <w:rFonts w:hAnsi="宋体" w:cs="宋体"/>
          <w:bCs/>
          <w:color w:val="auto"/>
          <w:sz w:val="24"/>
          <w:szCs w:val="24"/>
        </w:rPr>
      </w:pPr>
      <w:bookmarkStart w:id="31" w:name="_Toc27889"/>
      <w:r>
        <w:rPr>
          <w:rFonts w:hint="eastAsia" w:hAnsi="宋体" w:cs="宋体"/>
          <w:bCs/>
          <w:color w:val="auto"/>
          <w:sz w:val="24"/>
          <w:szCs w:val="24"/>
        </w:rPr>
        <w:t>乙方完成视频样片后</w:t>
      </w:r>
      <w:r>
        <w:rPr>
          <w:rFonts w:hint="eastAsia" w:hAnsi="宋体" w:cs="宋体"/>
          <w:bCs/>
          <w:color w:val="auto"/>
          <w:sz w:val="24"/>
          <w:szCs w:val="24"/>
          <w:u w:val="single"/>
        </w:rPr>
        <w:t xml:space="preserve">   </w:t>
      </w:r>
      <w:r>
        <w:rPr>
          <w:rFonts w:hint="eastAsia" w:hAnsi="宋体" w:cs="宋体"/>
          <w:bCs/>
          <w:color w:val="auto"/>
          <w:sz w:val="24"/>
          <w:szCs w:val="24"/>
        </w:rPr>
        <w:t>个工作日内，甲方应支付至合同价款的</w:t>
      </w:r>
      <w:r>
        <w:rPr>
          <w:rFonts w:hAnsi="宋体" w:cs="宋体"/>
          <w:bCs/>
          <w:color w:val="auto"/>
          <w:sz w:val="24"/>
          <w:szCs w:val="24"/>
          <w:u w:val="single" w:color="auto"/>
        </w:rPr>
        <w:t xml:space="preserve">  </w:t>
      </w:r>
      <w:r>
        <w:rPr>
          <w:rFonts w:hint="eastAsia" w:hAnsi="宋体" w:cs="宋体"/>
          <w:bCs/>
          <w:color w:val="auto"/>
          <w:sz w:val="24"/>
          <w:szCs w:val="24"/>
        </w:rPr>
        <w:t>%；</w:t>
      </w:r>
      <w:bookmarkEnd w:id="31"/>
    </w:p>
    <w:p>
      <w:pPr>
        <w:numPr>
          <w:ilvl w:val="0"/>
          <w:numId w:val="9"/>
        </w:numPr>
        <w:spacing w:before="156" w:beforeLines="50" w:line="360" w:lineRule="auto"/>
        <w:ind w:left="0" w:firstLine="669" w:firstLineChars="279"/>
        <w:outlineLvl w:val="0"/>
        <w:rPr>
          <w:rFonts w:hAnsi="宋体" w:cs="宋体"/>
          <w:bCs/>
          <w:color w:val="auto"/>
          <w:sz w:val="24"/>
          <w:szCs w:val="24"/>
        </w:rPr>
      </w:pPr>
      <w:bookmarkStart w:id="32" w:name="_Toc24593"/>
      <w:r>
        <w:rPr>
          <w:rFonts w:hint="eastAsia" w:hAnsi="宋体" w:cs="宋体"/>
          <w:bCs/>
          <w:color w:val="auto"/>
          <w:sz w:val="24"/>
          <w:szCs w:val="24"/>
        </w:rPr>
        <w:t>乙方完成竣工验收后</w:t>
      </w:r>
      <w:r>
        <w:rPr>
          <w:rFonts w:hint="eastAsia" w:hAnsi="宋体" w:cs="宋体"/>
          <w:bCs/>
          <w:color w:val="auto"/>
          <w:sz w:val="24"/>
          <w:szCs w:val="24"/>
          <w:u w:val="single"/>
        </w:rPr>
        <w:t xml:space="preserve">   </w:t>
      </w:r>
      <w:r>
        <w:rPr>
          <w:rFonts w:hint="eastAsia" w:hAnsi="宋体" w:cs="宋体"/>
          <w:bCs/>
          <w:color w:val="auto"/>
          <w:sz w:val="24"/>
          <w:szCs w:val="24"/>
        </w:rPr>
        <w:t>个工作日内，甲方应支付至合同价款的</w:t>
      </w:r>
      <w:r>
        <w:rPr>
          <w:rFonts w:hAnsi="宋体" w:cs="宋体"/>
          <w:bCs/>
          <w:color w:val="auto"/>
          <w:sz w:val="24"/>
          <w:szCs w:val="24"/>
          <w:u w:val="single" w:color="auto"/>
        </w:rPr>
        <w:t xml:space="preserve">  </w:t>
      </w:r>
      <w:r>
        <w:rPr>
          <w:rFonts w:hint="eastAsia" w:hAnsi="宋体" w:cs="宋体"/>
          <w:bCs/>
          <w:color w:val="auto"/>
          <w:sz w:val="24"/>
          <w:szCs w:val="24"/>
        </w:rPr>
        <w:t>%；</w:t>
      </w:r>
      <w:bookmarkEnd w:id="32"/>
      <w:bookmarkStart w:id="33" w:name="_Toc17289"/>
      <w:r>
        <w:rPr>
          <w:rFonts w:hint="eastAsia" w:hAnsi="宋体" w:cs="宋体"/>
          <w:bCs/>
          <w:color w:val="auto"/>
          <w:sz w:val="24"/>
          <w:szCs w:val="24"/>
        </w:rPr>
        <w:t>剩余</w:t>
      </w:r>
      <w:r>
        <w:rPr>
          <w:rFonts w:hAnsi="宋体" w:cs="宋体"/>
          <w:bCs/>
          <w:color w:val="auto"/>
          <w:sz w:val="24"/>
          <w:szCs w:val="24"/>
          <w:u w:val="single" w:color="auto"/>
        </w:rPr>
        <w:t xml:space="preserve">  </w:t>
      </w:r>
      <w:r>
        <w:rPr>
          <w:rFonts w:hint="eastAsia" w:hAnsi="宋体" w:cs="宋体"/>
          <w:bCs/>
          <w:color w:val="auto"/>
          <w:sz w:val="24"/>
          <w:szCs w:val="24"/>
        </w:rPr>
        <w:t>%的款项将作为质量保证金（下称“质保金”）；</w:t>
      </w:r>
      <w:bookmarkEnd w:id="33"/>
    </w:p>
    <w:p>
      <w:pPr>
        <w:numPr>
          <w:ilvl w:val="0"/>
          <w:numId w:val="9"/>
        </w:numPr>
        <w:spacing w:before="156" w:beforeLines="50" w:line="360" w:lineRule="auto"/>
        <w:ind w:left="0" w:firstLine="669" w:firstLineChars="279"/>
        <w:outlineLvl w:val="0"/>
        <w:rPr>
          <w:rFonts w:hAnsi="宋体" w:cs="宋体"/>
          <w:bCs/>
          <w:color w:val="auto"/>
          <w:sz w:val="24"/>
          <w:szCs w:val="24"/>
        </w:rPr>
      </w:pPr>
      <w:bookmarkStart w:id="34" w:name="_Toc26438"/>
      <w:r>
        <w:rPr>
          <w:rFonts w:hint="eastAsia" w:hAnsi="宋体" w:cs="宋体"/>
          <w:bCs/>
          <w:color w:val="auto"/>
          <w:sz w:val="24"/>
          <w:szCs w:val="24"/>
        </w:rPr>
        <w:t>待质量保修期满后</w:t>
      </w:r>
      <w:r>
        <w:rPr>
          <w:rFonts w:hint="eastAsia" w:hAnsi="宋体" w:cs="宋体"/>
          <w:bCs/>
          <w:color w:val="auto"/>
          <w:sz w:val="24"/>
          <w:szCs w:val="24"/>
          <w:u w:val="single"/>
        </w:rPr>
        <w:t xml:space="preserve">    </w:t>
      </w:r>
      <w:r>
        <w:rPr>
          <w:rFonts w:hint="eastAsia" w:hAnsi="宋体" w:cs="宋体"/>
          <w:bCs/>
          <w:color w:val="auto"/>
          <w:sz w:val="24"/>
          <w:szCs w:val="24"/>
        </w:rPr>
        <w:t>个工作日内，甲方支付至结算审计价款的100%。</w:t>
      </w:r>
      <w:bookmarkEnd w:id="34"/>
    </w:p>
    <w:p>
      <w:pPr>
        <w:spacing w:line="360" w:lineRule="auto"/>
        <w:ind w:firstLine="482" w:firstLineChars="200"/>
        <w:outlineLvl w:val="0"/>
        <w:rPr>
          <w:rFonts w:hAnsi="宋体" w:cs="宋体"/>
          <w:b/>
          <w:sz w:val="24"/>
          <w:szCs w:val="24"/>
        </w:rPr>
      </w:pPr>
      <w:bookmarkStart w:id="35" w:name="_Toc17298"/>
      <w:r>
        <w:rPr>
          <w:rFonts w:hint="eastAsia" w:hAnsi="宋体" w:cs="宋体"/>
          <w:b/>
          <w:sz w:val="24"/>
          <w:szCs w:val="24"/>
        </w:rPr>
        <w:t>四、验收要求</w:t>
      </w:r>
      <w:bookmarkEnd w:id="35"/>
    </w:p>
    <w:p>
      <w:pPr>
        <w:spacing w:line="360" w:lineRule="auto"/>
        <w:ind w:firstLine="480" w:firstLineChars="200"/>
        <w:outlineLvl w:val="0"/>
        <w:rPr>
          <w:rFonts w:hint="default" w:hAnsi="宋体" w:eastAsia="宋体" w:cs="宋体"/>
          <w:sz w:val="24"/>
          <w:szCs w:val="24"/>
          <w:lang w:val="en-US" w:eastAsia="zh-CN"/>
        </w:rPr>
      </w:pPr>
      <w:bookmarkStart w:id="36" w:name="_Toc592"/>
      <w:r>
        <w:rPr>
          <w:rFonts w:hint="eastAsia" w:hAnsi="宋体" w:cs="宋体"/>
          <w:sz w:val="24"/>
          <w:szCs w:val="24"/>
        </w:rPr>
        <w:t>由甲方在指定项目地点对乙方所实施项目进行验收，验收标准除甲方出具须乙方响应文件内所述的服务要求外，可溯源到国家、行业相关标准；乙方提供的项目实施服务应达到有关标准的规定并确保整体通过甲方的验收</w:t>
      </w:r>
      <w:bookmarkEnd w:id="36"/>
      <w:r>
        <w:rPr>
          <w:rFonts w:hint="eastAsia" w:hAnsi="宋体" w:cs="宋体"/>
          <w:sz w:val="24"/>
          <w:szCs w:val="24"/>
          <w:highlight w:val="red"/>
          <w:lang w:eastAsia="zh-CN"/>
        </w:rPr>
        <w:t>，</w:t>
      </w:r>
      <w:r>
        <w:rPr>
          <w:rFonts w:hint="eastAsia" w:hAnsi="宋体" w:cs="宋体"/>
          <w:color w:val="auto"/>
          <w:sz w:val="24"/>
          <w:szCs w:val="24"/>
          <w:highlight w:val="none"/>
          <w:lang w:val="en-US" w:eastAsia="zh-CN"/>
        </w:rPr>
        <w:t>且向甲方提供设计源文件。</w:t>
      </w:r>
    </w:p>
    <w:p>
      <w:pPr>
        <w:tabs>
          <w:tab w:val="left" w:pos="1980"/>
        </w:tabs>
        <w:adjustRightInd w:val="0"/>
        <w:snapToGrid w:val="0"/>
        <w:spacing w:before="19" w:line="500" w:lineRule="exact"/>
        <w:ind w:firstLine="472" w:firstLineChars="196"/>
        <w:rPr>
          <w:rFonts w:hAnsi="宋体" w:cs="宋体"/>
          <w:b/>
          <w:sz w:val="24"/>
          <w:szCs w:val="24"/>
        </w:rPr>
      </w:pPr>
      <w:r>
        <w:rPr>
          <w:rFonts w:hint="eastAsia" w:hAnsi="宋体" w:cs="宋体"/>
          <w:b/>
          <w:sz w:val="24"/>
          <w:szCs w:val="24"/>
        </w:rPr>
        <w:t>五、合同纠纷处理</w:t>
      </w:r>
    </w:p>
    <w:p>
      <w:pPr>
        <w:tabs>
          <w:tab w:val="left" w:pos="1980"/>
        </w:tabs>
        <w:adjustRightInd w:val="0"/>
        <w:snapToGrid w:val="0"/>
        <w:spacing w:before="19" w:line="500" w:lineRule="exact"/>
        <w:ind w:firstLine="480" w:firstLineChars="200"/>
        <w:rPr>
          <w:rFonts w:hAnsi="宋体" w:cs="宋体"/>
          <w:sz w:val="24"/>
          <w:szCs w:val="24"/>
        </w:rPr>
      </w:pPr>
      <w:r>
        <w:rPr>
          <w:rFonts w:hint="eastAsia" w:hAnsi="宋体" w:cs="宋体"/>
          <w:sz w:val="24"/>
          <w:szCs w:val="24"/>
        </w:rPr>
        <w:t>本合同执行过程中发生纠纷，可作如下处理：</w:t>
      </w:r>
    </w:p>
    <w:p>
      <w:pPr>
        <w:tabs>
          <w:tab w:val="left" w:pos="1980"/>
        </w:tabs>
        <w:adjustRightInd w:val="0"/>
        <w:snapToGrid w:val="0"/>
        <w:spacing w:before="19" w:line="500" w:lineRule="exact"/>
        <w:ind w:firstLine="470" w:firstLineChars="196"/>
        <w:rPr>
          <w:rFonts w:hAnsi="宋体" w:cs="宋体"/>
          <w:sz w:val="24"/>
          <w:szCs w:val="24"/>
          <w:shd w:val="clear" w:color="auto" w:fill="FFFFFF"/>
        </w:rPr>
      </w:pPr>
      <w:r>
        <w:rPr>
          <w:rFonts w:hint="eastAsia" w:hAnsi="宋体" w:cs="宋体"/>
          <w:sz w:val="24"/>
          <w:szCs w:val="24"/>
          <w:shd w:val="clear" w:color="auto" w:fill="FFFFFF"/>
        </w:rPr>
        <w:t>1.由甲乙双方协商处理。</w:t>
      </w:r>
    </w:p>
    <w:p>
      <w:pPr>
        <w:tabs>
          <w:tab w:val="left" w:pos="1980"/>
        </w:tabs>
        <w:adjustRightInd w:val="0"/>
        <w:snapToGrid w:val="0"/>
        <w:spacing w:before="19" w:line="500" w:lineRule="exact"/>
        <w:ind w:firstLine="470" w:firstLineChars="196"/>
        <w:rPr>
          <w:rFonts w:hAnsi="宋体" w:cs="宋体"/>
          <w:sz w:val="24"/>
          <w:szCs w:val="24"/>
          <w:shd w:val="clear" w:color="auto" w:fill="FFFFFF"/>
        </w:rPr>
      </w:pPr>
      <w:r>
        <w:rPr>
          <w:rFonts w:hint="eastAsia" w:hAnsi="宋体" w:cs="宋体"/>
          <w:sz w:val="24"/>
          <w:szCs w:val="24"/>
          <w:shd w:val="clear" w:color="auto" w:fill="FFFFFF"/>
        </w:rPr>
        <w:t>2.若一方选择申请仲裁，仲裁机构为海口市国际仲裁院。</w:t>
      </w:r>
    </w:p>
    <w:p>
      <w:pPr>
        <w:tabs>
          <w:tab w:val="left" w:pos="1980"/>
        </w:tabs>
        <w:adjustRightInd w:val="0"/>
        <w:snapToGrid w:val="0"/>
        <w:spacing w:before="19" w:line="500" w:lineRule="exact"/>
        <w:ind w:firstLine="470" w:firstLineChars="196"/>
        <w:rPr>
          <w:rFonts w:hAnsi="宋体" w:cs="宋体"/>
          <w:sz w:val="24"/>
          <w:szCs w:val="24"/>
          <w:shd w:val="clear" w:color="auto" w:fill="FFFFFF"/>
        </w:rPr>
      </w:pPr>
      <w:r>
        <w:rPr>
          <w:rFonts w:hint="eastAsia" w:hAnsi="宋体" w:cs="宋体"/>
          <w:sz w:val="24"/>
          <w:szCs w:val="24"/>
          <w:shd w:val="clear" w:color="auto" w:fill="FFFFFF"/>
        </w:rPr>
        <w:t>3.若一方选择提起诉讼，诉讼地点为甲方所在地人民法院。</w:t>
      </w:r>
    </w:p>
    <w:p>
      <w:pPr>
        <w:spacing w:before="156" w:beforeLines="50" w:line="360" w:lineRule="auto"/>
        <w:ind w:firstLine="482" w:firstLineChars="200"/>
        <w:outlineLvl w:val="0"/>
        <w:rPr>
          <w:rFonts w:hAnsi="宋体" w:cs="宋体"/>
          <w:b/>
          <w:sz w:val="24"/>
          <w:szCs w:val="24"/>
        </w:rPr>
      </w:pPr>
      <w:bookmarkStart w:id="37" w:name="_Toc3234"/>
      <w:r>
        <w:rPr>
          <w:rFonts w:hint="eastAsia" w:hAnsi="宋体" w:cs="宋体"/>
          <w:b/>
          <w:sz w:val="24"/>
          <w:szCs w:val="24"/>
        </w:rPr>
        <w:t>六、合同生效</w:t>
      </w:r>
      <w:bookmarkEnd w:id="37"/>
    </w:p>
    <w:p>
      <w:pPr>
        <w:spacing w:before="156" w:beforeLines="50" w:line="360" w:lineRule="auto"/>
        <w:ind w:firstLine="480" w:firstLineChars="200"/>
        <w:outlineLvl w:val="0"/>
        <w:rPr>
          <w:rFonts w:hAnsi="宋体" w:cs="宋体"/>
          <w:sz w:val="24"/>
          <w:szCs w:val="24"/>
        </w:rPr>
      </w:pPr>
      <w:bookmarkStart w:id="38" w:name="_Toc5564"/>
      <w:r>
        <w:rPr>
          <w:rFonts w:hint="eastAsia" w:hAnsi="宋体" w:cs="宋体"/>
          <w:sz w:val="24"/>
          <w:szCs w:val="24"/>
        </w:rPr>
        <w:t>1.本合同经甲乙双方授权代表签字及双方加盖公章或合同专用章后生效。</w:t>
      </w:r>
      <w:bookmarkEnd w:id="38"/>
    </w:p>
    <w:p>
      <w:pPr>
        <w:spacing w:before="156" w:beforeLines="50" w:line="360" w:lineRule="auto"/>
        <w:ind w:firstLine="480" w:firstLineChars="200"/>
        <w:outlineLvl w:val="0"/>
        <w:rPr>
          <w:rFonts w:hAnsi="宋体" w:cs="宋体"/>
          <w:sz w:val="24"/>
          <w:szCs w:val="24"/>
        </w:rPr>
      </w:pPr>
      <w:bookmarkStart w:id="39" w:name="_Toc20273"/>
      <w:r>
        <w:rPr>
          <w:rFonts w:hint="eastAsia" w:hAnsi="宋体" w:cs="宋体"/>
          <w:sz w:val="24"/>
          <w:szCs w:val="24"/>
        </w:rPr>
        <w:t>2.本合同壹式陆份：甲方执贰份，乙方执叁份，招标代理机构执壹份，合同自双方盖章签字之日起生效，并具法律效力。</w:t>
      </w:r>
      <w:bookmarkEnd w:id="39"/>
    </w:p>
    <w:p>
      <w:pPr>
        <w:tabs>
          <w:tab w:val="left" w:pos="1980"/>
        </w:tabs>
        <w:adjustRightInd w:val="0"/>
        <w:snapToGrid w:val="0"/>
        <w:spacing w:before="19" w:line="500" w:lineRule="exact"/>
        <w:ind w:firstLine="472" w:firstLineChars="196"/>
        <w:rPr>
          <w:rFonts w:hAnsi="宋体" w:cs="宋体"/>
          <w:b/>
          <w:sz w:val="24"/>
          <w:szCs w:val="24"/>
        </w:rPr>
      </w:pPr>
      <w:r>
        <w:rPr>
          <w:rFonts w:hint="eastAsia" w:hAnsi="宋体" w:cs="宋体"/>
          <w:b/>
          <w:sz w:val="24"/>
          <w:szCs w:val="24"/>
        </w:rPr>
        <w:t>七、其他</w:t>
      </w:r>
    </w:p>
    <w:p>
      <w:pPr>
        <w:spacing w:before="156" w:beforeLines="50" w:line="360" w:lineRule="auto"/>
        <w:ind w:firstLine="480" w:firstLineChars="200"/>
        <w:outlineLvl w:val="0"/>
        <w:rPr>
          <w:rFonts w:hAnsi="宋体" w:cs="宋体"/>
          <w:sz w:val="24"/>
          <w:szCs w:val="24"/>
        </w:rPr>
      </w:pPr>
      <w:bookmarkStart w:id="40" w:name="_Toc32180"/>
      <w:r>
        <w:rPr>
          <w:rFonts w:hint="eastAsia" w:hAnsi="宋体" w:cs="宋体"/>
          <w:sz w:val="24"/>
          <w:szCs w:val="24"/>
        </w:rPr>
        <w:t>1.双方一致同意，一方向另一方出具的书面文件必须由出具方法定代表人或授权委托人（有合法有效的授权书原件）签字，或加盖公章方可生效，否则均为无效文件。</w:t>
      </w:r>
      <w:bookmarkEnd w:id="40"/>
    </w:p>
    <w:p>
      <w:pPr>
        <w:spacing w:before="156" w:beforeLines="50" w:line="360" w:lineRule="auto"/>
        <w:ind w:firstLine="480" w:firstLineChars="200"/>
        <w:outlineLvl w:val="0"/>
        <w:rPr>
          <w:rFonts w:hAnsi="宋体" w:cs="宋体"/>
          <w:sz w:val="24"/>
          <w:szCs w:val="24"/>
        </w:rPr>
      </w:pPr>
      <w:bookmarkStart w:id="41" w:name="_Toc5621"/>
      <w:r>
        <w:rPr>
          <w:rFonts w:hint="eastAsia" w:hAnsi="宋体" w:cs="宋体"/>
          <w:sz w:val="24"/>
          <w:szCs w:val="24"/>
        </w:rPr>
        <w:t>2.未尽事宜可经甲、乙双方协商一致后订立补充协议，补充协议基于本合同而设，系本合同的意思延伸且为本合同不可分割的组成部分；但增加或补充协议的条款不得对招标文件和投标文件约定的内容作实质性修改，补充协议与本合同具有同等法律效力。</w:t>
      </w:r>
      <w:bookmarkEnd w:id="41"/>
    </w:p>
    <w:p>
      <w:pPr>
        <w:spacing w:before="156" w:beforeLines="50" w:line="360" w:lineRule="auto"/>
        <w:ind w:firstLine="480" w:firstLineChars="200"/>
        <w:outlineLvl w:val="0"/>
        <w:rPr>
          <w:rFonts w:hAnsi="宋体" w:cs="宋体"/>
          <w:sz w:val="24"/>
          <w:szCs w:val="24"/>
        </w:rPr>
      </w:pPr>
      <w:bookmarkStart w:id="42" w:name="_Toc1159"/>
      <w:r>
        <w:rPr>
          <w:rFonts w:hint="eastAsia" w:hAnsi="宋体" w:cs="宋体"/>
          <w:sz w:val="24"/>
          <w:szCs w:val="24"/>
        </w:rPr>
        <w:t>3.下列文件是构成本合同不可分割的部分：</w:t>
      </w:r>
      <w:bookmarkEnd w:id="42"/>
    </w:p>
    <w:p>
      <w:pPr>
        <w:spacing w:line="360" w:lineRule="auto"/>
        <w:ind w:firstLine="480" w:firstLineChars="200"/>
        <w:rPr>
          <w:rFonts w:hAnsi="宋体" w:cs="宋体"/>
          <w:sz w:val="24"/>
          <w:szCs w:val="24"/>
        </w:rPr>
      </w:pPr>
      <w:r>
        <w:rPr>
          <w:rFonts w:hint="eastAsia" w:hAnsi="宋体" w:cs="宋体"/>
          <w:sz w:val="24"/>
          <w:szCs w:val="24"/>
        </w:rPr>
        <w:t>（1）招标文件（含澄清或者修改文件）；</w:t>
      </w:r>
    </w:p>
    <w:p>
      <w:pPr>
        <w:spacing w:line="360" w:lineRule="auto"/>
        <w:ind w:firstLine="480" w:firstLineChars="200"/>
        <w:rPr>
          <w:rFonts w:hAnsi="宋体" w:cs="宋体"/>
          <w:sz w:val="24"/>
          <w:szCs w:val="24"/>
        </w:rPr>
      </w:pPr>
      <w:r>
        <w:rPr>
          <w:rFonts w:hint="eastAsia" w:hAnsi="宋体" w:cs="宋体"/>
          <w:sz w:val="24"/>
          <w:szCs w:val="24"/>
        </w:rPr>
        <w:t>（2）招标文件的更正公告、变更公告；</w:t>
      </w:r>
    </w:p>
    <w:p>
      <w:pPr>
        <w:spacing w:line="360" w:lineRule="auto"/>
        <w:ind w:firstLine="480" w:firstLineChars="200"/>
        <w:rPr>
          <w:rFonts w:hAnsi="宋体" w:cs="宋体"/>
          <w:sz w:val="24"/>
          <w:szCs w:val="24"/>
        </w:rPr>
      </w:pPr>
      <w:r>
        <w:rPr>
          <w:rFonts w:hint="eastAsia" w:hAnsi="宋体" w:cs="宋体"/>
          <w:sz w:val="24"/>
          <w:szCs w:val="24"/>
        </w:rPr>
        <w:t>（3）乙方提交的投标文件（含澄清或者说明文件）；</w:t>
      </w:r>
    </w:p>
    <w:p>
      <w:pPr>
        <w:spacing w:line="360" w:lineRule="auto"/>
        <w:ind w:firstLine="480" w:firstLineChars="200"/>
        <w:rPr>
          <w:rFonts w:hAnsi="宋体" w:cs="宋体"/>
          <w:sz w:val="24"/>
          <w:szCs w:val="24"/>
        </w:rPr>
      </w:pPr>
      <w:r>
        <w:rPr>
          <w:rFonts w:hint="eastAsia" w:hAnsi="宋体" w:cs="宋体"/>
          <w:sz w:val="24"/>
          <w:szCs w:val="24"/>
        </w:rPr>
        <w:t>（4）合同条款；</w:t>
      </w:r>
    </w:p>
    <w:p>
      <w:pPr>
        <w:spacing w:line="360" w:lineRule="auto"/>
        <w:ind w:firstLine="480" w:firstLineChars="200"/>
        <w:rPr>
          <w:rFonts w:hAnsi="宋体" w:cs="宋体"/>
          <w:sz w:val="24"/>
          <w:szCs w:val="24"/>
        </w:rPr>
      </w:pPr>
      <w:r>
        <w:rPr>
          <w:rFonts w:hint="eastAsia" w:hAnsi="宋体" w:cs="宋体"/>
          <w:sz w:val="24"/>
          <w:szCs w:val="24"/>
        </w:rPr>
        <w:t>（5）中标通知书；</w:t>
      </w:r>
    </w:p>
    <w:p>
      <w:pPr>
        <w:spacing w:line="360" w:lineRule="auto"/>
        <w:ind w:firstLine="480" w:firstLineChars="200"/>
        <w:rPr>
          <w:rFonts w:hAnsi="宋体" w:cs="宋体"/>
          <w:sz w:val="24"/>
          <w:szCs w:val="24"/>
        </w:rPr>
      </w:pPr>
      <w:r>
        <w:rPr>
          <w:rFonts w:hint="eastAsia" w:hAnsi="宋体" w:cs="宋体"/>
          <w:sz w:val="24"/>
          <w:szCs w:val="24"/>
        </w:rPr>
        <w:t>（6）合同的其它附件；</w:t>
      </w:r>
    </w:p>
    <w:p>
      <w:pPr>
        <w:spacing w:line="360" w:lineRule="auto"/>
        <w:ind w:firstLine="480" w:firstLineChars="200"/>
        <w:rPr>
          <w:rFonts w:hAnsi="宋体" w:cs="宋体"/>
          <w:sz w:val="24"/>
          <w:szCs w:val="24"/>
        </w:rPr>
      </w:pPr>
      <w:r>
        <w:rPr>
          <w:rFonts w:hint="eastAsia" w:hAnsi="宋体" w:cs="宋体"/>
          <w:sz w:val="24"/>
          <w:szCs w:val="24"/>
        </w:rPr>
        <w:t>（7）甲方出具的确认文件、要求文件。</w:t>
      </w:r>
    </w:p>
    <w:p>
      <w:pPr>
        <w:spacing w:line="360" w:lineRule="auto"/>
        <w:ind w:firstLine="482" w:firstLineChars="200"/>
        <w:rPr>
          <w:rFonts w:hint="eastAsia" w:hAnsi="宋体" w:cs="宋体"/>
          <w:b/>
          <w:bCs/>
          <w:sz w:val="24"/>
          <w:szCs w:val="24"/>
        </w:rPr>
      </w:pPr>
    </w:p>
    <w:p>
      <w:pPr>
        <w:spacing w:line="360" w:lineRule="auto"/>
        <w:ind w:firstLine="482" w:firstLineChars="200"/>
        <w:rPr>
          <w:rFonts w:hAnsi="宋体" w:cs="宋体"/>
          <w:b/>
          <w:bCs/>
          <w:sz w:val="24"/>
          <w:szCs w:val="24"/>
        </w:rPr>
      </w:pPr>
      <w:r>
        <w:rPr>
          <w:rFonts w:hint="eastAsia" w:hAnsi="宋体" w:cs="宋体"/>
          <w:b/>
          <w:bCs/>
          <w:sz w:val="24"/>
          <w:szCs w:val="24"/>
        </w:rPr>
        <w:t>八、项目结算</w:t>
      </w:r>
    </w:p>
    <w:p>
      <w:pPr>
        <w:spacing w:line="360" w:lineRule="auto"/>
        <w:ind w:firstLine="480" w:firstLineChars="200"/>
        <w:rPr>
          <w:rFonts w:hAnsi="宋体" w:cs="宋体"/>
          <w:sz w:val="24"/>
          <w:szCs w:val="24"/>
        </w:rPr>
      </w:pPr>
      <w:r>
        <w:rPr>
          <w:rFonts w:hint="eastAsia" w:hAnsi="宋体" w:cs="宋体"/>
          <w:sz w:val="24"/>
          <w:szCs w:val="24"/>
        </w:rPr>
        <w:t>1.工程结算依据：本合同及补充协议，双方洽商文件、现场签证、竣工验收资料等。</w:t>
      </w:r>
    </w:p>
    <w:p>
      <w:pPr>
        <w:spacing w:line="360" w:lineRule="auto"/>
        <w:ind w:firstLine="480" w:firstLineChars="200"/>
        <w:rPr>
          <w:rFonts w:hAnsi="宋体" w:cs="宋体"/>
          <w:sz w:val="24"/>
          <w:szCs w:val="24"/>
        </w:rPr>
      </w:pPr>
      <w:r>
        <w:rPr>
          <w:rFonts w:hint="eastAsia" w:hAnsi="宋体" w:cs="宋体"/>
          <w:sz w:val="24"/>
          <w:szCs w:val="24"/>
        </w:rPr>
        <w:t>2.结算价确定</w:t>
      </w:r>
    </w:p>
    <w:p>
      <w:pPr>
        <w:spacing w:line="360" w:lineRule="auto"/>
        <w:ind w:firstLine="480" w:firstLineChars="200"/>
        <w:rPr>
          <w:rFonts w:hAnsi="宋体" w:cs="宋体"/>
          <w:sz w:val="24"/>
          <w:szCs w:val="24"/>
        </w:rPr>
      </w:pPr>
      <w:r>
        <w:rPr>
          <w:rFonts w:hint="eastAsia" w:hAnsi="宋体" w:cs="宋体"/>
          <w:sz w:val="24"/>
          <w:szCs w:val="24"/>
        </w:rPr>
        <w:t>（1）投标单价即作为结算单价，项目结算总价按结算单价乘以实际安装数量据实结算。</w:t>
      </w:r>
    </w:p>
    <w:p>
      <w:pPr>
        <w:spacing w:line="360" w:lineRule="auto"/>
        <w:ind w:firstLine="480" w:firstLineChars="200"/>
        <w:rPr>
          <w:rFonts w:hAnsi="宋体" w:cs="宋体"/>
          <w:sz w:val="24"/>
          <w:szCs w:val="24"/>
        </w:rPr>
      </w:pPr>
      <w:r>
        <w:rPr>
          <w:rFonts w:hint="eastAsia" w:hAnsi="宋体" w:cs="宋体"/>
          <w:sz w:val="24"/>
          <w:szCs w:val="24"/>
        </w:rPr>
        <w:t>（2）变更签证：</w:t>
      </w:r>
    </w:p>
    <w:p>
      <w:pPr>
        <w:spacing w:line="360" w:lineRule="auto"/>
        <w:ind w:firstLine="681" w:firstLineChars="284"/>
        <w:rPr>
          <w:rFonts w:hAnsi="宋体" w:cs="宋体"/>
          <w:sz w:val="24"/>
          <w:szCs w:val="24"/>
        </w:rPr>
      </w:pPr>
      <w:r>
        <w:rPr>
          <w:rFonts w:hint="eastAsia" w:hAnsi="宋体" w:cs="宋体"/>
          <w:sz w:val="24"/>
          <w:szCs w:val="24"/>
        </w:rPr>
        <w:t>a.合同内已包含的标的物，按合同价款执行。</w:t>
      </w:r>
    </w:p>
    <w:p>
      <w:pPr>
        <w:spacing w:line="360" w:lineRule="auto"/>
        <w:ind w:firstLine="720" w:firstLineChars="300"/>
        <w:rPr>
          <w:rFonts w:hAnsi="宋体" w:cs="宋体"/>
          <w:sz w:val="24"/>
          <w:szCs w:val="24"/>
        </w:rPr>
      </w:pPr>
      <w:r>
        <w:rPr>
          <w:rFonts w:hint="eastAsia" w:hAnsi="宋体" w:cs="宋体"/>
          <w:sz w:val="24"/>
          <w:szCs w:val="24"/>
        </w:rPr>
        <w:t>b.合同内不包含的标的物，按双方确定价格计取，结算按主合同付款方式结算。</w:t>
      </w:r>
    </w:p>
    <w:p>
      <w:pPr>
        <w:spacing w:line="360" w:lineRule="auto"/>
        <w:ind w:firstLine="480" w:firstLineChars="200"/>
        <w:rPr>
          <w:rFonts w:hAnsi="宋体" w:cs="宋体"/>
          <w:sz w:val="24"/>
          <w:szCs w:val="24"/>
        </w:rPr>
      </w:pPr>
      <w:r>
        <w:rPr>
          <w:rFonts w:hint="eastAsia" w:hAnsi="宋体" w:cs="宋体"/>
          <w:sz w:val="24"/>
          <w:szCs w:val="24"/>
        </w:rPr>
        <w:t>3.结算申报</w:t>
      </w:r>
    </w:p>
    <w:p>
      <w:pPr>
        <w:spacing w:line="360" w:lineRule="auto"/>
        <w:ind w:firstLine="480" w:firstLineChars="200"/>
        <w:rPr>
          <w:rFonts w:hAnsi="宋体" w:cs="宋体"/>
          <w:sz w:val="24"/>
          <w:szCs w:val="24"/>
        </w:rPr>
      </w:pPr>
      <w:r>
        <w:rPr>
          <w:rFonts w:hint="eastAsia" w:hAnsi="宋体" w:cs="宋体"/>
          <w:sz w:val="24"/>
          <w:szCs w:val="24"/>
        </w:rPr>
        <w:t>乙方在通过工程竣工验收、办理完工程交接手续及竣工资料移交手续后15天内向甲方递交竣工结算报告及完整的结算资料，甲方收到完整的竣工结算资料后进行审核，并作为双方的结算依据。</w:t>
      </w:r>
    </w:p>
    <w:p>
      <w:pPr>
        <w:spacing w:line="360" w:lineRule="auto"/>
        <w:ind w:firstLine="482" w:firstLineChars="200"/>
        <w:rPr>
          <w:rFonts w:hAnsi="宋体" w:cs="宋体"/>
          <w:b/>
          <w:bCs/>
          <w:sz w:val="24"/>
          <w:szCs w:val="24"/>
        </w:rPr>
      </w:pPr>
      <w:r>
        <w:rPr>
          <w:rFonts w:hint="eastAsia" w:hAnsi="宋体" w:cs="宋体"/>
          <w:b/>
          <w:bCs/>
          <w:sz w:val="24"/>
          <w:szCs w:val="24"/>
        </w:rPr>
        <w:t>九、合同附件</w:t>
      </w:r>
    </w:p>
    <w:p>
      <w:pPr>
        <w:spacing w:line="360" w:lineRule="auto"/>
        <w:ind w:firstLine="480" w:firstLineChars="200"/>
        <w:rPr>
          <w:rFonts w:hAnsi="宋体" w:cs="宋体"/>
          <w:sz w:val="24"/>
          <w:szCs w:val="24"/>
        </w:rPr>
      </w:pPr>
      <w:r>
        <w:rPr>
          <w:rFonts w:hint="eastAsia" w:hAnsi="宋体" w:cs="宋体"/>
          <w:sz w:val="24"/>
          <w:szCs w:val="24"/>
        </w:rPr>
        <w:t>1.开标一览表、分项报价明细表；</w:t>
      </w:r>
    </w:p>
    <w:p>
      <w:pPr>
        <w:spacing w:line="360" w:lineRule="auto"/>
        <w:ind w:firstLine="480" w:firstLineChars="200"/>
        <w:rPr>
          <w:rFonts w:hAnsi="宋体" w:cs="宋体"/>
          <w:sz w:val="24"/>
          <w:szCs w:val="24"/>
        </w:rPr>
      </w:pPr>
      <w:r>
        <w:rPr>
          <w:rFonts w:hint="eastAsia" w:hAnsi="宋体" w:cs="宋体"/>
          <w:sz w:val="24"/>
          <w:szCs w:val="24"/>
        </w:rPr>
        <w:t>2.技术、商务响应表；</w:t>
      </w:r>
    </w:p>
    <w:p>
      <w:pPr>
        <w:pStyle w:val="10"/>
        <w:ind w:firstLine="480" w:firstLineChars="200"/>
        <w:rPr>
          <w:rFonts w:ascii="宋体" w:hAnsi="宋体" w:cs="宋体"/>
          <w:sz w:val="24"/>
          <w:szCs w:val="24"/>
        </w:rPr>
      </w:pPr>
      <w:r>
        <w:rPr>
          <w:rFonts w:hint="eastAsia" w:ascii="宋体" w:hAnsi="宋体" w:cs="宋体"/>
          <w:sz w:val="24"/>
          <w:szCs w:val="24"/>
        </w:rPr>
        <w:t>3.通知书。</w:t>
      </w:r>
    </w:p>
    <w:p>
      <w:pPr>
        <w:pStyle w:val="10"/>
        <w:ind w:firstLine="0"/>
        <w:rPr>
          <w:rFonts w:ascii="宋体" w:hAnsi="宋体" w:cs="宋体"/>
          <w:sz w:val="24"/>
          <w:szCs w:val="24"/>
        </w:rPr>
      </w:pPr>
    </w:p>
    <w:p>
      <w:pPr>
        <w:adjustRightInd w:val="0"/>
        <w:snapToGrid w:val="0"/>
        <w:spacing w:line="360" w:lineRule="auto"/>
        <w:ind w:firstLine="446" w:firstLineChars="185"/>
        <w:rPr>
          <w:rFonts w:hAnsi="宋体" w:cs="宋体"/>
          <w:b/>
          <w:bCs/>
          <w:sz w:val="24"/>
          <w:szCs w:val="24"/>
        </w:rPr>
      </w:pPr>
      <w:r>
        <w:rPr>
          <w:rFonts w:hint="eastAsia" w:hAnsi="宋体" w:cs="宋体"/>
          <w:b/>
          <w:bCs/>
          <w:sz w:val="24"/>
          <w:szCs w:val="24"/>
        </w:rPr>
        <w:t xml:space="preserve">甲方（公章）:                        乙方(公章):  </w:t>
      </w:r>
    </w:p>
    <w:p>
      <w:pPr>
        <w:adjustRightInd w:val="0"/>
        <w:snapToGrid w:val="0"/>
        <w:spacing w:line="360" w:lineRule="auto"/>
        <w:ind w:firstLine="446" w:firstLineChars="185"/>
        <w:rPr>
          <w:rFonts w:hAnsi="宋体" w:cs="宋体"/>
          <w:b/>
          <w:bCs/>
          <w:sz w:val="24"/>
          <w:szCs w:val="24"/>
        </w:rPr>
      </w:pPr>
      <w:r>
        <w:rPr>
          <w:rFonts w:hint="eastAsia" w:hAnsi="宋体" w:cs="宋体"/>
          <w:b/>
          <w:bCs/>
          <w:sz w:val="24"/>
          <w:szCs w:val="24"/>
        </w:rPr>
        <w:t>办公地址：                           办公地址：</w:t>
      </w:r>
    </w:p>
    <w:p>
      <w:pPr>
        <w:adjustRightInd w:val="0"/>
        <w:snapToGrid w:val="0"/>
        <w:spacing w:line="360" w:lineRule="auto"/>
        <w:ind w:firstLine="446" w:firstLineChars="185"/>
        <w:rPr>
          <w:rFonts w:hAnsi="宋体" w:cs="宋体"/>
          <w:b/>
          <w:bCs/>
          <w:sz w:val="24"/>
          <w:szCs w:val="24"/>
        </w:rPr>
      </w:pPr>
      <w:r>
        <w:rPr>
          <w:rFonts w:hint="eastAsia" w:hAnsi="宋体" w:cs="宋体"/>
          <w:b/>
          <w:bCs/>
          <w:sz w:val="24"/>
          <w:szCs w:val="24"/>
        </w:rPr>
        <w:t>法定代表人                           法定代表人</w:t>
      </w:r>
    </w:p>
    <w:p>
      <w:pPr>
        <w:adjustRightInd w:val="0"/>
        <w:snapToGrid w:val="0"/>
        <w:spacing w:line="360" w:lineRule="auto"/>
        <w:ind w:firstLine="446" w:firstLineChars="185"/>
        <w:rPr>
          <w:rFonts w:hAnsi="宋体" w:cs="宋体"/>
          <w:b/>
          <w:bCs/>
          <w:sz w:val="24"/>
          <w:szCs w:val="24"/>
        </w:rPr>
      </w:pPr>
      <w:r>
        <w:rPr>
          <w:rFonts w:hint="eastAsia" w:hAnsi="宋体" w:cs="宋体"/>
          <w:b/>
          <w:bCs/>
          <w:sz w:val="24"/>
          <w:szCs w:val="24"/>
        </w:rPr>
        <w:t>或授权代表(签字):                    或授权代表(签字):</w:t>
      </w:r>
    </w:p>
    <w:p>
      <w:pPr>
        <w:adjustRightInd w:val="0"/>
        <w:snapToGrid w:val="0"/>
        <w:spacing w:line="360" w:lineRule="auto"/>
        <w:ind w:firstLine="446" w:firstLineChars="185"/>
        <w:rPr>
          <w:rFonts w:hAnsi="宋体" w:cs="宋体"/>
          <w:b/>
          <w:bCs/>
          <w:sz w:val="24"/>
          <w:szCs w:val="24"/>
        </w:rPr>
      </w:pPr>
      <w:r>
        <w:rPr>
          <w:rFonts w:hint="eastAsia" w:hAnsi="宋体" w:cs="宋体"/>
          <w:b/>
          <w:bCs/>
          <w:sz w:val="24"/>
          <w:szCs w:val="24"/>
        </w:rPr>
        <w:t>联系人：                             联系人：</w:t>
      </w:r>
    </w:p>
    <w:p>
      <w:pPr>
        <w:adjustRightInd w:val="0"/>
        <w:snapToGrid w:val="0"/>
        <w:spacing w:line="360" w:lineRule="auto"/>
        <w:ind w:firstLine="446" w:firstLineChars="185"/>
        <w:rPr>
          <w:rFonts w:hAnsi="宋体" w:cs="宋体"/>
          <w:b/>
          <w:bCs/>
          <w:sz w:val="24"/>
          <w:szCs w:val="24"/>
        </w:rPr>
      </w:pPr>
      <w:r>
        <w:rPr>
          <w:rFonts w:hint="eastAsia" w:hAnsi="宋体" w:cs="宋体"/>
          <w:b/>
          <w:bCs/>
          <w:sz w:val="24"/>
          <w:szCs w:val="24"/>
        </w:rPr>
        <w:t>电话：                               电话：</w:t>
      </w:r>
    </w:p>
    <w:p>
      <w:pPr>
        <w:adjustRightInd w:val="0"/>
        <w:snapToGrid w:val="0"/>
        <w:spacing w:line="360" w:lineRule="auto"/>
        <w:ind w:firstLine="446" w:firstLineChars="185"/>
        <w:rPr>
          <w:rFonts w:hAnsi="宋体" w:cs="宋体"/>
          <w:b/>
          <w:bCs/>
          <w:sz w:val="24"/>
          <w:szCs w:val="24"/>
          <w:lang w:val="zh-CN"/>
        </w:rPr>
      </w:pPr>
      <w:r>
        <w:rPr>
          <w:rFonts w:hint="eastAsia" w:hAnsi="宋体" w:cs="宋体"/>
          <w:b/>
          <w:bCs/>
          <w:sz w:val="24"/>
          <w:szCs w:val="24"/>
          <w:lang w:val="zh-CN"/>
        </w:rPr>
        <w:t>传真:                                传真:</w:t>
      </w:r>
    </w:p>
    <w:p>
      <w:pPr>
        <w:adjustRightInd w:val="0"/>
        <w:snapToGrid w:val="0"/>
        <w:spacing w:line="360" w:lineRule="auto"/>
        <w:ind w:firstLine="446" w:firstLineChars="185"/>
        <w:rPr>
          <w:rFonts w:hAnsi="宋体" w:cs="宋体"/>
          <w:b/>
          <w:bCs/>
          <w:sz w:val="24"/>
          <w:szCs w:val="24"/>
        </w:rPr>
      </w:pPr>
      <w:r>
        <w:rPr>
          <w:rFonts w:hint="eastAsia" w:hAnsi="宋体" w:cs="宋体"/>
          <w:b/>
          <w:bCs/>
          <w:sz w:val="24"/>
          <w:szCs w:val="24"/>
          <w:lang w:val="zh-CN"/>
        </w:rPr>
        <w:t>电子邮箱：                           电子邮箱：</w:t>
      </w:r>
    </w:p>
    <w:p>
      <w:pPr>
        <w:adjustRightInd w:val="0"/>
        <w:snapToGrid w:val="0"/>
        <w:spacing w:line="360" w:lineRule="auto"/>
        <w:ind w:firstLine="446" w:firstLineChars="185"/>
        <w:rPr>
          <w:rFonts w:hAnsi="宋体" w:cs="宋体"/>
          <w:b/>
          <w:bCs/>
          <w:sz w:val="24"/>
          <w:szCs w:val="24"/>
        </w:rPr>
      </w:pPr>
      <w:r>
        <w:rPr>
          <w:rFonts w:hint="eastAsia" w:hAnsi="宋体" w:cs="宋体"/>
          <w:b/>
          <w:bCs/>
          <w:sz w:val="24"/>
          <w:szCs w:val="24"/>
        </w:rPr>
        <w:t xml:space="preserve">开户银行：                           开户银行： </w:t>
      </w:r>
    </w:p>
    <w:p>
      <w:pPr>
        <w:adjustRightInd w:val="0"/>
        <w:snapToGrid w:val="0"/>
        <w:spacing w:line="360" w:lineRule="auto"/>
        <w:ind w:firstLine="446" w:firstLineChars="185"/>
        <w:rPr>
          <w:rFonts w:hAnsi="宋体" w:cs="宋体"/>
          <w:b/>
          <w:bCs/>
          <w:sz w:val="24"/>
          <w:szCs w:val="24"/>
        </w:rPr>
      </w:pPr>
      <w:r>
        <w:rPr>
          <w:rFonts w:hint="eastAsia" w:hAnsi="宋体" w:cs="宋体"/>
          <w:b/>
          <w:bCs/>
          <w:sz w:val="24"/>
          <w:szCs w:val="24"/>
        </w:rPr>
        <w:t xml:space="preserve">开户名称：                           开户名称： </w:t>
      </w:r>
    </w:p>
    <w:p>
      <w:pPr>
        <w:adjustRightInd w:val="0"/>
        <w:snapToGrid w:val="0"/>
        <w:spacing w:line="360" w:lineRule="auto"/>
        <w:ind w:firstLine="446" w:firstLineChars="185"/>
        <w:rPr>
          <w:rFonts w:hAnsi="宋体" w:cs="宋体"/>
          <w:b/>
          <w:bCs/>
          <w:sz w:val="24"/>
          <w:szCs w:val="24"/>
        </w:rPr>
      </w:pPr>
      <w:r>
        <w:rPr>
          <w:rFonts w:hint="eastAsia" w:hAnsi="宋体" w:cs="宋体"/>
          <w:b/>
          <w:bCs/>
          <w:sz w:val="24"/>
          <w:szCs w:val="24"/>
        </w:rPr>
        <w:t>开户账号：</w:t>
      </w:r>
      <w:r>
        <w:rPr>
          <w:rFonts w:hint="eastAsia" w:hAnsi="宋体" w:cs="宋体"/>
          <w:b/>
          <w:bCs/>
          <w:sz w:val="24"/>
          <w:szCs w:val="24"/>
          <w:lang w:val="zh-CN"/>
        </w:rPr>
        <w:t xml:space="preserve">                           </w:t>
      </w:r>
      <w:r>
        <w:rPr>
          <w:rFonts w:hint="eastAsia" w:hAnsi="宋体" w:cs="宋体"/>
          <w:b/>
          <w:bCs/>
          <w:sz w:val="24"/>
          <w:szCs w:val="24"/>
        </w:rPr>
        <w:t>开户账号：</w:t>
      </w:r>
    </w:p>
    <w:p>
      <w:pPr>
        <w:spacing w:line="360" w:lineRule="auto"/>
        <w:rPr>
          <w:rFonts w:hAnsi="宋体" w:cs="宋体"/>
          <w:b/>
          <w:bCs/>
          <w:color w:val="FF0000"/>
          <w:sz w:val="24"/>
          <w:szCs w:val="24"/>
        </w:rPr>
      </w:pPr>
    </w:p>
    <w:p>
      <w:pPr>
        <w:spacing w:line="360" w:lineRule="auto"/>
        <w:rPr>
          <w:rFonts w:hAnsi="宋体" w:cs="宋体"/>
          <w:b/>
          <w:bCs/>
          <w:color w:val="FF0000"/>
          <w:sz w:val="24"/>
          <w:szCs w:val="24"/>
        </w:rPr>
      </w:pPr>
    </w:p>
    <w:p>
      <w:pPr>
        <w:spacing w:line="360" w:lineRule="auto"/>
        <w:ind w:firstLine="420"/>
        <w:outlineLvl w:val="0"/>
        <w:rPr>
          <w:rFonts w:hAnsi="宋体" w:cs="宋体"/>
          <w:sz w:val="24"/>
          <w:szCs w:val="24"/>
        </w:rPr>
      </w:pPr>
      <w:bookmarkStart w:id="43" w:name="_Toc27329"/>
      <w:r>
        <w:rPr>
          <w:rFonts w:hint="eastAsia" w:hAnsi="宋体" w:cs="宋体"/>
          <w:b/>
          <w:sz w:val="24"/>
          <w:szCs w:val="24"/>
        </w:rPr>
        <w:t>采购代理机构声明：本合同标的经采购代理机构依法定程序采购，合同主要条款内容与招投标文件的内容一致。</w:t>
      </w:r>
      <w:bookmarkEnd w:id="43"/>
    </w:p>
    <w:p>
      <w:pPr>
        <w:widowControl/>
        <w:adjustRightInd w:val="0"/>
        <w:snapToGrid w:val="0"/>
        <w:spacing w:before="312" w:beforeLines="100" w:after="312" w:afterLines="100" w:line="360" w:lineRule="auto"/>
        <w:ind w:firstLine="482" w:firstLineChars="200"/>
        <w:rPr>
          <w:rFonts w:hAnsi="宋体" w:cs="宋体"/>
          <w:b/>
          <w:sz w:val="24"/>
          <w:szCs w:val="24"/>
          <w:u w:val="single"/>
        </w:rPr>
      </w:pPr>
      <w:r>
        <w:rPr>
          <w:rFonts w:hint="eastAsia" w:hAnsi="宋体" w:cs="宋体"/>
          <w:b/>
          <w:sz w:val="24"/>
          <w:szCs w:val="24"/>
        </w:rPr>
        <w:t>采购代理机构：</w:t>
      </w:r>
      <w:r>
        <w:rPr>
          <w:rFonts w:hint="eastAsia" w:hAnsi="宋体" w:cs="宋体"/>
          <w:b/>
          <w:sz w:val="24"/>
          <w:szCs w:val="24"/>
          <w:u w:val="single"/>
        </w:rPr>
        <w:t xml:space="preserve">                （公章）</w:t>
      </w:r>
    </w:p>
    <w:p>
      <w:pPr>
        <w:widowControl/>
        <w:adjustRightInd w:val="0"/>
        <w:snapToGrid w:val="0"/>
        <w:spacing w:before="312" w:beforeLines="100" w:after="312" w:afterLines="100" w:line="360" w:lineRule="auto"/>
        <w:ind w:firstLine="482" w:firstLineChars="200"/>
        <w:rPr>
          <w:rFonts w:hAnsi="宋体" w:cs="宋体"/>
          <w:b/>
          <w:sz w:val="24"/>
          <w:szCs w:val="24"/>
        </w:rPr>
      </w:pPr>
      <w:r>
        <w:rPr>
          <w:rFonts w:hint="eastAsia" w:hAnsi="宋体" w:cs="宋体"/>
          <w:b/>
          <w:sz w:val="24"/>
          <w:szCs w:val="24"/>
        </w:rPr>
        <w:t>经办人（签字或盖章）：</w:t>
      </w:r>
      <w:r>
        <w:rPr>
          <w:rFonts w:hint="eastAsia" w:hAnsi="宋体" w:cs="宋体"/>
          <w:b/>
          <w:sz w:val="24"/>
          <w:szCs w:val="24"/>
          <w:u w:val="single"/>
        </w:rPr>
        <w:t xml:space="preserve">               </w:t>
      </w:r>
    </w:p>
    <w:p>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9" w:line="360" w:lineRule="auto"/>
        <w:ind w:firstLine="482" w:firstLineChars="200"/>
        <w:jc w:val="both"/>
        <w:rPr>
          <w:rFonts w:ascii="仿宋" w:hAnsi="仿宋" w:eastAsia="仿宋" w:cs="仿宋"/>
          <w:b/>
          <w:sz w:val="24"/>
          <w:szCs w:val="24"/>
        </w:rPr>
      </w:pPr>
      <w:r>
        <w:rPr>
          <w:rFonts w:hint="eastAsia" w:hAnsi="宋体" w:cs="宋体"/>
          <w:b/>
          <w:sz w:val="24"/>
          <w:szCs w:val="24"/>
        </w:rPr>
        <w:t>签订日期：</w:t>
      </w:r>
      <w:r>
        <w:rPr>
          <w:rFonts w:hint="eastAsia" w:hAnsi="宋体" w:cs="宋体"/>
          <w:b/>
          <w:sz w:val="24"/>
          <w:szCs w:val="24"/>
          <w:u w:val="single"/>
        </w:rPr>
        <w:t xml:space="preserve">      </w:t>
      </w:r>
      <w:r>
        <w:rPr>
          <w:rFonts w:hint="eastAsia" w:hAnsi="宋体" w:cs="宋体"/>
          <w:b/>
          <w:sz w:val="24"/>
          <w:szCs w:val="24"/>
        </w:rPr>
        <w:t>年</w:t>
      </w:r>
      <w:r>
        <w:rPr>
          <w:rFonts w:hint="eastAsia" w:hAnsi="宋体" w:cs="宋体"/>
          <w:b/>
          <w:sz w:val="24"/>
          <w:szCs w:val="24"/>
          <w:u w:val="single"/>
        </w:rPr>
        <w:t xml:space="preserve">    </w:t>
      </w:r>
      <w:r>
        <w:rPr>
          <w:rFonts w:hint="eastAsia" w:hAnsi="宋体" w:cs="宋体"/>
          <w:b/>
          <w:sz w:val="24"/>
          <w:szCs w:val="24"/>
        </w:rPr>
        <w:t>月</w:t>
      </w:r>
      <w:r>
        <w:rPr>
          <w:rFonts w:hint="eastAsia" w:hAnsi="宋体" w:cs="宋体"/>
          <w:b/>
          <w:sz w:val="24"/>
          <w:szCs w:val="24"/>
          <w:u w:val="single"/>
        </w:rPr>
        <w:t xml:space="preserve">    </w:t>
      </w:r>
      <w:r>
        <w:rPr>
          <w:rFonts w:hint="eastAsia" w:hAnsi="宋体" w:cs="宋体"/>
          <w:b/>
          <w:sz w:val="24"/>
          <w:szCs w:val="24"/>
        </w:rPr>
        <w:t>日</w:t>
      </w:r>
    </w:p>
    <w:p>
      <w:pPr>
        <w:spacing w:line="500" w:lineRule="exact"/>
        <w:ind w:firstLine="560" w:firstLineChars="200"/>
        <w:rPr>
          <w:rFonts w:hAnsi="宋体" w:cs="宋体"/>
          <w:sz w:val="28"/>
          <w:szCs w:val="28"/>
        </w:rPr>
      </w:pPr>
    </w:p>
    <w:p>
      <w:pPr>
        <w:spacing w:line="400" w:lineRule="exact"/>
      </w:pPr>
    </w:p>
    <w:p>
      <w:pPr>
        <w:pStyle w:val="14"/>
        <w:rPr>
          <w:rFonts w:eastAsia="宋体"/>
          <w:color w:val="auto"/>
        </w:rPr>
      </w:pPr>
    </w:p>
    <w:p>
      <w:r>
        <w:br w:type="page"/>
      </w:r>
    </w:p>
    <w:p>
      <w:pPr>
        <w:pStyle w:val="5"/>
        <w:adjustRightInd w:val="0"/>
        <w:snapToGrid w:val="0"/>
        <w:spacing w:line="360" w:lineRule="auto"/>
        <w:jc w:val="center"/>
        <w:rPr>
          <w:rFonts w:ascii="宋体" w:hAnsi="宋体" w:cs="宋体"/>
          <w:sz w:val="28"/>
          <w:szCs w:val="28"/>
        </w:rPr>
      </w:pPr>
      <w:bookmarkStart w:id="44" w:name="_Toc23155"/>
      <w:r>
        <w:rPr>
          <w:rFonts w:hint="eastAsia" w:ascii="宋体" w:hAnsi="宋体" w:cs="宋体"/>
          <w:sz w:val="28"/>
          <w:szCs w:val="28"/>
        </w:rPr>
        <w:t>合同通用条款</w:t>
      </w:r>
      <w:bookmarkEnd w:id="44"/>
    </w:p>
    <w:p>
      <w:pPr>
        <w:pStyle w:val="7"/>
        <w:adjustRightInd w:val="0"/>
        <w:snapToGrid w:val="0"/>
        <w:spacing w:line="360" w:lineRule="auto"/>
        <w:rPr>
          <w:rFonts w:ascii="宋体" w:hAnsi="宋体" w:eastAsia="宋体" w:cs="宋体"/>
          <w:sz w:val="24"/>
          <w:szCs w:val="24"/>
        </w:rPr>
      </w:pPr>
      <w:bookmarkStart w:id="45" w:name="_Toc15278"/>
      <w:r>
        <w:rPr>
          <w:rFonts w:hint="eastAsia" w:ascii="宋体" w:hAnsi="宋体" w:eastAsia="宋体" w:cs="宋体"/>
          <w:sz w:val="24"/>
          <w:szCs w:val="24"/>
        </w:rPr>
        <w:t>1．定义</w:t>
      </w:r>
      <w:bookmarkEnd w:id="45"/>
    </w:p>
    <w:p>
      <w:pPr>
        <w:adjustRightInd w:val="0"/>
        <w:snapToGrid w:val="0"/>
        <w:spacing w:line="360" w:lineRule="auto"/>
        <w:ind w:firstLine="480" w:firstLineChars="200"/>
        <w:rPr>
          <w:rFonts w:hAnsi="宋体" w:cs="宋体"/>
          <w:sz w:val="24"/>
          <w:szCs w:val="24"/>
        </w:rPr>
      </w:pPr>
      <w:r>
        <w:rPr>
          <w:rFonts w:hint="eastAsia" w:hAnsi="宋体" w:cs="宋体"/>
          <w:sz w:val="24"/>
          <w:szCs w:val="24"/>
        </w:rPr>
        <w:t>本合同下列术语应解释为：</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（l）“合同”系指甲方和乙方（以下简称合同双方）签署的、合同格式中列明的合同双方所达成的协议，包括所有的附件、附录和构成合同的所有文件。</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（2）“合同价”系指根据合同规定，乙方在完全履行合同义务后甲方应付给乙方的价格。</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（3）“货物（含软件及相关服务）”系指乙方按合同要求，须向甲方提供的一切设备、机械、仪器、备件、工具、技术及手册等有关资料。“工程”系指按合同要求进行施工。</w:t>
      </w:r>
    </w:p>
    <w:p>
      <w:pPr>
        <w:adjustRightInd w:val="0"/>
        <w:snapToGrid w:val="0"/>
        <w:spacing w:line="360" w:lineRule="auto"/>
        <w:rPr>
          <w:rFonts w:hAnsi="宋体" w:cs="宋体"/>
          <w:sz w:val="24"/>
          <w:szCs w:val="24"/>
        </w:rPr>
      </w:pPr>
      <w:r>
        <w:rPr>
          <w:rFonts w:hint="eastAsia" w:hAnsi="宋体" w:cs="宋体"/>
          <w:sz w:val="24"/>
          <w:szCs w:val="24"/>
        </w:rPr>
        <w:t xml:space="preserve">    （4）“服务”系指根据合同规定乙方承担与供货有关的所有辅助服务，如运输、保险以及其它的服务，如安装、调试、提供技术援助、培训及其他类似的义务。</w:t>
      </w:r>
    </w:p>
    <w:p>
      <w:pPr>
        <w:adjustRightInd w:val="0"/>
        <w:snapToGrid w:val="0"/>
        <w:spacing w:line="360" w:lineRule="auto"/>
        <w:rPr>
          <w:rFonts w:hAnsi="宋体" w:cs="宋体"/>
          <w:sz w:val="24"/>
          <w:szCs w:val="24"/>
        </w:rPr>
      </w:pPr>
      <w:r>
        <w:rPr>
          <w:rFonts w:hint="eastAsia" w:hAnsi="宋体" w:cs="宋体"/>
          <w:sz w:val="24"/>
          <w:szCs w:val="24"/>
        </w:rPr>
        <w:t xml:space="preserve">    （5）“甲方”系指购买货物（含软件及相关服务）的单位。</w:t>
      </w:r>
    </w:p>
    <w:p>
      <w:pPr>
        <w:adjustRightInd w:val="0"/>
        <w:snapToGrid w:val="0"/>
        <w:spacing w:line="360" w:lineRule="auto"/>
        <w:rPr>
          <w:rFonts w:hAnsi="宋体" w:cs="宋体"/>
          <w:sz w:val="24"/>
          <w:szCs w:val="24"/>
        </w:rPr>
      </w:pPr>
      <w:r>
        <w:rPr>
          <w:rFonts w:hint="eastAsia" w:hAnsi="宋体" w:cs="宋体"/>
          <w:sz w:val="24"/>
          <w:szCs w:val="24"/>
        </w:rPr>
        <w:t xml:space="preserve">    （6）“乙方”系指根据合同规定提供货物（含软件及相关服务）和服务的制造商或代理商。</w:t>
      </w:r>
    </w:p>
    <w:p>
      <w:pPr>
        <w:adjustRightInd w:val="0"/>
        <w:snapToGrid w:val="0"/>
        <w:spacing w:line="360" w:lineRule="auto"/>
        <w:rPr>
          <w:rFonts w:hAnsi="宋体" w:cs="宋体"/>
          <w:sz w:val="24"/>
          <w:szCs w:val="24"/>
        </w:rPr>
      </w:pPr>
      <w:r>
        <w:rPr>
          <w:rFonts w:hint="eastAsia" w:hAnsi="宋体" w:cs="宋体"/>
          <w:sz w:val="24"/>
          <w:szCs w:val="24"/>
        </w:rPr>
        <w:t xml:space="preserve">    （7）“现场”系指将要进行货物（含软件及相关服务）安装和调试的地点。</w:t>
      </w:r>
    </w:p>
    <w:p>
      <w:pPr>
        <w:pStyle w:val="7"/>
        <w:adjustRightInd w:val="0"/>
        <w:snapToGrid w:val="0"/>
        <w:spacing w:line="360" w:lineRule="auto"/>
        <w:rPr>
          <w:rFonts w:ascii="宋体" w:hAnsi="宋体" w:eastAsia="宋体" w:cs="宋体"/>
          <w:sz w:val="24"/>
          <w:szCs w:val="24"/>
        </w:rPr>
      </w:pPr>
      <w:bookmarkStart w:id="46" w:name="_Toc182"/>
      <w:r>
        <w:rPr>
          <w:rFonts w:hint="eastAsia" w:ascii="宋体" w:hAnsi="宋体" w:eastAsia="宋体" w:cs="宋体"/>
          <w:sz w:val="24"/>
          <w:szCs w:val="24"/>
        </w:rPr>
        <w:t>2．技术规范</w:t>
      </w:r>
      <w:bookmarkEnd w:id="46"/>
    </w:p>
    <w:p>
      <w:pPr>
        <w:adjustRightInd w:val="0"/>
        <w:snapToGrid w:val="0"/>
        <w:spacing w:line="360" w:lineRule="auto"/>
        <w:ind w:firstLine="470" w:firstLineChars="196"/>
        <w:rPr>
          <w:rFonts w:hAnsi="宋体" w:cs="宋体"/>
          <w:b/>
          <w:sz w:val="24"/>
          <w:szCs w:val="24"/>
        </w:rPr>
      </w:pPr>
      <w:r>
        <w:rPr>
          <w:rFonts w:hint="eastAsia" w:hAnsi="宋体" w:cs="宋体"/>
          <w:sz w:val="24"/>
          <w:szCs w:val="24"/>
        </w:rPr>
        <w:t>提交货物（含软件及相关服务）的技术规范应与采购文件的技术规范和技术规范附件（如果有的话）及其投标/响应文件的技术、商务响应表（如果被甲方接受的话）相一致。若技术规范中无相应说明，则以国家有关部门最新颁布的相应标准及规范为准。</w:t>
      </w:r>
    </w:p>
    <w:p>
      <w:pPr>
        <w:pStyle w:val="7"/>
        <w:adjustRightInd w:val="0"/>
        <w:snapToGrid w:val="0"/>
        <w:spacing w:line="360" w:lineRule="auto"/>
        <w:rPr>
          <w:rFonts w:ascii="宋体" w:hAnsi="宋体" w:eastAsia="宋体" w:cs="宋体"/>
          <w:sz w:val="24"/>
          <w:szCs w:val="24"/>
        </w:rPr>
      </w:pPr>
      <w:bookmarkStart w:id="47" w:name="_Toc19045"/>
      <w:r>
        <w:rPr>
          <w:rFonts w:hint="eastAsia" w:ascii="宋体" w:hAnsi="宋体" w:eastAsia="宋体" w:cs="宋体"/>
          <w:sz w:val="24"/>
          <w:szCs w:val="24"/>
        </w:rPr>
        <w:t>3．专利权</w:t>
      </w:r>
      <w:bookmarkEnd w:id="47"/>
    </w:p>
    <w:p>
      <w:pPr>
        <w:adjustRightInd w:val="0"/>
        <w:snapToGrid w:val="0"/>
        <w:spacing w:line="360" w:lineRule="auto"/>
        <w:ind w:firstLine="480" w:firstLineChars="200"/>
        <w:rPr>
          <w:rFonts w:hAnsi="宋体" w:cs="宋体"/>
          <w:sz w:val="24"/>
          <w:szCs w:val="24"/>
        </w:rPr>
      </w:pPr>
      <w:r>
        <w:rPr>
          <w:rFonts w:hint="eastAsia" w:hAnsi="宋体" w:cs="宋体"/>
          <w:sz w:val="24"/>
          <w:szCs w:val="24"/>
        </w:rPr>
        <w:t>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pPr>
        <w:pStyle w:val="7"/>
        <w:adjustRightInd w:val="0"/>
        <w:snapToGrid w:val="0"/>
        <w:spacing w:line="360" w:lineRule="auto"/>
        <w:rPr>
          <w:rFonts w:ascii="宋体" w:hAnsi="宋体" w:eastAsia="宋体" w:cs="宋体"/>
          <w:sz w:val="24"/>
          <w:szCs w:val="24"/>
        </w:rPr>
      </w:pPr>
      <w:bookmarkStart w:id="48" w:name="_Toc27186"/>
      <w:r>
        <w:rPr>
          <w:rFonts w:hint="eastAsia" w:ascii="宋体" w:hAnsi="宋体" w:eastAsia="宋体" w:cs="宋体"/>
          <w:sz w:val="24"/>
          <w:szCs w:val="24"/>
        </w:rPr>
        <w:t>4．包装要求</w:t>
      </w:r>
      <w:bookmarkEnd w:id="48"/>
    </w:p>
    <w:p>
      <w:pPr>
        <w:adjustRightInd w:val="0"/>
        <w:snapToGrid w:val="0"/>
        <w:spacing w:line="360" w:lineRule="auto"/>
        <w:ind w:firstLine="480" w:firstLineChars="200"/>
        <w:rPr>
          <w:rFonts w:hAnsi="宋体" w:cs="宋体"/>
          <w:sz w:val="24"/>
          <w:szCs w:val="24"/>
        </w:rPr>
      </w:pPr>
      <w:r>
        <w:rPr>
          <w:rFonts w:hint="eastAsia" w:hAnsi="宋体" w:cs="宋体"/>
          <w:sz w:val="24"/>
          <w:szCs w:val="24"/>
        </w:rPr>
        <w:t>4.1 除合同另有规定外，乙方提供的全部货物（含软件及相关服务），均应采用相应的标准保护措施进行包装，使包装适应于远距离运输、防潮、防震、防锈和防粗暴装卸，确保货物（含软件及相关服务）安全无损运抵现场。由于包装不善所引起的货物（含软件及相关服务）锈蚀、损坏和损失均由乙方承担。</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4.2 每件包装箱内应附一份详细装箱单和质量合格证。</w:t>
      </w:r>
    </w:p>
    <w:p>
      <w:pPr>
        <w:pStyle w:val="7"/>
        <w:adjustRightInd w:val="0"/>
        <w:snapToGrid w:val="0"/>
        <w:spacing w:line="360" w:lineRule="auto"/>
        <w:rPr>
          <w:rFonts w:ascii="宋体" w:hAnsi="宋体" w:eastAsia="宋体" w:cs="宋体"/>
          <w:sz w:val="24"/>
          <w:szCs w:val="24"/>
        </w:rPr>
      </w:pPr>
      <w:bookmarkStart w:id="49" w:name="_Toc32435"/>
      <w:r>
        <w:rPr>
          <w:rFonts w:hint="eastAsia" w:ascii="宋体" w:hAnsi="宋体" w:eastAsia="宋体" w:cs="宋体"/>
          <w:sz w:val="24"/>
          <w:szCs w:val="24"/>
        </w:rPr>
        <w:t>5．装运标志</w:t>
      </w:r>
      <w:bookmarkEnd w:id="49"/>
    </w:p>
    <w:p>
      <w:pPr>
        <w:adjustRightInd w:val="0"/>
        <w:snapToGrid w:val="0"/>
        <w:spacing w:line="360" w:lineRule="auto"/>
        <w:ind w:firstLine="480" w:firstLineChars="200"/>
        <w:rPr>
          <w:rFonts w:hAnsi="宋体" w:cs="宋体"/>
          <w:sz w:val="24"/>
          <w:szCs w:val="24"/>
        </w:rPr>
      </w:pPr>
      <w:r>
        <w:rPr>
          <w:rFonts w:hint="eastAsia" w:hAnsi="宋体" w:cs="宋体"/>
          <w:sz w:val="24"/>
          <w:szCs w:val="24"/>
        </w:rPr>
        <w:t>5.1 乙方应在每一包装箱邻接的四侧用不褪色的油漆以醒目的中文字样做出下列标记：</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（l）收货人</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（2）合同号</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（3）装运标志</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（4）收货人代号</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（5）目的地</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（6）货物（含软件及相关服务）名称、品目号和箱号</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（7）毛重／净重</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（8）尺寸（长X宽X高，以厘米计）</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5.2 如果货物（含软件及相关服务）单件重量在两吨或两吨以上，乙方应在每件包装箱的两侧用中文和适当的运输标志标明“重心”和“吊装点”，以便装卸和搬运。根据货物（含软件及相关服务）的特点和运输的不同要求，乙方应在包装箱上清楚地标有“小心轻放”、“勿倒置”、“防潮”等字样和其他适当的标记。</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5.3因缺少装运标志或者装运标志不明确导致货物在运输、装卸过程中产生的损失，乙方应承担相应的过错责任。</w:t>
      </w:r>
    </w:p>
    <w:p>
      <w:pPr>
        <w:pStyle w:val="7"/>
        <w:adjustRightInd w:val="0"/>
        <w:snapToGrid w:val="0"/>
        <w:spacing w:line="360" w:lineRule="auto"/>
        <w:rPr>
          <w:rFonts w:ascii="宋体" w:hAnsi="宋体" w:eastAsia="宋体" w:cs="宋体"/>
          <w:sz w:val="24"/>
          <w:szCs w:val="24"/>
        </w:rPr>
      </w:pPr>
      <w:bookmarkStart w:id="50" w:name="_Toc26151"/>
      <w:r>
        <w:rPr>
          <w:rFonts w:hint="eastAsia" w:ascii="宋体" w:hAnsi="宋体" w:eastAsia="宋体" w:cs="宋体"/>
          <w:sz w:val="24"/>
          <w:szCs w:val="24"/>
        </w:rPr>
        <w:t>6．交货方式</w:t>
      </w:r>
      <w:bookmarkEnd w:id="50"/>
    </w:p>
    <w:p>
      <w:pPr>
        <w:adjustRightInd w:val="0"/>
        <w:snapToGrid w:val="0"/>
        <w:spacing w:line="360" w:lineRule="auto"/>
        <w:ind w:firstLine="480" w:firstLineChars="200"/>
        <w:rPr>
          <w:rFonts w:hAnsi="宋体" w:cs="宋体"/>
          <w:sz w:val="24"/>
          <w:szCs w:val="24"/>
        </w:rPr>
      </w:pPr>
      <w:r>
        <w:rPr>
          <w:rFonts w:hint="eastAsia" w:hAnsi="宋体" w:cs="宋体"/>
          <w:sz w:val="24"/>
          <w:szCs w:val="24"/>
        </w:rPr>
        <w:t>6.1 交货方式一般为下列其中一种，具体在合同专用条款中规定。</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6.1.1 现场交货：乙方负责办理运输和保险，将货物（含软件及相关服务）运抵现场。有关运输和保险的一切费用由乙方承担。所有货物（含软件及相关服务）运抵现扬的日期为交货日期。</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6.1.2 工厂交货：由乙方负责办理运输和保险事宜。运输费和保险费由甲方承担。运输部门出具收据的日期为交货日期。</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6.1.3 甲方自提货物（含软件及相关服务）：由甲方在合同规定地点自行办理提货。提单日期为交货日期。</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6.2 乙方应在合同规定的交货期前30天以电报、传真或电传形式将合同号、货物（含软件及相关服务）名称、数量、包装箱件数、总毛重、总体积（立方米）和备妥交货日期通知甲方。同时乙方应用挂号信将详细交货清单一式六份包括合同号、货物（含软件及相关服务）名称、规格、数量、总毛重、总体积（立方米）、包装箱件数和每个包装箱的尺寸（长X宽X高）、单价、总价和备妥待交日期以及对货物（含软件及相关服务）在运输和仓储的特殊要求和注意事项通知甲方。</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6.3 在现场交货和工厂交货条件下，乙方装运的货物（含软件及相关服务）不应超过合同规定的数量或重量。否则，乙方应对超运部分的数量或重量而引起的一切后果负责。</w:t>
      </w:r>
    </w:p>
    <w:p>
      <w:pPr>
        <w:pStyle w:val="7"/>
        <w:adjustRightInd w:val="0"/>
        <w:snapToGrid w:val="0"/>
        <w:spacing w:line="360" w:lineRule="auto"/>
        <w:rPr>
          <w:rFonts w:ascii="宋体" w:hAnsi="宋体" w:eastAsia="宋体" w:cs="宋体"/>
          <w:sz w:val="24"/>
          <w:szCs w:val="24"/>
        </w:rPr>
      </w:pPr>
      <w:bookmarkStart w:id="51" w:name="_Toc32471"/>
      <w:r>
        <w:rPr>
          <w:rFonts w:hint="eastAsia" w:ascii="宋体" w:hAnsi="宋体" w:eastAsia="宋体" w:cs="宋体"/>
          <w:sz w:val="24"/>
          <w:szCs w:val="24"/>
        </w:rPr>
        <w:t>7．装运通知</w:t>
      </w:r>
      <w:bookmarkEnd w:id="51"/>
    </w:p>
    <w:p>
      <w:pPr>
        <w:adjustRightInd w:val="0"/>
        <w:snapToGrid w:val="0"/>
        <w:spacing w:line="360" w:lineRule="auto"/>
        <w:ind w:firstLine="480" w:firstLineChars="200"/>
        <w:rPr>
          <w:rFonts w:hAnsi="宋体" w:cs="宋体"/>
          <w:sz w:val="24"/>
          <w:szCs w:val="24"/>
        </w:rPr>
      </w:pPr>
      <w:r>
        <w:rPr>
          <w:rFonts w:hint="eastAsia" w:hAnsi="宋体" w:cs="宋体"/>
          <w:sz w:val="24"/>
          <w:szCs w:val="24"/>
        </w:rPr>
        <w:t>现场交货或工厂交货条件下的货物（含软件及相关服务），在乙方已通知甲方货物（含软件及相关服务）已备妥待运输后24小时之内，乙方应将合同号、货名、数量、毛重、总体积（立方米）、发票金额、运输工具名称及启运日期，以电报、传真或电传通知甲方，同时乙方应按产品种类做好运输包装，禁止通过产品混包进行运输。如因乙方延误将上述内容用电报、传真或电传通知甲方，由此引起的一切损失应由乙方负担。</w:t>
      </w:r>
    </w:p>
    <w:p>
      <w:pPr>
        <w:pStyle w:val="7"/>
        <w:adjustRightInd w:val="0"/>
        <w:snapToGrid w:val="0"/>
        <w:spacing w:line="360" w:lineRule="auto"/>
        <w:rPr>
          <w:rFonts w:ascii="宋体" w:hAnsi="宋体" w:eastAsia="宋体" w:cs="宋体"/>
          <w:sz w:val="24"/>
          <w:szCs w:val="24"/>
        </w:rPr>
      </w:pPr>
      <w:bookmarkStart w:id="52" w:name="_Toc19923"/>
      <w:r>
        <w:rPr>
          <w:rFonts w:hint="eastAsia" w:ascii="宋体" w:hAnsi="宋体" w:eastAsia="宋体" w:cs="宋体"/>
          <w:sz w:val="24"/>
          <w:szCs w:val="24"/>
        </w:rPr>
        <w:t>8．保险</w:t>
      </w:r>
      <w:bookmarkEnd w:id="52"/>
    </w:p>
    <w:p>
      <w:pPr>
        <w:adjustRightInd w:val="0"/>
        <w:snapToGrid w:val="0"/>
        <w:spacing w:line="360" w:lineRule="auto"/>
        <w:ind w:firstLine="480" w:firstLineChars="200"/>
        <w:rPr>
          <w:rFonts w:hAnsi="宋体" w:cs="宋体"/>
          <w:sz w:val="24"/>
          <w:szCs w:val="24"/>
        </w:rPr>
      </w:pPr>
      <w:r>
        <w:rPr>
          <w:rFonts w:hint="eastAsia" w:hAnsi="宋体" w:cs="宋体"/>
          <w:sz w:val="24"/>
          <w:szCs w:val="24"/>
        </w:rPr>
        <w:t>如果货物（含软件及相关服务）是按现场交货方式报价的，由乙方办理货物（含软件及相关服务）运抵现场这一段的保险，保险以人民币按照发票金额的110％投保“一切险”，保险范围包括乙方承诺装运的货物（含软件及相关服务）；如果货物（含软件及相关服务）是按工厂交货或甲方自提货物（含软件及相关服务）方式报价的，其保险由甲方办理。</w:t>
      </w:r>
    </w:p>
    <w:p>
      <w:pPr>
        <w:pStyle w:val="7"/>
        <w:adjustRightInd w:val="0"/>
        <w:snapToGrid w:val="0"/>
        <w:spacing w:line="360" w:lineRule="auto"/>
        <w:rPr>
          <w:rFonts w:ascii="宋体" w:hAnsi="宋体" w:eastAsia="宋体" w:cs="宋体"/>
          <w:sz w:val="24"/>
          <w:szCs w:val="24"/>
        </w:rPr>
      </w:pPr>
      <w:bookmarkStart w:id="53" w:name="_Toc17193"/>
      <w:r>
        <w:rPr>
          <w:rFonts w:hint="eastAsia" w:ascii="宋体" w:hAnsi="宋体" w:eastAsia="宋体" w:cs="宋体"/>
          <w:sz w:val="24"/>
          <w:szCs w:val="24"/>
        </w:rPr>
        <w:t>9．付款方式</w:t>
      </w:r>
      <w:bookmarkEnd w:id="53"/>
    </w:p>
    <w:p>
      <w:pPr>
        <w:adjustRightInd w:val="0"/>
        <w:snapToGrid w:val="0"/>
        <w:spacing w:line="360" w:lineRule="auto"/>
        <w:rPr>
          <w:rFonts w:hAnsi="宋体" w:cs="宋体"/>
          <w:sz w:val="24"/>
          <w:szCs w:val="24"/>
        </w:rPr>
      </w:pPr>
      <w:r>
        <w:rPr>
          <w:rFonts w:hint="eastAsia" w:hAnsi="宋体" w:cs="宋体"/>
          <w:sz w:val="24"/>
          <w:szCs w:val="24"/>
        </w:rPr>
        <w:t xml:space="preserve">   付款方式见合同专用条款。</w:t>
      </w:r>
    </w:p>
    <w:p>
      <w:pPr>
        <w:pStyle w:val="7"/>
        <w:adjustRightInd w:val="0"/>
        <w:snapToGrid w:val="0"/>
        <w:spacing w:line="360" w:lineRule="auto"/>
        <w:rPr>
          <w:rFonts w:ascii="宋体" w:hAnsi="宋体" w:eastAsia="宋体" w:cs="宋体"/>
          <w:sz w:val="24"/>
          <w:szCs w:val="24"/>
        </w:rPr>
      </w:pPr>
      <w:bookmarkStart w:id="54" w:name="_Toc29687"/>
      <w:r>
        <w:rPr>
          <w:rFonts w:hint="eastAsia" w:ascii="宋体" w:hAnsi="宋体" w:eastAsia="宋体" w:cs="宋体"/>
          <w:sz w:val="24"/>
          <w:szCs w:val="24"/>
        </w:rPr>
        <w:t>10．技术资料</w:t>
      </w:r>
      <w:bookmarkEnd w:id="54"/>
    </w:p>
    <w:p>
      <w:pPr>
        <w:adjustRightInd w:val="0"/>
        <w:snapToGrid w:val="0"/>
        <w:spacing w:line="360" w:lineRule="auto"/>
        <w:rPr>
          <w:rFonts w:hAnsi="宋体" w:cs="宋体"/>
          <w:sz w:val="24"/>
          <w:szCs w:val="24"/>
        </w:rPr>
      </w:pPr>
      <w:r>
        <w:rPr>
          <w:rFonts w:hint="eastAsia" w:hAnsi="宋体" w:cs="宋体"/>
          <w:sz w:val="24"/>
          <w:szCs w:val="24"/>
        </w:rPr>
        <w:t xml:space="preserve">   合同项下技术资料（除合同专用条款规定外）将以下列方式交付：</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10.1 合同生效后 60天之内，乙方应将每台设备和仪器的中文技术资料一套，如目录索引、图纸、操作手册、使用指南、维修指南和服务手册等交给甲方。</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10.2 另外一套完整的上述资料应包装好随每批货物（含软件及相关服务）一起发运。</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10.3 如果甲方确认乙方提供的技术资料不完整或在运输过程中丢失，乙方将在收到甲方通知后3天内将这些资料免费交给甲方。</w:t>
      </w:r>
    </w:p>
    <w:p>
      <w:pPr>
        <w:pStyle w:val="7"/>
        <w:adjustRightInd w:val="0"/>
        <w:snapToGrid w:val="0"/>
        <w:spacing w:line="360" w:lineRule="auto"/>
        <w:rPr>
          <w:rFonts w:ascii="宋体" w:hAnsi="宋体" w:eastAsia="宋体" w:cs="宋体"/>
          <w:sz w:val="24"/>
          <w:szCs w:val="24"/>
        </w:rPr>
      </w:pPr>
      <w:bookmarkStart w:id="55" w:name="_Toc18442"/>
      <w:r>
        <w:rPr>
          <w:rFonts w:hint="eastAsia" w:ascii="宋体" w:hAnsi="宋体" w:eastAsia="宋体" w:cs="宋体"/>
          <w:sz w:val="24"/>
          <w:szCs w:val="24"/>
        </w:rPr>
        <w:t>11．质量保证</w:t>
      </w:r>
      <w:bookmarkEnd w:id="55"/>
    </w:p>
    <w:p>
      <w:pPr>
        <w:adjustRightInd w:val="0"/>
        <w:snapToGrid w:val="0"/>
        <w:spacing w:line="360" w:lineRule="auto"/>
        <w:ind w:firstLine="480" w:firstLineChars="200"/>
        <w:rPr>
          <w:rFonts w:hAnsi="宋体" w:cs="宋体"/>
          <w:sz w:val="24"/>
          <w:szCs w:val="24"/>
        </w:rPr>
      </w:pPr>
      <w:r>
        <w:rPr>
          <w:rFonts w:hint="eastAsia" w:hAnsi="宋体" w:cs="宋体"/>
          <w:sz w:val="24"/>
          <w:szCs w:val="24"/>
        </w:rPr>
        <w:t>11.l 乙方应保证货物（含软件及相关服务）是全新的，未使用过的，是用一流的工艺和最佳材料制造而成的，并完全符合合同规定的质量、规格和性能要求。乙方应保证所提供的货物（含软件及相关服务）经正确安装、正常运转和保养在其使用寿命期内应具有满意的性能。在货物（含软件及相关服务）质量保证期内，乙方应对由于设计、工艺或材料的缺陷而造成的任何不足或故障负责。</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11.2 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一个月内以书面形式通知乙方，提出索赔。</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11.3 乙方在收到通知后三十天内应免费维修或更换有缺陷的货物（含软件及相关服务）或部件，并无偿为甲方提供替代产品。</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11.4 如果乙方在收到通知后三十天内没有弥补缺陷，甲方可采取必要的补救措施，但风险和费用将由乙方承担。</w:t>
      </w:r>
    </w:p>
    <w:p>
      <w:pPr>
        <w:adjustRightInd w:val="0"/>
        <w:snapToGrid w:val="0"/>
        <w:spacing w:line="360" w:lineRule="auto"/>
        <w:ind w:firstLine="480" w:firstLineChars="200"/>
        <w:rPr>
          <w:rFonts w:hAnsi="宋体" w:cs="宋体"/>
          <w:sz w:val="24"/>
          <w:szCs w:val="24"/>
          <w:u w:val="single"/>
        </w:rPr>
      </w:pPr>
      <w:r>
        <w:rPr>
          <w:rFonts w:hint="eastAsia" w:hAnsi="宋体" w:cs="宋体"/>
          <w:sz w:val="24"/>
          <w:szCs w:val="24"/>
        </w:rPr>
        <w:t>11.5 除合同专用条款规定外，合同项下货物（含软件及相关服务）的质量保证期为自货物（含软件及相关服务）通过最终验收起12个月。</w:t>
      </w:r>
    </w:p>
    <w:p>
      <w:pPr>
        <w:pStyle w:val="7"/>
        <w:adjustRightInd w:val="0"/>
        <w:snapToGrid w:val="0"/>
        <w:spacing w:line="360" w:lineRule="auto"/>
        <w:rPr>
          <w:rFonts w:ascii="宋体" w:hAnsi="宋体" w:eastAsia="宋体" w:cs="宋体"/>
          <w:sz w:val="24"/>
          <w:szCs w:val="24"/>
        </w:rPr>
      </w:pPr>
      <w:bookmarkStart w:id="56" w:name="_Toc3470"/>
      <w:r>
        <w:rPr>
          <w:rFonts w:hint="eastAsia" w:ascii="宋体" w:hAnsi="宋体" w:eastAsia="宋体" w:cs="宋体"/>
          <w:sz w:val="24"/>
          <w:szCs w:val="24"/>
        </w:rPr>
        <w:t>12.检验及安装</w:t>
      </w:r>
      <w:bookmarkEnd w:id="56"/>
    </w:p>
    <w:p>
      <w:pPr>
        <w:adjustRightInd w:val="0"/>
        <w:snapToGrid w:val="0"/>
        <w:spacing w:line="360" w:lineRule="auto"/>
        <w:ind w:firstLine="480" w:firstLineChars="200"/>
        <w:rPr>
          <w:rFonts w:hAnsi="宋体" w:cs="宋体"/>
          <w:sz w:val="24"/>
          <w:szCs w:val="24"/>
        </w:rPr>
      </w:pPr>
      <w:r>
        <w:rPr>
          <w:rFonts w:hint="eastAsia" w:hAnsi="宋体" w:cs="宋体"/>
          <w:sz w:val="24"/>
          <w:szCs w:val="24"/>
        </w:rPr>
        <w:t>12.1 在交货前，制造商应对货物（含软件及相关服务）的质量、规格、性能、数量和重量等进行详细而全面的检验，并出具一份证明货物（含软件及相关服务）符合经国家消防装备质量监督检验中心认证或合同规定的证书。该证书将作为申请付款单据的一部分，但有关质量、规格、性能、数量或重量的检验不应视为最终检验，最终检验由国家消防装备质量检测中心检测或相关机构出具的检验报告为准。制造商检验的结果和细节应在证书中加以说明。</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12.2 货物（含软件及相关服务）运抵现场后，甲方将对货物（含软件及相关服务）的质量、规格、数量和重量进行检验，并出具验收意见。如发现货物（含软件及相关服务）的规格或数量或两者都与合同不符，甲方有权在货物（含软件及相关服务）运抵现场后90天内，根据甲方按检验标准自己检验的结果或当地商检部门出具的检验证书向乙方提出索赔，检测费用由投标人负责，除责任由保险公司或运输部门承担的之外，同时甲方有权单方终止执行合同。</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12.3 如果货物（含软件及相关服务）的质量和规格与合同不符，或在第11条规定的质量保证期内证实货物（含软件及相关服务）是有缺陷的，包括潜在的缺陷或使用不符合要求的材料，甲方将有权向乙方提出索赔。</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12.4 甲方有权提出在货物（含软件及相关服务）制造过程中派人到制造厂进行监造，乙方有义务为甲方监造人员提乙方便。</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12.5 制造厂对所供货物（含软件及相关服务）进行机械运转试验和性能试验时，必须提前通知甲方。</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12.6 货物（含软件及相关服务）的安装按采购文件的要求进行。</w:t>
      </w:r>
    </w:p>
    <w:p>
      <w:pPr>
        <w:pStyle w:val="7"/>
        <w:adjustRightInd w:val="0"/>
        <w:snapToGrid w:val="0"/>
        <w:spacing w:line="360" w:lineRule="auto"/>
        <w:rPr>
          <w:rFonts w:ascii="宋体" w:hAnsi="宋体" w:eastAsia="宋体" w:cs="宋体"/>
          <w:sz w:val="24"/>
          <w:szCs w:val="24"/>
        </w:rPr>
      </w:pPr>
      <w:bookmarkStart w:id="57" w:name="_Toc22587"/>
      <w:r>
        <w:rPr>
          <w:rFonts w:hint="eastAsia" w:ascii="宋体" w:hAnsi="宋体" w:eastAsia="宋体" w:cs="宋体"/>
          <w:sz w:val="24"/>
          <w:szCs w:val="24"/>
        </w:rPr>
        <w:t>13．索赔</w:t>
      </w:r>
      <w:bookmarkEnd w:id="57"/>
    </w:p>
    <w:p>
      <w:pPr>
        <w:adjustRightInd w:val="0"/>
        <w:snapToGrid w:val="0"/>
        <w:spacing w:line="360" w:lineRule="auto"/>
        <w:ind w:firstLine="480" w:firstLineChars="200"/>
        <w:rPr>
          <w:rFonts w:hAnsi="宋体" w:cs="宋体"/>
          <w:sz w:val="24"/>
          <w:szCs w:val="24"/>
        </w:rPr>
      </w:pPr>
      <w:r>
        <w:rPr>
          <w:rFonts w:hint="eastAsia" w:hAnsi="宋体" w:cs="宋体"/>
          <w:sz w:val="24"/>
          <w:szCs w:val="24"/>
        </w:rPr>
        <w:t>13.1 除责任应由保险公司或运输部门承担的之外，甲方有权根据甲方按检验标准自己检验的结果或当地商检部门出具的商检证书向乙方提出索赔。</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13.2 在第 11条和第 12条规定的检验期和质量保证期内，如果乙方对甲方提出的索赔和差异负有责任，乙方应按照甲方同意的下列一种或多种方式解决索赔事宜：</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1）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（2）根据货物（含软件及相关服务）的低劣程度、损坏程度以及甲方遭受损失的数额，经买卖双方商定降低货物（含软件及相关服务）的价格。</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3）用符合规格、质量和性能要求的新零件、部件或货物（含软件及相关服务）来更换有缺陷的部分或修补缺陷部分，乙方应承担一切费用和风险并负担甲方所发生的一切直接费用。同时，乙方应按合同第11条规定，相应延长修补或被更换部件或货物（含软件及相关服务）的质量保证期。</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13.3 如果在甲方发出索赔通知后30天内，乙方未能答复，上达索赔应视为已被乙方接受。若乙方未能在甲方提出索赔通知后30天内或甲方同意的更长时间内，按照第13．2条规定的任何一种方法解决索赔事宜，甲方将从已付款或从乙方开具的履约保证金中扣回索赔金颔。如果这些金额不足以补偿索赔金额，甲方有权向乙方提出不足部分的补偿。</w:t>
      </w:r>
    </w:p>
    <w:p>
      <w:pPr>
        <w:pStyle w:val="7"/>
        <w:adjustRightInd w:val="0"/>
        <w:snapToGrid w:val="0"/>
        <w:spacing w:line="360" w:lineRule="auto"/>
        <w:rPr>
          <w:rFonts w:ascii="宋体" w:hAnsi="宋体" w:eastAsia="宋体" w:cs="宋体"/>
          <w:sz w:val="24"/>
          <w:szCs w:val="24"/>
        </w:rPr>
      </w:pPr>
      <w:bookmarkStart w:id="58" w:name="_Toc17724"/>
      <w:r>
        <w:rPr>
          <w:rFonts w:hint="eastAsia" w:ascii="宋体" w:hAnsi="宋体" w:eastAsia="宋体" w:cs="宋体"/>
          <w:sz w:val="24"/>
          <w:szCs w:val="24"/>
        </w:rPr>
        <w:t>14．拖延交货</w:t>
      </w:r>
      <w:bookmarkEnd w:id="58"/>
    </w:p>
    <w:p>
      <w:pPr>
        <w:adjustRightInd w:val="0"/>
        <w:snapToGrid w:val="0"/>
        <w:spacing w:line="360" w:lineRule="auto"/>
        <w:ind w:firstLine="480" w:firstLineChars="200"/>
        <w:rPr>
          <w:rFonts w:hAnsi="宋体" w:cs="宋体"/>
          <w:sz w:val="24"/>
          <w:szCs w:val="24"/>
        </w:rPr>
      </w:pPr>
      <w:r>
        <w:rPr>
          <w:rFonts w:hint="eastAsia" w:hAnsi="宋体" w:cs="宋体"/>
          <w:sz w:val="24"/>
          <w:szCs w:val="24"/>
        </w:rPr>
        <w:t>14.l 乙方应按照合同专用条款中规定的交货期交货和提供服务。</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14.2 如果乙方毫无理由地拖延交货达1个月以上的，将受到以下制裁：没收履约保证金，加收违约损失赔偿和／或终止合同。</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14.3 在履行合同过程中，如果乙方遇到不能按时交货和提供服务的情况，应及时以书面形式将不能按时交货的理由、延误时间通知甲方。甲方在收到乙方通知后，应进行分析，可通过修改合同，酌情延长交货时间。</w:t>
      </w:r>
    </w:p>
    <w:p>
      <w:pPr>
        <w:pStyle w:val="7"/>
        <w:adjustRightInd w:val="0"/>
        <w:snapToGrid w:val="0"/>
        <w:spacing w:line="360" w:lineRule="auto"/>
        <w:rPr>
          <w:rFonts w:ascii="宋体" w:hAnsi="宋体" w:eastAsia="宋体" w:cs="宋体"/>
          <w:sz w:val="24"/>
          <w:szCs w:val="24"/>
        </w:rPr>
      </w:pPr>
      <w:bookmarkStart w:id="59" w:name="_Toc31502"/>
      <w:r>
        <w:rPr>
          <w:rFonts w:hint="eastAsia" w:ascii="宋体" w:hAnsi="宋体" w:eastAsia="宋体" w:cs="宋体"/>
          <w:sz w:val="24"/>
          <w:szCs w:val="24"/>
        </w:rPr>
        <w:t>15．违约赔偿</w:t>
      </w:r>
      <w:bookmarkEnd w:id="59"/>
    </w:p>
    <w:p>
      <w:pPr>
        <w:adjustRightInd w:val="0"/>
        <w:snapToGrid w:val="0"/>
        <w:spacing w:line="360" w:lineRule="auto"/>
        <w:ind w:firstLine="480" w:firstLineChars="200"/>
        <w:rPr>
          <w:rFonts w:hAnsi="宋体" w:cs="宋体"/>
          <w:sz w:val="24"/>
          <w:szCs w:val="24"/>
        </w:rPr>
      </w:pPr>
      <w:r>
        <w:rPr>
          <w:rFonts w:hint="eastAsia" w:hAnsi="宋体" w:cs="宋体"/>
          <w:sz w:val="24"/>
          <w:szCs w:val="24"/>
        </w:rPr>
        <w:t>除第16条规定的不可抗力外，如果乙方没有按照合同规定的时间交货和提供服务，甲方可从货款中扣除违约赔偿费，赔偿费应按每周迟交货物（含软件及相关服务）或未提供服务交货价的1％计收。但违约损失赔偿费的最高限额为迟交货物（含软件及相关服务）或没有提供服务的合同价的5％。一周按7天计算，不足7天按一周计算。甲方有权终止合同，并按合同约定及法律规定追究乙方的违约责任。</w:t>
      </w:r>
    </w:p>
    <w:p>
      <w:pPr>
        <w:pStyle w:val="7"/>
        <w:adjustRightInd w:val="0"/>
        <w:snapToGrid w:val="0"/>
        <w:spacing w:line="360" w:lineRule="auto"/>
        <w:rPr>
          <w:rFonts w:ascii="宋体" w:hAnsi="宋体" w:eastAsia="宋体" w:cs="宋体"/>
          <w:sz w:val="24"/>
          <w:szCs w:val="24"/>
        </w:rPr>
      </w:pPr>
      <w:bookmarkStart w:id="60" w:name="_Toc30531"/>
      <w:r>
        <w:rPr>
          <w:rFonts w:hint="eastAsia" w:ascii="宋体" w:hAnsi="宋体" w:eastAsia="宋体" w:cs="宋体"/>
          <w:sz w:val="24"/>
          <w:szCs w:val="24"/>
        </w:rPr>
        <w:t>16．不可抗力</w:t>
      </w:r>
      <w:bookmarkEnd w:id="60"/>
    </w:p>
    <w:p>
      <w:pPr>
        <w:adjustRightInd w:val="0"/>
        <w:snapToGrid w:val="0"/>
        <w:spacing w:line="360" w:lineRule="auto"/>
        <w:ind w:firstLine="480" w:firstLineChars="200"/>
        <w:rPr>
          <w:rFonts w:hAnsi="宋体" w:cs="宋体"/>
          <w:sz w:val="24"/>
          <w:szCs w:val="24"/>
        </w:rPr>
      </w:pPr>
      <w:r>
        <w:rPr>
          <w:rFonts w:hint="eastAsia" w:hAnsi="宋体" w:cs="宋体"/>
          <w:sz w:val="24"/>
          <w:szCs w:val="24"/>
        </w:rPr>
        <w:t>16.l 如果双方中任何一方由于战争、严重火灾、水灾、台风和地震以及其它经双方同意属于不可抗力的事故，致使合同履行受阻时，履行合同的期限应予以延长，延长的期限应相当于事故所影响的时间。</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16.2 受事故影响的一方应在不可抗力事故发生后尽快以电报、传真或电传通知另一方，并在事故发生后14天内，将有关部门出具的证明文件用特快专递寄给或送给另一方。如果不可抗力影响时间延续120天以上，双方应通过友好协商在合理的时间内达成进一步履行合同的协议。</w:t>
      </w:r>
    </w:p>
    <w:p>
      <w:pPr>
        <w:pStyle w:val="7"/>
        <w:adjustRightInd w:val="0"/>
        <w:snapToGrid w:val="0"/>
        <w:spacing w:line="360" w:lineRule="auto"/>
        <w:rPr>
          <w:rFonts w:ascii="宋体" w:hAnsi="宋体" w:eastAsia="宋体" w:cs="宋体"/>
          <w:sz w:val="24"/>
          <w:szCs w:val="24"/>
        </w:rPr>
      </w:pPr>
      <w:bookmarkStart w:id="61" w:name="_Toc11542"/>
      <w:r>
        <w:rPr>
          <w:rFonts w:hint="eastAsia" w:ascii="宋体" w:hAnsi="宋体" w:eastAsia="宋体" w:cs="宋体"/>
          <w:sz w:val="24"/>
          <w:szCs w:val="24"/>
        </w:rPr>
        <w:t>17．税费</w:t>
      </w:r>
      <w:bookmarkEnd w:id="61"/>
    </w:p>
    <w:p>
      <w:pPr>
        <w:adjustRightInd w:val="0"/>
        <w:snapToGrid w:val="0"/>
        <w:spacing w:line="360" w:lineRule="auto"/>
        <w:ind w:firstLine="480" w:firstLineChars="200"/>
        <w:rPr>
          <w:rFonts w:hAnsi="宋体" w:cs="宋体"/>
          <w:sz w:val="24"/>
          <w:szCs w:val="24"/>
        </w:rPr>
      </w:pPr>
      <w:r>
        <w:rPr>
          <w:rFonts w:hint="eastAsia" w:hAnsi="宋体" w:cs="宋体"/>
          <w:sz w:val="24"/>
          <w:szCs w:val="24"/>
        </w:rPr>
        <w:t>17.l 中国政府根据现行税法对甲方征收的与本合同有关的一切税费均由甲方承担。</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17.2 中国政府根据现行税法对乙方征收的与本合同有关的一切税费均由乙方承担。</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17.3 在中国境外发生的与执行本合同有关的一切税费均由乙方承担。</w:t>
      </w:r>
    </w:p>
    <w:p>
      <w:pPr>
        <w:pStyle w:val="7"/>
        <w:adjustRightInd w:val="0"/>
        <w:snapToGrid w:val="0"/>
        <w:spacing w:line="360" w:lineRule="auto"/>
        <w:rPr>
          <w:rFonts w:ascii="宋体" w:hAnsi="宋体" w:eastAsia="宋体" w:cs="宋体"/>
          <w:sz w:val="24"/>
          <w:szCs w:val="24"/>
        </w:rPr>
      </w:pPr>
      <w:bookmarkStart w:id="62" w:name="_Toc16887"/>
      <w:r>
        <w:rPr>
          <w:rFonts w:hint="eastAsia" w:ascii="宋体" w:hAnsi="宋体" w:eastAsia="宋体" w:cs="宋体"/>
          <w:sz w:val="24"/>
          <w:szCs w:val="24"/>
        </w:rPr>
        <w:t>18．仲裁</w:t>
      </w:r>
      <w:bookmarkEnd w:id="62"/>
    </w:p>
    <w:p>
      <w:pPr>
        <w:adjustRightInd w:val="0"/>
        <w:snapToGrid w:val="0"/>
        <w:spacing w:line="360" w:lineRule="auto"/>
        <w:ind w:firstLine="480" w:firstLineChars="200"/>
        <w:rPr>
          <w:rFonts w:hAnsi="宋体" w:cs="宋体"/>
          <w:sz w:val="24"/>
          <w:szCs w:val="24"/>
        </w:rPr>
      </w:pPr>
      <w:r>
        <w:rPr>
          <w:rFonts w:hint="eastAsia" w:hAnsi="宋体" w:cs="宋体"/>
          <w:sz w:val="24"/>
          <w:szCs w:val="24"/>
        </w:rPr>
        <w:t>18.l 买卖双方应通过友好协商，解决在执行本合同中所发生的或与本合同有关的一切争端，如果协商仍得不到解决，任何一方均可按“中华人民共和国合同法”规定提交调解和仲裁。</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18.2 仲裁裁决应为终局裁决，对双方均具有约束力。</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18.3 仲裁费除仲裁机构另有裁决外应由败诉方负担。</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18.4 在仲裁期间，除正在进行仲裁的部分外，合同其它部分继续执行。</w:t>
      </w:r>
    </w:p>
    <w:p>
      <w:pPr>
        <w:pStyle w:val="7"/>
        <w:adjustRightInd w:val="0"/>
        <w:snapToGrid w:val="0"/>
        <w:spacing w:line="360" w:lineRule="auto"/>
        <w:rPr>
          <w:rFonts w:ascii="宋体" w:hAnsi="宋体" w:eastAsia="宋体" w:cs="宋体"/>
          <w:sz w:val="24"/>
          <w:szCs w:val="24"/>
        </w:rPr>
      </w:pPr>
      <w:bookmarkStart w:id="63" w:name="_Toc32565"/>
      <w:r>
        <w:rPr>
          <w:rFonts w:hint="eastAsia" w:ascii="宋体" w:hAnsi="宋体" w:eastAsia="宋体" w:cs="宋体"/>
          <w:sz w:val="24"/>
          <w:szCs w:val="24"/>
        </w:rPr>
        <w:t>19．违约终止合同</w:t>
      </w:r>
      <w:bookmarkEnd w:id="63"/>
    </w:p>
    <w:p>
      <w:pPr>
        <w:adjustRightInd w:val="0"/>
        <w:snapToGrid w:val="0"/>
        <w:spacing w:line="360" w:lineRule="auto"/>
        <w:ind w:firstLine="480" w:firstLineChars="200"/>
        <w:rPr>
          <w:rFonts w:hAnsi="宋体" w:cs="宋体"/>
          <w:sz w:val="24"/>
          <w:szCs w:val="24"/>
        </w:rPr>
      </w:pPr>
      <w:r>
        <w:rPr>
          <w:rFonts w:hint="eastAsia" w:hAnsi="宋体" w:cs="宋体"/>
          <w:sz w:val="24"/>
          <w:szCs w:val="24"/>
        </w:rPr>
        <w:t>19.l 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（l）如果乙方未能在合同规定的期限或甲方同意延期的限期内提供全部或部分货物（含软件及相关服务）；</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（2）如果乙方未能履行合同规定的其它义务。</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19.2 在甲方根据第20条规定，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pPr>
        <w:pStyle w:val="7"/>
        <w:adjustRightInd w:val="0"/>
        <w:snapToGrid w:val="0"/>
        <w:spacing w:line="360" w:lineRule="auto"/>
        <w:rPr>
          <w:rFonts w:ascii="宋体" w:hAnsi="宋体" w:eastAsia="宋体" w:cs="宋体"/>
          <w:sz w:val="24"/>
          <w:szCs w:val="24"/>
        </w:rPr>
      </w:pPr>
      <w:bookmarkStart w:id="64" w:name="_Toc14094"/>
      <w:r>
        <w:rPr>
          <w:rFonts w:hint="eastAsia" w:ascii="宋体" w:hAnsi="宋体" w:eastAsia="宋体" w:cs="宋体"/>
          <w:sz w:val="24"/>
          <w:szCs w:val="24"/>
        </w:rPr>
        <w:t>20．破产终止合同</w:t>
      </w:r>
      <w:bookmarkEnd w:id="64"/>
    </w:p>
    <w:p>
      <w:pPr>
        <w:adjustRightInd w:val="0"/>
        <w:snapToGrid w:val="0"/>
        <w:spacing w:line="360" w:lineRule="auto"/>
        <w:ind w:firstLine="480" w:firstLineChars="200"/>
        <w:rPr>
          <w:rFonts w:hAnsi="宋体" w:cs="宋体"/>
          <w:sz w:val="24"/>
          <w:szCs w:val="24"/>
        </w:rPr>
      </w:pPr>
      <w:r>
        <w:rPr>
          <w:rFonts w:hint="eastAsia" w:hAnsi="宋体" w:cs="宋体"/>
          <w:sz w:val="24"/>
          <w:szCs w:val="24"/>
        </w:rPr>
        <w:t>如果乙方破产或无清偿能力，甲方可在任何时候以书面通知乙方终止合同，该终止合同以不损害或影响甲方已经采取或将采取补救措施的权利。</w:t>
      </w:r>
    </w:p>
    <w:p>
      <w:pPr>
        <w:pStyle w:val="7"/>
        <w:adjustRightInd w:val="0"/>
        <w:snapToGrid w:val="0"/>
        <w:spacing w:line="360" w:lineRule="auto"/>
        <w:rPr>
          <w:rFonts w:ascii="宋体" w:hAnsi="宋体" w:eastAsia="宋体" w:cs="宋体"/>
          <w:sz w:val="24"/>
          <w:szCs w:val="24"/>
        </w:rPr>
      </w:pPr>
      <w:bookmarkStart w:id="65" w:name="_Toc22328"/>
      <w:r>
        <w:rPr>
          <w:rFonts w:hint="eastAsia" w:ascii="宋体" w:hAnsi="宋体" w:eastAsia="宋体" w:cs="宋体"/>
          <w:sz w:val="24"/>
          <w:szCs w:val="24"/>
        </w:rPr>
        <w:t>21．转让与分包</w:t>
      </w:r>
      <w:bookmarkEnd w:id="65"/>
    </w:p>
    <w:p>
      <w:pPr>
        <w:adjustRightInd w:val="0"/>
        <w:snapToGrid w:val="0"/>
        <w:spacing w:line="360" w:lineRule="auto"/>
        <w:ind w:firstLine="480" w:firstLineChars="200"/>
        <w:rPr>
          <w:rFonts w:hAnsi="宋体" w:cs="宋体"/>
          <w:sz w:val="24"/>
          <w:szCs w:val="24"/>
        </w:rPr>
      </w:pPr>
      <w:r>
        <w:rPr>
          <w:rFonts w:hint="eastAsia" w:hAnsi="宋体" w:cs="宋体"/>
          <w:sz w:val="24"/>
          <w:szCs w:val="24"/>
        </w:rPr>
        <w:t>21.1 未经甲方事先书面同意，乙方不得部分转让或全部转让其应履行的合同义务。</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21.2 对投标中没有明确分包的合同，乙方应书面通知甲方本合同中将分包的全部分包合同，在原投标/响应文件中或后来发出的分包通知均不能解除乙方履行本合同的义务。</w:t>
      </w:r>
    </w:p>
    <w:p>
      <w:pPr>
        <w:pStyle w:val="7"/>
        <w:adjustRightInd w:val="0"/>
        <w:snapToGrid w:val="0"/>
        <w:spacing w:line="360" w:lineRule="auto"/>
        <w:rPr>
          <w:rFonts w:ascii="宋体" w:hAnsi="宋体" w:eastAsia="宋体" w:cs="宋体"/>
          <w:sz w:val="24"/>
          <w:szCs w:val="24"/>
        </w:rPr>
      </w:pPr>
      <w:bookmarkStart w:id="66" w:name="_Toc7236"/>
      <w:r>
        <w:rPr>
          <w:rFonts w:hint="eastAsia" w:ascii="宋体" w:hAnsi="宋体" w:eastAsia="宋体" w:cs="宋体"/>
          <w:sz w:val="24"/>
          <w:szCs w:val="24"/>
        </w:rPr>
        <w:t>22．适用法律</w:t>
      </w:r>
      <w:bookmarkEnd w:id="66"/>
    </w:p>
    <w:p>
      <w:pPr>
        <w:adjustRightInd w:val="0"/>
        <w:snapToGrid w:val="0"/>
        <w:spacing w:line="360" w:lineRule="auto"/>
        <w:ind w:firstLine="480" w:firstLineChars="200"/>
        <w:rPr>
          <w:rFonts w:hAnsi="宋体" w:cs="宋体"/>
          <w:sz w:val="24"/>
          <w:szCs w:val="24"/>
        </w:rPr>
      </w:pPr>
      <w:r>
        <w:rPr>
          <w:rFonts w:hint="eastAsia" w:hAnsi="宋体" w:cs="宋体"/>
          <w:sz w:val="24"/>
          <w:szCs w:val="24"/>
        </w:rPr>
        <w:t>本合同应按中华人民共和国的法律进行解释。</w:t>
      </w:r>
    </w:p>
    <w:p>
      <w:pPr>
        <w:pStyle w:val="7"/>
        <w:adjustRightInd w:val="0"/>
        <w:snapToGrid w:val="0"/>
        <w:spacing w:line="360" w:lineRule="auto"/>
        <w:rPr>
          <w:rFonts w:ascii="宋体" w:hAnsi="宋体" w:eastAsia="宋体" w:cs="宋体"/>
          <w:sz w:val="24"/>
          <w:szCs w:val="24"/>
        </w:rPr>
      </w:pPr>
      <w:bookmarkStart w:id="67" w:name="_Toc9844"/>
      <w:r>
        <w:rPr>
          <w:rFonts w:hint="eastAsia" w:ascii="宋体" w:hAnsi="宋体" w:eastAsia="宋体" w:cs="宋体"/>
          <w:sz w:val="24"/>
          <w:szCs w:val="24"/>
        </w:rPr>
        <w:t>23．合同生效及其它</w:t>
      </w:r>
      <w:bookmarkEnd w:id="67"/>
    </w:p>
    <w:p>
      <w:pPr>
        <w:adjustRightInd w:val="0"/>
        <w:snapToGrid w:val="0"/>
        <w:spacing w:line="360" w:lineRule="auto"/>
        <w:ind w:firstLine="480" w:firstLineChars="200"/>
        <w:rPr>
          <w:rFonts w:hAnsi="宋体" w:cs="宋体"/>
          <w:sz w:val="24"/>
          <w:szCs w:val="24"/>
        </w:rPr>
      </w:pPr>
      <w:r>
        <w:rPr>
          <w:rFonts w:hint="eastAsia" w:hAnsi="宋体" w:cs="宋体"/>
          <w:sz w:val="24"/>
          <w:szCs w:val="24"/>
        </w:rPr>
        <w:t>23.1 合同在双方签字盖章后生效。</w:t>
      </w:r>
    </w:p>
    <w:p>
      <w:pPr>
        <w:adjustRightInd w:val="0"/>
        <w:snapToGrid w:val="0"/>
        <w:spacing w:line="360" w:lineRule="auto"/>
        <w:ind w:firstLine="480" w:firstLineChars="200"/>
        <w:rPr>
          <w:rFonts w:hAnsi="宋体" w:cs="宋体"/>
          <w:strike w:val="0"/>
          <w:dstrike/>
          <w:sz w:val="24"/>
          <w:szCs w:val="24"/>
        </w:rPr>
      </w:pPr>
      <w:r>
        <w:rPr>
          <w:rFonts w:hint="eastAsia" w:hAnsi="宋体" w:cs="宋体"/>
          <w:sz w:val="24"/>
          <w:szCs w:val="24"/>
        </w:rPr>
        <w:t>23.2 如需修改或补充合同内容，经协商，双方应签署书面修改或补充协议并经招标人鉴证，该协议将作为本合同的一个组成部分。</w:t>
      </w:r>
    </w:p>
    <w:p>
      <w:pPr>
        <w:adjustRightInd w:val="0"/>
        <w:snapToGrid w:val="0"/>
        <w:spacing w:line="360" w:lineRule="auto"/>
        <w:rPr>
          <w:rFonts w:ascii="仿宋" w:hAnsi="仿宋" w:eastAsia="仿宋" w:cs="仿宋"/>
          <w:b/>
          <w:sz w:val="24"/>
          <w:szCs w:val="24"/>
        </w:rPr>
      </w:pPr>
      <w:r>
        <w:rPr>
          <w:rFonts w:hint="eastAsia" w:hAnsi="宋体" w:cs="宋体"/>
          <w:b/>
          <w:sz w:val="24"/>
          <w:szCs w:val="24"/>
        </w:rPr>
        <w:t>备注：合同通用条款与合同专用条款不一致的，以合同专用条款为准。</w:t>
      </w:r>
    </w:p>
    <w:p>
      <w:pPr>
        <w:pStyle w:val="7"/>
      </w:pPr>
    </w:p>
    <w:p/>
    <w:p>
      <w:pPr>
        <w:pStyle w:val="5"/>
        <w:adjustRightInd w:val="0"/>
        <w:snapToGrid w:val="0"/>
        <w:spacing w:line="360" w:lineRule="auto"/>
        <w:jc w:val="center"/>
        <w:rPr>
          <w:rFonts w:hAnsi="宋体"/>
        </w:rPr>
      </w:pPr>
      <w:bookmarkStart w:id="68" w:name="_Toc583"/>
      <w:r>
        <w:rPr>
          <w:rFonts w:hint="eastAsia" w:hAnsi="宋体"/>
        </w:rPr>
        <w:t xml:space="preserve">第五章 </w:t>
      </w:r>
      <w:bookmarkEnd w:id="24"/>
      <w:bookmarkEnd w:id="25"/>
      <w:r>
        <w:rPr>
          <w:rFonts w:hint="eastAsia" w:hAnsi="宋体"/>
        </w:rPr>
        <w:t>磋商响应文件内容和格式</w:t>
      </w:r>
      <w:bookmarkEnd w:id="26"/>
      <w:bookmarkEnd w:id="68"/>
    </w:p>
    <w:p>
      <w:pPr>
        <w:adjustRightInd w:val="0"/>
        <w:snapToGrid w:val="0"/>
        <w:spacing w:line="360" w:lineRule="auto"/>
        <w:ind w:firstLine="480" w:firstLineChars="200"/>
        <w:rPr>
          <w:rFonts w:hAnsi="宋体"/>
          <w:sz w:val="24"/>
        </w:rPr>
      </w:pPr>
      <w:r>
        <w:rPr>
          <w:rFonts w:hint="eastAsia" w:hAnsi="宋体"/>
          <w:sz w:val="24"/>
        </w:rPr>
        <w:t>请供应商按照以下文件要求的格式、内容制作磋商响应文件，并按以下顺序编制目录及页码，否则可能将影响对磋商响应文件的评价：</w:t>
      </w:r>
    </w:p>
    <w:p>
      <w:pPr>
        <w:adjustRightInd w:val="0"/>
        <w:snapToGrid w:val="0"/>
        <w:spacing w:line="360" w:lineRule="auto"/>
        <w:ind w:firstLine="480" w:firstLineChars="200"/>
        <w:rPr>
          <w:rFonts w:hAnsi="宋体"/>
          <w:sz w:val="24"/>
        </w:rPr>
      </w:pPr>
    </w:p>
    <w:p>
      <w:pPr>
        <w:adjustRightInd w:val="0"/>
        <w:snapToGrid w:val="0"/>
        <w:spacing w:line="360" w:lineRule="auto"/>
        <w:ind w:firstLine="480" w:firstLineChars="200"/>
        <w:rPr>
          <w:rFonts w:hAnsi="宋体"/>
          <w:sz w:val="24"/>
        </w:rPr>
      </w:pPr>
      <w:r>
        <w:rPr>
          <w:rFonts w:hint="eastAsia" w:hAnsi="宋体"/>
          <w:sz w:val="24"/>
        </w:rPr>
        <w:t>1.磋商函</w:t>
      </w:r>
    </w:p>
    <w:p>
      <w:pPr>
        <w:adjustRightInd w:val="0"/>
        <w:snapToGrid w:val="0"/>
        <w:spacing w:line="360" w:lineRule="auto"/>
        <w:ind w:firstLine="480" w:firstLineChars="200"/>
        <w:rPr>
          <w:rFonts w:hAnsi="宋体"/>
          <w:sz w:val="24"/>
        </w:rPr>
      </w:pPr>
      <w:r>
        <w:rPr>
          <w:rFonts w:hint="eastAsia" w:hAnsi="宋体"/>
          <w:sz w:val="24"/>
        </w:rPr>
        <w:t>2.报价一览表</w:t>
      </w:r>
    </w:p>
    <w:p>
      <w:pPr>
        <w:adjustRightInd w:val="0"/>
        <w:snapToGrid w:val="0"/>
        <w:spacing w:line="360" w:lineRule="auto"/>
        <w:ind w:firstLine="480" w:firstLineChars="200"/>
        <w:rPr>
          <w:rFonts w:hAnsi="宋体"/>
          <w:sz w:val="24"/>
        </w:rPr>
      </w:pPr>
      <w:r>
        <w:rPr>
          <w:rFonts w:hint="eastAsia" w:hAnsi="宋体"/>
          <w:sz w:val="24"/>
        </w:rPr>
        <w:t>3.法定代表人证明书及授权委托书</w:t>
      </w:r>
    </w:p>
    <w:p>
      <w:pPr>
        <w:adjustRightInd w:val="0"/>
        <w:snapToGrid w:val="0"/>
        <w:spacing w:line="360" w:lineRule="auto"/>
        <w:ind w:firstLine="480" w:firstLineChars="200"/>
        <w:rPr>
          <w:rFonts w:hAnsi="宋体"/>
          <w:sz w:val="24"/>
        </w:rPr>
      </w:pPr>
      <w:r>
        <w:rPr>
          <w:rFonts w:hint="eastAsia" w:hAnsi="宋体"/>
          <w:sz w:val="24"/>
        </w:rPr>
        <w:t>4.资格申明信</w:t>
      </w:r>
    </w:p>
    <w:p>
      <w:pPr>
        <w:adjustRightInd w:val="0"/>
        <w:snapToGrid w:val="0"/>
        <w:spacing w:line="360" w:lineRule="auto"/>
        <w:ind w:firstLine="480" w:firstLineChars="200"/>
      </w:pPr>
      <w:r>
        <w:rPr>
          <w:rFonts w:hint="eastAsia" w:hAnsi="宋体"/>
          <w:sz w:val="24"/>
          <w:szCs w:val="22"/>
        </w:rPr>
        <w:t>5.用户需求响应情况表</w:t>
      </w:r>
    </w:p>
    <w:p>
      <w:pPr>
        <w:adjustRightInd w:val="0"/>
        <w:snapToGrid w:val="0"/>
        <w:spacing w:line="360" w:lineRule="auto"/>
        <w:ind w:firstLine="480" w:firstLineChars="200"/>
        <w:rPr>
          <w:rFonts w:hAnsi="宋体"/>
          <w:sz w:val="24"/>
        </w:rPr>
      </w:pPr>
      <w:r>
        <w:rPr>
          <w:rFonts w:hint="eastAsia" w:hAnsi="宋体"/>
          <w:sz w:val="24"/>
        </w:rPr>
        <w:t>6.投标人基本情况</w:t>
      </w:r>
    </w:p>
    <w:p>
      <w:pPr>
        <w:adjustRightInd w:val="0"/>
        <w:snapToGrid w:val="0"/>
        <w:spacing w:line="360" w:lineRule="auto"/>
        <w:ind w:firstLine="480" w:firstLineChars="200"/>
        <w:rPr>
          <w:rFonts w:hAnsi="宋体"/>
          <w:sz w:val="24"/>
        </w:rPr>
      </w:pPr>
      <w:r>
        <w:rPr>
          <w:rFonts w:hint="eastAsia" w:hAnsi="宋体"/>
          <w:sz w:val="24"/>
        </w:rPr>
        <w:t>7.项目管理机构表</w:t>
      </w:r>
    </w:p>
    <w:p>
      <w:pPr>
        <w:adjustRightInd w:val="0"/>
        <w:snapToGrid w:val="0"/>
        <w:spacing w:line="360" w:lineRule="auto"/>
        <w:ind w:firstLine="480" w:firstLineChars="200"/>
        <w:rPr>
          <w:rFonts w:hAnsi="宋体"/>
          <w:sz w:val="24"/>
        </w:rPr>
      </w:pPr>
      <w:r>
        <w:rPr>
          <w:rFonts w:hint="eastAsia" w:hAnsi="宋体"/>
          <w:sz w:val="24"/>
        </w:rPr>
        <w:t>8.技术部分（项目方案等)</w:t>
      </w:r>
    </w:p>
    <w:p>
      <w:pPr>
        <w:adjustRightInd w:val="0"/>
        <w:snapToGrid w:val="0"/>
        <w:spacing w:line="360" w:lineRule="auto"/>
        <w:ind w:firstLine="480" w:firstLineChars="200"/>
        <w:rPr>
          <w:rFonts w:hAnsi="宋体"/>
          <w:sz w:val="24"/>
        </w:rPr>
      </w:pPr>
      <w:r>
        <w:rPr>
          <w:rFonts w:hint="eastAsia" w:hAnsi="宋体"/>
          <w:sz w:val="24"/>
        </w:rPr>
        <w:t>9.供应商认为需要的其它材料</w:t>
      </w:r>
    </w:p>
    <w:p>
      <w:pPr>
        <w:adjustRightInd w:val="0"/>
        <w:snapToGrid w:val="0"/>
        <w:spacing w:line="360" w:lineRule="auto"/>
        <w:ind w:firstLine="480" w:firstLineChars="200"/>
        <w:rPr>
          <w:rFonts w:hAnsi="宋体"/>
          <w:sz w:val="24"/>
          <w:szCs w:val="24"/>
        </w:rPr>
      </w:pPr>
      <w:r>
        <w:rPr>
          <w:rFonts w:hint="eastAsia" w:hAnsi="宋体"/>
          <w:sz w:val="24"/>
          <w:szCs w:val="24"/>
        </w:rPr>
        <w:t>10.</w:t>
      </w:r>
      <w:r>
        <w:rPr>
          <w:rFonts w:hint="eastAsia" w:hAnsi="宋体"/>
          <w:sz w:val="24"/>
          <w:szCs w:val="22"/>
        </w:rPr>
        <w:t>中小</w:t>
      </w:r>
      <w:r>
        <w:rPr>
          <w:rFonts w:hAnsi="宋体"/>
          <w:sz w:val="24"/>
          <w:szCs w:val="22"/>
        </w:rPr>
        <w:t>企业声明函</w:t>
      </w:r>
      <w:r>
        <w:rPr>
          <w:rFonts w:hint="eastAsia" w:hAnsi="宋体"/>
          <w:sz w:val="24"/>
          <w:szCs w:val="22"/>
        </w:rPr>
        <w:t>（如有）</w:t>
      </w:r>
    </w:p>
    <w:p>
      <w:pPr>
        <w:adjustRightInd w:val="0"/>
        <w:snapToGrid w:val="0"/>
        <w:spacing w:line="360" w:lineRule="auto"/>
        <w:ind w:firstLine="480" w:firstLineChars="200"/>
      </w:pPr>
      <w:r>
        <w:rPr>
          <w:rFonts w:hint="eastAsia" w:hAnsi="宋体"/>
          <w:bCs/>
          <w:sz w:val="24"/>
        </w:rPr>
        <w:t>11.</w:t>
      </w:r>
      <w:r>
        <w:rPr>
          <w:rFonts w:hAnsi="宋体"/>
          <w:sz w:val="24"/>
          <w:szCs w:val="22"/>
        </w:rPr>
        <w:t>监狱企业证明文件</w:t>
      </w:r>
      <w:r>
        <w:rPr>
          <w:rFonts w:hint="eastAsia" w:hAnsi="宋体"/>
          <w:sz w:val="24"/>
          <w:szCs w:val="22"/>
        </w:rPr>
        <w:t>（如有）</w:t>
      </w:r>
    </w:p>
    <w:p>
      <w:pPr>
        <w:adjustRightInd w:val="0"/>
        <w:snapToGrid w:val="0"/>
        <w:spacing w:line="360" w:lineRule="auto"/>
        <w:ind w:firstLine="480" w:firstLineChars="200"/>
        <w:rPr>
          <w:rFonts w:hAnsi="宋体"/>
          <w:sz w:val="24"/>
        </w:rPr>
      </w:pPr>
      <w:r>
        <w:rPr>
          <w:rFonts w:hint="eastAsia" w:hAnsi="宋体"/>
          <w:sz w:val="24"/>
        </w:rPr>
        <w:t>12.</w:t>
      </w:r>
      <w:r>
        <w:rPr>
          <w:rFonts w:hAnsi="宋体"/>
          <w:sz w:val="24"/>
          <w:szCs w:val="22"/>
        </w:rPr>
        <w:t>残疾人福利性单位声明函</w:t>
      </w:r>
      <w:r>
        <w:rPr>
          <w:rFonts w:hint="eastAsia" w:hAnsi="宋体"/>
          <w:sz w:val="24"/>
          <w:szCs w:val="22"/>
        </w:rPr>
        <w:t>（如有）</w:t>
      </w:r>
    </w:p>
    <w:p>
      <w:pPr>
        <w:adjustRightInd w:val="0"/>
        <w:snapToGrid w:val="0"/>
        <w:spacing w:line="360" w:lineRule="auto"/>
        <w:jc w:val="both"/>
        <w:rPr>
          <w:rFonts w:hAnsi="宋体"/>
          <w:sz w:val="24"/>
        </w:rPr>
      </w:pPr>
    </w:p>
    <w:p>
      <w:pPr>
        <w:adjustRightInd w:val="0"/>
        <w:snapToGrid w:val="0"/>
        <w:spacing w:line="360" w:lineRule="auto"/>
        <w:ind w:firstLine="480" w:firstLineChars="200"/>
        <w:jc w:val="both"/>
        <w:rPr>
          <w:rFonts w:hAnsi="宋体"/>
          <w:sz w:val="24"/>
        </w:rPr>
      </w:pPr>
      <w:r>
        <w:rPr>
          <w:rFonts w:hint="eastAsia" w:hAnsi="宋体"/>
          <w:sz w:val="24"/>
        </w:rPr>
        <w:t>为了便于评委对磋商响应文件内容的审核，供应商可针对本磋商文件第六章中“技术商务评分表”编写响应页码索引表，即该评分项目内容在磋商响应文件中的页码</w:t>
      </w:r>
    </w:p>
    <w:p>
      <w:pPr>
        <w:spacing w:line="360" w:lineRule="auto"/>
        <w:ind w:firstLine="480" w:firstLineChars="200"/>
        <w:rPr>
          <w:rFonts w:hAnsi="宋体"/>
          <w:sz w:val="24"/>
        </w:rPr>
      </w:pPr>
    </w:p>
    <w:p>
      <w:pPr>
        <w:spacing w:line="500" w:lineRule="exact"/>
        <w:jc w:val="right"/>
        <w:rPr>
          <w:rFonts w:hAnsi="宋体"/>
          <w:sz w:val="44"/>
          <w:szCs w:val="44"/>
        </w:rPr>
      </w:pPr>
      <w:bookmarkStart w:id="69" w:name="_Toc24233"/>
      <w:bookmarkStart w:id="70" w:name="_Toc401304799"/>
      <w:bookmarkStart w:id="71" w:name="_Toc387391734"/>
      <w:bookmarkStart w:id="72" w:name="_Toc386178233"/>
      <w:r>
        <w:rPr>
          <w:rFonts w:hint="eastAsia" w:hAnsi="宋体"/>
          <w:sz w:val="44"/>
          <w:szCs w:val="44"/>
        </w:rPr>
        <w:br w:type="page"/>
      </w:r>
    </w:p>
    <w:p>
      <w:pPr>
        <w:spacing w:line="500" w:lineRule="exact"/>
        <w:ind w:firstLine="1320" w:firstLineChars="300"/>
        <w:rPr>
          <w:rFonts w:hAnsi="宋体"/>
          <w:sz w:val="44"/>
          <w:szCs w:val="44"/>
        </w:rPr>
      </w:pPr>
    </w:p>
    <w:p>
      <w:pPr>
        <w:spacing w:line="500" w:lineRule="exact"/>
        <w:rPr>
          <w:rFonts w:hAnsi="宋体"/>
          <w:sz w:val="44"/>
          <w:szCs w:val="44"/>
        </w:rPr>
      </w:pPr>
    </w:p>
    <w:p>
      <w:pPr>
        <w:spacing w:line="480" w:lineRule="auto"/>
        <w:jc w:val="center"/>
        <w:rPr>
          <w:rFonts w:hAnsi="宋体"/>
          <w:sz w:val="44"/>
          <w:szCs w:val="44"/>
        </w:rPr>
      </w:pPr>
      <w:r>
        <w:rPr>
          <w:rFonts w:hint="eastAsia" w:hAnsi="宋体"/>
          <w:sz w:val="44"/>
          <w:szCs w:val="44"/>
        </w:rPr>
        <w:t>海南省规划展览馆重点项目更新改造</w:t>
      </w:r>
    </w:p>
    <w:p>
      <w:pPr>
        <w:spacing w:line="480" w:lineRule="auto"/>
        <w:ind w:firstLine="2640" w:firstLineChars="600"/>
        <w:rPr>
          <w:rFonts w:hAnsi="宋体"/>
          <w:sz w:val="44"/>
          <w:szCs w:val="44"/>
        </w:rPr>
      </w:pPr>
    </w:p>
    <w:p>
      <w:pPr>
        <w:spacing w:line="480" w:lineRule="auto"/>
        <w:ind w:firstLine="880" w:firstLineChars="200"/>
        <w:rPr>
          <w:rFonts w:hAnsi="宋体"/>
          <w:sz w:val="44"/>
          <w:szCs w:val="44"/>
        </w:rPr>
      </w:pPr>
    </w:p>
    <w:p>
      <w:pPr>
        <w:ind w:firstLine="1800" w:firstLineChars="600"/>
      </w:pPr>
    </w:p>
    <w:p>
      <w:pPr>
        <w:jc w:val="center"/>
      </w:pPr>
      <w:r>
        <w:rPr>
          <w:rFonts w:hint="eastAsia"/>
          <w:b/>
          <w:bCs/>
          <w:sz w:val="44"/>
          <w:szCs w:val="44"/>
        </w:rPr>
        <w:t>响应文件</w:t>
      </w:r>
    </w:p>
    <w:p>
      <w:pPr>
        <w:jc w:val="center"/>
      </w:pPr>
      <w:r>
        <w:rPr>
          <w:rFonts w:hint="eastAsia"/>
        </w:rPr>
        <w:t>（仅供参考）</w:t>
      </w:r>
    </w:p>
    <w:p>
      <w:pPr>
        <w:spacing w:line="500" w:lineRule="exact"/>
        <w:ind w:firstLine="480" w:firstLineChars="200"/>
        <w:rPr>
          <w:rFonts w:hAnsi="宋体"/>
          <w:sz w:val="24"/>
        </w:rPr>
      </w:pPr>
    </w:p>
    <w:p>
      <w:pPr>
        <w:spacing w:line="500" w:lineRule="exact"/>
        <w:jc w:val="center"/>
        <w:rPr>
          <w:rFonts w:hAnsi="宋体"/>
          <w:sz w:val="24"/>
        </w:rPr>
      </w:pPr>
    </w:p>
    <w:p>
      <w:pPr>
        <w:spacing w:line="500" w:lineRule="exact"/>
        <w:ind w:firstLine="480" w:firstLineChars="200"/>
        <w:rPr>
          <w:rFonts w:hAnsi="宋体"/>
          <w:sz w:val="24"/>
        </w:rPr>
      </w:pPr>
    </w:p>
    <w:p>
      <w:pPr>
        <w:spacing w:line="500" w:lineRule="exact"/>
        <w:rPr>
          <w:rFonts w:hAnsi="宋体"/>
          <w:sz w:val="24"/>
        </w:rPr>
      </w:pPr>
    </w:p>
    <w:p/>
    <w:p>
      <w:pPr>
        <w:spacing w:before="19" w:line="360" w:lineRule="auto"/>
        <w:ind w:firstLine="480" w:firstLineChars="200"/>
        <w:rPr>
          <w:rFonts w:hAnsi="宋体"/>
          <w:sz w:val="24"/>
          <w:szCs w:val="22"/>
        </w:rPr>
      </w:pPr>
      <w:r>
        <w:rPr>
          <w:rFonts w:hint="eastAsia" w:hAnsi="宋体"/>
          <w:sz w:val="24"/>
          <w:szCs w:val="22"/>
        </w:rPr>
        <w:t>供应商：（盖公章）</w:t>
      </w:r>
    </w:p>
    <w:p>
      <w:pPr>
        <w:spacing w:before="19" w:line="360" w:lineRule="auto"/>
        <w:ind w:firstLine="480" w:firstLineChars="200"/>
        <w:rPr>
          <w:rFonts w:hAnsi="宋体"/>
          <w:sz w:val="24"/>
          <w:szCs w:val="22"/>
        </w:rPr>
      </w:pPr>
      <w:r>
        <w:rPr>
          <w:rFonts w:hint="eastAsia" w:hAnsi="宋体"/>
          <w:sz w:val="24"/>
          <w:szCs w:val="22"/>
        </w:rPr>
        <w:t xml:space="preserve">地址:                               </w:t>
      </w:r>
    </w:p>
    <w:p>
      <w:pPr>
        <w:spacing w:before="19" w:line="360" w:lineRule="auto"/>
        <w:ind w:firstLine="480" w:firstLineChars="200"/>
        <w:rPr>
          <w:rFonts w:hAnsi="宋体"/>
          <w:sz w:val="24"/>
          <w:szCs w:val="22"/>
        </w:rPr>
      </w:pPr>
      <w:r>
        <w:rPr>
          <w:rFonts w:hint="eastAsia" w:hAnsi="宋体"/>
          <w:sz w:val="24"/>
          <w:szCs w:val="22"/>
        </w:rPr>
        <w:t xml:space="preserve">供应商法定代表人或被授权人签字：        </w:t>
      </w:r>
    </w:p>
    <w:p>
      <w:pPr>
        <w:spacing w:before="19" w:line="360" w:lineRule="auto"/>
        <w:ind w:firstLine="480" w:firstLineChars="200"/>
        <w:rPr>
          <w:rFonts w:hAnsi="宋体"/>
          <w:sz w:val="24"/>
          <w:szCs w:val="22"/>
        </w:rPr>
      </w:pPr>
      <w:r>
        <w:rPr>
          <w:rFonts w:hint="eastAsia" w:hAnsi="宋体"/>
          <w:sz w:val="24"/>
          <w:szCs w:val="22"/>
        </w:rPr>
        <w:t xml:space="preserve">联系电话：                             </w:t>
      </w:r>
    </w:p>
    <w:p>
      <w:pPr>
        <w:spacing w:before="19" w:line="360" w:lineRule="auto"/>
        <w:ind w:firstLine="480" w:firstLineChars="200"/>
        <w:rPr>
          <w:rFonts w:hAnsi="宋体"/>
          <w:sz w:val="24"/>
          <w:szCs w:val="22"/>
        </w:rPr>
      </w:pPr>
      <w:r>
        <w:rPr>
          <w:rFonts w:hint="eastAsia" w:hAnsi="宋体"/>
          <w:sz w:val="24"/>
          <w:szCs w:val="22"/>
        </w:rPr>
        <w:t xml:space="preserve">日    期：                      </w:t>
      </w:r>
    </w:p>
    <w:p>
      <w:pPr>
        <w:spacing w:before="19" w:line="360" w:lineRule="auto"/>
        <w:ind w:firstLine="480" w:firstLineChars="200"/>
        <w:rPr>
          <w:rFonts w:hAnsi="宋体"/>
          <w:sz w:val="24"/>
          <w:szCs w:val="22"/>
        </w:rPr>
        <w:sectPr>
          <w:footerReference r:id="rId9" w:type="default"/>
          <w:pgSz w:w="11906" w:h="16838"/>
          <w:pgMar w:top="1418" w:right="1418" w:bottom="1418" w:left="1418" w:header="851" w:footer="992" w:gutter="0"/>
          <w:cols w:space="720" w:num="1"/>
          <w:docGrid w:type="lines" w:linePitch="312" w:charSpace="0"/>
        </w:sectPr>
      </w:pPr>
    </w:p>
    <w:p>
      <w:pPr>
        <w:pStyle w:val="6"/>
        <w:adjustRightInd w:val="0"/>
        <w:snapToGrid w:val="0"/>
        <w:jc w:val="center"/>
      </w:pPr>
      <w:r>
        <w:rPr>
          <w:rFonts w:hint="eastAsia" w:hAnsi="宋体" w:cs="宋体"/>
          <w:sz w:val="30"/>
          <w:szCs w:val="30"/>
        </w:rPr>
        <w:t>1.磋商函</w:t>
      </w:r>
      <w:bookmarkEnd w:id="69"/>
      <w:bookmarkEnd w:id="70"/>
      <w:bookmarkEnd w:id="71"/>
      <w:bookmarkEnd w:id="72"/>
    </w:p>
    <w:p>
      <w:pPr>
        <w:adjustRightInd w:val="0"/>
        <w:snapToGrid w:val="0"/>
        <w:spacing w:before="19" w:line="480" w:lineRule="exact"/>
        <w:rPr>
          <w:rFonts w:hAnsi="宋体"/>
          <w:b/>
          <w:bCs/>
          <w:sz w:val="24"/>
          <w:szCs w:val="18"/>
        </w:rPr>
      </w:pPr>
      <w:r>
        <w:rPr>
          <w:rFonts w:hint="eastAsia" w:hAnsi="宋体"/>
          <w:b/>
          <w:bCs/>
          <w:sz w:val="24"/>
          <w:szCs w:val="18"/>
        </w:rPr>
        <w:t>致：中正信达建设集团有限公司</w:t>
      </w:r>
    </w:p>
    <w:p>
      <w:pPr>
        <w:spacing w:before="19" w:line="360" w:lineRule="auto"/>
        <w:ind w:firstLine="480" w:firstLineChars="200"/>
        <w:rPr>
          <w:rFonts w:hAnsi="宋体"/>
          <w:sz w:val="24"/>
        </w:rPr>
      </w:pPr>
    </w:p>
    <w:p>
      <w:pPr>
        <w:spacing w:before="19" w:line="360" w:lineRule="auto"/>
        <w:ind w:firstLine="480" w:firstLineChars="200"/>
        <w:rPr>
          <w:rFonts w:hAnsi="宋体"/>
          <w:sz w:val="24"/>
        </w:rPr>
      </w:pPr>
      <w:r>
        <w:rPr>
          <w:rFonts w:hint="eastAsia" w:hAnsi="宋体"/>
          <w:sz w:val="24"/>
        </w:rPr>
        <w:t>根据贵公司的</w:t>
      </w:r>
      <w:r>
        <w:rPr>
          <w:rFonts w:hint="eastAsia" w:hAnsi="宋体"/>
          <w:b/>
          <w:bCs/>
          <w:sz w:val="24"/>
        </w:rPr>
        <w:t>海南省规划展览馆重点项目更新改造（项目编号为：ZZXD-CG-2024007）</w:t>
      </w:r>
      <w:r>
        <w:rPr>
          <w:rFonts w:hint="eastAsia" w:hAnsi="宋体"/>
          <w:sz w:val="24"/>
        </w:rPr>
        <w:t>的磋商邀请函，正式授权下述签字人</w:t>
      </w:r>
      <w:r>
        <w:rPr>
          <w:rFonts w:hint="eastAsia" w:hAnsi="宋体"/>
          <w:sz w:val="24"/>
          <w:u w:val="single"/>
        </w:rPr>
        <w:t xml:space="preserve">             </w:t>
      </w:r>
      <w:r>
        <w:rPr>
          <w:rFonts w:hint="eastAsia" w:hAnsi="宋体"/>
          <w:sz w:val="24"/>
        </w:rPr>
        <w:t>（姓名和职务）代表供应商</w:t>
      </w:r>
      <w:r>
        <w:rPr>
          <w:rFonts w:hint="eastAsia" w:hAnsi="宋体"/>
          <w:sz w:val="24"/>
          <w:u w:val="single"/>
        </w:rPr>
        <w:t xml:space="preserve">        </w:t>
      </w:r>
      <w:r>
        <w:rPr>
          <w:rFonts w:hint="eastAsia" w:hAnsi="宋体"/>
          <w:sz w:val="24"/>
        </w:rPr>
        <w:t>（磋商单位名称），提交磋商响应文件。</w:t>
      </w:r>
    </w:p>
    <w:p>
      <w:pPr>
        <w:adjustRightInd w:val="0"/>
        <w:snapToGrid w:val="0"/>
        <w:spacing w:line="480" w:lineRule="exact"/>
        <w:ind w:firstLine="480" w:firstLineChars="200"/>
        <w:rPr>
          <w:rFonts w:hAnsi="宋体"/>
          <w:sz w:val="24"/>
        </w:rPr>
      </w:pPr>
      <w:r>
        <w:rPr>
          <w:rFonts w:hint="eastAsia" w:hAnsi="宋体"/>
          <w:sz w:val="24"/>
        </w:rPr>
        <w:t>根据此函，我们宣布同意如下：</w:t>
      </w:r>
    </w:p>
    <w:p>
      <w:pPr>
        <w:adjustRightInd w:val="0"/>
        <w:snapToGrid w:val="0"/>
        <w:spacing w:line="480" w:lineRule="exact"/>
        <w:ind w:firstLine="480"/>
        <w:rPr>
          <w:rFonts w:hAnsi="宋体"/>
          <w:sz w:val="24"/>
        </w:rPr>
      </w:pPr>
      <w:r>
        <w:rPr>
          <w:rFonts w:hint="eastAsia" w:hAnsi="宋体"/>
          <w:sz w:val="24"/>
        </w:rPr>
        <w:t>1、我方接受磋商文件的所有的条款和规定。</w:t>
      </w:r>
    </w:p>
    <w:p>
      <w:pPr>
        <w:adjustRightInd w:val="0"/>
        <w:snapToGrid w:val="0"/>
        <w:spacing w:line="480" w:lineRule="exact"/>
        <w:ind w:firstLine="480" w:firstLineChars="200"/>
        <w:rPr>
          <w:rFonts w:hAnsi="宋体"/>
          <w:sz w:val="24"/>
        </w:rPr>
      </w:pPr>
      <w:r>
        <w:rPr>
          <w:rFonts w:hint="eastAsia" w:hAnsi="宋体"/>
          <w:sz w:val="24"/>
        </w:rPr>
        <w:t>2、我方同意按照磋商文件第二章“磋商须知”的规定，本磋商响应文件的有效期为自递交磋商响应文件截止之日起</w:t>
      </w:r>
      <w:r>
        <w:rPr>
          <w:rFonts w:hint="eastAsia" w:hAnsi="宋体"/>
          <w:sz w:val="24"/>
          <w:u w:val="single"/>
        </w:rPr>
        <w:t xml:space="preserve"> 90 天</w:t>
      </w:r>
      <w:r>
        <w:rPr>
          <w:rFonts w:hint="eastAsia" w:hAnsi="宋体"/>
          <w:sz w:val="24"/>
        </w:rPr>
        <w:t>，在此期间，本磋商响应文件将始终对我方具有约束力，并可随时被接受。</w:t>
      </w:r>
    </w:p>
    <w:p>
      <w:pPr>
        <w:adjustRightInd w:val="0"/>
        <w:snapToGrid w:val="0"/>
        <w:spacing w:line="480" w:lineRule="exact"/>
        <w:rPr>
          <w:rFonts w:hAnsi="宋体"/>
          <w:sz w:val="24"/>
        </w:rPr>
      </w:pPr>
      <w:r>
        <w:rPr>
          <w:rFonts w:hint="eastAsia" w:hAnsi="宋体"/>
          <w:sz w:val="24"/>
        </w:rPr>
        <w:t xml:space="preserve">    3、我们同意提供贵单位要求的有关本次磋商的所有资料或证据。</w:t>
      </w:r>
    </w:p>
    <w:p>
      <w:pPr>
        <w:adjustRightInd w:val="0"/>
        <w:snapToGrid w:val="0"/>
        <w:spacing w:line="480" w:lineRule="exact"/>
        <w:rPr>
          <w:rFonts w:hAnsi="宋体"/>
          <w:sz w:val="24"/>
        </w:rPr>
      </w:pPr>
      <w:r>
        <w:rPr>
          <w:rFonts w:hint="eastAsia" w:hAnsi="宋体"/>
          <w:sz w:val="24"/>
        </w:rPr>
        <w:t xml:space="preserve">    4、我方完全理解贵方不一定要接受最低磋商价的磋商，即</w:t>
      </w:r>
      <w:r>
        <w:rPr>
          <w:rFonts w:hint="eastAsia" w:hAnsi="宋体"/>
          <w:b/>
          <w:sz w:val="24"/>
          <w:u w:val="single"/>
        </w:rPr>
        <w:t>最低磋商价不是成交的保证</w:t>
      </w:r>
      <w:r>
        <w:rPr>
          <w:rFonts w:hint="eastAsia" w:hAnsi="宋体"/>
          <w:sz w:val="24"/>
        </w:rPr>
        <w:t>。</w:t>
      </w:r>
    </w:p>
    <w:p>
      <w:pPr>
        <w:adjustRightInd w:val="0"/>
        <w:snapToGrid w:val="0"/>
        <w:spacing w:line="480" w:lineRule="exact"/>
        <w:ind w:firstLine="570"/>
        <w:rPr>
          <w:rFonts w:hAnsi="宋体"/>
          <w:sz w:val="24"/>
        </w:rPr>
      </w:pPr>
      <w:r>
        <w:rPr>
          <w:rFonts w:hint="eastAsia" w:hAnsi="宋体"/>
          <w:sz w:val="24"/>
        </w:rPr>
        <w:t>5、如果我方成交，我们将根据磋商文件的规定严格履行自己的责任和义务。</w:t>
      </w:r>
    </w:p>
    <w:p>
      <w:pPr>
        <w:adjustRightInd w:val="0"/>
        <w:snapToGrid w:val="0"/>
        <w:spacing w:line="480" w:lineRule="exact"/>
        <w:ind w:firstLine="570"/>
        <w:rPr>
          <w:rFonts w:hAnsi="宋体"/>
          <w:sz w:val="24"/>
        </w:rPr>
      </w:pPr>
      <w:r>
        <w:rPr>
          <w:rFonts w:hint="eastAsia" w:hAnsi="宋体"/>
          <w:sz w:val="24"/>
        </w:rPr>
        <w:t xml:space="preserve"> </w:t>
      </w:r>
    </w:p>
    <w:p>
      <w:pPr>
        <w:adjustRightInd w:val="0"/>
        <w:snapToGrid w:val="0"/>
        <w:spacing w:line="480" w:lineRule="exact"/>
        <w:ind w:firstLine="570"/>
        <w:rPr>
          <w:rFonts w:hAnsi="宋体"/>
          <w:sz w:val="24"/>
        </w:rPr>
      </w:pPr>
    </w:p>
    <w:p>
      <w:pPr>
        <w:adjustRightInd w:val="0"/>
        <w:snapToGrid w:val="0"/>
        <w:spacing w:line="480" w:lineRule="exact"/>
        <w:rPr>
          <w:rFonts w:hAnsi="宋体"/>
          <w:sz w:val="24"/>
        </w:rPr>
      </w:pPr>
      <w:r>
        <w:rPr>
          <w:rFonts w:hint="eastAsia" w:hAnsi="宋体"/>
          <w:sz w:val="24"/>
        </w:rPr>
        <w:t xml:space="preserve">        供应商名称：</w:t>
      </w:r>
      <w:r>
        <w:rPr>
          <w:rFonts w:hint="eastAsia" w:hAnsi="宋体"/>
          <w:sz w:val="24"/>
          <w:u w:val="single"/>
        </w:rPr>
        <w:t xml:space="preserve">              （公章）</w:t>
      </w:r>
    </w:p>
    <w:p>
      <w:pPr>
        <w:adjustRightInd w:val="0"/>
        <w:snapToGrid w:val="0"/>
        <w:spacing w:line="480" w:lineRule="exact"/>
        <w:rPr>
          <w:rFonts w:hAnsi="宋体"/>
          <w:sz w:val="24"/>
          <w:u w:val="single"/>
        </w:rPr>
      </w:pPr>
      <w:r>
        <w:rPr>
          <w:rFonts w:hint="eastAsia" w:hAnsi="宋体"/>
          <w:sz w:val="24"/>
        </w:rPr>
        <w:t xml:space="preserve">        地    址：</w:t>
      </w:r>
      <w:r>
        <w:rPr>
          <w:rFonts w:hint="eastAsia" w:hAnsi="宋体"/>
          <w:sz w:val="24"/>
          <w:u w:val="single"/>
        </w:rPr>
        <w:t xml:space="preserve">                               </w:t>
      </w:r>
      <w:r>
        <w:rPr>
          <w:rFonts w:hint="eastAsia" w:hAnsi="宋体"/>
          <w:sz w:val="24"/>
        </w:rPr>
        <w:t>邮编：</w:t>
      </w:r>
      <w:r>
        <w:rPr>
          <w:rFonts w:hint="eastAsia" w:hAnsi="宋体"/>
          <w:sz w:val="24"/>
          <w:u w:val="single"/>
        </w:rPr>
        <w:t xml:space="preserve">          </w:t>
      </w:r>
    </w:p>
    <w:p>
      <w:pPr>
        <w:adjustRightInd w:val="0"/>
        <w:snapToGrid w:val="0"/>
        <w:spacing w:line="480" w:lineRule="exact"/>
        <w:rPr>
          <w:rFonts w:hAnsi="宋体"/>
          <w:sz w:val="24"/>
          <w:u w:val="single"/>
        </w:rPr>
      </w:pPr>
      <w:r>
        <w:rPr>
          <w:rFonts w:hint="eastAsia" w:hAnsi="宋体"/>
          <w:sz w:val="24"/>
        </w:rPr>
        <w:t xml:space="preserve">        电    话：</w:t>
      </w:r>
      <w:r>
        <w:rPr>
          <w:rFonts w:hint="eastAsia" w:hAnsi="宋体"/>
          <w:sz w:val="24"/>
          <w:u w:val="single"/>
        </w:rPr>
        <w:t xml:space="preserve">                           </w:t>
      </w:r>
      <w:r>
        <w:rPr>
          <w:rFonts w:hint="eastAsia" w:hAnsi="宋体"/>
          <w:sz w:val="24"/>
        </w:rPr>
        <w:t>传真：</w:t>
      </w:r>
      <w:r>
        <w:rPr>
          <w:rFonts w:hint="eastAsia" w:hAnsi="宋体"/>
          <w:sz w:val="24"/>
          <w:u w:val="single"/>
        </w:rPr>
        <w:t xml:space="preserve">             </w:t>
      </w:r>
    </w:p>
    <w:p>
      <w:pPr>
        <w:adjustRightInd w:val="0"/>
        <w:snapToGrid w:val="0"/>
        <w:spacing w:line="480" w:lineRule="exact"/>
        <w:rPr>
          <w:rFonts w:hAnsi="宋体"/>
          <w:sz w:val="24"/>
          <w:u w:val="single"/>
        </w:rPr>
      </w:pPr>
      <w:r>
        <w:rPr>
          <w:rFonts w:hint="eastAsia" w:hAnsi="宋体"/>
          <w:sz w:val="24"/>
        </w:rPr>
        <w:t xml:space="preserve">        被授权人：</w:t>
      </w:r>
      <w:r>
        <w:rPr>
          <w:rFonts w:hint="eastAsia" w:hAnsi="宋体"/>
          <w:sz w:val="24"/>
          <w:u w:val="single"/>
        </w:rPr>
        <w:t xml:space="preserve">  （签字或盖章）      </w:t>
      </w:r>
      <w:r>
        <w:rPr>
          <w:rFonts w:hint="eastAsia" w:hAnsi="宋体"/>
          <w:sz w:val="24"/>
        </w:rPr>
        <w:t xml:space="preserve">   职务：</w:t>
      </w:r>
      <w:r>
        <w:rPr>
          <w:rFonts w:hint="eastAsia" w:hAnsi="宋体"/>
          <w:sz w:val="24"/>
          <w:u w:val="single"/>
        </w:rPr>
        <w:t xml:space="preserve">                  </w:t>
      </w:r>
    </w:p>
    <w:p>
      <w:pPr>
        <w:adjustRightInd w:val="0"/>
        <w:snapToGrid w:val="0"/>
        <w:spacing w:line="480" w:lineRule="exact"/>
        <w:rPr>
          <w:rFonts w:hAnsi="宋体"/>
          <w:sz w:val="24"/>
          <w:u w:val="single"/>
        </w:rPr>
      </w:pPr>
      <w:r>
        <w:rPr>
          <w:rFonts w:hint="eastAsia" w:hAnsi="宋体"/>
          <w:sz w:val="24"/>
        </w:rPr>
        <w:t xml:space="preserve">        日期：</w:t>
      </w:r>
      <w:r>
        <w:rPr>
          <w:rFonts w:hint="eastAsia" w:hAnsi="宋体"/>
          <w:sz w:val="24"/>
          <w:u w:val="single"/>
        </w:rPr>
        <w:t xml:space="preserve">                  </w:t>
      </w:r>
    </w:p>
    <w:p>
      <w:pPr>
        <w:adjustRightInd w:val="0"/>
        <w:snapToGrid w:val="0"/>
        <w:spacing w:line="480" w:lineRule="exact"/>
        <w:rPr>
          <w:rFonts w:hAnsi="宋体"/>
          <w:sz w:val="24"/>
          <w:u w:val="single"/>
        </w:rPr>
      </w:pPr>
    </w:p>
    <w:p>
      <w:pPr>
        <w:topLinePunct/>
        <w:autoSpaceDE w:val="0"/>
        <w:autoSpaceDN w:val="0"/>
        <w:spacing w:before="4" w:line="360" w:lineRule="auto"/>
        <w:rPr>
          <w:rFonts w:hAnsi="宋体"/>
          <w:sz w:val="24"/>
        </w:rPr>
      </w:pPr>
    </w:p>
    <w:p>
      <w:pPr>
        <w:topLinePunct/>
        <w:autoSpaceDE w:val="0"/>
        <w:autoSpaceDN w:val="0"/>
        <w:spacing w:before="4" w:line="360" w:lineRule="auto"/>
        <w:rPr>
          <w:rFonts w:hAnsi="宋体"/>
          <w:sz w:val="24"/>
        </w:rPr>
      </w:pPr>
    </w:p>
    <w:p>
      <w:pPr>
        <w:spacing w:before="19" w:line="360" w:lineRule="auto"/>
        <w:rPr>
          <w:rFonts w:ascii="华文宋体" w:hAnsi="华文宋体" w:eastAsia="华文宋体"/>
          <w:sz w:val="28"/>
          <w:u w:val="single"/>
        </w:rPr>
      </w:pPr>
    </w:p>
    <w:p>
      <w:pPr>
        <w:pStyle w:val="6"/>
        <w:jc w:val="center"/>
        <w:rPr>
          <w:rFonts w:hAnsi="宋体" w:cs="宋体"/>
          <w:sz w:val="30"/>
          <w:szCs w:val="30"/>
        </w:rPr>
      </w:pPr>
      <w:bookmarkStart w:id="73" w:name="_Toc401304800"/>
      <w:bookmarkStart w:id="74" w:name="_Toc387391735"/>
      <w:bookmarkStart w:id="75" w:name="_Toc386178234"/>
      <w:r>
        <w:rPr>
          <w:rFonts w:hAnsi="宋体"/>
        </w:rPr>
        <w:br w:type="page"/>
      </w:r>
      <w:bookmarkStart w:id="76" w:name="_Toc9391"/>
      <w:r>
        <w:rPr>
          <w:rFonts w:hint="eastAsia" w:hAnsi="宋体" w:cs="宋体"/>
          <w:sz w:val="30"/>
          <w:szCs w:val="30"/>
        </w:rPr>
        <w:t>2</w:t>
      </w:r>
      <w:bookmarkEnd w:id="73"/>
      <w:bookmarkEnd w:id="74"/>
      <w:bookmarkEnd w:id="75"/>
      <w:bookmarkStart w:id="77" w:name="_Toc387391737"/>
      <w:bookmarkStart w:id="78" w:name="_Toc401304802"/>
      <w:bookmarkStart w:id="79" w:name="_Toc386178236"/>
      <w:r>
        <w:rPr>
          <w:rFonts w:hint="eastAsia" w:hAnsi="宋体" w:cs="宋体"/>
          <w:sz w:val="30"/>
          <w:szCs w:val="30"/>
        </w:rPr>
        <w:t>.报价一览表</w:t>
      </w:r>
      <w:bookmarkEnd w:id="76"/>
    </w:p>
    <w:p>
      <w:pPr>
        <w:pStyle w:val="3"/>
        <w:tabs>
          <w:tab w:val="left" w:pos="2038"/>
        </w:tabs>
        <w:spacing w:before="35" w:line="360" w:lineRule="auto"/>
        <w:ind w:left="100" w:firstLine="480"/>
        <w:rPr>
          <w:rFonts w:ascii="宋体" w:hAnsi="宋体" w:cs="宋体"/>
        </w:rPr>
      </w:pPr>
      <w:r>
        <w:rPr>
          <w:rFonts w:hint="eastAsia" w:ascii="宋体" w:hAnsi="宋体" w:cs="宋体"/>
          <w:szCs w:val="24"/>
        </w:rPr>
        <w:t>项目名称：</w:t>
      </w:r>
      <w:r>
        <w:rPr>
          <w:rFonts w:hint="eastAsia" w:cs="宋体"/>
          <w:szCs w:val="24"/>
        </w:rPr>
        <w:t>海南省规划展览馆重点项目更新改造</w:t>
      </w:r>
    </w:p>
    <w:tbl>
      <w:tblPr>
        <w:tblStyle w:val="22"/>
        <w:tblW w:w="5015"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3128"/>
        <w:gridCol w:w="59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1716" w:type="pct"/>
          </w:tcPr>
          <w:p>
            <w:pPr>
              <w:pStyle w:val="29"/>
              <w:spacing w:before="199" w:line="360" w:lineRule="auto"/>
              <w:rPr>
                <w:b/>
                <w:bCs/>
                <w:sz w:val="24"/>
                <w:szCs w:val="24"/>
                <w:lang w:val="en-US"/>
              </w:rPr>
            </w:pPr>
            <w:r>
              <w:rPr>
                <w:rFonts w:hint="eastAsia"/>
                <w:b/>
                <w:bCs/>
                <w:sz w:val="24"/>
                <w:szCs w:val="24"/>
                <w:lang w:val="en-US"/>
              </w:rPr>
              <w:t>名称</w:t>
            </w:r>
          </w:p>
        </w:tc>
        <w:tc>
          <w:tcPr>
            <w:tcW w:w="3283" w:type="pct"/>
          </w:tcPr>
          <w:p>
            <w:pPr>
              <w:pStyle w:val="29"/>
              <w:spacing w:before="199" w:line="360" w:lineRule="auto"/>
              <w:rPr>
                <w:b/>
                <w:bCs/>
                <w:sz w:val="24"/>
                <w:szCs w:val="24"/>
                <w:lang w:val="en-US"/>
              </w:rPr>
            </w:pPr>
            <w:r>
              <w:rPr>
                <w:rFonts w:hint="eastAsia"/>
                <w:b/>
                <w:bCs/>
                <w:sz w:val="24"/>
                <w:szCs w:val="24"/>
                <w:lang w:val="en-US"/>
              </w:rPr>
              <w:t>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1716" w:type="pct"/>
          </w:tcPr>
          <w:p>
            <w:pPr>
              <w:pStyle w:val="29"/>
              <w:spacing w:before="199" w:line="360" w:lineRule="auto"/>
              <w:rPr>
                <w:sz w:val="24"/>
                <w:szCs w:val="24"/>
                <w:lang w:val="en-US"/>
              </w:rPr>
            </w:pPr>
            <w:r>
              <w:rPr>
                <w:rFonts w:hint="eastAsia"/>
                <w:sz w:val="24"/>
                <w:szCs w:val="24"/>
                <w:lang w:val="en-US"/>
              </w:rPr>
              <w:t>投标报价（小写）</w:t>
            </w:r>
          </w:p>
        </w:tc>
        <w:tc>
          <w:tcPr>
            <w:tcW w:w="3283" w:type="pct"/>
            <w:tcBorders>
              <w:left w:val="single" w:color="000000" w:sz="6" w:space="0"/>
            </w:tcBorders>
          </w:tcPr>
          <w:p>
            <w:pPr>
              <w:pStyle w:val="29"/>
              <w:spacing w:before="199" w:line="360" w:lineRule="auto"/>
              <w:rPr>
                <w:sz w:val="24"/>
                <w:szCs w:val="24"/>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1716" w:type="pct"/>
          </w:tcPr>
          <w:p>
            <w:pPr>
              <w:pStyle w:val="29"/>
              <w:spacing w:before="199" w:line="360" w:lineRule="auto"/>
              <w:rPr>
                <w:sz w:val="24"/>
                <w:szCs w:val="24"/>
                <w:lang w:val="en-US"/>
              </w:rPr>
            </w:pPr>
            <w:r>
              <w:rPr>
                <w:rFonts w:hint="eastAsia"/>
                <w:sz w:val="24"/>
                <w:szCs w:val="24"/>
                <w:lang w:val="en-US"/>
              </w:rPr>
              <w:t>投标报价（大写）</w:t>
            </w:r>
          </w:p>
        </w:tc>
        <w:tc>
          <w:tcPr>
            <w:tcW w:w="3283" w:type="pct"/>
            <w:tcBorders>
              <w:left w:val="single" w:color="000000" w:sz="6" w:space="0"/>
            </w:tcBorders>
          </w:tcPr>
          <w:p>
            <w:pPr>
              <w:pStyle w:val="29"/>
              <w:spacing w:before="199" w:line="360" w:lineRule="auto"/>
              <w:rPr>
                <w:sz w:val="24"/>
                <w:szCs w:val="24"/>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1716" w:type="pct"/>
          </w:tcPr>
          <w:p>
            <w:pPr>
              <w:pStyle w:val="29"/>
              <w:spacing w:before="199" w:line="360" w:lineRule="auto"/>
              <w:rPr>
                <w:sz w:val="24"/>
                <w:szCs w:val="24"/>
                <w:lang w:val="en-US"/>
              </w:rPr>
            </w:pPr>
            <w:r>
              <w:rPr>
                <w:rFonts w:hint="eastAsia"/>
                <w:sz w:val="24"/>
                <w:lang w:val="en-GB"/>
              </w:rPr>
              <w:t>服务期限</w:t>
            </w:r>
          </w:p>
        </w:tc>
        <w:tc>
          <w:tcPr>
            <w:tcW w:w="3283" w:type="pct"/>
            <w:tcBorders>
              <w:left w:val="single" w:color="000000" w:sz="6" w:space="0"/>
            </w:tcBorders>
          </w:tcPr>
          <w:p>
            <w:pPr>
              <w:pStyle w:val="29"/>
              <w:spacing w:before="199" w:line="360" w:lineRule="auto"/>
              <w:rPr>
                <w:sz w:val="24"/>
                <w:szCs w:val="24"/>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1716" w:type="pct"/>
          </w:tcPr>
          <w:p>
            <w:pPr>
              <w:pStyle w:val="29"/>
              <w:spacing w:before="199" w:line="360" w:lineRule="auto"/>
              <w:rPr>
                <w:sz w:val="24"/>
                <w:szCs w:val="24"/>
                <w:lang w:val="en-US"/>
              </w:rPr>
            </w:pPr>
            <w:r>
              <w:rPr>
                <w:rFonts w:hint="eastAsia"/>
                <w:sz w:val="24"/>
                <w:szCs w:val="24"/>
                <w:lang w:val="en-US"/>
              </w:rPr>
              <w:t>服务地点</w:t>
            </w:r>
          </w:p>
        </w:tc>
        <w:tc>
          <w:tcPr>
            <w:tcW w:w="3283" w:type="pct"/>
            <w:tcBorders>
              <w:left w:val="single" w:color="000000" w:sz="6" w:space="0"/>
            </w:tcBorders>
          </w:tcPr>
          <w:p>
            <w:pPr>
              <w:pStyle w:val="29"/>
              <w:spacing w:before="199" w:line="360" w:lineRule="auto"/>
              <w:rPr>
                <w:sz w:val="24"/>
                <w:szCs w:val="24"/>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1716" w:type="pct"/>
            <w:vAlign w:val="center"/>
          </w:tcPr>
          <w:p>
            <w:pPr>
              <w:spacing w:line="440" w:lineRule="exact"/>
              <w:jc w:val="center"/>
              <w:rPr>
                <w:rFonts w:hAnsi="宋体" w:cs="宋体"/>
                <w:sz w:val="24"/>
              </w:rPr>
            </w:pPr>
            <w:r>
              <w:rPr>
                <w:rFonts w:hint="eastAsia" w:hAnsi="宋体" w:cs="宋体"/>
                <w:sz w:val="24"/>
              </w:rPr>
              <w:t>是否微小企业</w:t>
            </w:r>
          </w:p>
        </w:tc>
        <w:tc>
          <w:tcPr>
            <w:tcW w:w="3283" w:type="pct"/>
            <w:tcBorders>
              <w:left w:val="single" w:color="000000" w:sz="6" w:space="0"/>
            </w:tcBorders>
          </w:tcPr>
          <w:p>
            <w:pPr>
              <w:spacing w:before="156" w:beforeLines="50" w:after="156" w:afterLines="50" w:line="440" w:lineRule="exact"/>
              <w:rPr>
                <w:rFonts w:hAnsi="宋体" w:cs="宋体"/>
                <w:sz w:val="24"/>
              </w:rPr>
            </w:pPr>
            <w:r>
              <w:rPr>
                <w:rFonts w:hint="eastAsia" w:hAnsi="宋体" w:cs="宋体"/>
                <w:sz w:val="24"/>
                <w:lang w:val="en-GB"/>
              </w:rPr>
              <w:t>（）</w:t>
            </w:r>
            <w:r>
              <w:rPr>
                <w:rFonts w:hint="eastAsia" w:hAnsi="宋体" w:cs="宋体"/>
                <w:sz w:val="24"/>
              </w:rPr>
              <w:t>是、（）否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vAlign w:val="center"/>
          </w:tcPr>
          <w:p>
            <w:pPr>
              <w:spacing w:line="440" w:lineRule="exact"/>
              <w:jc w:val="center"/>
              <w:rPr>
                <w:rFonts w:hAnsi="宋体" w:cs="宋体"/>
                <w:sz w:val="24"/>
              </w:rPr>
            </w:pPr>
            <w:r>
              <w:rPr>
                <w:rFonts w:hint="eastAsia" w:hAnsi="宋体" w:cs="宋体"/>
                <w:sz w:val="24"/>
                <w:lang w:val="en-GB"/>
              </w:rPr>
              <w:t>备</w:t>
            </w:r>
            <w:r>
              <w:rPr>
                <w:rFonts w:hint="eastAsia" w:hAnsi="宋体" w:cs="宋体"/>
                <w:sz w:val="24"/>
              </w:rPr>
              <w:t xml:space="preserve">    </w:t>
            </w:r>
            <w:r>
              <w:rPr>
                <w:rFonts w:hint="eastAsia" w:hAnsi="宋体" w:cs="宋体"/>
                <w:sz w:val="24"/>
                <w:lang w:val="en-GB"/>
              </w:rPr>
              <w:t>注</w:t>
            </w:r>
          </w:p>
        </w:tc>
        <w:tc>
          <w:tcPr>
            <w:tcBorders>
              <w:left w:val="single" w:color="000000" w:sz="6" w:space="0"/>
            </w:tcBorders>
          </w:tcPr>
          <w:p>
            <w:pPr>
              <w:spacing w:before="156" w:beforeLines="50" w:after="156" w:afterLines="50" w:line="440" w:lineRule="exact"/>
              <w:rPr>
                <w:rFonts w:hAnsi="宋体" w:cs="宋体"/>
                <w:sz w:val="24"/>
              </w:rPr>
            </w:pPr>
          </w:p>
        </w:tc>
      </w:tr>
    </w:tbl>
    <w:p>
      <w:pPr>
        <w:pStyle w:val="3"/>
        <w:spacing w:before="1" w:line="360" w:lineRule="auto"/>
        <w:ind w:firstLine="440"/>
        <w:rPr>
          <w:rFonts w:ascii="宋体" w:hAnsi="宋体" w:cs="宋体"/>
          <w:sz w:val="22"/>
        </w:rPr>
      </w:pPr>
    </w:p>
    <w:p>
      <w:pPr>
        <w:pStyle w:val="3"/>
        <w:spacing w:before="29" w:line="360" w:lineRule="auto"/>
        <w:ind w:firstLine="480"/>
        <w:rPr>
          <w:rFonts w:ascii="宋体" w:hAnsi="宋体" w:cs="宋体"/>
          <w:szCs w:val="24"/>
        </w:rPr>
      </w:pPr>
    </w:p>
    <w:p>
      <w:pPr>
        <w:pStyle w:val="3"/>
        <w:spacing w:before="12" w:line="360" w:lineRule="auto"/>
        <w:ind w:firstLine="480"/>
        <w:rPr>
          <w:rFonts w:ascii="宋体" w:hAnsi="宋体" w:cs="宋体"/>
          <w:szCs w:val="24"/>
        </w:rPr>
      </w:pPr>
    </w:p>
    <w:p>
      <w:pPr>
        <w:pStyle w:val="3"/>
        <w:tabs>
          <w:tab w:val="left" w:pos="1569"/>
          <w:tab w:val="left" w:pos="2829"/>
        </w:tabs>
        <w:spacing w:line="360" w:lineRule="auto"/>
        <w:ind w:left="100" w:firstLine="480"/>
        <w:rPr>
          <w:rFonts w:ascii="宋体" w:hAnsi="宋体" w:cs="宋体"/>
          <w:szCs w:val="24"/>
        </w:rPr>
      </w:pPr>
      <w:r>
        <w:rPr>
          <w:rFonts w:hint="eastAsia" w:hAnsi="宋体"/>
        </w:rPr>
        <w:t>供应商名称</w:t>
      </w:r>
      <w:r>
        <w:rPr>
          <w:rFonts w:hint="eastAsia" w:ascii="宋体" w:hAnsi="宋体" w:cs="宋体"/>
          <w:szCs w:val="24"/>
        </w:rPr>
        <w:t xml:space="preserve">： </w:t>
      </w:r>
      <w:r>
        <w:rPr>
          <w:rFonts w:hint="eastAsia" w:ascii="宋体" w:hAnsi="宋体" w:cs="宋体"/>
          <w:szCs w:val="24"/>
        </w:rPr>
        <w:tab/>
      </w:r>
      <w:r>
        <w:rPr>
          <w:rFonts w:hint="eastAsia" w:ascii="宋体" w:hAnsi="宋体" w:cs="宋体"/>
          <w:szCs w:val="24"/>
        </w:rPr>
        <w:t>（公章）</w:t>
      </w:r>
      <w:r>
        <w:rPr>
          <w:rFonts w:hint="eastAsia" w:ascii="宋体" w:hAnsi="宋体" w:cs="宋体"/>
          <w:szCs w:val="24"/>
        </w:rPr>
        <w:tab/>
      </w:r>
    </w:p>
    <w:p>
      <w:pPr>
        <w:pStyle w:val="3"/>
        <w:spacing w:before="10" w:line="360" w:lineRule="auto"/>
        <w:ind w:firstLine="480"/>
        <w:rPr>
          <w:rFonts w:ascii="宋体" w:hAnsi="宋体" w:cs="宋体"/>
          <w:szCs w:val="24"/>
        </w:rPr>
      </w:pPr>
    </w:p>
    <w:p>
      <w:pPr>
        <w:pStyle w:val="3"/>
        <w:tabs>
          <w:tab w:val="left" w:pos="3459"/>
          <w:tab w:val="left" w:pos="5349"/>
        </w:tabs>
        <w:spacing w:before="35" w:line="360" w:lineRule="auto"/>
        <w:ind w:left="100" w:firstLine="480"/>
        <w:rPr>
          <w:rFonts w:ascii="宋体" w:hAnsi="宋体" w:cs="宋体"/>
          <w:szCs w:val="24"/>
        </w:rPr>
      </w:pPr>
      <w:r>
        <w:rPr>
          <w:rFonts w:hint="eastAsia" w:ascii="宋体" w:hAnsi="宋体" w:cs="宋体"/>
          <w:szCs w:val="24"/>
        </w:rPr>
        <w:t xml:space="preserve">法定代表人（或授权代理人）： </w:t>
      </w:r>
      <w:r>
        <w:rPr>
          <w:rFonts w:hint="eastAsia" w:ascii="宋体" w:hAnsi="宋体" w:cs="宋体"/>
          <w:szCs w:val="24"/>
        </w:rPr>
        <w:tab/>
      </w:r>
      <w:r>
        <w:rPr>
          <w:rFonts w:hint="eastAsia" w:ascii="宋体" w:hAnsi="宋体" w:cs="宋体"/>
          <w:szCs w:val="24"/>
        </w:rPr>
        <w:t>（签字或盖章）</w:t>
      </w:r>
      <w:r>
        <w:rPr>
          <w:rFonts w:hint="eastAsia" w:ascii="宋体" w:hAnsi="宋体" w:cs="宋体"/>
          <w:szCs w:val="24"/>
        </w:rPr>
        <w:tab/>
      </w:r>
    </w:p>
    <w:p>
      <w:pPr>
        <w:pStyle w:val="3"/>
        <w:spacing w:before="10" w:line="360" w:lineRule="auto"/>
        <w:ind w:firstLine="480"/>
        <w:rPr>
          <w:rFonts w:ascii="宋体" w:hAnsi="宋体" w:cs="宋体"/>
          <w:szCs w:val="24"/>
        </w:rPr>
      </w:pPr>
    </w:p>
    <w:p>
      <w:pPr>
        <w:pStyle w:val="3"/>
        <w:tabs>
          <w:tab w:val="left" w:pos="2143"/>
        </w:tabs>
        <w:spacing w:before="35" w:line="360" w:lineRule="auto"/>
        <w:ind w:left="100" w:firstLine="480"/>
        <w:rPr>
          <w:rFonts w:ascii="宋体" w:hAnsi="宋体" w:cs="宋体"/>
          <w:szCs w:val="24"/>
        </w:rPr>
      </w:pPr>
      <w:r>
        <w:rPr>
          <w:rFonts w:hint="eastAsia" w:ascii="宋体" w:hAnsi="宋体" w:cs="宋体"/>
          <w:szCs w:val="24"/>
        </w:rPr>
        <w:t xml:space="preserve">日期： </w:t>
      </w:r>
      <w:r>
        <w:rPr>
          <w:rFonts w:hint="eastAsia" w:ascii="宋体" w:hAnsi="宋体" w:cs="宋体"/>
          <w:szCs w:val="24"/>
        </w:rPr>
        <w:tab/>
      </w:r>
    </w:p>
    <w:p>
      <w:pPr>
        <w:pStyle w:val="3"/>
        <w:tabs>
          <w:tab w:val="left" w:pos="2038"/>
        </w:tabs>
        <w:spacing w:before="35" w:line="360" w:lineRule="auto"/>
        <w:ind w:left="100" w:firstLine="480"/>
        <w:rPr>
          <w:rFonts w:ascii="宋体" w:hAnsi="宋体" w:cs="宋体"/>
          <w:szCs w:val="24"/>
        </w:rPr>
      </w:pPr>
      <w:r>
        <w:rPr>
          <w:rFonts w:hint="eastAsia" w:ascii="宋体" w:hAnsi="宋体" w:cs="宋体"/>
          <w:szCs w:val="24"/>
        </w:rPr>
        <w:t>注: ① 投标报价应包括采购文件所规定的采购范围的全部内容；投标总金额包括本采购文件中要求的所有费用，包含运输、保险、税收等相关费用，采购人不再进行二次投入，请供应商注意。</w:t>
      </w:r>
    </w:p>
    <w:p>
      <w:pPr>
        <w:pStyle w:val="3"/>
        <w:tabs>
          <w:tab w:val="left" w:pos="2038"/>
        </w:tabs>
        <w:spacing w:before="35" w:line="360" w:lineRule="auto"/>
        <w:ind w:left="100" w:firstLine="480"/>
        <w:rPr>
          <w:rFonts w:ascii="宋体" w:hAnsi="宋体" w:cs="宋体"/>
          <w:szCs w:val="24"/>
        </w:rPr>
      </w:pPr>
      <w:r>
        <w:rPr>
          <w:rFonts w:hint="eastAsia" w:ascii="宋体" w:hAnsi="宋体" w:cs="宋体"/>
          <w:szCs w:val="24"/>
        </w:rPr>
        <w:t>② 本项目投标总报价超过采购预算的将视为无效投标。</w:t>
      </w:r>
    </w:p>
    <w:p>
      <w:pPr>
        <w:rPr>
          <w:rFonts w:hAnsi="宋体" w:cs="宋体"/>
          <w:b/>
          <w:bCs/>
          <w:szCs w:val="30"/>
        </w:rPr>
      </w:pPr>
      <w:r>
        <w:rPr>
          <w:rFonts w:hAnsi="宋体" w:cs="宋体"/>
          <w:b/>
          <w:bCs/>
          <w:szCs w:val="30"/>
        </w:rPr>
        <w:br w:type="page"/>
      </w:r>
    </w:p>
    <w:p>
      <w:pPr>
        <w:pStyle w:val="7"/>
        <w:keepNext/>
        <w:keepLines/>
        <w:widowControl/>
        <w:jc w:val="center"/>
        <w:rPr>
          <w:rFonts w:ascii="宋体" w:hAnsi="宋体" w:cs="宋体"/>
        </w:rPr>
      </w:pPr>
      <w:r>
        <w:rPr>
          <w:rFonts w:hint="eastAsia" w:ascii="宋体" w:hAnsi="宋体" w:cs="宋体"/>
          <w:szCs w:val="24"/>
        </w:rPr>
        <w:t>2.1分项报价明细表</w:t>
      </w:r>
    </w:p>
    <w:p>
      <w:pPr>
        <w:spacing w:line="360" w:lineRule="auto"/>
        <w:ind w:left="1200" w:hanging="1205" w:hangingChars="500"/>
        <w:textAlignment w:val="baseline"/>
        <w:rPr>
          <w:rFonts w:hAnsi="宋体" w:cs="宋体"/>
          <w:b/>
          <w:sz w:val="24"/>
          <w:szCs w:val="24"/>
          <w:u w:val="single"/>
        </w:rPr>
      </w:pPr>
      <w:r>
        <w:rPr>
          <w:rFonts w:hint="eastAsia" w:hAnsi="宋体" w:cs="宋体"/>
          <w:b/>
          <w:sz w:val="24"/>
          <w:szCs w:val="24"/>
        </w:rPr>
        <w:t>项目名称：</w:t>
      </w:r>
      <w:r>
        <w:rPr>
          <w:rFonts w:hint="eastAsia" w:cs="宋体"/>
          <w:b/>
          <w:sz w:val="24"/>
          <w:szCs w:val="24"/>
        </w:rPr>
        <w:t>海南省规划展览馆重点项目更新改造</w:t>
      </w:r>
    </w:p>
    <w:tbl>
      <w:tblPr>
        <w:tblStyle w:val="22"/>
        <w:tblW w:w="9758" w:type="dxa"/>
        <w:tblInd w:w="-30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50"/>
        <w:gridCol w:w="1564"/>
        <w:gridCol w:w="1620"/>
        <w:gridCol w:w="960"/>
        <w:gridCol w:w="1003"/>
        <w:gridCol w:w="1326"/>
        <w:gridCol w:w="1641"/>
        <w:gridCol w:w="69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0" w:hRule="atLeast"/>
        </w:trPr>
        <w:tc>
          <w:tcPr>
            <w:tcW w:w="950" w:type="dxa"/>
            <w:tcBorders>
              <w:top w:val="single" w:color="000000" w:sz="8" w:space="0"/>
              <w:left w:val="single" w:color="000000" w:sz="8" w:space="0"/>
              <w:bottom w:val="single" w:color="000000" w:sz="8" w:space="0"/>
              <w:right w:val="single" w:color="000000" w:sz="8" w:space="0"/>
            </w:tcBorders>
            <w:shd w:val="clear" w:color="auto" w:fill="D9D9D9"/>
            <w:vAlign w:val="center"/>
          </w:tcPr>
          <w:p>
            <w:pPr>
              <w:pStyle w:val="29"/>
              <w:widowControl/>
              <w:spacing w:line="360" w:lineRule="auto"/>
              <w:rPr>
                <w:b/>
                <w:sz w:val="24"/>
                <w:szCs w:val="24"/>
              </w:rPr>
            </w:pPr>
            <w:r>
              <w:rPr>
                <w:rFonts w:hint="eastAsia"/>
                <w:b/>
                <w:sz w:val="24"/>
                <w:szCs w:val="24"/>
              </w:rPr>
              <w:t>序号</w:t>
            </w:r>
          </w:p>
        </w:tc>
        <w:tc>
          <w:tcPr>
            <w:tcW w:w="1564" w:type="dxa"/>
            <w:tcBorders>
              <w:top w:val="single" w:color="000000" w:sz="8" w:space="0"/>
              <w:left w:val="single" w:color="000000" w:sz="8" w:space="0"/>
              <w:bottom w:val="single" w:color="000000" w:sz="8" w:space="0"/>
              <w:right w:val="single" w:color="000000" w:sz="8" w:space="0"/>
            </w:tcBorders>
            <w:shd w:val="clear" w:color="auto" w:fill="D9D9D9"/>
            <w:vAlign w:val="center"/>
          </w:tcPr>
          <w:p>
            <w:pPr>
              <w:pStyle w:val="29"/>
              <w:widowControl/>
              <w:spacing w:line="360" w:lineRule="auto"/>
              <w:rPr>
                <w:b/>
                <w:sz w:val="24"/>
                <w:szCs w:val="24"/>
              </w:rPr>
            </w:pPr>
            <w:r>
              <w:rPr>
                <w:rFonts w:hint="eastAsia"/>
                <w:b/>
                <w:sz w:val="24"/>
                <w:szCs w:val="24"/>
                <w:lang w:val="en-US"/>
              </w:rPr>
              <w:t>分项</w:t>
            </w:r>
            <w:r>
              <w:rPr>
                <w:rFonts w:hint="eastAsia"/>
                <w:b/>
                <w:sz w:val="24"/>
                <w:szCs w:val="24"/>
              </w:rPr>
              <w:t>名称</w:t>
            </w:r>
          </w:p>
        </w:tc>
        <w:tc>
          <w:tcPr>
            <w:tcW w:w="1620" w:type="dxa"/>
            <w:tcBorders>
              <w:top w:val="single" w:color="000000" w:sz="8" w:space="0"/>
              <w:left w:val="single" w:color="000000" w:sz="8" w:space="0"/>
              <w:bottom w:val="single" w:color="000000" w:sz="8" w:space="0"/>
              <w:right w:val="single" w:color="000000" w:sz="8" w:space="0"/>
            </w:tcBorders>
            <w:shd w:val="clear" w:color="auto" w:fill="D9D9D9"/>
            <w:vAlign w:val="center"/>
          </w:tcPr>
          <w:p>
            <w:pPr>
              <w:pStyle w:val="29"/>
              <w:widowControl/>
              <w:spacing w:line="360" w:lineRule="auto"/>
              <w:rPr>
                <w:b/>
                <w:sz w:val="24"/>
                <w:szCs w:val="24"/>
              </w:rPr>
            </w:pPr>
            <w:r>
              <w:rPr>
                <w:rFonts w:hint="eastAsia"/>
                <w:b/>
                <w:sz w:val="24"/>
                <w:szCs w:val="24"/>
                <w:lang w:val="en-US"/>
              </w:rPr>
              <w:t>规格</w:t>
            </w:r>
          </w:p>
        </w:tc>
        <w:tc>
          <w:tcPr>
            <w:tcW w:w="960" w:type="dxa"/>
            <w:tcBorders>
              <w:top w:val="single" w:color="000000" w:sz="8" w:space="0"/>
              <w:left w:val="single" w:color="000000" w:sz="8" w:space="0"/>
              <w:bottom w:val="single" w:color="000000" w:sz="8" w:space="0"/>
              <w:right w:val="single" w:color="000000" w:sz="8" w:space="0"/>
            </w:tcBorders>
            <w:shd w:val="clear" w:color="auto" w:fill="D9D9D9"/>
            <w:vAlign w:val="center"/>
          </w:tcPr>
          <w:p>
            <w:pPr>
              <w:pStyle w:val="29"/>
              <w:widowControl/>
              <w:spacing w:line="360" w:lineRule="auto"/>
              <w:rPr>
                <w:b/>
                <w:sz w:val="24"/>
                <w:szCs w:val="24"/>
                <w:lang w:val="en-US"/>
              </w:rPr>
            </w:pPr>
            <w:r>
              <w:rPr>
                <w:rFonts w:hint="eastAsia"/>
                <w:b/>
                <w:sz w:val="24"/>
                <w:szCs w:val="24"/>
                <w:lang w:val="en-US"/>
              </w:rPr>
              <w:t>数量</w:t>
            </w:r>
          </w:p>
        </w:tc>
        <w:tc>
          <w:tcPr>
            <w:tcW w:w="1003" w:type="dxa"/>
            <w:tcBorders>
              <w:top w:val="single" w:color="000000" w:sz="8" w:space="0"/>
              <w:left w:val="single" w:color="000000" w:sz="8" w:space="0"/>
              <w:bottom w:val="single" w:color="000000" w:sz="8" w:space="0"/>
              <w:right w:val="single" w:color="000000" w:sz="8" w:space="0"/>
            </w:tcBorders>
            <w:shd w:val="clear" w:color="auto" w:fill="D9D9D9"/>
            <w:vAlign w:val="center"/>
          </w:tcPr>
          <w:p>
            <w:pPr>
              <w:pStyle w:val="29"/>
              <w:widowControl/>
              <w:spacing w:line="360" w:lineRule="auto"/>
              <w:rPr>
                <w:b/>
                <w:sz w:val="24"/>
                <w:szCs w:val="24"/>
              </w:rPr>
            </w:pPr>
            <w:r>
              <w:rPr>
                <w:rFonts w:hint="eastAsia"/>
                <w:b/>
                <w:sz w:val="24"/>
                <w:szCs w:val="24"/>
              </w:rPr>
              <w:t>单位</w:t>
            </w:r>
          </w:p>
        </w:tc>
        <w:tc>
          <w:tcPr>
            <w:tcW w:w="1326" w:type="dxa"/>
            <w:tcBorders>
              <w:top w:val="single" w:color="000000" w:sz="8" w:space="0"/>
              <w:left w:val="single" w:color="000000" w:sz="8" w:space="0"/>
              <w:bottom w:val="single" w:color="000000" w:sz="8" w:space="0"/>
              <w:right w:val="single" w:color="000000" w:sz="8" w:space="0"/>
            </w:tcBorders>
            <w:shd w:val="clear" w:color="auto" w:fill="D9D9D9"/>
            <w:vAlign w:val="center"/>
          </w:tcPr>
          <w:p>
            <w:pPr>
              <w:pStyle w:val="29"/>
              <w:widowControl/>
              <w:spacing w:line="360" w:lineRule="auto"/>
              <w:rPr>
                <w:b/>
                <w:sz w:val="24"/>
                <w:szCs w:val="24"/>
              </w:rPr>
            </w:pPr>
            <w:r>
              <w:rPr>
                <w:rFonts w:hint="eastAsia"/>
                <w:b/>
                <w:sz w:val="24"/>
                <w:szCs w:val="24"/>
              </w:rPr>
              <w:t>单价（元）</w:t>
            </w:r>
          </w:p>
        </w:tc>
        <w:tc>
          <w:tcPr>
            <w:tcW w:w="1641" w:type="dxa"/>
            <w:tcBorders>
              <w:top w:val="single" w:color="000000" w:sz="8" w:space="0"/>
              <w:left w:val="single" w:color="000000" w:sz="8" w:space="0"/>
              <w:bottom w:val="single" w:color="000000" w:sz="8" w:space="0"/>
              <w:right w:val="single" w:color="000000" w:sz="8" w:space="0"/>
            </w:tcBorders>
            <w:shd w:val="clear" w:color="auto" w:fill="D9D9D9"/>
            <w:vAlign w:val="center"/>
          </w:tcPr>
          <w:p>
            <w:pPr>
              <w:pStyle w:val="29"/>
              <w:widowControl/>
              <w:spacing w:line="360" w:lineRule="auto"/>
              <w:rPr>
                <w:b/>
                <w:sz w:val="24"/>
                <w:szCs w:val="24"/>
              </w:rPr>
            </w:pPr>
            <w:r>
              <w:rPr>
                <w:rFonts w:hint="eastAsia"/>
                <w:b/>
                <w:sz w:val="24"/>
                <w:szCs w:val="24"/>
              </w:rPr>
              <w:t>单项总价（元）</w:t>
            </w:r>
          </w:p>
        </w:tc>
        <w:tc>
          <w:tcPr>
            <w:tcW w:w="694" w:type="dxa"/>
            <w:tcBorders>
              <w:top w:val="single" w:color="000000" w:sz="8" w:space="0"/>
              <w:left w:val="single" w:color="000000" w:sz="8" w:space="0"/>
              <w:bottom w:val="single" w:color="000000" w:sz="8" w:space="0"/>
              <w:right w:val="single" w:color="000000" w:sz="8" w:space="0"/>
            </w:tcBorders>
            <w:shd w:val="clear" w:color="auto" w:fill="D9D9D9"/>
            <w:vAlign w:val="center"/>
          </w:tcPr>
          <w:p>
            <w:pPr>
              <w:pStyle w:val="29"/>
              <w:widowControl/>
              <w:spacing w:line="360" w:lineRule="auto"/>
              <w:rPr>
                <w:b/>
                <w:sz w:val="24"/>
                <w:szCs w:val="24"/>
              </w:rPr>
            </w:pPr>
            <w:r>
              <w:rPr>
                <w:rFonts w:hint="eastAsia"/>
                <w:b/>
                <w:sz w:val="24"/>
                <w:szCs w:val="24"/>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0" w:hRule="atLeast"/>
        </w:trPr>
        <w:tc>
          <w:tcPr>
            <w:tcW w:w="950"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c>
          <w:tcPr>
            <w:tcW w:w="1564"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c>
          <w:tcPr>
            <w:tcW w:w="1620"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c>
          <w:tcPr>
            <w:tcW w:w="960"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c>
          <w:tcPr>
            <w:tcW w:w="1003"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c>
          <w:tcPr>
            <w:tcW w:w="1326"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c>
          <w:tcPr>
            <w:tcW w:w="1641"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c>
          <w:tcPr>
            <w:tcW w:w="694"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6" w:hRule="atLeast"/>
        </w:trPr>
        <w:tc>
          <w:tcPr>
            <w:tcW w:w="950"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c>
          <w:tcPr>
            <w:tcW w:w="1564"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c>
          <w:tcPr>
            <w:tcW w:w="1620"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c>
          <w:tcPr>
            <w:tcW w:w="960"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c>
          <w:tcPr>
            <w:tcW w:w="1003"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c>
          <w:tcPr>
            <w:tcW w:w="1326"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c>
          <w:tcPr>
            <w:tcW w:w="1641"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c>
          <w:tcPr>
            <w:tcW w:w="694"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6" w:hRule="atLeast"/>
        </w:trPr>
        <w:tc>
          <w:tcPr>
            <w:tcW w:w="950"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pPr>
          </w:p>
        </w:tc>
        <w:tc>
          <w:tcPr>
            <w:tcW w:w="1564"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pPr>
          </w:p>
        </w:tc>
        <w:tc>
          <w:tcPr>
            <w:tcW w:w="1620"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c>
          <w:tcPr>
            <w:tcW w:w="960"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c>
          <w:tcPr>
            <w:tcW w:w="1003"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pPr>
          </w:p>
        </w:tc>
        <w:tc>
          <w:tcPr>
            <w:tcW w:w="1326"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c>
          <w:tcPr>
            <w:tcW w:w="1641"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c>
          <w:tcPr>
            <w:tcW w:w="694"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53" w:hRule="atLeast"/>
        </w:trPr>
        <w:tc>
          <w:tcPr>
            <w:tcW w:w="950"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pPr>
          </w:p>
        </w:tc>
        <w:tc>
          <w:tcPr>
            <w:tcW w:w="1564"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pPr>
          </w:p>
        </w:tc>
        <w:tc>
          <w:tcPr>
            <w:tcW w:w="1620"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c>
          <w:tcPr>
            <w:tcW w:w="960"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c>
          <w:tcPr>
            <w:tcW w:w="1003"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pPr>
          </w:p>
        </w:tc>
        <w:tc>
          <w:tcPr>
            <w:tcW w:w="1326"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c>
          <w:tcPr>
            <w:tcW w:w="1641"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c>
          <w:tcPr>
            <w:tcW w:w="694"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6" w:hRule="atLeast"/>
        </w:trPr>
        <w:tc>
          <w:tcPr>
            <w:tcW w:w="950"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textAlignment w:val="center"/>
              <w:rPr>
                <w:rFonts w:hAnsi="宋体" w:cs="宋体"/>
                <w:sz w:val="22"/>
                <w:szCs w:val="22"/>
              </w:rPr>
            </w:pPr>
          </w:p>
        </w:tc>
        <w:tc>
          <w:tcPr>
            <w:tcW w:w="1564"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textAlignment w:val="center"/>
              <w:rPr>
                <w:rFonts w:hAnsi="宋体" w:cs="宋体"/>
                <w:sz w:val="22"/>
                <w:szCs w:val="22"/>
              </w:rPr>
            </w:pPr>
          </w:p>
        </w:tc>
        <w:tc>
          <w:tcPr>
            <w:tcW w:w="1620"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c>
          <w:tcPr>
            <w:tcW w:w="960"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c>
          <w:tcPr>
            <w:tcW w:w="1003"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textAlignment w:val="center"/>
              <w:rPr>
                <w:rFonts w:hAnsi="宋体" w:cs="宋体"/>
                <w:sz w:val="22"/>
                <w:szCs w:val="22"/>
              </w:rPr>
            </w:pPr>
          </w:p>
        </w:tc>
        <w:tc>
          <w:tcPr>
            <w:tcW w:w="1326"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c>
          <w:tcPr>
            <w:tcW w:w="1641"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c>
          <w:tcPr>
            <w:tcW w:w="694"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6" w:hRule="atLeast"/>
        </w:trPr>
        <w:tc>
          <w:tcPr>
            <w:tcW w:w="950"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textAlignment w:val="center"/>
              <w:rPr>
                <w:rFonts w:hAnsi="宋体" w:cs="宋体"/>
                <w:sz w:val="22"/>
                <w:szCs w:val="22"/>
              </w:rPr>
            </w:pPr>
          </w:p>
        </w:tc>
        <w:tc>
          <w:tcPr>
            <w:tcW w:w="1564"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textAlignment w:val="center"/>
              <w:rPr>
                <w:rFonts w:hAnsi="宋体" w:cs="宋体"/>
                <w:sz w:val="22"/>
                <w:szCs w:val="22"/>
              </w:rPr>
            </w:pPr>
          </w:p>
        </w:tc>
        <w:tc>
          <w:tcPr>
            <w:tcW w:w="1620"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c>
          <w:tcPr>
            <w:tcW w:w="960"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c>
          <w:tcPr>
            <w:tcW w:w="1003"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textAlignment w:val="center"/>
              <w:rPr>
                <w:rFonts w:hAnsi="宋体" w:cs="宋体"/>
                <w:sz w:val="22"/>
                <w:szCs w:val="22"/>
              </w:rPr>
            </w:pPr>
          </w:p>
        </w:tc>
        <w:tc>
          <w:tcPr>
            <w:tcW w:w="1326"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c>
          <w:tcPr>
            <w:tcW w:w="1641"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c>
          <w:tcPr>
            <w:tcW w:w="694"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56" w:hRule="atLeast"/>
        </w:trPr>
        <w:tc>
          <w:tcPr>
            <w:tcW w:w="950"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textAlignment w:val="center"/>
              <w:rPr>
                <w:rFonts w:hAnsi="宋体" w:cs="宋体"/>
                <w:sz w:val="22"/>
                <w:szCs w:val="22"/>
              </w:rPr>
            </w:pPr>
          </w:p>
        </w:tc>
        <w:tc>
          <w:tcPr>
            <w:tcW w:w="1564"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textAlignment w:val="center"/>
              <w:rPr>
                <w:rFonts w:hAnsi="宋体" w:cs="宋体"/>
                <w:sz w:val="22"/>
                <w:szCs w:val="22"/>
              </w:rPr>
            </w:pPr>
          </w:p>
        </w:tc>
        <w:tc>
          <w:tcPr>
            <w:tcW w:w="1620"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c>
          <w:tcPr>
            <w:tcW w:w="960"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c>
          <w:tcPr>
            <w:tcW w:w="1003"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textAlignment w:val="center"/>
              <w:rPr>
                <w:rFonts w:hAnsi="宋体" w:cs="宋体"/>
                <w:sz w:val="22"/>
                <w:szCs w:val="22"/>
              </w:rPr>
            </w:pPr>
          </w:p>
        </w:tc>
        <w:tc>
          <w:tcPr>
            <w:tcW w:w="1326"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c>
          <w:tcPr>
            <w:tcW w:w="1641"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c>
          <w:tcPr>
            <w:tcW w:w="694"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6" w:hRule="atLeast"/>
        </w:trPr>
        <w:tc>
          <w:tcPr>
            <w:tcW w:w="950"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textAlignment w:val="center"/>
              <w:rPr>
                <w:rFonts w:hAnsi="宋体" w:cs="宋体"/>
                <w:sz w:val="22"/>
                <w:szCs w:val="22"/>
              </w:rPr>
            </w:pPr>
          </w:p>
        </w:tc>
        <w:tc>
          <w:tcPr>
            <w:tcW w:w="1564"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textAlignment w:val="center"/>
              <w:rPr>
                <w:rFonts w:hAnsi="宋体" w:cs="宋体"/>
                <w:sz w:val="22"/>
                <w:szCs w:val="22"/>
              </w:rPr>
            </w:pPr>
          </w:p>
        </w:tc>
        <w:tc>
          <w:tcPr>
            <w:tcW w:w="1620"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c>
          <w:tcPr>
            <w:tcW w:w="960"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c>
          <w:tcPr>
            <w:tcW w:w="1003"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textAlignment w:val="center"/>
              <w:rPr>
                <w:rFonts w:hAnsi="宋体" w:cs="宋体"/>
                <w:sz w:val="22"/>
                <w:szCs w:val="22"/>
              </w:rPr>
            </w:pPr>
          </w:p>
        </w:tc>
        <w:tc>
          <w:tcPr>
            <w:tcW w:w="1326"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c>
          <w:tcPr>
            <w:tcW w:w="1641"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c>
          <w:tcPr>
            <w:tcW w:w="694" w:type="dxa"/>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rPr>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8" w:hRule="atLeast"/>
        </w:trPr>
        <w:tc>
          <w:tcPr>
            <w:tcW w:w="2514" w:type="dxa"/>
            <w:gridSpan w:val="2"/>
            <w:vMerge w:val="restart"/>
            <w:tcBorders>
              <w:top w:val="nil"/>
              <w:left w:val="single" w:color="000000" w:sz="8" w:space="0"/>
              <w:bottom w:val="single" w:color="000000" w:sz="8" w:space="0"/>
              <w:right w:val="single" w:color="000000" w:sz="8" w:space="0"/>
            </w:tcBorders>
            <w:vAlign w:val="center"/>
          </w:tcPr>
          <w:p>
            <w:pPr>
              <w:pStyle w:val="29"/>
              <w:widowControl/>
              <w:spacing w:line="360" w:lineRule="auto"/>
              <w:jc w:val="both"/>
              <w:rPr>
                <w:b/>
                <w:bCs/>
              </w:rPr>
            </w:pPr>
          </w:p>
          <w:p>
            <w:pPr>
              <w:pStyle w:val="29"/>
              <w:widowControl/>
              <w:spacing w:line="360" w:lineRule="auto"/>
              <w:jc w:val="both"/>
              <w:rPr>
                <w:b/>
                <w:bCs/>
              </w:rPr>
            </w:pPr>
            <w:r>
              <w:rPr>
                <w:rFonts w:hint="eastAsia"/>
                <w:b/>
                <w:bCs/>
              </w:rPr>
              <w:t>（人民币/元）</w:t>
            </w:r>
          </w:p>
        </w:tc>
        <w:tc>
          <w:tcPr>
            <w:tcW w:w="7244" w:type="dxa"/>
            <w:gridSpan w:val="6"/>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jc w:val="both"/>
              <w:rPr>
                <w:b/>
                <w:bCs/>
              </w:rPr>
            </w:pPr>
            <w:r>
              <w:rPr>
                <w:rFonts w:hint="eastAsia"/>
                <w:b/>
                <w:bCs/>
              </w:rPr>
              <w:t>小写：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4" w:hRule="atLeast"/>
        </w:trPr>
        <w:tc>
          <w:tcPr>
            <w:tcW w:w="2514" w:type="dxa"/>
            <w:gridSpan w:val="2"/>
            <w:vMerge w:val="continue"/>
            <w:tcBorders>
              <w:top w:val="nil"/>
              <w:left w:val="single" w:color="000000" w:sz="8" w:space="0"/>
              <w:bottom w:val="single" w:color="000000" w:sz="8" w:space="0"/>
              <w:right w:val="single" w:color="000000" w:sz="8" w:space="0"/>
            </w:tcBorders>
            <w:vAlign w:val="center"/>
          </w:tcPr>
          <w:p/>
        </w:tc>
        <w:tc>
          <w:tcPr>
            <w:tcW w:w="7244" w:type="dxa"/>
            <w:gridSpan w:val="6"/>
            <w:tcBorders>
              <w:top w:val="single" w:color="000000" w:sz="8" w:space="0"/>
              <w:left w:val="single" w:color="000000" w:sz="8" w:space="0"/>
              <w:bottom w:val="single" w:color="000000" w:sz="8" w:space="0"/>
              <w:right w:val="single" w:color="000000" w:sz="8" w:space="0"/>
            </w:tcBorders>
            <w:vAlign w:val="center"/>
          </w:tcPr>
          <w:p>
            <w:pPr>
              <w:pStyle w:val="29"/>
              <w:widowControl/>
              <w:spacing w:line="360" w:lineRule="auto"/>
              <w:jc w:val="both"/>
              <w:rPr>
                <w:b/>
                <w:bCs/>
              </w:rPr>
            </w:pPr>
            <w:r>
              <w:rPr>
                <w:rFonts w:hint="eastAsia"/>
                <w:b/>
                <w:bCs/>
              </w:rPr>
              <w:t>大写：</w:t>
            </w:r>
          </w:p>
        </w:tc>
      </w:tr>
    </w:tbl>
    <w:p>
      <w:pPr>
        <w:adjustRightInd w:val="0"/>
        <w:snapToGrid w:val="0"/>
        <w:spacing w:before="156" w:beforeLines="50" w:after="156" w:afterLines="50" w:line="480" w:lineRule="auto"/>
        <w:rPr>
          <w:rFonts w:hAnsi="宋体" w:cs="宋体"/>
          <w:sz w:val="24"/>
          <w:szCs w:val="24"/>
        </w:rPr>
      </w:pPr>
    </w:p>
    <w:p>
      <w:pPr>
        <w:adjustRightInd w:val="0"/>
        <w:snapToGrid w:val="0"/>
        <w:spacing w:before="156" w:beforeLines="50" w:after="156" w:afterLines="50" w:line="480" w:lineRule="auto"/>
        <w:rPr>
          <w:rFonts w:hAnsi="宋体" w:cs="宋体"/>
          <w:sz w:val="24"/>
          <w:szCs w:val="24"/>
        </w:rPr>
      </w:pPr>
      <w:r>
        <w:rPr>
          <w:rFonts w:hint="eastAsia" w:hAnsi="宋体" w:cs="宋体"/>
          <w:sz w:val="24"/>
          <w:szCs w:val="24"/>
        </w:rPr>
        <w:t>注：“分项报价明细表”各分项报价合计应当与“开标一览表”报价合计相等</w:t>
      </w:r>
    </w:p>
    <w:p>
      <w:pPr>
        <w:adjustRightInd w:val="0"/>
        <w:snapToGrid w:val="0"/>
        <w:spacing w:before="156" w:beforeLines="50" w:after="156" w:afterLines="50" w:line="480" w:lineRule="auto"/>
        <w:rPr>
          <w:rFonts w:hAnsi="宋体" w:cs="宋体"/>
          <w:sz w:val="24"/>
          <w:szCs w:val="24"/>
        </w:rPr>
      </w:pPr>
    </w:p>
    <w:p>
      <w:pPr>
        <w:rPr>
          <w:rFonts w:hAnsi="宋体" w:cs="宋体"/>
          <w:sz w:val="24"/>
          <w:szCs w:val="24"/>
        </w:rPr>
      </w:pPr>
      <w:r>
        <w:rPr>
          <w:rFonts w:hint="eastAsia" w:hAnsi="宋体" w:cs="宋体"/>
          <w:sz w:val="24"/>
          <w:szCs w:val="24"/>
        </w:rPr>
        <w:t xml:space="preserve">供应商：    （盖单位章）  </w:t>
      </w:r>
    </w:p>
    <w:p>
      <w:pPr>
        <w:rPr>
          <w:rFonts w:hAnsi="宋体" w:cs="宋体"/>
          <w:sz w:val="24"/>
          <w:szCs w:val="24"/>
        </w:rPr>
      </w:pPr>
      <w:r>
        <w:rPr>
          <w:rFonts w:hint="eastAsia" w:hAnsi="宋体" w:cs="宋体"/>
          <w:sz w:val="24"/>
          <w:szCs w:val="24"/>
        </w:rPr>
        <w:t>法定代表人或其委托代理人： （签字或盖章）</w:t>
      </w:r>
    </w:p>
    <w:p>
      <w:r>
        <w:rPr>
          <w:rFonts w:hint="eastAsia" w:hAnsi="宋体" w:cs="宋体"/>
          <w:sz w:val="24"/>
          <w:szCs w:val="24"/>
        </w:rPr>
        <w:t>日期：    年     月     日</w:t>
      </w:r>
    </w:p>
    <w:p>
      <w:pPr>
        <w:pStyle w:val="6"/>
        <w:jc w:val="center"/>
        <w:rPr>
          <w:rFonts w:hAnsi="宋体" w:cs="宋体"/>
          <w:sz w:val="30"/>
          <w:szCs w:val="30"/>
        </w:rPr>
      </w:pPr>
      <w:bookmarkStart w:id="80" w:name="_Toc19821"/>
      <w:r>
        <w:rPr>
          <w:rFonts w:hint="eastAsia" w:hAnsi="宋体" w:cs="宋体"/>
          <w:sz w:val="30"/>
          <w:szCs w:val="30"/>
        </w:rPr>
        <w:t>3.法定代表人证明书及授权委托书</w:t>
      </w:r>
      <w:bookmarkEnd w:id="80"/>
    </w:p>
    <w:p>
      <w:pPr>
        <w:spacing w:line="360" w:lineRule="auto"/>
        <w:rPr>
          <w:rFonts w:hAnsi="宋体"/>
          <w:sz w:val="24"/>
        </w:rPr>
      </w:pPr>
    </w:p>
    <w:p>
      <w:pPr>
        <w:spacing w:line="360" w:lineRule="auto"/>
        <w:ind w:firstLine="602" w:firstLineChars="200"/>
        <w:jc w:val="center"/>
        <w:rPr>
          <w:rFonts w:hAnsi="宋体"/>
          <w:b/>
          <w:bCs/>
          <w:sz w:val="24"/>
        </w:rPr>
      </w:pPr>
      <w:r>
        <w:rPr>
          <w:rFonts w:hint="eastAsia" w:hAnsi="宋体" w:cs="宋体"/>
          <w:b/>
          <w:bCs/>
          <w:szCs w:val="30"/>
        </w:rPr>
        <w:t>3.1法定代表人证明书</w:t>
      </w:r>
    </w:p>
    <w:p>
      <w:pPr>
        <w:spacing w:line="360" w:lineRule="auto"/>
        <w:ind w:firstLine="480" w:firstLineChars="200"/>
        <w:rPr>
          <w:rFonts w:hAnsi="宋体"/>
          <w:sz w:val="24"/>
        </w:rPr>
      </w:pPr>
    </w:p>
    <w:p>
      <w:pPr>
        <w:spacing w:line="360" w:lineRule="auto"/>
        <w:ind w:firstLine="480" w:firstLineChars="200"/>
        <w:rPr>
          <w:rFonts w:hAnsi="宋体"/>
          <w:sz w:val="24"/>
          <w:u w:val="single"/>
        </w:rPr>
      </w:pPr>
      <w:r>
        <w:rPr>
          <w:rFonts w:hint="eastAsia" w:hAnsi="宋体"/>
          <w:sz w:val="24"/>
        </w:rPr>
        <w:t>供应商名称：</w:t>
      </w:r>
      <w:r>
        <w:rPr>
          <w:rFonts w:hint="eastAsia" w:hAnsi="宋体"/>
          <w:sz w:val="24"/>
          <w:u w:val="single"/>
        </w:rPr>
        <w:t xml:space="preserve">                       </w:t>
      </w:r>
    </w:p>
    <w:p>
      <w:pPr>
        <w:spacing w:line="360" w:lineRule="auto"/>
        <w:ind w:firstLine="480" w:firstLineChars="200"/>
        <w:rPr>
          <w:rFonts w:hAnsi="宋体"/>
          <w:sz w:val="24"/>
          <w:u w:val="single"/>
        </w:rPr>
      </w:pPr>
      <w:r>
        <w:rPr>
          <w:rFonts w:hint="eastAsia" w:hAnsi="宋体"/>
          <w:sz w:val="24"/>
        </w:rPr>
        <w:t>单位性质：</w:t>
      </w:r>
      <w:r>
        <w:rPr>
          <w:rFonts w:hint="eastAsia" w:hAnsi="宋体"/>
          <w:sz w:val="24"/>
          <w:u w:val="single"/>
        </w:rPr>
        <w:t xml:space="preserve">                         </w:t>
      </w:r>
    </w:p>
    <w:p>
      <w:pPr>
        <w:spacing w:line="360" w:lineRule="auto"/>
        <w:ind w:firstLine="480" w:firstLineChars="200"/>
        <w:rPr>
          <w:rFonts w:hAnsi="宋体"/>
          <w:sz w:val="24"/>
          <w:u w:val="single"/>
        </w:rPr>
      </w:pPr>
      <w:r>
        <w:rPr>
          <w:rFonts w:hint="eastAsia" w:hAnsi="宋体"/>
          <w:sz w:val="24"/>
        </w:rPr>
        <w:t>地址：</w:t>
      </w:r>
      <w:r>
        <w:rPr>
          <w:rFonts w:hint="eastAsia" w:hAnsi="宋体"/>
          <w:sz w:val="24"/>
          <w:u w:val="single"/>
        </w:rPr>
        <w:t xml:space="preserve">                             </w:t>
      </w:r>
    </w:p>
    <w:p>
      <w:pPr>
        <w:spacing w:line="360" w:lineRule="auto"/>
        <w:ind w:firstLine="480" w:firstLineChars="200"/>
        <w:rPr>
          <w:rFonts w:hAnsi="宋体"/>
          <w:sz w:val="24"/>
        </w:rPr>
      </w:pPr>
      <w:r>
        <w:rPr>
          <w:rFonts w:hint="eastAsia" w:hAnsi="宋体"/>
          <w:sz w:val="24"/>
        </w:rPr>
        <w:t>成立时间：</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spacing w:line="360" w:lineRule="auto"/>
        <w:ind w:firstLine="480" w:firstLineChars="200"/>
        <w:rPr>
          <w:rFonts w:hAnsi="宋体"/>
          <w:sz w:val="24"/>
        </w:rPr>
      </w:pPr>
      <w:r>
        <w:rPr>
          <w:rFonts w:hint="eastAsia" w:hAnsi="宋体"/>
          <w:sz w:val="24"/>
        </w:rPr>
        <w:t>经营期限：</w:t>
      </w:r>
      <w:r>
        <w:rPr>
          <w:rFonts w:hint="eastAsia" w:hAnsi="宋体"/>
          <w:sz w:val="24"/>
          <w:u w:val="single"/>
        </w:rPr>
        <w:t xml:space="preserve">                         </w:t>
      </w:r>
    </w:p>
    <w:p>
      <w:pPr>
        <w:spacing w:line="360" w:lineRule="auto"/>
        <w:ind w:firstLine="480" w:firstLineChars="200"/>
        <w:rPr>
          <w:rFonts w:hAnsi="宋体"/>
          <w:sz w:val="24"/>
          <w:u w:val="single"/>
        </w:rPr>
      </w:pPr>
      <w:r>
        <w:rPr>
          <w:rFonts w:hint="eastAsia" w:hAnsi="宋体"/>
          <w:sz w:val="24"/>
        </w:rPr>
        <w:t>姓名：</w:t>
      </w:r>
      <w:r>
        <w:rPr>
          <w:rFonts w:hint="eastAsia" w:hAnsi="宋体"/>
          <w:sz w:val="24"/>
          <w:u w:val="single"/>
        </w:rPr>
        <w:t xml:space="preserve">       </w:t>
      </w:r>
      <w:r>
        <w:rPr>
          <w:rFonts w:hint="eastAsia" w:hAnsi="宋体"/>
          <w:sz w:val="24"/>
        </w:rPr>
        <w:t>性别：</w:t>
      </w:r>
      <w:r>
        <w:rPr>
          <w:rFonts w:hint="eastAsia" w:hAnsi="宋体"/>
          <w:sz w:val="24"/>
          <w:u w:val="single"/>
        </w:rPr>
        <w:t xml:space="preserve">       </w:t>
      </w:r>
      <w:r>
        <w:rPr>
          <w:rFonts w:hint="eastAsia" w:hAnsi="宋体"/>
          <w:sz w:val="24"/>
        </w:rPr>
        <w:t>年龄：</w:t>
      </w:r>
      <w:r>
        <w:rPr>
          <w:rFonts w:hint="eastAsia" w:hAnsi="宋体"/>
          <w:sz w:val="24"/>
          <w:u w:val="single"/>
        </w:rPr>
        <w:t xml:space="preserve">       </w:t>
      </w:r>
      <w:r>
        <w:rPr>
          <w:rFonts w:hint="eastAsia" w:hAnsi="宋体"/>
          <w:sz w:val="24"/>
        </w:rPr>
        <w:t xml:space="preserve"> 职务：</w:t>
      </w:r>
      <w:r>
        <w:rPr>
          <w:rFonts w:hint="eastAsia" w:hAnsi="宋体"/>
          <w:sz w:val="24"/>
          <w:u w:val="single"/>
        </w:rPr>
        <w:t xml:space="preserve">       </w:t>
      </w:r>
    </w:p>
    <w:p>
      <w:pPr>
        <w:spacing w:line="360" w:lineRule="auto"/>
        <w:ind w:firstLine="480" w:firstLineChars="200"/>
        <w:rPr>
          <w:rFonts w:hAnsi="宋体"/>
          <w:sz w:val="24"/>
        </w:rPr>
      </w:pPr>
      <w:r>
        <w:rPr>
          <w:rFonts w:hint="eastAsia" w:hAnsi="宋体"/>
          <w:sz w:val="24"/>
        </w:rPr>
        <w:t>系（供应商名称）的法定代表人。</w:t>
      </w:r>
    </w:p>
    <w:p>
      <w:pPr>
        <w:spacing w:line="360" w:lineRule="auto"/>
        <w:ind w:firstLine="480" w:firstLineChars="200"/>
        <w:rPr>
          <w:rFonts w:hAnsi="宋体"/>
          <w:sz w:val="24"/>
        </w:rPr>
      </w:pPr>
      <w:r>
        <w:rPr>
          <w:rFonts w:hint="eastAsia" w:hAnsi="宋体"/>
          <w:sz w:val="24"/>
        </w:rPr>
        <w:t>特此证明。</w:t>
      </w:r>
    </w:p>
    <w:p>
      <w:pPr>
        <w:spacing w:line="360" w:lineRule="auto"/>
        <w:rPr>
          <w:rFonts w:hAnsi="宋体"/>
          <w:sz w:val="24"/>
        </w:rPr>
      </w:pPr>
    </w:p>
    <w:p>
      <w:pPr>
        <w:spacing w:line="360" w:lineRule="auto"/>
        <w:ind w:firstLine="480" w:firstLineChars="200"/>
        <w:rPr>
          <w:rFonts w:hAnsi="宋体"/>
          <w:sz w:val="24"/>
        </w:rPr>
      </w:pPr>
      <w:r>
        <w:rPr>
          <w:rFonts w:hint="eastAsia" w:hAnsi="宋体"/>
          <w:sz w:val="24"/>
        </w:rPr>
        <w:t>附：法定代表人身份证复印件</w:t>
      </w:r>
    </w:p>
    <w:p>
      <w:pPr>
        <w:spacing w:line="360" w:lineRule="auto"/>
        <w:rPr>
          <w:rFonts w:hAnsi="宋体"/>
          <w:sz w:val="24"/>
        </w:rPr>
      </w:pPr>
    </w:p>
    <w:p>
      <w:pPr>
        <w:spacing w:line="360" w:lineRule="auto"/>
        <w:jc w:val="right"/>
        <w:rPr>
          <w:rFonts w:hAnsi="宋体"/>
          <w:sz w:val="24"/>
        </w:rPr>
      </w:pPr>
      <w:r>
        <w:rPr>
          <w:rFonts w:hint="eastAsia" w:hAnsi="宋体"/>
          <w:sz w:val="24"/>
        </w:rPr>
        <w:t>法定代表人：（</w:t>
      </w:r>
      <w:r>
        <w:rPr>
          <w:rFonts w:hint="eastAsia" w:hAnsi="宋体" w:cs="宋体"/>
          <w:sz w:val="24"/>
          <w:szCs w:val="24"/>
        </w:rPr>
        <w:t>签字或盖章</w:t>
      </w:r>
      <w:r>
        <w:rPr>
          <w:rFonts w:hint="eastAsia" w:hAnsi="宋体"/>
          <w:sz w:val="24"/>
        </w:rPr>
        <w:t>）</w:t>
      </w:r>
    </w:p>
    <w:p>
      <w:pPr>
        <w:spacing w:line="360" w:lineRule="auto"/>
        <w:jc w:val="right"/>
        <w:rPr>
          <w:rFonts w:hAnsi="宋体"/>
          <w:sz w:val="24"/>
        </w:rPr>
      </w:pPr>
      <w:r>
        <w:rPr>
          <w:rFonts w:hint="eastAsia" w:hAnsi="宋体"/>
          <w:sz w:val="24"/>
        </w:rPr>
        <w:t>供应商名称：（盖单位章）</w:t>
      </w:r>
    </w:p>
    <w:p>
      <w:pPr>
        <w:spacing w:line="360" w:lineRule="auto"/>
        <w:jc w:val="right"/>
        <w:rPr>
          <w:rFonts w:hAnsi="宋体"/>
          <w:b/>
          <w:sz w:val="24"/>
          <w:szCs w:val="18"/>
        </w:rPr>
      </w:pPr>
      <w:r>
        <w:rPr>
          <w:rFonts w:hint="eastAsia" w:hAnsi="宋体"/>
          <w:sz w:val="24"/>
        </w:rPr>
        <w:t>年   月   日</w:t>
      </w:r>
    </w:p>
    <w:p>
      <w:pPr>
        <w:spacing w:line="360" w:lineRule="auto"/>
        <w:jc w:val="center"/>
        <w:rPr>
          <w:rFonts w:hAnsi="宋体"/>
          <w:b/>
          <w:bCs/>
          <w:sz w:val="28"/>
        </w:rPr>
      </w:pPr>
      <w:r>
        <w:rPr>
          <w:rFonts w:hint="eastAsia" w:hAnsi="宋体" w:cs="宋体"/>
          <w:b/>
          <w:bCs/>
          <w:sz w:val="32"/>
          <w:szCs w:val="32"/>
        </w:rPr>
        <w:br w:type="page"/>
      </w:r>
      <w:r>
        <w:rPr>
          <w:rFonts w:hint="eastAsia" w:hAnsi="宋体" w:cs="宋体"/>
          <w:b/>
          <w:bCs/>
          <w:sz w:val="32"/>
          <w:szCs w:val="32"/>
        </w:rPr>
        <w:t>3.2授权委托书</w:t>
      </w:r>
    </w:p>
    <w:p>
      <w:pPr>
        <w:spacing w:line="360" w:lineRule="auto"/>
        <w:rPr>
          <w:rFonts w:hAnsi="宋体"/>
          <w:b/>
          <w:sz w:val="24"/>
          <w:szCs w:val="18"/>
        </w:rPr>
      </w:pPr>
    </w:p>
    <w:p>
      <w:pPr>
        <w:spacing w:line="360" w:lineRule="auto"/>
        <w:rPr>
          <w:rFonts w:hAnsi="宋体"/>
          <w:b/>
          <w:sz w:val="24"/>
          <w:szCs w:val="18"/>
        </w:rPr>
      </w:pPr>
      <w:r>
        <w:rPr>
          <w:rFonts w:hint="eastAsia" w:hAnsi="宋体"/>
          <w:b/>
          <w:sz w:val="24"/>
          <w:szCs w:val="18"/>
        </w:rPr>
        <w:t>致：中正信达建设集团有限公司</w:t>
      </w:r>
    </w:p>
    <w:p>
      <w:pPr>
        <w:spacing w:line="360" w:lineRule="auto"/>
        <w:rPr>
          <w:rFonts w:hAnsi="宋体"/>
          <w:sz w:val="24"/>
        </w:rPr>
      </w:pPr>
      <w:r>
        <w:rPr>
          <w:rFonts w:hint="eastAsia" w:hAnsi="宋体"/>
          <w:sz w:val="24"/>
        </w:rPr>
        <w:t xml:space="preserve">    本授权书声明：</w:t>
      </w:r>
    </w:p>
    <w:p>
      <w:pPr>
        <w:adjustRightInd w:val="0"/>
        <w:snapToGrid w:val="0"/>
        <w:spacing w:line="360" w:lineRule="auto"/>
        <w:rPr>
          <w:rFonts w:hAnsi="宋体"/>
          <w:sz w:val="24"/>
          <w:u w:val="single"/>
        </w:rPr>
      </w:pPr>
      <w:r>
        <w:rPr>
          <w:rFonts w:hint="eastAsia" w:hAnsi="宋体"/>
          <w:sz w:val="24"/>
        </w:rPr>
        <w:t>委托人：</w:t>
      </w:r>
      <w:r>
        <w:rPr>
          <w:rFonts w:hint="eastAsia" w:hAnsi="宋体"/>
          <w:sz w:val="24"/>
          <w:u w:val="single"/>
        </w:rPr>
        <w:t xml:space="preserve">                                            </w:t>
      </w:r>
    </w:p>
    <w:p>
      <w:pPr>
        <w:adjustRightInd w:val="0"/>
        <w:snapToGrid w:val="0"/>
        <w:spacing w:line="360" w:lineRule="auto"/>
        <w:rPr>
          <w:rFonts w:hAnsi="宋体"/>
          <w:sz w:val="24"/>
        </w:rPr>
      </w:pPr>
      <w:r>
        <w:rPr>
          <w:rFonts w:hint="eastAsia" w:hAnsi="宋体"/>
          <w:sz w:val="24"/>
        </w:rPr>
        <w:t>地  址：</w:t>
      </w:r>
      <w:r>
        <w:rPr>
          <w:rFonts w:hint="eastAsia" w:hAnsi="宋体"/>
          <w:sz w:val="24"/>
          <w:u w:val="single"/>
        </w:rPr>
        <w:t xml:space="preserve">                     </w:t>
      </w:r>
      <w:r>
        <w:rPr>
          <w:rFonts w:hint="eastAsia" w:hAnsi="宋体"/>
          <w:sz w:val="24"/>
        </w:rPr>
        <w:t xml:space="preserve"> 法定代表人：</w:t>
      </w:r>
      <w:r>
        <w:rPr>
          <w:rFonts w:hint="eastAsia" w:hAnsi="宋体"/>
          <w:sz w:val="24"/>
          <w:u w:val="single"/>
        </w:rPr>
        <w:t xml:space="preserve">          </w:t>
      </w:r>
    </w:p>
    <w:p>
      <w:pPr>
        <w:adjustRightInd w:val="0"/>
        <w:snapToGrid w:val="0"/>
        <w:spacing w:line="360" w:lineRule="auto"/>
        <w:rPr>
          <w:rFonts w:hAnsi="宋体"/>
          <w:sz w:val="24"/>
        </w:rPr>
      </w:pPr>
      <w:r>
        <w:rPr>
          <w:rFonts w:hint="eastAsia" w:hAnsi="宋体"/>
          <w:sz w:val="24"/>
        </w:rPr>
        <w:t>被授权人：姓名</w:t>
      </w:r>
      <w:r>
        <w:rPr>
          <w:rFonts w:hint="eastAsia" w:hAnsi="宋体"/>
          <w:sz w:val="24"/>
          <w:u w:val="single"/>
        </w:rPr>
        <w:t xml:space="preserve">      </w:t>
      </w:r>
      <w:r>
        <w:rPr>
          <w:rFonts w:hint="eastAsia" w:hAnsi="宋体"/>
          <w:sz w:val="24"/>
        </w:rPr>
        <w:t xml:space="preserve"> 性别：</w:t>
      </w:r>
      <w:r>
        <w:rPr>
          <w:rFonts w:hint="eastAsia" w:hAnsi="宋体"/>
          <w:sz w:val="24"/>
          <w:u w:val="single"/>
        </w:rPr>
        <w:t xml:space="preserve">    </w:t>
      </w:r>
      <w:r>
        <w:rPr>
          <w:rFonts w:hint="eastAsia" w:hAnsi="宋体"/>
          <w:sz w:val="24"/>
        </w:rPr>
        <w:t xml:space="preserve"> 出生日期：</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adjustRightInd w:val="0"/>
        <w:snapToGrid w:val="0"/>
        <w:spacing w:line="360" w:lineRule="auto"/>
        <w:rPr>
          <w:rFonts w:hAnsi="宋体"/>
          <w:sz w:val="24"/>
        </w:rPr>
      </w:pPr>
      <w:r>
        <w:rPr>
          <w:rFonts w:hint="eastAsia" w:hAnsi="宋体"/>
          <w:sz w:val="24"/>
        </w:rPr>
        <w:t>所在单位：</w:t>
      </w:r>
      <w:r>
        <w:rPr>
          <w:rFonts w:hint="eastAsia" w:hAnsi="宋体"/>
          <w:sz w:val="24"/>
          <w:u w:val="single"/>
        </w:rPr>
        <w:t xml:space="preserve">                            </w:t>
      </w:r>
      <w:r>
        <w:rPr>
          <w:rFonts w:hint="eastAsia" w:hAnsi="宋体"/>
          <w:sz w:val="24"/>
        </w:rPr>
        <w:t>职务：</w:t>
      </w:r>
      <w:r>
        <w:rPr>
          <w:rFonts w:hint="eastAsia" w:hAnsi="宋体"/>
          <w:sz w:val="24"/>
          <w:u w:val="single"/>
        </w:rPr>
        <w:t xml:space="preserve">           </w:t>
      </w:r>
    </w:p>
    <w:p>
      <w:pPr>
        <w:adjustRightInd w:val="0"/>
        <w:snapToGrid w:val="0"/>
        <w:spacing w:line="360" w:lineRule="auto"/>
        <w:rPr>
          <w:rFonts w:hAnsi="宋体"/>
          <w:sz w:val="24"/>
        </w:rPr>
      </w:pPr>
      <w:r>
        <w:rPr>
          <w:rFonts w:hint="eastAsia" w:hAnsi="宋体"/>
          <w:sz w:val="24"/>
        </w:rPr>
        <w:t>身 份 证：</w:t>
      </w:r>
      <w:r>
        <w:rPr>
          <w:rFonts w:hint="eastAsia" w:hAnsi="宋体"/>
          <w:sz w:val="24"/>
          <w:u w:val="single"/>
        </w:rPr>
        <w:t xml:space="preserve">                </w:t>
      </w:r>
      <w:r>
        <w:rPr>
          <w:rFonts w:hint="eastAsia" w:hAnsi="宋体"/>
          <w:sz w:val="24"/>
        </w:rPr>
        <w:t>联系方式:</w:t>
      </w:r>
      <w:r>
        <w:rPr>
          <w:rFonts w:hint="eastAsia" w:hAnsi="宋体"/>
          <w:sz w:val="24"/>
          <w:u w:val="single"/>
        </w:rPr>
        <w:t xml:space="preserve">                    </w:t>
      </w:r>
    </w:p>
    <w:p>
      <w:pPr>
        <w:adjustRightInd w:val="0"/>
        <w:snapToGrid w:val="0"/>
        <w:spacing w:line="360" w:lineRule="auto"/>
        <w:ind w:firstLine="480" w:firstLineChars="200"/>
        <w:rPr>
          <w:rFonts w:hAnsi="宋体"/>
          <w:sz w:val="24"/>
        </w:rPr>
      </w:pPr>
      <w:r>
        <w:rPr>
          <w:rFonts w:hint="eastAsia" w:hAnsi="宋体"/>
          <w:sz w:val="24"/>
        </w:rPr>
        <w:t>兹委托</w:t>
      </w:r>
      <w:r>
        <w:rPr>
          <w:rFonts w:hint="eastAsia" w:hAnsi="宋体"/>
          <w:sz w:val="24"/>
          <w:u w:val="single"/>
        </w:rPr>
        <w:t xml:space="preserve">               </w:t>
      </w:r>
      <w:r>
        <w:rPr>
          <w:rFonts w:hint="eastAsia" w:hAnsi="宋体"/>
          <w:sz w:val="24"/>
        </w:rPr>
        <w:t>代表我方参加中正信达建设集团有限公司组织的</w:t>
      </w:r>
      <w:r>
        <w:rPr>
          <w:rFonts w:hint="eastAsia" w:hAnsi="宋体" w:cs="Tahoma"/>
          <w:b/>
          <w:bCs/>
          <w:sz w:val="24"/>
          <w:u w:val="single"/>
        </w:rPr>
        <w:t>海南省规划展览馆重点项目更新改造</w:t>
      </w:r>
      <w:r>
        <w:rPr>
          <w:rFonts w:hint="eastAsia" w:hAnsi="宋体"/>
          <w:b/>
          <w:bCs/>
          <w:sz w:val="24"/>
        </w:rPr>
        <w:t>（项目编号为：</w:t>
      </w:r>
      <w:r>
        <w:rPr>
          <w:rFonts w:hint="eastAsia" w:hAnsi="宋体" w:cs="Tahoma"/>
          <w:b/>
          <w:bCs/>
          <w:sz w:val="24"/>
          <w:u w:val="single"/>
        </w:rPr>
        <w:t>ZZXD-CG-2024007</w:t>
      </w:r>
      <w:r>
        <w:rPr>
          <w:rFonts w:hint="eastAsia" w:hAnsi="宋体"/>
          <w:b/>
          <w:bCs/>
          <w:sz w:val="24"/>
        </w:rPr>
        <w:t>）</w:t>
      </w:r>
      <w:r>
        <w:rPr>
          <w:rFonts w:hint="eastAsia" w:hAnsi="宋体"/>
          <w:sz w:val="24"/>
        </w:rPr>
        <w:t>的政府采购活动，并授权其全权办理以下事宜：</w:t>
      </w:r>
    </w:p>
    <w:p>
      <w:pPr>
        <w:adjustRightInd w:val="0"/>
        <w:snapToGrid w:val="0"/>
        <w:spacing w:line="360" w:lineRule="auto"/>
        <w:ind w:firstLine="480" w:firstLineChars="200"/>
        <w:rPr>
          <w:rFonts w:hAnsi="宋体"/>
          <w:sz w:val="24"/>
        </w:rPr>
      </w:pPr>
      <w:r>
        <w:rPr>
          <w:rFonts w:hint="eastAsia" w:hAnsi="宋体"/>
          <w:sz w:val="24"/>
        </w:rPr>
        <w:t>1、参加磋商活动；</w:t>
      </w:r>
    </w:p>
    <w:p>
      <w:pPr>
        <w:adjustRightInd w:val="0"/>
        <w:snapToGrid w:val="0"/>
        <w:spacing w:line="360" w:lineRule="auto"/>
        <w:ind w:firstLine="480" w:firstLineChars="200"/>
        <w:rPr>
          <w:rFonts w:hAnsi="宋体"/>
          <w:sz w:val="24"/>
        </w:rPr>
      </w:pPr>
      <w:r>
        <w:rPr>
          <w:rFonts w:hint="eastAsia" w:hAnsi="宋体"/>
          <w:sz w:val="24"/>
        </w:rPr>
        <w:t>2、出席磋商评标会议；</w:t>
      </w:r>
    </w:p>
    <w:p>
      <w:pPr>
        <w:adjustRightInd w:val="0"/>
        <w:snapToGrid w:val="0"/>
        <w:spacing w:line="360" w:lineRule="auto"/>
        <w:ind w:firstLine="480" w:firstLineChars="200"/>
        <w:rPr>
          <w:rFonts w:hAnsi="宋体"/>
          <w:sz w:val="24"/>
        </w:rPr>
      </w:pPr>
      <w:r>
        <w:rPr>
          <w:rFonts w:hint="eastAsia" w:hAnsi="宋体"/>
          <w:sz w:val="24"/>
        </w:rPr>
        <w:t>3、签订与成交事宜有关的合同；</w:t>
      </w:r>
    </w:p>
    <w:p>
      <w:pPr>
        <w:adjustRightInd w:val="0"/>
        <w:snapToGrid w:val="0"/>
        <w:spacing w:line="360" w:lineRule="auto"/>
        <w:ind w:firstLine="480" w:firstLineChars="200"/>
        <w:rPr>
          <w:rFonts w:hAnsi="宋体"/>
          <w:sz w:val="24"/>
        </w:rPr>
      </w:pPr>
      <w:r>
        <w:rPr>
          <w:rFonts w:hint="eastAsia" w:hAnsi="宋体"/>
          <w:sz w:val="24"/>
        </w:rPr>
        <w:t>4、负责合同的履行、服务以及在合同履行过程中有关事宜的洽谈和处理。</w:t>
      </w:r>
    </w:p>
    <w:p>
      <w:pPr>
        <w:adjustRightInd w:val="0"/>
        <w:snapToGrid w:val="0"/>
        <w:spacing w:line="360" w:lineRule="auto"/>
        <w:rPr>
          <w:rFonts w:hAnsi="宋体"/>
          <w:sz w:val="24"/>
        </w:rPr>
      </w:pPr>
      <w:r>
        <w:rPr>
          <w:rFonts w:hint="eastAsia" w:hAnsi="宋体"/>
          <w:sz w:val="24"/>
        </w:rPr>
        <w:t xml:space="preserve">    </w:t>
      </w:r>
      <w:r>
        <w:rPr>
          <w:rFonts w:hint="eastAsia" w:hAnsi="宋体"/>
          <w:sz w:val="24"/>
          <w:szCs w:val="22"/>
        </w:rPr>
        <w:t>被授权人</w:t>
      </w:r>
      <w:r>
        <w:rPr>
          <w:rFonts w:hint="eastAsia" w:hAnsi="宋体"/>
          <w:sz w:val="24"/>
        </w:rPr>
        <w:t>在办理上述事宜过程中以其自己的名义所签署的所有文件我方均予以承认。被授权人无转委托权。</w:t>
      </w:r>
    </w:p>
    <w:p>
      <w:pPr>
        <w:adjustRightInd w:val="0"/>
        <w:snapToGrid w:val="0"/>
        <w:spacing w:line="360" w:lineRule="auto"/>
        <w:ind w:firstLine="480" w:firstLineChars="200"/>
        <w:rPr>
          <w:rFonts w:hAnsi="宋体"/>
          <w:sz w:val="24"/>
        </w:rPr>
      </w:pPr>
      <w:r>
        <w:rPr>
          <w:rFonts w:hint="eastAsia" w:hAnsi="宋体"/>
          <w:sz w:val="24"/>
        </w:rPr>
        <w:t>委托期限：至上述事宜处理完毕止。</w:t>
      </w:r>
    </w:p>
    <w:p>
      <w:pPr>
        <w:adjustRightInd w:val="0"/>
        <w:snapToGrid w:val="0"/>
        <w:spacing w:line="360" w:lineRule="auto"/>
        <w:ind w:firstLine="480" w:firstLineChars="200"/>
        <w:rPr>
          <w:rFonts w:hAnsi="宋体"/>
          <w:sz w:val="24"/>
        </w:rPr>
      </w:pPr>
      <w:r>
        <w:rPr>
          <w:rFonts w:hint="eastAsia" w:hAnsi="宋体"/>
          <w:sz w:val="24"/>
        </w:rPr>
        <w:t>附：法人代表、被授权人身份证复印件</w:t>
      </w:r>
    </w:p>
    <w:p>
      <w:pPr>
        <w:adjustRightInd w:val="0"/>
        <w:snapToGrid w:val="0"/>
        <w:spacing w:line="360" w:lineRule="auto"/>
        <w:ind w:firstLine="3840" w:firstLineChars="1600"/>
        <w:rPr>
          <w:rFonts w:hAnsi="宋体"/>
          <w:sz w:val="24"/>
        </w:rPr>
      </w:pPr>
    </w:p>
    <w:p>
      <w:pPr>
        <w:adjustRightInd w:val="0"/>
        <w:snapToGrid w:val="0"/>
        <w:spacing w:line="360" w:lineRule="auto"/>
        <w:ind w:firstLine="3840" w:firstLineChars="1600"/>
        <w:rPr>
          <w:rFonts w:hAnsi="宋体"/>
          <w:sz w:val="24"/>
          <w:u w:val="single"/>
        </w:rPr>
      </w:pPr>
      <w:r>
        <w:rPr>
          <w:rFonts w:hint="eastAsia" w:hAnsi="宋体" w:cs="宋体"/>
          <w:sz w:val="24"/>
          <w:lang w:val="en-GB"/>
        </w:rPr>
        <w:t>供应商名称：</w:t>
      </w:r>
      <w:r>
        <w:rPr>
          <w:rFonts w:hint="eastAsia" w:hAnsi="宋体"/>
          <w:sz w:val="24"/>
          <w:u w:val="single"/>
        </w:rPr>
        <w:t xml:space="preserve"> （公章）        </w:t>
      </w:r>
    </w:p>
    <w:p>
      <w:pPr>
        <w:adjustRightInd w:val="0"/>
        <w:snapToGrid w:val="0"/>
        <w:spacing w:line="360" w:lineRule="auto"/>
        <w:rPr>
          <w:rFonts w:hAnsi="宋体"/>
          <w:sz w:val="24"/>
          <w:u w:val="single"/>
        </w:rPr>
      </w:pPr>
      <w:r>
        <w:rPr>
          <w:rFonts w:hint="eastAsia" w:hAnsi="宋体"/>
          <w:sz w:val="24"/>
        </w:rPr>
        <w:t xml:space="preserve">                                法定代表人：</w:t>
      </w:r>
      <w:r>
        <w:rPr>
          <w:rFonts w:hint="eastAsia" w:hAnsi="宋体"/>
          <w:sz w:val="24"/>
          <w:u w:val="single"/>
        </w:rPr>
        <w:t xml:space="preserve"> （签名或盖章）  </w:t>
      </w:r>
    </w:p>
    <w:p>
      <w:pPr>
        <w:adjustRightInd w:val="0"/>
        <w:snapToGrid w:val="0"/>
        <w:spacing w:line="360" w:lineRule="auto"/>
        <w:rPr>
          <w:rFonts w:hAnsi="宋体"/>
          <w:sz w:val="24"/>
          <w:u w:val="single"/>
        </w:rPr>
      </w:pPr>
      <w:r>
        <w:rPr>
          <w:rFonts w:hint="eastAsia" w:hAnsi="宋体"/>
          <w:sz w:val="24"/>
        </w:rPr>
        <w:t xml:space="preserve">                                被授权人：</w:t>
      </w:r>
      <w:r>
        <w:rPr>
          <w:rFonts w:hint="eastAsia" w:hAnsi="宋体"/>
          <w:sz w:val="24"/>
          <w:u w:val="single"/>
        </w:rPr>
        <w:t xml:space="preserve"> （签名或盖章）    </w:t>
      </w:r>
    </w:p>
    <w:p>
      <w:pPr>
        <w:adjustRightInd w:val="0"/>
        <w:snapToGrid w:val="0"/>
        <w:spacing w:line="360" w:lineRule="auto"/>
        <w:ind w:firstLine="3960" w:firstLineChars="1650"/>
        <w:rPr>
          <w:rFonts w:hAnsi="宋体"/>
          <w:sz w:val="24"/>
        </w:rPr>
      </w:pP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jc w:val="center"/>
        <w:rPr>
          <w:rFonts w:hAnsi="宋体" w:cs="宋体"/>
          <w:szCs w:val="30"/>
        </w:rPr>
      </w:pPr>
    </w:p>
    <w:p>
      <w:pPr>
        <w:spacing w:line="440" w:lineRule="exact"/>
        <w:rPr>
          <w:rFonts w:hAnsi="宋体"/>
        </w:rPr>
      </w:pPr>
    </w:p>
    <w:p>
      <w:pPr>
        <w:pStyle w:val="10"/>
        <w:rPr>
          <w:rFonts w:hAnsi="宋体"/>
        </w:rPr>
      </w:pPr>
    </w:p>
    <w:p>
      <w:pPr>
        <w:pStyle w:val="10"/>
        <w:rPr>
          <w:rFonts w:hAnsi="宋体"/>
        </w:rPr>
      </w:pPr>
    </w:p>
    <w:p>
      <w:pPr>
        <w:spacing w:line="440" w:lineRule="exact"/>
        <w:jc w:val="center"/>
        <w:outlineLvl w:val="2"/>
        <w:rPr>
          <w:rFonts w:hAnsi="宋体" w:cs="宋体"/>
          <w:b/>
          <w:sz w:val="24"/>
          <w:szCs w:val="24"/>
          <w:lang w:val="en-GB"/>
        </w:rPr>
      </w:pPr>
      <w:r>
        <w:rPr>
          <w:rFonts w:hint="eastAsia" w:hAnsi="宋体" w:cs="宋体"/>
          <w:b/>
          <w:bCs/>
          <w:szCs w:val="30"/>
        </w:rPr>
        <w:t>4</w:t>
      </w:r>
      <w:bookmarkEnd w:id="77"/>
      <w:bookmarkEnd w:id="78"/>
      <w:bookmarkEnd w:id="79"/>
      <w:r>
        <w:rPr>
          <w:rFonts w:hint="eastAsia" w:hAnsi="宋体" w:cs="宋体"/>
          <w:b/>
          <w:bCs/>
          <w:szCs w:val="30"/>
        </w:rPr>
        <w:t>.</w:t>
      </w:r>
      <w:r>
        <w:rPr>
          <w:rFonts w:hint="eastAsia" w:hAnsi="宋体" w:cs="宋体"/>
          <w:b/>
          <w:bCs/>
          <w:szCs w:val="30"/>
          <w:lang w:val="en-GB"/>
        </w:rPr>
        <w:t>资格申明信</w:t>
      </w:r>
    </w:p>
    <w:p>
      <w:pPr>
        <w:adjustRightInd w:val="0"/>
        <w:snapToGrid w:val="0"/>
        <w:spacing w:before="156" w:beforeLines="50" w:line="440" w:lineRule="exact"/>
        <w:rPr>
          <w:rFonts w:hAnsi="宋体" w:cs="宋体"/>
          <w:b/>
          <w:sz w:val="24"/>
          <w:szCs w:val="24"/>
          <w:lang w:val="en-GB"/>
        </w:rPr>
      </w:pPr>
      <w:r>
        <w:rPr>
          <w:rFonts w:hint="eastAsia" w:hAnsi="宋体" w:cs="宋体"/>
          <w:b/>
          <w:sz w:val="24"/>
          <w:szCs w:val="24"/>
          <w:lang w:val="en-GB"/>
        </w:rPr>
        <w:t>致：中正信达建设集团有限公司</w:t>
      </w:r>
    </w:p>
    <w:p>
      <w:pPr>
        <w:spacing w:line="440" w:lineRule="exact"/>
        <w:ind w:firstLine="576"/>
        <w:rPr>
          <w:rFonts w:hAnsi="宋体"/>
          <w:sz w:val="24"/>
          <w:szCs w:val="24"/>
        </w:rPr>
      </w:pPr>
      <w:r>
        <w:rPr>
          <w:rFonts w:hint="eastAsia" w:hAnsi="宋体"/>
          <w:sz w:val="24"/>
          <w:szCs w:val="24"/>
        </w:rPr>
        <w:t>为响应</w:t>
      </w:r>
      <w:r>
        <w:rPr>
          <w:rFonts w:hint="eastAsia" w:hAnsi="宋体" w:cs="宋体"/>
          <w:sz w:val="24"/>
          <w:szCs w:val="24"/>
        </w:rPr>
        <w:t>贵公司组织的</w:t>
      </w:r>
      <w:r>
        <w:rPr>
          <w:rFonts w:hint="eastAsia" w:hAnsi="宋体" w:cs="宋体"/>
          <w:b/>
          <w:bCs/>
          <w:sz w:val="24"/>
          <w:szCs w:val="24"/>
          <w:u w:val="single"/>
        </w:rPr>
        <w:t xml:space="preserve"> 海南省规划展览馆重点项目更新改造（项目编号ZZXD-CG-2024007）</w:t>
      </w:r>
      <w:r>
        <w:rPr>
          <w:rFonts w:hint="eastAsia" w:hAnsi="宋体"/>
          <w:sz w:val="24"/>
          <w:szCs w:val="24"/>
        </w:rPr>
        <w:t>的</w:t>
      </w:r>
      <w:r>
        <w:rPr>
          <w:rFonts w:hint="eastAsia" w:hAnsi="宋体" w:cs="宋体"/>
          <w:sz w:val="24"/>
          <w:szCs w:val="24"/>
        </w:rPr>
        <w:t>采购活动</w:t>
      </w:r>
      <w:r>
        <w:rPr>
          <w:rFonts w:hint="eastAsia" w:hAnsi="宋体"/>
          <w:sz w:val="24"/>
          <w:szCs w:val="24"/>
        </w:rPr>
        <w:t>，我公司愿意参与投标。</w:t>
      </w:r>
    </w:p>
    <w:p>
      <w:pPr>
        <w:spacing w:line="440" w:lineRule="exact"/>
        <w:ind w:firstLine="576"/>
        <w:rPr>
          <w:rFonts w:hAnsi="宋体"/>
          <w:sz w:val="24"/>
          <w:szCs w:val="24"/>
        </w:rPr>
      </w:pPr>
      <w:r>
        <w:rPr>
          <w:rFonts w:hint="eastAsia" w:hAnsi="宋体"/>
          <w:sz w:val="24"/>
          <w:szCs w:val="24"/>
        </w:rPr>
        <w:t>我方在此声明，本次采购活动中申报的所有资料都是真实、准确完整的，如发现提供虚假资料，或与事实不符而导致投标无效，甚至造成任何法律和经济责任，完全由我方负责；</w:t>
      </w:r>
    </w:p>
    <w:p>
      <w:pPr>
        <w:spacing w:line="440" w:lineRule="exact"/>
        <w:ind w:firstLine="576"/>
        <w:rPr>
          <w:rFonts w:hAnsi="宋体"/>
          <w:sz w:val="24"/>
          <w:szCs w:val="24"/>
        </w:rPr>
      </w:pPr>
      <w:r>
        <w:rPr>
          <w:rFonts w:hint="eastAsia" w:hAnsi="宋体"/>
          <w:sz w:val="24"/>
          <w:szCs w:val="24"/>
        </w:rPr>
        <w:t>我方承诺无围标、串标、行贿、资质挂靠、资质造假、违法转包违规分包等违法违纪行为，如经发现我方有上述违法违纪行为的，贵局可立即取消我方投标资格，并要求我方承担相应的法律责任及所造成的损失赔偿，我方三年内不得再参与海南省规划展览馆项目的招投标。如发现采购代理机构参与以上违法违纪行为，贵局有权解除采购代理协议，该采购代理机构三年内不得再代理海南省规划展览馆项目。贵局有权将涉嫌违法违规行为报行业主管部门；</w:t>
      </w:r>
    </w:p>
    <w:p>
      <w:pPr>
        <w:spacing w:line="440" w:lineRule="exact"/>
        <w:ind w:firstLine="576"/>
        <w:rPr>
          <w:rFonts w:hAnsi="宋体"/>
          <w:sz w:val="24"/>
          <w:szCs w:val="24"/>
        </w:rPr>
      </w:pPr>
      <w:r>
        <w:rPr>
          <w:rFonts w:hint="eastAsia" w:hAnsi="宋体"/>
          <w:sz w:val="24"/>
          <w:szCs w:val="24"/>
        </w:rPr>
        <w:t>我方在以往的采购活动中，无重大违法、违规的不良记录；我方人员针对维护项目没有重大违法记录；</w:t>
      </w:r>
    </w:p>
    <w:p>
      <w:pPr>
        <w:spacing w:line="440" w:lineRule="exact"/>
        <w:ind w:firstLine="576"/>
        <w:rPr>
          <w:rFonts w:hAnsi="宋体"/>
          <w:sz w:val="24"/>
          <w:szCs w:val="24"/>
        </w:rPr>
      </w:pPr>
      <w:r>
        <w:rPr>
          <w:rFonts w:hint="eastAsia" w:hAnsi="宋体"/>
          <w:sz w:val="24"/>
          <w:szCs w:val="24"/>
        </w:rPr>
        <w:t>我方未被地市级及其以上行政主管部门做出取消投标资格的处罚且该处罚在有效期内的；</w:t>
      </w:r>
    </w:p>
    <w:p>
      <w:pPr>
        <w:spacing w:line="440" w:lineRule="exact"/>
        <w:ind w:firstLine="576"/>
        <w:rPr>
          <w:rFonts w:hAnsi="宋体"/>
          <w:sz w:val="24"/>
          <w:szCs w:val="24"/>
        </w:rPr>
      </w:pPr>
      <w:r>
        <w:rPr>
          <w:rFonts w:hint="eastAsia" w:hAnsi="宋体"/>
          <w:sz w:val="24"/>
          <w:szCs w:val="24"/>
        </w:rPr>
        <w:t>我方一旦中标，将严格按照投标文件中所承诺的报价、质量、工期、措施、项目负责人等内容组织实施；</w:t>
      </w:r>
    </w:p>
    <w:p>
      <w:pPr>
        <w:spacing w:line="440" w:lineRule="exact"/>
        <w:ind w:firstLine="576"/>
        <w:rPr>
          <w:rFonts w:hAnsi="宋体"/>
          <w:sz w:val="24"/>
          <w:szCs w:val="24"/>
        </w:rPr>
      </w:pPr>
      <w:r>
        <w:rPr>
          <w:rFonts w:hint="eastAsia" w:hAnsi="宋体"/>
          <w:sz w:val="24"/>
          <w:szCs w:val="24"/>
        </w:rPr>
        <w:t>我方一旦中标，将按规定及时与采购人签订合同。</w:t>
      </w:r>
    </w:p>
    <w:p>
      <w:pPr>
        <w:spacing w:line="440" w:lineRule="exact"/>
        <w:ind w:firstLine="576"/>
        <w:rPr>
          <w:rFonts w:hAnsi="宋体"/>
          <w:sz w:val="24"/>
          <w:szCs w:val="24"/>
        </w:rPr>
      </w:pPr>
    </w:p>
    <w:p>
      <w:pPr>
        <w:spacing w:line="440" w:lineRule="exact"/>
        <w:ind w:firstLine="576"/>
        <w:rPr>
          <w:rFonts w:hAnsi="宋体"/>
          <w:sz w:val="24"/>
          <w:szCs w:val="24"/>
        </w:rPr>
      </w:pPr>
    </w:p>
    <w:p>
      <w:pPr>
        <w:spacing w:line="440" w:lineRule="exact"/>
        <w:ind w:firstLine="576"/>
        <w:rPr>
          <w:rFonts w:hAnsi="宋体"/>
          <w:sz w:val="24"/>
          <w:szCs w:val="24"/>
        </w:rPr>
      </w:pPr>
    </w:p>
    <w:p>
      <w:pPr>
        <w:adjustRightInd w:val="0"/>
        <w:snapToGrid w:val="0"/>
        <w:spacing w:line="480" w:lineRule="auto"/>
        <w:ind w:right="300" w:rightChars="100"/>
        <w:jc w:val="right"/>
        <w:rPr>
          <w:rFonts w:hAnsi="宋体"/>
          <w:sz w:val="24"/>
          <w:szCs w:val="24"/>
          <w:u w:val="single"/>
        </w:rPr>
      </w:pPr>
      <w:r>
        <w:rPr>
          <w:rFonts w:hint="eastAsia" w:hAnsi="宋体"/>
          <w:sz w:val="24"/>
          <w:szCs w:val="24"/>
        </w:rPr>
        <w:t>供应商</w:t>
      </w:r>
      <w:r>
        <w:rPr>
          <w:rFonts w:hint="eastAsia" w:hAnsi="宋体"/>
          <w:iCs/>
          <w:sz w:val="24"/>
          <w:szCs w:val="24"/>
        </w:rPr>
        <w:t>名称</w:t>
      </w:r>
      <w:r>
        <w:rPr>
          <w:rFonts w:hint="eastAsia" w:hAnsi="宋体"/>
          <w:sz w:val="24"/>
          <w:szCs w:val="24"/>
        </w:rPr>
        <w:t>：</w:t>
      </w:r>
      <w:r>
        <w:rPr>
          <w:rFonts w:hint="eastAsia" w:hAnsi="宋体"/>
          <w:sz w:val="24"/>
          <w:szCs w:val="24"/>
          <w:u w:val="single"/>
        </w:rPr>
        <w:t xml:space="preserve">                            （公章）</w:t>
      </w:r>
    </w:p>
    <w:p>
      <w:pPr>
        <w:adjustRightInd w:val="0"/>
        <w:snapToGrid w:val="0"/>
        <w:spacing w:line="480" w:lineRule="auto"/>
        <w:ind w:right="300" w:rightChars="100"/>
        <w:jc w:val="right"/>
        <w:rPr>
          <w:rFonts w:hAnsi="宋体"/>
          <w:sz w:val="24"/>
          <w:szCs w:val="24"/>
        </w:rPr>
      </w:pPr>
      <w:r>
        <w:rPr>
          <w:rFonts w:hint="eastAsia" w:hAnsi="宋体"/>
          <w:sz w:val="24"/>
          <w:szCs w:val="24"/>
        </w:rPr>
        <w:t>法定代表人或被授权人：</w:t>
      </w:r>
      <w:r>
        <w:rPr>
          <w:rFonts w:hint="eastAsia" w:hAnsi="宋体"/>
          <w:sz w:val="24"/>
          <w:szCs w:val="24"/>
          <w:u w:val="single"/>
        </w:rPr>
        <w:t xml:space="preserve">              </w:t>
      </w:r>
      <w:r>
        <w:rPr>
          <w:rFonts w:hint="eastAsia" w:hAnsi="宋体" w:cs="宋体"/>
          <w:bCs/>
          <w:sz w:val="24"/>
          <w:szCs w:val="24"/>
          <w:u w:val="single"/>
          <w:lang w:val="en-GB"/>
        </w:rPr>
        <w:t>（签字或盖章）</w:t>
      </w:r>
    </w:p>
    <w:p>
      <w:pPr>
        <w:adjustRightInd w:val="0"/>
        <w:snapToGrid w:val="0"/>
        <w:spacing w:line="480" w:lineRule="auto"/>
        <w:ind w:right="300" w:rightChars="100"/>
        <w:jc w:val="center"/>
        <w:rPr>
          <w:rFonts w:hAnsi="宋体" w:cs="宋体"/>
          <w:bCs/>
          <w:sz w:val="24"/>
          <w:szCs w:val="24"/>
          <w:lang w:val="en-GB"/>
        </w:rPr>
      </w:pPr>
      <w:r>
        <w:rPr>
          <w:rFonts w:hint="eastAsia" w:hAnsi="宋体"/>
          <w:sz w:val="24"/>
          <w:szCs w:val="24"/>
        </w:rPr>
        <w:t xml:space="preserve">        </w:t>
      </w:r>
      <w:bookmarkStart w:id="81" w:name="_Toc6958_WPSOffice_Level2"/>
      <w:bookmarkStart w:id="82" w:name="_Toc153_WPSOffice_Level2"/>
      <w:bookmarkStart w:id="83" w:name="_Toc4911"/>
      <w:bookmarkStart w:id="84" w:name="_Toc729_WPSOffice_Level2"/>
      <w:r>
        <w:rPr>
          <w:rFonts w:hint="eastAsia" w:hAnsi="宋体"/>
          <w:sz w:val="24"/>
          <w:szCs w:val="24"/>
        </w:rPr>
        <w:t>日期：</w:t>
      </w:r>
      <w:r>
        <w:rPr>
          <w:rFonts w:hint="eastAsia" w:hAnsi="宋体" w:cs="宋体"/>
          <w:sz w:val="24"/>
          <w:szCs w:val="24"/>
          <w:u w:val="single"/>
          <w:lang w:val="en-GB"/>
        </w:rPr>
        <w:t xml:space="preserve">    </w:t>
      </w:r>
      <w:r>
        <w:rPr>
          <w:rFonts w:hint="eastAsia" w:hAnsi="宋体" w:cs="宋体"/>
          <w:sz w:val="24"/>
          <w:szCs w:val="24"/>
          <w:u w:val="single"/>
        </w:rPr>
        <w:t xml:space="preserve"> </w:t>
      </w:r>
      <w:r>
        <w:rPr>
          <w:rFonts w:hint="eastAsia" w:hAnsi="宋体" w:cs="宋体"/>
          <w:sz w:val="24"/>
          <w:szCs w:val="24"/>
          <w:u w:val="single"/>
          <w:lang w:val="en-GB"/>
        </w:rPr>
        <w:t xml:space="preserve"> </w:t>
      </w:r>
      <w:r>
        <w:rPr>
          <w:rFonts w:hint="eastAsia" w:hAnsi="宋体" w:cs="宋体"/>
          <w:sz w:val="24"/>
          <w:szCs w:val="24"/>
          <w:lang w:val="en-GB"/>
        </w:rPr>
        <w:t>年</w:t>
      </w:r>
      <w:r>
        <w:rPr>
          <w:rFonts w:hint="eastAsia" w:hAnsi="宋体" w:cs="宋体"/>
          <w:sz w:val="24"/>
          <w:szCs w:val="24"/>
          <w:u w:val="single"/>
          <w:lang w:val="en-GB"/>
        </w:rPr>
        <w:t xml:space="preserve">    </w:t>
      </w:r>
      <w:r>
        <w:rPr>
          <w:rFonts w:hint="eastAsia" w:hAnsi="宋体" w:cs="宋体"/>
          <w:sz w:val="24"/>
          <w:szCs w:val="24"/>
          <w:lang w:val="en-GB"/>
        </w:rPr>
        <w:t>月</w:t>
      </w:r>
      <w:r>
        <w:rPr>
          <w:rFonts w:hint="eastAsia" w:hAnsi="宋体" w:cs="宋体"/>
          <w:sz w:val="24"/>
          <w:szCs w:val="24"/>
          <w:u w:val="single"/>
          <w:lang w:val="en-GB"/>
        </w:rPr>
        <w:t xml:space="preserve">    </w:t>
      </w:r>
      <w:r>
        <w:rPr>
          <w:rFonts w:hint="eastAsia" w:hAnsi="宋体" w:cs="宋体"/>
          <w:sz w:val="24"/>
          <w:szCs w:val="24"/>
          <w:lang w:val="en-GB"/>
        </w:rPr>
        <w:t>日</w:t>
      </w:r>
      <w:bookmarkEnd w:id="81"/>
      <w:bookmarkEnd w:id="82"/>
      <w:bookmarkEnd w:id="83"/>
      <w:bookmarkEnd w:id="84"/>
    </w:p>
    <w:p>
      <w:pPr>
        <w:adjustRightInd w:val="0"/>
        <w:snapToGrid w:val="0"/>
        <w:spacing w:line="360" w:lineRule="auto"/>
        <w:rPr>
          <w:rFonts w:hAnsi="宋体"/>
          <w:sz w:val="24"/>
        </w:rPr>
      </w:pPr>
    </w:p>
    <w:p>
      <w:pPr>
        <w:spacing w:before="156" w:beforeLines="50" w:after="156" w:afterLines="50" w:line="440" w:lineRule="exact"/>
        <w:jc w:val="center"/>
        <w:outlineLvl w:val="2"/>
        <w:rPr>
          <w:rFonts w:hAnsi="宋体" w:cs="宋体"/>
          <w:b/>
          <w:sz w:val="24"/>
          <w:szCs w:val="24"/>
        </w:rPr>
      </w:pPr>
      <w:r>
        <w:rPr>
          <w:rFonts w:hAnsi="宋体"/>
          <w:sz w:val="24"/>
        </w:rPr>
        <w:br w:type="page"/>
      </w:r>
      <w:bookmarkStart w:id="85" w:name="_Toc401304803"/>
      <w:bookmarkStart w:id="86" w:name="_Toc386178238"/>
      <w:r>
        <w:rPr>
          <w:rFonts w:hint="eastAsia" w:hAnsi="宋体" w:cs="宋体"/>
          <w:b/>
          <w:bCs/>
          <w:szCs w:val="30"/>
        </w:rPr>
        <w:t>5.用户需求响应情况表</w:t>
      </w:r>
    </w:p>
    <w:p>
      <w:pPr>
        <w:adjustRightInd w:val="0"/>
        <w:snapToGrid w:val="0"/>
        <w:spacing w:line="360" w:lineRule="auto"/>
        <w:ind w:firstLine="482" w:firstLineChars="200"/>
        <w:rPr>
          <w:rFonts w:hAnsi="宋体" w:cs="宋体"/>
          <w:b/>
          <w:bCs/>
          <w:sz w:val="24"/>
          <w:szCs w:val="24"/>
        </w:rPr>
      </w:pPr>
      <w:r>
        <w:rPr>
          <w:rFonts w:hint="eastAsia" w:hAnsi="宋体" w:cs="宋体"/>
          <w:b/>
          <w:bCs/>
          <w:sz w:val="24"/>
          <w:szCs w:val="24"/>
        </w:rPr>
        <w:t>项目名称：</w:t>
      </w:r>
    </w:p>
    <w:p>
      <w:pPr>
        <w:adjustRightInd w:val="0"/>
        <w:snapToGrid w:val="0"/>
        <w:spacing w:line="360" w:lineRule="auto"/>
        <w:ind w:firstLine="482" w:firstLineChars="200"/>
        <w:rPr>
          <w:rFonts w:hAnsi="宋体" w:cs="宋体"/>
          <w:b/>
          <w:bCs/>
          <w:sz w:val="24"/>
          <w:szCs w:val="24"/>
        </w:rPr>
      </w:pPr>
      <w:r>
        <w:rPr>
          <w:rFonts w:hint="eastAsia" w:hAnsi="宋体" w:cs="宋体"/>
          <w:b/>
          <w:bCs/>
          <w:sz w:val="24"/>
          <w:szCs w:val="24"/>
        </w:rPr>
        <w:t>项目编号：</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我公司已认真阅读磋商文件中“用户需求书”中的所有条款，对采购需求的内容要求了解清晰，若我公司在本次投标中中标，将按照“用户需求书”要求的响应情况为采购人提供相应的产品或服务。</w:t>
      </w:r>
    </w:p>
    <w:tbl>
      <w:tblPr>
        <w:tblStyle w:val="22"/>
        <w:tblW w:w="0" w:type="auto"/>
        <w:tblInd w:w="5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331"/>
        <w:gridCol w:w="2533"/>
        <w:gridCol w:w="1735"/>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blHeader/>
        </w:trPr>
        <w:tc>
          <w:tcPr>
            <w:tcW w:w="647" w:type="dxa"/>
            <w:tcBorders>
              <w:bottom w:val="single" w:color="auto" w:sz="4" w:space="0"/>
            </w:tcBorders>
            <w:shd w:val="clear" w:color="auto" w:fill="D9D9D9"/>
            <w:vAlign w:val="center"/>
          </w:tcPr>
          <w:p>
            <w:pPr>
              <w:adjustRightInd w:val="0"/>
              <w:snapToGrid w:val="0"/>
              <w:spacing w:line="440" w:lineRule="exact"/>
              <w:jc w:val="center"/>
              <w:rPr>
                <w:rFonts w:hAnsi="宋体" w:cs="宋体"/>
                <w:b/>
                <w:bCs/>
                <w:sz w:val="24"/>
                <w:szCs w:val="24"/>
              </w:rPr>
            </w:pPr>
            <w:r>
              <w:rPr>
                <w:rFonts w:hint="eastAsia" w:hAnsi="宋体" w:cs="宋体"/>
                <w:b/>
                <w:bCs/>
                <w:sz w:val="24"/>
                <w:szCs w:val="24"/>
              </w:rPr>
              <w:t>序号</w:t>
            </w:r>
          </w:p>
        </w:tc>
        <w:tc>
          <w:tcPr>
            <w:tcW w:w="1331" w:type="dxa"/>
            <w:tcBorders>
              <w:bottom w:val="single" w:color="auto" w:sz="4" w:space="0"/>
            </w:tcBorders>
            <w:shd w:val="clear" w:color="auto" w:fill="D9D9D9"/>
            <w:vAlign w:val="center"/>
          </w:tcPr>
          <w:p>
            <w:pPr>
              <w:adjustRightInd w:val="0"/>
              <w:snapToGrid w:val="0"/>
              <w:spacing w:line="440" w:lineRule="exact"/>
              <w:jc w:val="center"/>
              <w:rPr>
                <w:rFonts w:hAnsi="宋体" w:cs="宋体"/>
                <w:b/>
                <w:bCs/>
                <w:sz w:val="24"/>
                <w:szCs w:val="24"/>
              </w:rPr>
            </w:pPr>
            <w:r>
              <w:rPr>
                <w:rFonts w:hint="eastAsia" w:hAnsi="宋体" w:cs="宋体"/>
                <w:b/>
                <w:bCs/>
                <w:sz w:val="24"/>
                <w:szCs w:val="24"/>
              </w:rPr>
              <w:t>名称</w:t>
            </w:r>
          </w:p>
        </w:tc>
        <w:tc>
          <w:tcPr>
            <w:tcW w:w="2533" w:type="dxa"/>
            <w:tcBorders>
              <w:bottom w:val="single" w:color="auto" w:sz="4" w:space="0"/>
            </w:tcBorders>
            <w:shd w:val="clear" w:color="auto" w:fill="D9D9D9"/>
            <w:vAlign w:val="center"/>
          </w:tcPr>
          <w:p>
            <w:pPr>
              <w:adjustRightInd w:val="0"/>
              <w:snapToGrid w:val="0"/>
              <w:spacing w:line="440" w:lineRule="exact"/>
              <w:jc w:val="center"/>
              <w:rPr>
                <w:rFonts w:hAnsi="宋体" w:cs="宋体"/>
                <w:b/>
                <w:bCs/>
                <w:sz w:val="24"/>
                <w:szCs w:val="24"/>
              </w:rPr>
            </w:pPr>
            <w:r>
              <w:rPr>
                <w:rFonts w:hint="eastAsia" w:hAnsi="宋体" w:cs="宋体"/>
                <w:b/>
                <w:bCs/>
                <w:sz w:val="24"/>
                <w:szCs w:val="24"/>
              </w:rPr>
              <w:t>原用户需求主要条款描述</w:t>
            </w:r>
          </w:p>
        </w:tc>
        <w:tc>
          <w:tcPr>
            <w:tcW w:w="1735" w:type="dxa"/>
            <w:tcBorders>
              <w:bottom w:val="single" w:color="auto" w:sz="4" w:space="0"/>
            </w:tcBorders>
            <w:shd w:val="clear" w:color="auto" w:fill="D9D9D9"/>
            <w:vAlign w:val="center"/>
          </w:tcPr>
          <w:p>
            <w:pPr>
              <w:adjustRightInd w:val="0"/>
              <w:snapToGrid w:val="0"/>
              <w:spacing w:line="440" w:lineRule="exact"/>
              <w:jc w:val="center"/>
              <w:rPr>
                <w:rFonts w:hAnsi="宋体" w:cs="宋体"/>
                <w:b/>
                <w:bCs/>
                <w:sz w:val="24"/>
                <w:szCs w:val="24"/>
              </w:rPr>
            </w:pPr>
            <w:r>
              <w:rPr>
                <w:rFonts w:hint="eastAsia" w:hAnsi="宋体" w:cs="宋体"/>
                <w:b/>
                <w:bCs/>
                <w:sz w:val="24"/>
                <w:szCs w:val="24"/>
              </w:rPr>
              <w:t>供应商响应描述</w:t>
            </w:r>
          </w:p>
        </w:tc>
        <w:tc>
          <w:tcPr>
            <w:tcW w:w="2294" w:type="dxa"/>
            <w:tcBorders>
              <w:bottom w:val="single" w:color="auto" w:sz="4" w:space="0"/>
            </w:tcBorders>
            <w:shd w:val="clear" w:color="auto" w:fill="D9D9D9"/>
            <w:vAlign w:val="center"/>
          </w:tcPr>
          <w:p>
            <w:pPr>
              <w:adjustRightInd w:val="0"/>
              <w:snapToGrid w:val="0"/>
              <w:spacing w:line="440" w:lineRule="exact"/>
              <w:jc w:val="center"/>
              <w:rPr>
                <w:rFonts w:hAnsi="宋体" w:cs="宋体"/>
                <w:b/>
                <w:bCs/>
                <w:sz w:val="24"/>
                <w:szCs w:val="24"/>
              </w:rPr>
            </w:pPr>
            <w:r>
              <w:rPr>
                <w:rFonts w:hint="eastAsia" w:hAnsi="宋体" w:cs="宋体"/>
                <w:b/>
                <w:bCs/>
                <w:sz w:val="24"/>
                <w:szCs w:val="24"/>
              </w:rPr>
              <w:t>偏离情况说明</w:t>
            </w:r>
          </w:p>
          <w:p>
            <w:pPr>
              <w:adjustRightInd w:val="0"/>
              <w:snapToGrid w:val="0"/>
              <w:spacing w:line="440" w:lineRule="exact"/>
              <w:jc w:val="center"/>
              <w:rPr>
                <w:rFonts w:hAnsi="宋体" w:cs="宋体"/>
                <w:b/>
                <w:bCs/>
                <w:sz w:val="24"/>
                <w:szCs w:val="24"/>
              </w:rPr>
            </w:pPr>
            <w:r>
              <w:rPr>
                <w:rFonts w:hint="eastAsia" w:hAnsi="宋体" w:cs="宋体"/>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blHeader/>
        </w:trPr>
        <w:tc>
          <w:tcPr>
            <w:tcW w:w="647" w:type="dxa"/>
            <w:vAlign w:val="center"/>
          </w:tcPr>
          <w:p>
            <w:pPr>
              <w:spacing w:before="94" w:beforeLines="30" w:after="94" w:afterLines="30" w:line="440" w:lineRule="exact"/>
              <w:jc w:val="center"/>
              <w:rPr>
                <w:rFonts w:hAnsi="宋体" w:cs="宋体"/>
                <w:b/>
                <w:bCs/>
                <w:sz w:val="24"/>
                <w:szCs w:val="24"/>
              </w:rPr>
            </w:pPr>
            <w:r>
              <w:rPr>
                <w:rFonts w:hint="eastAsia" w:hAnsi="宋体" w:cs="宋体"/>
                <w:b/>
                <w:bCs/>
                <w:sz w:val="24"/>
                <w:szCs w:val="24"/>
              </w:rPr>
              <w:t>1</w:t>
            </w:r>
          </w:p>
        </w:tc>
        <w:tc>
          <w:tcPr>
            <w:tcW w:w="1331" w:type="dxa"/>
            <w:tcBorders>
              <w:left w:val="single" w:color="auto" w:sz="4" w:space="0"/>
            </w:tcBorders>
            <w:vAlign w:val="center"/>
          </w:tcPr>
          <w:p>
            <w:pPr>
              <w:adjustRightInd w:val="0"/>
              <w:snapToGrid w:val="0"/>
              <w:spacing w:before="94" w:beforeLines="30" w:after="94" w:afterLines="30" w:line="440" w:lineRule="exact"/>
              <w:jc w:val="center"/>
              <w:rPr>
                <w:rFonts w:hAnsi="宋体" w:cs="宋体"/>
                <w:sz w:val="24"/>
                <w:szCs w:val="24"/>
              </w:rPr>
            </w:pPr>
          </w:p>
        </w:tc>
        <w:tc>
          <w:tcPr>
            <w:tcW w:w="2533" w:type="dxa"/>
            <w:tcBorders>
              <w:left w:val="single" w:color="auto" w:sz="4" w:space="0"/>
            </w:tcBorders>
            <w:vAlign w:val="center"/>
          </w:tcPr>
          <w:p>
            <w:pPr>
              <w:adjustRightInd w:val="0"/>
              <w:snapToGrid w:val="0"/>
              <w:spacing w:before="94" w:beforeLines="30" w:after="94" w:afterLines="30" w:line="440" w:lineRule="exact"/>
              <w:jc w:val="center"/>
              <w:rPr>
                <w:rFonts w:hAnsi="宋体" w:cs="宋体"/>
                <w:sz w:val="24"/>
                <w:szCs w:val="24"/>
              </w:rPr>
            </w:pPr>
          </w:p>
        </w:tc>
        <w:tc>
          <w:tcPr>
            <w:tcW w:w="1735" w:type="dxa"/>
            <w:tcBorders>
              <w:left w:val="single" w:color="auto" w:sz="4" w:space="0"/>
            </w:tcBorders>
            <w:vAlign w:val="center"/>
          </w:tcPr>
          <w:p>
            <w:pPr>
              <w:adjustRightInd w:val="0"/>
              <w:snapToGrid w:val="0"/>
              <w:spacing w:before="94" w:beforeLines="30" w:after="94" w:afterLines="30" w:line="440" w:lineRule="exact"/>
              <w:jc w:val="center"/>
              <w:rPr>
                <w:rFonts w:hAnsi="宋体" w:cs="宋体"/>
                <w:sz w:val="24"/>
                <w:szCs w:val="24"/>
              </w:rPr>
            </w:pPr>
          </w:p>
        </w:tc>
        <w:tc>
          <w:tcPr>
            <w:tcW w:w="2294" w:type="dxa"/>
            <w:tcBorders>
              <w:left w:val="single" w:color="auto" w:sz="4" w:space="0"/>
            </w:tcBorders>
            <w:vAlign w:val="center"/>
          </w:tcPr>
          <w:p>
            <w:pPr>
              <w:adjustRightInd w:val="0"/>
              <w:snapToGrid w:val="0"/>
              <w:spacing w:before="94" w:beforeLines="30" w:after="94" w:afterLines="30" w:line="440" w:lineRule="exact"/>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blHeader/>
        </w:trPr>
        <w:tc>
          <w:tcPr>
            <w:tcW w:w="647" w:type="dxa"/>
            <w:vAlign w:val="center"/>
          </w:tcPr>
          <w:p>
            <w:pPr>
              <w:spacing w:before="94" w:beforeLines="30" w:after="94" w:afterLines="30" w:line="440" w:lineRule="exact"/>
              <w:jc w:val="center"/>
              <w:rPr>
                <w:rFonts w:hAnsi="宋体" w:cs="宋体"/>
                <w:b/>
                <w:bCs/>
                <w:sz w:val="24"/>
                <w:szCs w:val="24"/>
              </w:rPr>
            </w:pPr>
            <w:r>
              <w:rPr>
                <w:rFonts w:hint="eastAsia" w:hAnsi="宋体" w:cs="宋体"/>
                <w:b/>
                <w:bCs/>
                <w:sz w:val="24"/>
                <w:szCs w:val="24"/>
              </w:rPr>
              <w:t>2</w:t>
            </w:r>
          </w:p>
        </w:tc>
        <w:tc>
          <w:tcPr>
            <w:tcW w:w="1331" w:type="dxa"/>
            <w:tcBorders>
              <w:left w:val="single" w:color="auto" w:sz="4" w:space="0"/>
            </w:tcBorders>
            <w:vAlign w:val="center"/>
          </w:tcPr>
          <w:p>
            <w:pPr>
              <w:adjustRightInd w:val="0"/>
              <w:snapToGrid w:val="0"/>
              <w:spacing w:before="94" w:beforeLines="30" w:after="94" w:afterLines="30" w:line="440" w:lineRule="exact"/>
              <w:jc w:val="center"/>
              <w:rPr>
                <w:rFonts w:hAnsi="宋体" w:cs="宋体"/>
                <w:sz w:val="24"/>
                <w:szCs w:val="24"/>
              </w:rPr>
            </w:pPr>
          </w:p>
        </w:tc>
        <w:tc>
          <w:tcPr>
            <w:tcW w:w="2533" w:type="dxa"/>
            <w:tcBorders>
              <w:left w:val="single" w:color="auto" w:sz="4" w:space="0"/>
            </w:tcBorders>
            <w:vAlign w:val="center"/>
          </w:tcPr>
          <w:p>
            <w:pPr>
              <w:adjustRightInd w:val="0"/>
              <w:snapToGrid w:val="0"/>
              <w:spacing w:before="94" w:beforeLines="30" w:after="94" w:afterLines="30" w:line="440" w:lineRule="exact"/>
              <w:jc w:val="center"/>
              <w:rPr>
                <w:rFonts w:hAnsi="宋体" w:cs="宋体"/>
                <w:sz w:val="24"/>
                <w:szCs w:val="24"/>
              </w:rPr>
            </w:pPr>
          </w:p>
        </w:tc>
        <w:tc>
          <w:tcPr>
            <w:tcW w:w="1735" w:type="dxa"/>
            <w:tcBorders>
              <w:left w:val="single" w:color="auto" w:sz="4" w:space="0"/>
            </w:tcBorders>
            <w:vAlign w:val="center"/>
          </w:tcPr>
          <w:p>
            <w:pPr>
              <w:adjustRightInd w:val="0"/>
              <w:snapToGrid w:val="0"/>
              <w:spacing w:before="94" w:beforeLines="30" w:after="94" w:afterLines="30" w:line="440" w:lineRule="exact"/>
              <w:jc w:val="center"/>
              <w:rPr>
                <w:rFonts w:hAnsi="宋体" w:cs="宋体"/>
                <w:sz w:val="24"/>
                <w:szCs w:val="24"/>
              </w:rPr>
            </w:pPr>
          </w:p>
        </w:tc>
        <w:tc>
          <w:tcPr>
            <w:tcW w:w="2294" w:type="dxa"/>
            <w:tcBorders>
              <w:left w:val="single" w:color="auto" w:sz="4" w:space="0"/>
            </w:tcBorders>
            <w:vAlign w:val="center"/>
          </w:tcPr>
          <w:p>
            <w:pPr>
              <w:adjustRightInd w:val="0"/>
              <w:snapToGrid w:val="0"/>
              <w:spacing w:before="94" w:beforeLines="30" w:after="94" w:afterLines="30" w:line="440" w:lineRule="exact"/>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blHeader/>
        </w:trPr>
        <w:tc>
          <w:tcPr>
            <w:tcW w:w="647" w:type="dxa"/>
            <w:vAlign w:val="center"/>
          </w:tcPr>
          <w:p>
            <w:pPr>
              <w:spacing w:before="94" w:beforeLines="30" w:after="94" w:afterLines="30" w:line="440" w:lineRule="exact"/>
              <w:jc w:val="center"/>
              <w:rPr>
                <w:rFonts w:hAnsi="宋体" w:cs="宋体"/>
                <w:b/>
                <w:bCs/>
                <w:sz w:val="24"/>
                <w:szCs w:val="24"/>
              </w:rPr>
            </w:pPr>
            <w:r>
              <w:rPr>
                <w:rFonts w:hint="eastAsia" w:hAnsi="宋体" w:cs="宋体"/>
                <w:b/>
                <w:bCs/>
                <w:sz w:val="24"/>
                <w:szCs w:val="24"/>
              </w:rPr>
              <w:t>3</w:t>
            </w:r>
          </w:p>
        </w:tc>
        <w:tc>
          <w:tcPr>
            <w:tcW w:w="1331" w:type="dxa"/>
            <w:tcBorders>
              <w:left w:val="single" w:color="auto" w:sz="4" w:space="0"/>
            </w:tcBorders>
            <w:vAlign w:val="center"/>
          </w:tcPr>
          <w:p>
            <w:pPr>
              <w:adjustRightInd w:val="0"/>
              <w:snapToGrid w:val="0"/>
              <w:spacing w:before="94" w:beforeLines="30" w:after="94" w:afterLines="30" w:line="440" w:lineRule="exact"/>
              <w:jc w:val="center"/>
              <w:rPr>
                <w:rFonts w:hAnsi="宋体" w:cs="宋体"/>
                <w:sz w:val="24"/>
                <w:szCs w:val="24"/>
              </w:rPr>
            </w:pPr>
          </w:p>
        </w:tc>
        <w:tc>
          <w:tcPr>
            <w:tcW w:w="2533" w:type="dxa"/>
            <w:tcBorders>
              <w:left w:val="single" w:color="auto" w:sz="4" w:space="0"/>
            </w:tcBorders>
            <w:vAlign w:val="center"/>
          </w:tcPr>
          <w:p>
            <w:pPr>
              <w:adjustRightInd w:val="0"/>
              <w:snapToGrid w:val="0"/>
              <w:spacing w:before="94" w:beforeLines="30" w:after="94" w:afterLines="30" w:line="440" w:lineRule="exact"/>
              <w:jc w:val="center"/>
              <w:rPr>
                <w:rFonts w:hAnsi="宋体" w:cs="宋体"/>
                <w:sz w:val="24"/>
                <w:szCs w:val="24"/>
              </w:rPr>
            </w:pPr>
          </w:p>
        </w:tc>
        <w:tc>
          <w:tcPr>
            <w:tcW w:w="1735" w:type="dxa"/>
            <w:tcBorders>
              <w:left w:val="single" w:color="auto" w:sz="4" w:space="0"/>
            </w:tcBorders>
            <w:vAlign w:val="center"/>
          </w:tcPr>
          <w:p>
            <w:pPr>
              <w:adjustRightInd w:val="0"/>
              <w:snapToGrid w:val="0"/>
              <w:spacing w:before="94" w:beforeLines="30" w:after="94" w:afterLines="30" w:line="440" w:lineRule="exact"/>
              <w:jc w:val="center"/>
              <w:rPr>
                <w:rFonts w:hAnsi="宋体" w:cs="宋体"/>
                <w:sz w:val="24"/>
                <w:szCs w:val="24"/>
              </w:rPr>
            </w:pPr>
          </w:p>
        </w:tc>
        <w:tc>
          <w:tcPr>
            <w:tcW w:w="2294" w:type="dxa"/>
            <w:tcBorders>
              <w:left w:val="single" w:color="auto" w:sz="4" w:space="0"/>
            </w:tcBorders>
            <w:vAlign w:val="center"/>
          </w:tcPr>
          <w:p>
            <w:pPr>
              <w:adjustRightInd w:val="0"/>
              <w:snapToGrid w:val="0"/>
              <w:spacing w:before="94" w:beforeLines="30" w:after="94" w:afterLines="30" w:line="440" w:lineRule="exact"/>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blHeader/>
        </w:trPr>
        <w:tc>
          <w:tcPr>
            <w:tcW w:w="647" w:type="dxa"/>
            <w:vAlign w:val="center"/>
          </w:tcPr>
          <w:p>
            <w:pPr>
              <w:spacing w:before="94" w:beforeLines="30" w:after="94" w:afterLines="30" w:line="440" w:lineRule="exact"/>
              <w:jc w:val="center"/>
              <w:rPr>
                <w:rFonts w:hAnsi="宋体" w:cs="宋体"/>
                <w:b/>
                <w:bCs/>
                <w:sz w:val="24"/>
                <w:szCs w:val="24"/>
              </w:rPr>
            </w:pPr>
            <w:r>
              <w:rPr>
                <w:rFonts w:hint="eastAsia" w:hAnsi="宋体" w:cs="宋体"/>
                <w:b/>
                <w:bCs/>
                <w:sz w:val="24"/>
                <w:szCs w:val="24"/>
              </w:rPr>
              <w:t>4</w:t>
            </w:r>
          </w:p>
        </w:tc>
        <w:tc>
          <w:tcPr>
            <w:tcW w:w="1331" w:type="dxa"/>
            <w:tcBorders>
              <w:left w:val="single" w:color="auto" w:sz="4" w:space="0"/>
            </w:tcBorders>
            <w:vAlign w:val="center"/>
          </w:tcPr>
          <w:p>
            <w:pPr>
              <w:adjustRightInd w:val="0"/>
              <w:snapToGrid w:val="0"/>
              <w:spacing w:before="94" w:beforeLines="30" w:after="94" w:afterLines="30" w:line="440" w:lineRule="exact"/>
              <w:jc w:val="center"/>
              <w:rPr>
                <w:rFonts w:hAnsi="宋体" w:cs="宋体"/>
                <w:sz w:val="24"/>
                <w:szCs w:val="24"/>
              </w:rPr>
            </w:pPr>
          </w:p>
        </w:tc>
        <w:tc>
          <w:tcPr>
            <w:tcW w:w="2533" w:type="dxa"/>
            <w:tcBorders>
              <w:left w:val="single" w:color="auto" w:sz="4" w:space="0"/>
            </w:tcBorders>
            <w:vAlign w:val="center"/>
          </w:tcPr>
          <w:p>
            <w:pPr>
              <w:adjustRightInd w:val="0"/>
              <w:snapToGrid w:val="0"/>
              <w:spacing w:before="94" w:beforeLines="30" w:after="94" w:afterLines="30" w:line="440" w:lineRule="exact"/>
              <w:jc w:val="center"/>
              <w:rPr>
                <w:rFonts w:hAnsi="宋体" w:cs="宋体"/>
                <w:sz w:val="24"/>
                <w:szCs w:val="24"/>
              </w:rPr>
            </w:pPr>
          </w:p>
        </w:tc>
        <w:tc>
          <w:tcPr>
            <w:tcW w:w="1735" w:type="dxa"/>
            <w:tcBorders>
              <w:left w:val="single" w:color="auto" w:sz="4" w:space="0"/>
            </w:tcBorders>
            <w:vAlign w:val="center"/>
          </w:tcPr>
          <w:p>
            <w:pPr>
              <w:adjustRightInd w:val="0"/>
              <w:snapToGrid w:val="0"/>
              <w:spacing w:before="94" w:beforeLines="30" w:after="94" w:afterLines="30" w:line="440" w:lineRule="exact"/>
              <w:jc w:val="center"/>
              <w:rPr>
                <w:rFonts w:hAnsi="宋体" w:cs="宋体"/>
                <w:sz w:val="24"/>
                <w:szCs w:val="24"/>
              </w:rPr>
            </w:pPr>
          </w:p>
        </w:tc>
        <w:tc>
          <w:tcPr>
            <w:tcW w:w="2294" w:type="dxa"/>
            <w:tcBorders>
              <w:left w:val="single" w:color="auto" w:sz="4" w:space="0"/>
            </w:tcBorders>
            <w:vAlign w:val="center"/>
          </w:tcPr>
          <w:p>
            <w:pPr>
              <w:adjustRightInd w:val="0"/>
              <w:snapToGrid w:val="0"/>
              <w:spacing w:before="94" w:beforeLines="30" w:after="94" w:afterLines="30" w:line="440" w:lineRule="exact"/>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blHeader/>
        </w:trPr>
        <w:tc>
          <w:tcPr>
            <w:tcW w:w="647" w:type="dxa"/>
            <w:vAlign w:val="center"/>
          </w:tcPr>
          <w:p>
            <w:pPr>
              <w:spacing w:before="94" w:beforeLines="30" w:after="94" w:afterLines="30" w:line="440" w:lineRule="exact"/>
              <w:jc w:val="center"/>
              <w:rPr>
                <w:rFonts w:hAnsi="宋体" w:cs="宋体"/>
                <w:b/>
                <w:bCs/>
                <w:sz w:val="24"/>
                <w:szCs w:val="24"/>
              </w:rPr>
            </w:pPr>
            <w:r>
              <w:rPr>
                <w:rFonts w:hint="eastAsia" w:hAnsi="宋体" w:cs="宋体"/>
                <w:b/>
                <w:bCs/>
                <w:sz w:val="24"/>
                <w:szCs w:val="24"/>
              </w:rPr>
              <w:t>5</w:t>
            </w:r>
          </w:p>
        </w:tc>
        <w:tc>
          <w:tcPr>
            <w:tcW w:w="1331" w:type="dxa"/>
            <w:tcBorders>
              <w:left w:val="single" w:color="auto" w:sz="4" w:space="0"/>
            </w:tcBorders>
            <w:vAlign w:val="center"/>
          </w:tcPr>
          <w:p>
            <w:pPr>
              <w:adjustRightInd w:val="0"/>
              <w:snapToGrid w:val="0"/>
              <w:spacing w:before="94" w:beforeLines="30" w:after="94" w:afterLines="30" w:line="440" w:lineRule="exact"/>
              <w:jc w:val="center"/>
              <w:rPr>
                <w:rFonts w:hAnsi="宋体" w:cs="宋体"/>
                <w:sz w:val="24"/>
                <w:szCs w:val="24"/>
              </w:rPr>
            </w:pPr>
            <w:r>
              <w:rPr>
                <w:rFonts w:hint="eastAsia" w:hAnsi="宋体" w:cs="宋体"/>
                <w:sz w:val="24"/>
                <w:szCs w:val="24"/>
              </w:rPr>
              <w:t>…</w:t>
            </w:r>
          </w:p>
        </w:tc>
        <w:tc>
          <w:tcPr>
            <w:tcW w:w="2533" w:type="dxa"/>
            <w:tcBorders>
              <w:left w:val="single" w:color="auto" w:sz="4" w:space="0"/>
            </w:tcBorders>
            <w:vAlign w:val="center"/>
          </w:tcPr>
          <w:p>
            <w:pPr>
              <w:adjustRightInd w:val="0"/>
              <w:snapToGrid w:val="0"/>
              <w:spacing w:before="94" w:beforeLines="30" w:after="94" w:afterLines="30" w:line="440" w:lineRule="exact"/>
              <w:jc w:val="center"/>
              <w:rPr>
                <w:rFonts w:hAnsi="宋体" w:cs="宋体"/>
                <w:sz w:val="24"/>
                <w:szCs w:val="24"/>
              </w:rPr>
            </w:pPr>
          </w:p>
        </w:tc>
        <w:tc>
          <w:tcPr>
            <w:tcW w:w="1735" w:type="dxa"/>
            <w:tcBorders>
              <w:left w:val="single" w:color="auto" w:sz="4" w:space="0"/>
            </w:tcBorders>
            <w:vAlign w:val="center"/>
          </w:tcPr>
          <w:p>
            <w:pPr>
              <w:adjustRightInd w:val="0"/>
              <w:snapToGrid w:val="0"/>
              <w:spacing w:before="94" w:beforeLines="30" w:after="94" w:afterLines="30" w:line="440" w:lineRule="exact"/>
              <w:jc w:val="center"/>
              <w:rPr>
                <w:rFonts w:hAnsi="宋体" w:cs="宋体"/>
                <w:sz w:val="24"/>
                <w:szCs w:val="24"/>
              </w:rPr>
            </w:pPr>
          </w:p>
        </w:tc>
        <w:tc>
          <w:tcPr>
            <w:tcW w:w="2294" w:type="dxa"/>
            <w:tcBorders>
              <w:left w:val="single" w:color="auto" w:sz="4" w:space="0"/>
            </w:tcBorders>
            <w:vAlign w:val="center"/>
          </w:tcPr>
          <w:p>
            <w:pPr>
              <w:adjustRightInd w:val="0"/>
              <w:snapToGrid w:val="0"/>
              <w:spacing w:before="94" w:beforeLines="30" w:after="94" w:afterLines="30" w:line="440" w:lineRule="exact"/>
              <w:jc w:val="center"/>
              <w:rPr>
                <w:rFonts w:hAnsi="宋体" w:cs="宋体"/>
                <w:sz w:val="24"/>
                <w:szCs w:val="24"/>
              </w:rPr>
            </w:pPr>
          </w:p>
        </w:tc>
      </w:tr>
    </w:tbl>
    <w:p>
      <w:pPr>
        <w:spacing w:before="468" w:beforeLines="150" w:line="440" w:lineRule="exact"/>
        <w:ind w:firstLine="480" w:firstLineChars="200"/>
        <w:rPr>
          <w:rFonts w:hAnsi="宋体" w:cs="宋体"/>
          <w:sz w:val="24"/>
          <w:szCs w:val="24"/>
          <w:u w:val="single"/>
          <w:lang w:val="en-GB"/>
        </w:rPr>
      </w:pPr>
      <w:r>
        <w:rPr>
          <w:rFonts w:hint="eastAsia" w:hAnsi="宋体" w:cs="宋体"/>
          <w:sz w:val="24"/>
          <w:szCs w:val="24"/>
          <w:lang w:val="en-GB"/>
        </w:rPr>
        <w:t>供应商名称：</w:t>
      </w:r>
      <w:r>
        <w:rPr>
          <w:rFonts w:hint="eastAsia" w:hAnsi="宋体" w:cs="宋体"/>
          <w:sz w:val="24"/>
          <w:szCs w:val="24"/>
          <w:u w:val="single"/>
          <w:lang w:val="en-GB"/>
        </w:rPr>
        <w:t xml:space="preserve">     </w:t>
      </w:r>
      <w:r>
        <w:rPr>
          <w:rFonts w:hint="eastAsia" w:hAnsi="宋体" w:cs="宋体"/>
          <w:sz w:val="24"/>
          <w:szCs w:val="24"/>
          <w:u w:val="single"/>
        </w:rPr>
        <w:t xml:space="preserve">   </w:t>
      </w:r>
      <w:r>
        <w:rPr>
          <w:rFonts w:hint="eastAsia" w:hAnsi="宋体" w:cs="宋体"/>
          <w:sz w:val="24"/>
          <w:szCs w:val="24"/>
          <w:u w:val="single"/>
          <w:lang w:val="en-GB"/>
        </w:rPr>
        <w:t xml:space="preserve"> </w:t>
      </w:r>
      <w:r>
        <w:rPr>
          <w:rFonts w:hint="eastAsia" w:hAnsi="宋体" w:cs="宋体"/>
          <w:sz w:val="24"/>
          <w:szCs w:val="24"/>
          <w:u w:val="single"/>
        </w:rPr>
        <w:t xml:space="preserve"> </w:t>
      </w:r>
      <w:r>
        <w:rPr>
          <w:rFonts w:hint="eastAsia" w:hAnsi="宋体" w:cs="宋体"/>
          <w:sz w:val="24"/>
          <w:szCs w:val="24"/>
          <w:u w:val="single"/>
          <w:lang w:val="en-GB"/>
        </w:rPr>
        <w:t xml:space="preserve"> </w:t>
      </w:r>
      <w:r>
        <w:rPr>
          <w:rFonts w:hint="eastAsia" w:hAnsi="宋体" w:cs="宋体"/>
          <w:sz w:val="24"/>
          <w:szCs w:val="24"/>
          <w:u w:val="single"/>
        </w:rPr>
        <w:t xml:space="preserve">    </w:t>
      </w:r>
      <w:r>
        <w:rPr>
          <w:rFonts w:hint="eastAsia" w:hAnsi="宋体" w:cs="宋体"/>
          <w:sz w:val="24"/>
          <w:szCs w:val="24"/>
          <w:u w:val="single"/>
          <w:lang w:val="en-GB"/>
        </w:rPr>
        <w:t xml:space="preserve">      </w:t>
      </w:r>
      <w:r>
        <w:rPr>
          <w:rFonts w:hint="eastAsia" w:hAnsi="宋体" w:cs="宋体"/>
          <w:sz w:val="24"/>
          <w:szCs w:val="24"/>
          <w:u w:val="single"/>
        </w:rPr>
        <w:t xml:space="preserve"> </w:t>
      </w:r>
      <w:r>
        <w:rPr>
          <w:rFonts w:hint="eastAsia" w:hAnsi="宋体" w:cs="宋体"/>
          <w:sz w:val="24"/>
          <w:szCs w:val="24"/>
          <w:u w:val="single"/>
          <w:lang w:val="en-GB"/>
        </w:rPr>
        <w:t>（公章）</w:t>
      </w:r>
    </w:p>
    <w:p>
      <w:pPr>
        <w:spacing w:before="468" w:beforeLines="150" w:line="440" w:lineRule="exact"/>
        <w:ind w:firstLine="480" w:firstLineChars="200"/>
        <w:rPr>
          <w:rFonts w:hAnsi="宋体" w:cs="宋体"/>
          <w:sz w:val="24"/>
          <w:szCs w:val="24"/>
          <w:lang w:val="en-GB"/>
        </w:rPr>
      </w:pPr>
      <w:r>
        <w:rPr>
          <w:rFonts w:hint="eastAsia" w:hAnsi="宋体"/>
          <w:sz w:val="24"/>
          <w:szCs w:val="24"/>
        </w:rPr>
        <w:t>法定代表人或被授权人</w:t>
      </w:r>
      <w:r>
        <w:rPr>
          <w:rFonts w:hint="eastAsia" w:hAnsi="宋体" w:cs="宋体"/>
          <w:sz w:val="24"/>
          <w:szCs w:val="24"/>
          <w:lang w:val="en-GB"/>
        </w:rPr>
        <w:t>：</w:t>
      </w:r>
      <w:r>
        <w:rPr>
          <w:rFonts w:hint="eastAsia" w:hAnsi="宋体" w:cs="宋体"/>
          <w:sz w:val="24"/>
          <w:szCs w:val="24"/>
          <w:u w:val="single"/>
          <w:lang w:val="en-GB"/>
        </w:rPr>
        <w:t xml:space="preserve">    </w:t>
      </w:r>
      <w:r>
        <w:rPr>
          <w:rFonts w:hint="eastAsia" w:hAnsi="宋体" w:cs="宋体"/>
          <w:sz w:val="24"/>
          <w:szCs w:val="24"/>
          <w:u w:val="single"/>
        </w:rPr>
        <w:t xml:space="preserve">   </w:t>
      </w:r>
      <w:r>
        <w:rPr>
          <w:rFonts w:hint="eastAsia" w:hAnsi="宋体" w:cs="宋体"/>
          <w:sz w:val="24"/>
          <w:szCs w:val="24"/>
          <w:u w:val="single"/>
          <w:lang w:val="en-GB"/>
        </w:rPr>
        <w:t xml:space="preserve">   </w:t>
      </w:r>
      <w:r>
        <w:rPr>
          <w:rFonts w:hint="eastAsia" w:hAnsi="宋体" w:cs="宋体"/>
          <w:bCs/>
          <w:sz w:val="24"/>
          <w:szCs w:val="24"/>
          <w:u w:val="single"/>
          <w:lang w:val="en-GB"/>
        </w:rPr>
        <w:t>（签字或盖章）</w:t>
      </w:r>
    </w:p>
    <w:p>
      <w:pPr>
        <w:spacing w:before="156" w:beforeLines="50" w:after="156" w:afterLines="50" w:line="440" w:lineRule="exact"/>
        <w:ind w:firstLine="482" w:firstLineChars="200"/>
        <w:rPr>
          <w:rFonts w:hAnsi="宋体" w:cs="宋体"/>
          <w:b/>
          <w:bCs/>
          <w:sz w:val="24"/>
          <w:szCs w:val="24"/>
        </w:rPr>
      </w:pPr>
      <w:r>
        <w:rPr>
          <w:rFonts w:hint="eastAsia" w:hAnsi="宋体" w:cs="宋体"/>
          <w:b/>
          <w:bCs/>
          <w:sz w:val="24"/>
          <w:szCs w:val="24"/>
        </w:rPr>
        <w:t>注：</w:t>
      </w:r>
    </w:p>
    <w:p>
      <w:pPr>
        <w:spacing w:line="440" w:lineRule="exact"/>
        <w:ind w:firstLine="480" w:firstLineChars="200"/>
        <w:rPr>
          <w:rFonts w:hAnsi="宋体" w:cs="宋体"/>
          <w:sz w:val="24"/>
          <w:szCs w:val="24"/>
        </w:rPr>
      </w:pPr>
      <w:r>
        <w:rPr>
          <w:rFonts w:hint="eastAsia" w:hAnsi="宋体" w:cs="宋体"/>
          <w:sz w:val="24"/>
          <w:szCs w:val="24"/>
        </w:rPr>
        <w:t>1、此表为表样，行数可自行添加，但表式不变。</w:t>
      </w:r>
    </w:p>
    <w:p>
      <w:pPr>
        <w:tabs>
          <w:tab w:val="left" w:pos="11130"/>
        </w:tabs>
        <w:adjustRightInd w:val="0"/>
        <w:snapToGrid w:val="0"/>
        <w:spacing w:line="440" w:lineRule="exact"/>
        <w:ind w:firstLine="480" w:firstLineChars="200"/>
        <w:rPr>
          <w:rFonts w:hAnsi="宋体" w:cs="宋体"/>
          <w:sz w:val="24"/>
          <w:szCs w:val="24"/>
        </w:rPr>
      </w:pPr>
      <w:r>
        <w:rPr>
          <w:rFonts w:hint="eastAsia" w:hAnsi="宋体" w:cs="宋体"/>
          <w:sz w:val="24"/>
          <w:szCs w:val="24"/>
        </w:rPr>
        <w:t>2、说明：若供应商响应要求有偏离的，将相应偏离情况填写到《需求响应表》。若不填写该表（空白），或填写“无偏离”，则表示完全满足采购需求的要求；若供应商对本项目存在负偏离（不满足要求）的，请如实填写在偏离表中；</w:t>
      </w:r>
      <w:r>
        <w:rPr>
          <w:rFonts w:hint="eastAsia" w:hAnsi="宋体" w:cs="宋体"/>
          <w:sz w:val="24"/>
          <w:szCs w:val="24"/>
        </w:rPr>
        <w:tab/>
      </w:r>
    </w:p>
    <w:p>
      <w:pPr>
        <w:adjustRightInd w:val="0"/>
        <w:snapToGrid w:val="0"/>
        <w:spacing w:line="440" w:lineRule="exact"/>
        <w:ind w:firstLine="480" w:firstLineChars="200"/>
        <w:rPr>
          <w:rFonts w:hAnsi="宋体" w:cs="宋体"/>
          <w:sz w:val="24"/>
          <w:szCs w:val="24"/>
        </w:rPr>
      </w:pPr>
      <w:r>
        <w:rPr>
          <w:rFonts w:hint="eastAsia" w:hAnsi="宋体" w:cs="宋体"/>
          <w:sz w:val="24"/>
          <w:szCs w:val="24"/>
        </w:rPr>
        <w:t>3、供应商必须据实填写，不得虚假填写，否则将取消其投标或中标资格。</w:t>
      </w:r>
    </w:p>
    <w:p>
      <w:r>
        <w:br w:type="page"/>
      </w:r>
    </w:p>
    <w:p>
      <w:pPr>
        <w:adjustRightInd w:val="0"/>
        <w:snapToGrid w:val="0"/>
        <w:spacing w:line="440" w:lineRule="exact"/>
        <w:jc w:val="center"/>
        <w:outlineLvl w:val="2"/>
        <w:rPr>
          <w:rFonts w:hAnsi="宋体" w:cs="宋体"/>
          <w:sz w:val="24"/>
          <w:szCs w:val="24"/>
        </w:rPr>
      </w:pPr>
      <w:r>
        <w:rPr>
          <w:rFonts w:hint="eastAsia" w:hAnsi="宋体" w:cs="宋体"/>
          <w:b/>
          <w:bCs/>
          <w:szCs w:val="30"/>
        </w:rPr>
        <w:t>6.投标人基本情况</w:t>
      </w:r>
    </w:p>
    <w:tbl>
      <w:tblPr>
        <w:tblStyle w:val="22"/>
        <w:tblpPr w:leftFromText="180" w:rightFromText="180" w:vertAnchor="text" w:horzAnchor="page" w:tblpX="1247" w:tblpY="338"/>
        <w:tblOverlap w:val="never"/>
        <w:tblW w:w="97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43"/>
        <w:gridCol w:w="1417"/>
        <w:gridCol w:w="1276"/>
        <w:gridCol w:w="1162"/>
        <w:gridCol w:w="256"/>
        <w:gridCol w:w="1275"/>
        <w:gridCol w:w="625"/>
        <w:gridCol w:w="509"/>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1843" w:type="dxa"/>
            <w:tcBorders>
              <w:bottom w:val="single" w:color="000000" w:sz="6" w:space="0"/>
              <w:right w:val="single" w:color="000000" w:sz="6" w:space="0"/>
            </w:tcBorders>
            <w:vAlign w:val="center"/>
          </w:tcPr>
          <w:p>
            <w:pPr>
              <w:pStyle w:val="29"/>
              <w:spacing w:before="94" w:line="360" w:lineRule="auto"/>
              <w:ind w:right="190"/>
              <w:rPr>
                <w:color w:val="000000"/>
                <w:sz w:val="24"/>
                <w:szCs w:val="24"/>
              </w:rPr>
            </w:pPr>
            <w:r>
              <w:rPr>
                <w:rFonts w:hint="eastAsia"/>
                <w:color w:val="000000"/>
                <w:sz w:val="24"/>
                <w:szCs w:val="24"/>
                <w:lang w:val="en-US"/>
              </w:rPr>
              <w:t>供应商</w:t>
            </w:r>
            <w:r>
              <w:rPr>
                <w:rFonts w:hint="eastAsia"/>
                <w:color w:val="000000"/>
                <w:sz w:val="24"/>
                <w:szCs w:val="24"/>
              </w:rPr>
              <w:t>名称</w:t>
            </w:r>
          </w:p>
        </w:tc>
        <w:tc>
          <w:tcPr>
            <w:tcW w:w="7938" w:type="dxa"/>
            <w:gridSpan w:val="8"/>
            <w:tcBorders>
              <w:left w:val="single" w:color="000000" w:sz="6" w:space="0"/>
              <w:bottom w:val="single" w:color="000000" w:sz="6" w:space="0"/>
            </w:tcBorders>
            <w:vAlign w:val="center"/>
          </w:tcPr>
          <w:p>
            <w:pPr>
              <w:pStyle w:val="29"/>
              <w:spacing w:line="360" w:lineRule="auto"/>
              <w:ind w:firstLine="48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843" w:type="dxa"/>
            <w:tcBorders>
              <w:top w:val="single" w:color="000000" w:sz="6" w:space="0"/>
              <w:bottom w:val="single" w:color="000000" w:sz="6" w:space="0"/>
              <w:right w:val="single" w:color="000000" w:sz="6" w:space="0"/>
            </w:tcBorders>
            <w:vAlign w:val="center"/>
          </w:tcPr>
          <w:p>
            <w:pPr>
              <w:pStyle w:val="29"/>
              <w:spacing w:before="92" w:line="360" w:lineRule="auto"/>
              <w:ind w:right="190"/>
              <w:rPr>
                <w:color w:val="000000"/>
                <w:sz w:val="24"/>
                <w:szCs w:val="24"/>
              </w:rPr>
            </w:pPr>
            <w:r>
              <w:rPr>
                <w:rFonts w:hint="eastAsia"/>
                <w:color w:val="000000"/>
                <w:sz w:val="24"/>
                <w:szCs w:val="24"/>
              </w:rPr>
              <w:t>注册地址</w:t>
            </w:r>
          </w:p>
        </w:tc>
        <w:tc>
          <w:tcPr>
            <w:tcW w:w="3855" w:type="dxa"/>
            <w:gridSpan w:val="3"/>
            <w:tcBorders>
              <w:top w:val="single" w:color="000000" w:sz="6" w:space="0"/>
              <w:left w:val="single" w:color="000000" w:sz="6" w:space="0"/>
              <w:bottom w:val="single" w:color="000000" w:sz="6" w:space="0"/>
              <w:right w:val="single" w:color="000000" w:sz="6" w:space="0"/>
            </w:tcBorders>
            <w:vAlign w:val="center"/>
          </w:tcPr>
          <w:p>
            <w:pPr>
              <w:pStyle w:val="29"/>
              <w:spacing w:line="360" w:lineRule="auto"/>
              <w:ind w:firstLine="480"/>
              <w:rPr>
                <w:color w:val="000000"/>
                <w:sz w:val="24"/>
                <w:szCs w:val="24"/>
              </w:rPr>
            </w:pPr>
          </w:p>
        </w:tc>
        <w:tc>
          <w:tcPr>
            <w:tcW w:w="1531" w:type="dxa"/>
            <w:gridSpan w:val="2"/>
            <w:tcBorders>
              <w:top w:val="single" w:color="000000" w:sz="6" w:space="0"/>
              <w:left w:val="single" w:color="000000" w:sz="6" w:space="0"/>
              <w:bottom w:val="single" w:color="000000" w:sz="6" w:space="0"/>
              <w:right w:val="single" w:color="000000" w:sz="6" w:space="0"/>
            </w:tcBorders>
            <w:vAlign w:val="center"/>
          </w:tcPr>
          <w:p>
            <w:pPr>
              <w:pStyle w:val="29"/>
              <w:spacing w:before="92" w:line="360" w:lineRule="auto"/>
              <w:rPr>
                <w:color w:val="000000"/>
                <w:sz w:val="24"/>
                <w:szCs w:val="24"/>
              </w:rPr>
            </w:pPr>
            <w:r>
              <w:rPr>
                <w:rFonts w:hint="eastAsia"/>
                <w:color w:val="000000"/>
                <w:sz w:val="24"/>
                <w:szCs w:val="24"/>
              </w:rPr>
              <w:t>邮政编码</w:t>
            </w:r>
          </w:p>
        </w:tc>
        <w:tc>
          <w:tcPr>
            <w:tcW w:w="2552" w:type="dxa"/>
            <w:gridSpan w:val="3"/>
            <w:tcBorders>
              <w:top w:val="single" w:color="000000" w:sz="6" w:space="0"/>
              <w:left w:val="single" w:color="000000" w:sz="6" w:space="0"/>
              <w:bottom w:val="single" w:color="000000" w:sz="6" w:space="0"/>
            </w:tcBorders>
            <w:vAlign w:val="center"/>
          </w:tcPr>
          <w:p>
            <w:pPr>
              <w:pStyle w:val="29"/>
              <w:spacing w:line="360" w:lineRule="auto"/>
              <w:ind w:firstLine="48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1843" w:type="dxa"/>
            <w:vMerge w:val="restart"/>
            <w:tcBorders>
              <w:top w:val="single" w:color="000000" w:sz="6" w:space="0"/>
              <w:bottom w:val="single" w:color="000000" w:sz="6" w:space="0"/>
              <w:right w:val="single" w:color="000000" w:sz="6" w:space="0"/>
            </w:tcBorders>
            <w:vAlign w:val="center"/>
          </w:tcPr>
          <w:p>
            <w:pPr>
              <w:pStyle w:val="29"/>
              <w:spacing w:line="360" w:lineRule="auto"/>
              <w:ind w:firstLine="482"/>
              <w:rPr>
                <w:b/>
                <w:color w:val="000000"/>
                <w:sz w:val="24"/>
                <w:szCs w:val="24"/>
              </w:rPr>
            </w:pPr>
          </w:p>
          <w:p>
            <w:pPr>
              <w:pStyle w:val="29"/>
              <w:spacing w:before="141" w:line="360" w:lineRule="auto"/>
              <w:rPr>
                <w:color w:val="000000"/>
                <w:sz w:val="24"/>
                <w:szCs w:val="24"/>
              </w:rPr>
            </w:pPr>
            <w:r>
              <w:rPr>
                <w:rFonts w:hint="eastAsia"/>
                <w:color w:val="000000"/>
                <w:sz w:val="24"/>
                <w:szCs w:val="24"/>
              </w:rPr>
              <w:t>联系方式</w:t>
            </w:r>
          </w:p>
        </w:tc>
        <w:tc>
          <w:tcPr>
            <w:tcW w:w="1417" w:type="dxa"/>
            <w:tcBorders>
              <w:top w:val="single" w:color="000000" w:sz="6" w:space="0"/>
              <w:left w:val="single" w:color="000000" w:sz="6" w:space="0"/>
              <w:bottom w:val="single" w:color="000000" w:sz="6" w:space="0"/>
              <w:right w:val="single" w:color="000000" w:sz="6" w:space="0"/>
            </w:tcBorders>
            <w:vAlign w:val="center"/>
          </w:tcPr>
          <w:p>
            <w:pPr>
              <w:pStyle w:val="29"/>
              <w:spacing w:before="92" w:line="360" w:lineRule="auto"/>
              <w:ind w:left="280" w:right="275"/>
              <w:rPr>
                <w:color w:val="000000"/>
                <w:sz w:val="24"/>
                <w:szCs w:val="24"/>
              </w:rPr>
            </w:pPr>
            <w:r>
              <w:rPr>
                <w:rFonts w:hint="eastAsia"/>
                <w:color w:val="000000"/>
                <w:sz w:val="24"/>
                <w:szCs w:val="24"/>
              </w:rPr>
              <w:t>联系人</w:t>
            </w:r>
          </w:p>
        </w:tc>
        <w:tc>
          <w:tcPr>
            <w:tcW w:w="2438" w:type="dxa"/>
            <w:gridSpan w:val="2"/>
            <w:tcBorders>
              <w:top w:val="single" w:color="000000" w:sz="6" w:space="0"/>
              <w:left w:val="single" w:color="000000" w:sz="6" w:space="0"/>
              <w:bottom w:val="single" w:color="000000" w:sz="6" w:space="0"/>
              <w:right w:val="single" w:color="000000" w:sz="6" w:space="0"/>
            </w:tcBorders>
            <w:vAlign w:val="center"/>
          </w:tcPr>
          <w:p>
            <w:pPr>
              <w:pStyle w:val="29"/>
              <w:spacing w:line="360" w:lineRule="auto"/>
              <w:ind w:firstLine="480"/>
              <w:rPr>
                <w:color w:val="000000"/>
                <w:sz w:val="24"/>
                <w:szCs w:val="24"/>
              </w:rPr>
            </w:pPr>
          </w:p>
        </w:tc>
        <w:tc>
          <w:tcPr>
            <w:tcW w:w="1531" w:type="dxa"/>
            <w:gridSpan w:val="2"/>
            <w:tcBorders>
              <w:top w:val="single" w:color="000000" w:sz="6" w:space="0"/>
              <w:left w:val="single" w:color="000000" w:sz="6" w:space="0"/>
              <w:bottom w:val="single" w:color="000000" w:sz="6" w:space="0"/>
              <w:right w:val="single" w:color="000000" w:sz="6" w:space="0"/>
            </w:tcBorders>
            <w:vAlign w:val="center"/>
          </w:tcPr>
          <w:p>
            <w:pPr>
              <w:pStyle w:val="29"/>
              <w:spacing w:before="92" w:line="360" w:lineRule="auto"/>
              <w:ind w:right="545"/>
              <w:rPr>
                <w:color w:val="000000"/>
                <w:sz w:val="24"/>
                <w:szCs w:val="24"/>
              </w:rPr>
            </w:pPr>
            <w:r>
              <w:rPr>
                <w:rFonts w:hint="eastAsia"/>
                <w:color w:val="000000"/>
                <w:sz w:val="24"/>
                <w:szCs w:val="24"/>
              </w:rPr>
              <w:t>电话</w:t>
            </w:r>
          </w:p>
        </w:tc>
        <w:tc>
          <w:tcPr>
            <w:tcW w:w="2552" w:type="dxa"/>
            <w:gridSpan w:val="3"/>
            <w:tcBorders>
              <w:top w:val="single" w:color="000000" w:sz="6" w:space="0"/>
              <w:left w:val="single" w:color="000000" w:sz="6" w:space="0"/>
              <w:bottom w:val="single" w:color="000000" w:sz="6" w:space="0"/>
            </w:tcBorders>
            <w:vAlign w:val="center"/>
          </w:tcPr>
          <w:p>
            <w:pPr>
              <w:pStyle w:val="29"/>
              <w:spacing w:line="360" w:lineRule="auto"/>
              <w:ind w:firstLine="48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1843" w:type="dxa"/>
            <w:vMerge w:val="continue"/>
            <w:tcBorders>
              <w:top w:val="nil"/>
              <w:bottom w:val="single" w:color="000000" w:sz="6" w:space="0"/>
              <w:right w:val="single" w:color="000000" w:sz="6" w:space="0"/>
            </w:tcBorders>
            <w:vAlign w:val="center"/>
          </w:tcPr>
          <w:p/>
        </w:tc>
        <w:tc>
          <w:tcPr>
            <w:tcW w:w="1417" w:type="dxa"/>
            <w:tcBorders>
              <w:top w:val="single" w:color="000000" w:sz="6" w:space="0"/>
              <w:left w:val="single" w:color="000000" w:sz="6" w:space="0"/>
              <w:bottom w:val="single" w:color="000000" w:sz="6" w:space="0"/>
              <w:right w:val="single" w:color="000000" w:sz="6" w:space="0"/>
            </w:tcBorders>
            <w:vAlign w:val="center"/>
          </w:tcPr>
          <w:p>
            <w:pPr>
              <w:pStyle w:val="29"/>
              <w:spacing w:before="93" w:line="360" w:lineRule="auto"/>
              <w:ind w:left="276" w:right="275"/>
              <w:rPr>
                <w:color w:val="000000"/>
                <w:sz w:val="24"/>
                <w:szCs w:val="24"/>
              </w:rPr>
            </w:pPr>
            <w:r>
              <w:rPr>
                <w:rFonts w:hint="eastAsia"/>
                <w:color w:val="000000"/>
                <w:sz w:val="24"/>
                <w:szCs w:val="24"/>
              </w:rPr>
              <w:t>传真</w:t>
            </w:r>
          </w:p>
        </w:tc>
        <w:tc>
          <w:tcPr>
            <w:tcW w:w="2438" w:type="dxa"/>
            <w:gridSpan w:val="2"/>
            <w:tcBorders>
              <w:top w:val="single" w:color="000000" w:sz="6" w:space="0"/>
              <w:left w:val="single" w:color="000000" w:sz="6" w:space="0"/>
              <w:bottom w:val="single" w:color="000000" w:sz="6" w:space="0"/>
              <w:right w:val="single" w:color="000000" w:sz="6" w:space="0"/>
            </w:tcBorders>
            <w:vAlign w:val="center"/>
          </w:tcPr>
          <w:p>
            <w:pPr>
              <w:pStyle w:val="29"/>
              <w:spacing w:line="360" w:lineRule="auto"/>
              <w:ind w:firstLine="480"/>
              <w:rPr>
                <w:color w:val="000000"/>
                <w:sz w:val="24"/>
                <w:szCs w:val="24"/>
              </w:rPr>
            </w:pPr>
          </w:p>
        </w:tc>
        <w:tc>
          <w:tcPr>
            <w:tcW w:w="1531" w:type="dxa"/>
            <w:gridSpan w:val="2"/>
            <w:tcBorders>
              <w:top w:val="single" w:color="000000" w:sz="6" w:space="0"/>
              <w:left w:val="single" w:color="000000" w:sz="6" w:space="0"/>
              <w:bottom w:val="single" w:color="000000" w:sz="6" w:space="0"/>
              <w:right w:val="single" w:color="000000" w:sz="6" w:space="0"/>
            </w:tcBorders>
            <w:vAlign w:val="center"/>
          </w:tcPr>
          <w:p>
            <w:pPr>
              <w:pStyle w:val="29"/>
              <w:spacing w:before="93" w:line="360" w:lineRule="auto"/>
              <w:ind w:right="545"/>
              <w:rPr>
                <w:color w:val="000000"/>
                <w:sz w:val="24"/>
                <w:szCs w:val="24"/>
              </w:rPr>
            </w:pPr>
            <w:r>
              <w:rPr>
                <w:rFonts w:hint="eastAsia"/>
                <w:color w:val="000000"/>
                <w:sz w:val="24"/>
                <w:szCs w:val="24"/>
              </w:rPr>
              <w:t>网址</w:t>
            </w:r>
          </w:p>
        </w:tc>
        <w:tc>
          <w:tcPr>
            <w:tcW w:w="2552" w:type="dxa"/>
            <w:gridSpan w:val="3"/>
            <w:tcBorders>
              <w:top w:val="single" w:color="000000" w:sz="6" w:space="0"/>
              <w:left w:val="single" w:color="000000" w:sz="6" w:space="0"/>
              <w:bottom w:val="single" w:color="000000" w:sz="6" w:space="0"/>
            </w:tcBorders>
            <w:vAlign w:val="center"/>
          </w:tcPr>
          <w:p>
            <w:pPr>
              <w:pStyle w:val="29"/>
              <w:spacing w:line="360" w:lineRule="auto"/>
              <w:ind w:firstLine="48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843" w:type="dxa"/>
            <w:tcBorders>
              <w:top w:val="single" w:color="000000" w:sz="6" w:space="0"/>
              <w:bottom w:val="single" w:color="000000" w:sz="6" w:space="0"/>
              <w:right w:val="single" w:color="000000" w:sz="6" w:space="0"/>
            </w:tcBorders>
            <w:vAlign w:val="center"/>
          </w:tcPr>
          <w:p>
            <w:pPr>
              <w:pStyle w:val="29"/>
              <w:spacing w:before="92" w:line="360" w:lineRule="auto"/>
              <w:ind w:right="190"/>
              <w:rPr>
                <w:color w:val="000000"/>
                <w:sz w:val="24"/>
                <w:szCs w:val="24"/>
              </w:rPr>
            </w:pPr>
            <w:r>
              <w:rPr>
                <w:rFonts w:hint="eastAsia"/>
                <w:color w:val="000000"/>
                <w:sz w:val="24"/>
                <w:szCs w:val="24"/>
              </w:rPr>
              <w:t>法定代表人</w:t>
            </w:r>
          </w:p>
        </w:tc>
        <w:tc>
          <w:tcPr>
            <w:tcW w:w="1417" w:type="dxa"/>
            <w:tcBorders>
              <w:top w:val="single" w:color="000000" w:sz="6" w:space="0"/>
              <w:left w:val="single" w:color="000000" w:sz="6" w:space="0"/>
              <w:bottom w:val="single" w:color="000000" w:sz="6" w:space="0"/>
              <w:right w:val="single" w:color="000000" w:sz="6" w:space="0"/>
            </w:tcBorders>
            <w:vAlign w:val="center"/>
          </w:tcPr>
          <w:p>
            <w:pPr>
              <w:pStyle w:val="29"/>
              <w:spacing w:before="92" w:line="360" w:lineRule="auto"/>
              <w:ind w:left="276" w:right="275"/>
              <w:rPr>
                <w:color w:val="000000"/>
                <w:sz w:val="24"/>
                <w:szCs w:val="24"/>
              </w:rPr>
            </w:pPr>
            <w:r>
              <w:rPr>
                <w:rFonts w:hint="eastAsia"/>
                <w:color w:val="000000"/>
                <w:sz w:val="24"/>
                <w:szCs w:val="24"/>
              </w:rPr>
              <w:t>姓名</w:t>
            </w:r>
          </w:p>
        </w:tc>
        <w:tc>
          <w:tcPr>
            <w:tcW w:w="1276" w:type="dxa"/>
            <w:tcBorders>
              <w:top w:val="single" w:color="000000" w:sz="6" w:space="0"/>
              <w:left w:val="single" w:color="000000" w:sz="6" w:space="0"/>
              <w:bottom w:val="single" w:color="000000" w:sz="6" w:space="0"/>
              <w:right w:val="single" w:color="000000" w:sz="6" w:space="0"/>
            </w:tcBorders>
            <w:vAlign w:val="center"/>
          </w:tcPr>
          <w:p>
            <w:pPr>
              <w:pStyle w:val="29"/>
              <w:spacing w:line="360" w:lineRule="auto"/>
              <w:ind w:firstLine="480"/>
              <w:rPr>
                <w:color w:val="000000"/>
                <w:sz w:val="24"/>
                <w:szCs w:val="24"/>
              </w:rPr>
            </w:pPr>
          </w:p>
        </w:tc>
        <w:tc>
          <w:tcPr>
            <w:tcW w:w="1418" w:type="dxa"/>
            <w:gridSpan w:val="2"/>
            <w:tcBorders>
              <w:top w:val="single" w:color="000000" w:sz="6" w:space="0"/>
              <w:left w:val="single" w:color="000000" w:sz="6" w:space="0"/>
              <w:bottom w:val="single" w:color="000000" w:sz="6" w:space="0"/>
              <w:right w:val="single" w:color="000000" w:sz="6" w:space="0"/>
            </w:tcBorders>
            <w:vAlign w:val="center"/>
          </w:tcPr>
          <w:p>
            <w:pPr>
              <w:pStyle w:val="29"/>
              <w:spacing w:before="92" w:line="360" w:lineRule="auto"/>
              <w:rPr>
                <w:color w:val="000000"/>
                <w:sz w:val="24"/>
                <w:szCs w:val="24"/>
              </w:rPr>
            </w:pPr>
            <w:r>
              <w:rPr>
                <w:rFonts w:hint="eastAsia"/>
                <w:color w:val="000000"/>
                <w:sz w:val="24"/>
                <w:szCs w:val="24"/>
              </w:rPr>
              <w:t>技术职称</w:t>
            </w:r>
          </w:p>
        </w:tc>
        <w:tc>
          <w:tcPr>
            <w:tcW w:w="1275" w:type="dxa"/>
            <w:tcBorders>
              <w:top w:val="single" w:color="000000" w:sz="6" w:space="0"/>
              <w:left w:val="single" w:color="000000" w:sz="6" w:space="0"/>
              <w:bottom w:val="single" w:color="000000" w:sz="6" w:space="0"/>
              <w:right w:val="single" w:color="000000" w:sz="6" w:space="0"/>
            </w:tcBorders>
            <w:vAlign w:val="center"/>
          </w:tcPr>
          <w:p>
            <w:pPr>
              <w:pStyle w:val="29"/>
              <w:spacing w:line="360" w:lineRule="auto"/>
              <w:ind w:firstLine="480"/>
              <w:rPr>
                <w:color w:val="000000"/>
                <w:sz w:val="24"/>
                <w:szCs w:val="24"/>
              </w:rPr>
            </w:pPr>
          </w:p>
        </w:tc>
        <w:tc>
          <w:tcPr>
            <w:tcW w:w="1134" w:type="dxa"/>
            <w:gridSpan w:val="2"/>
            <w:tcBorders>
              <w:top w:val="single" w:color="000000" w:sz="6" w:space="0"/>
              <w:left w:val="single" w:color="000000" w:sz="6" w:space="0"/>
              <w:bottom w:val="single" w:color="000000" w:sz="6" w:space="0"/>
              <w:right w:val="single" w:color="000000" w:sz="6" w:space="0"/>
            </w:tcBorders>
            <w:vAlign w:val="center"/>
          </w:tcPr>
          <w:p>
            <w:pPr>
              <w:pStyle w:val="29"/>
              <w:spacing w:before="92" w:line="360" w:lineRule="auto"/>
              <w:rPr>
                <w:color w:val="000000"/>
                <w:sz w:val="24"/>
                <w:szCs w:val="24"/>
              </w:rPr>
            </w:pPr>
            <w:r>
              <w:rPr>
                <w:rFonts w:hint="eastAsia"/>
                <w:color w:val="000000"/>
                <w:sz w:val="24"/>
                <w:szCs w:val="24"/>
              </w:rPr>
              <w:t>电话</w:t>
            </w:r>
          </w:p>
        </w:tc>
        <w:tc>
          <w:tcPr>
            <w:tcW w:w="1418" w:type="dxa"/>
            <w:tcBorders>
              <w:top w:val="single" w:color="000000" w:sz="6" w:space="0"/>
              <w:left w:val="single" w:color="000000" w:sz="6" w:space="0"/>
              <w:bottom w:val="single" w:color="000000" w:sz="6" w:space="0"/>
            </w:tcBorders>
            <w:vAlign w:val="center"/>
          </w:tcPr>
          <w:p>
            <w:pPr>
              <w:pStyle w:val="29"/>
              <w:spacing w:line="360" w:lineRule="auto"/>
              <w:ind w:firstLine="48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1843" w:type="dxa"/>
            <w:tcBorders>
              <w:top w:val="single" w:color="000000" w:sz="6" w:space="0"/>
              <w:bottom w:val="single" w:color="000000" w:sz="6" w:space="0"/>
              <w:right w:val="single" w:color="000000" w:sz="6" w:space="0"/>
            </w:tcBorders>
            <w:vAlign w:val="center"/>
          </w:tcPr>
          <w:p>
            <w:pPr>
              <w:pStyle w:val="29"/>
              <w:spacing w:before="93" w:line="360" w:lineRule="auto"/>
              <w:ind w:right="190"/>
              <w:rPr>
                <w:color w:val="000000"/>
                <w:sz w:val="24"/>
                <w:szCs w:val="24"/>
              </w:rPr>
            </w:pPr>
            <w:r>
              <w:rPr>
                <w:rFonts w:hint="eastAsia"/>
                <w:color w:val="000000"/>
                <w:sz w:val="24"/>
                <w:szCs w:val="24"/>
              </w:rPr>
              <w:t>技术负责人</w:t>
            </w:r>
          </w:p>
        </w:tc>
        <w:tc>
          <w:tcPr>
            <w:tcW w:w="1417" w:type="dxa"/>
            <w:tcBorders>
              <w:top w:val="single" w:color="000000" w:sz="6" w:space="0"/>
              <w:left w:val="single" w:color="000000" w:sz="6" w:space="0"/>
              <w:bottom w:val="single" w:color="000000" w:sz="6" w:space="0"/>
              <w:right w:val="single" w:color="000000" w:sz="6" w:space="0"/>
            </w:tcBorders>
            <w:vAlign w:val="center"/>
          </w:tcPr>
          <w:p>
            <w:pPr>
              <w:pStyle w:val="29"/>
              <w:spacing w:before="93" w:line="360" w:lineRule="auto"/>
              <w:ind w:left="276" w:right="275"/>
              <w:rPr>
                <w:color w:val="000000"/>
                <w:sz w:val="24"/>
                <w:szCs w:val="24"/>
              </w:rPr>
            </w:pPr>
            <w:r>
              <w:rPr>
                <w:rFonts w:hint="eastAsia"/>
                <w:color w:val="000000"/>
                <w:sz w:val="24"/>
                <w:szCs w:val="24"/>
              </w:rPr>
              <w:t>姓名</w:t>
            </w:r>
          </w:p>
        </w:tc>
        <w:tc>
          <w:tcPr>
            <w:tcW w:w="1276" w:type="dxa"/>
            <w:tcBorders>
              <w:top w:val="single" w:color="000000" w:sz="6" w:space="0"/>
              <w:left w:val="single" w:color="000000" w:sz="6" w:space="0"/>
              <w:bottom w:val="single" w:color="000000" w:sz="6" w:space="0"/>
              <w:right w:val="single" w:color="000000" w:sz="6" w:space="0"/>
            </w:tcBorders>
            <w:vAlign w:val="center"/>
          </w:tcPr>
          <w:p>
            <w:pPr>
              <w:pStyle w:val="29"/>
              <w:spacing w:line="360" w:lineRule="auto"/>
              <w:ind w:firstLine="480"/>
              <w:rPr>
                <w:color w:val="000000"/>
                <w:sz w:val="24"/>
                <w:szCs w:val="24"/>
              </w:rPr>
            </w:pPr>
          </w:p>
        </w:tc>
        <w:tc>
          <w:tcPr>
            <w:tcW w:w="1418" w:type="dxa"/>
            <w:gridSpan w:val="2"/>
            <w:tcBorders>
              <w:top w:val="single" w:color="000000" w:sz="6" w:space="0"/>
              <w:left w:val="single" w:color="000000" w:sz="6" w:space="0"/>
              <w:bottom w:val="single" w:color="000000" w:sz="6" w:space="0"/>
              <w:right w:val="single" w:color="000000" w:sz="6" w:space="0"/>
            </w:tcBorders>
            <w:vAlign w:val="center"/>
          </w:tcPr>
          <w:p>
            <w:pPr>
              <w:pStyle w:val="29"/>
              <w:spacing w:before="93" w:line="360" w:lineRule="auto"/>
              <w:rPr>
                <w:color w:val="000000"/>
                <w:sz w:val="24"/>
                <w:szCs w:val="24"/>
              </w:rPr>
            </w:pPr>
            <w:r>
              <w:rPr>
                <w:rFonts w:hint="eastAsia"/>
                <w:color w:val="000000"/>
                <w:sz w:val="24"/>
                <w:szCs w:val="24"/>
              </w:rPr>
              <w:t>技术职称</w:t>
            </w:r>
          </w:p>
        </w:tc>
        <w:tc>
          <w:tcPr>
            <w:tcW w:w="1275" w:type="dxa"/>
            <w:tcBorders>
              <w:top w:val="single" w:color="000000" w:sz="6" w:space="0"/>
              <w:left w:val="single" w:color="000000" w:sz="6" w:space="0"/>
              <w:bottom w:val="single" w:color="000000" w:sz="6" w:space="0"/>
              <w:right w:val="single" w:color="000000" w:sz="6" w:space="0"/>
            </w:tcBorders>
            <w:vAlign w:val="center"/>
          </w:tcPr>
          <w:p>
            <w:pPr>
              <w:pStyle w:val="29"/>
              <w:spacing w:line="360" w:lineRule="auto"/>
              <w:ind w:firstLine="480"/>
              <w:rPr>
                <w:color w:val="000000"/>
                <w:sz w:val="24"/>
                <w:szCs w:val="24"/>
              </w:rPr>
            </w:pPr>
          </w:p>
        </w:tc>
        <w:tc>
          <w:tcPr>
            <w:tcW w:w="1134" w:type="dxa"/>
            <w:gridSpan w:val="2"/>
            <w:tcBorders>
              <w:top w:val="single" w:color="000000" w:sz="6" w:space="0"/>
              <w:left w:val="single" w:color="000000" w:sz="6" w:space="0"/>
              <w:bottom w:val="single" w:color="000000" w:sz="6" w:space="0"/>
              <w:right w:val="single" w:color="000000" w:sz="6" w:space="0"/>
            </w:tcBorders>
            <w:vAlign w:val="center"/>
          </w:tcPr>
          <w:p>
            <w:pPr>
              <w:pStyle w:val="29"/>
              <w:spacing w:before="93" w:line="360" w:lineRule="auto"/>
              <w:rPr>
                <w:color w:val="000000"/>
                <w:sz w:val="24"/>
                <w:szCs w:val="24"/>
              </w:rPr>
            </w:pPr>
            <w:r>
              <w:rPr>
                <w:rFonts w:hint="eastAsia"/>
                <w:color w:val="000000"/>
                <w:sz w:val="24"/>
                <w:szCs w:val="24"/>
              </w:rPr>
              <w:t>电话</w:t>
            </w:r>
          </w:p>
        </w:tc>
        <w:tc>
          <w:tcPr>
            <w:tcW w:w="1418" w:type="dxa"/>
            <w:tcBorders>
              <w:top w:val="single" w:color="000000" w:sz="6" w:space="0"/>
              <w:left w:val="single" w:color="000000" w:sz="6" w:space="0"/>
              <w:bottom w:val="single" w:color="000000" w:sz="6" w:space="0"/>
            </w:tcBorders>
            <w:vAlign w:val="center"/>
          </w:tcPr>
          <w:p>
            <w:pPr>
              <w:pStyle w:val="29"/>
              <w:spacing w:line="360" w:lineRule="auto"/>
              <w:ind w:firstLine="48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1843" w:type="dxa"/>
            <w:tcBorders>
              <w:top w:val="single" w:color="000000" w:sz="6" w:space="0"/>
              <w:bottom w:val="single" w:color="000000" w:sz="6" w:space="0"/>
              <w:right w:val="single" w:color="000000" w:sz="6" w:space="0"/>
            </w:tcBorders>
            <w:vAlign w:val="center"/>
          </w:tcPr>
          <w:p>
            <w:pPr>
              <w:pStyle w:val="29"/>
              <w:spacing w:before="94" w:line="360" w:lineRule="auto"/>
              <w:ind w:right="190"/>
              <w:rPr>
                <w:color w:val="000000"/>
                <w:sz w:val="24"/>
                <w:szCs w:val="24"/>
              </w:rPr>
            </w:pPr>
            <w:r>
              <w:rPr>
                <w:rFonts w:hint="eastAsia"/>
                <w:color w:val="000000"/>
                <w:sz w:val="24"/>
                <w:szCs w:val="24"/>
              </w:rPr>
              <w:t>成立时间</w:t>
            </w:r>
          </w:p>
        </w:tc>
        <w:tc>
          <w:tcPr>
            <w:tcW w:w="2693" w:type="dxa"/>
            <w:gridSpan w:val="2"/>
            <w:tcBorders>
              <w:top w:val="single" w:color="000000" w:sz="6" w:space="0"/>
              <w:left w:val="single" w:color="000000" w:sz="6" w:space="0"/>
              <w:bottom w:val="single" w:color="000000" w:sz="6" w:space="0"/>
              <w:right w:val="single" w:color="000000" w:sz="6" w:space="0"/>
            </w:tcBorders>
            <w:vAlign w:val="center"/>
          </w:tcPr>
          <w:p>
            <w:pPr>
              <w:pStyle w:val="29"/>
              <w:spacing w:line="360" w:lineRule="auto"/>
              <w:ind w:firstLine="480"/>
              <w:rPr>
                <w:color w:val="000000"/>
                <w:sz w:val="24"/>
                <w:szCs w:val="24"/>
              </w:rPr>
            </w:pPr>
          </w:p>
        </w:tc>
        <w:tc>
          <w:tcPr>
            <w:tcW w:w="5245" w:type="dxa"/>
            <w:gridSpan w:val="6"/>
            <w:tcBorders>
              <w:top w:val="single" w:color="000000" w:sz="6" w:space="0"/>
              <w:left w:val="single" w:color="000000" w:sz="6" w:space="0"/>
              <w:bottom w:val="single" w:color="000000" w:sz="6" w:space="0"/>
            </w:tcBorders>
            <w:vAlign w:val="center"/>
          </w:tcPr>
          <w:p>
            <w:pPr>
              <w:pStyle w:val="29"/>
              <w:spacing w:before="94" w:line="360" w:lineRule="auto"/>
              <w:ind w:right="2035" w:firstLine="480"/>
              <w:rPr>
                <w:color w:val="000000"/>
                <w:sz w:val="24"/>
                <w:szCs w:val="24"/>
              </w:rPr>
            </w:pPr>
            <w:r>
              <w:rPr>
                <w:rFonts w:hint="eastAsia"/>
                <w:color w:val="000000"/>
                <w:sz w:val="24"/>
                <w:szCs w:val="24"/>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1843" w:type="dxa"/>
            <w:tcBorders>
              <w:top w:val="single" w:color="000000" w:sz="6" w:space="0"/>
              <w:bottom w:val="single" w:color="000000" w:sz="6" w:space="0"/>
              <w:right w:val="single" w:color="000000" w:sz="6" w:space="0"/>
            </w:tcBorders>
            <w:vAlign w:val="center"/>
          </w:tcPr>
          <w:p>
            <w:pPr>
              <w:pStyle w:val="29"/>
              <w:spacing w:before="91" w:line="360" w:lineRule="auto"/>
              <w:ind w:right="190"/>
              <w:rPr>
                <w:color w:val="000000"/>
                <w:sz w:val="24"/>
                <w:szCs w:val="24"/>
              </w:rPr>
            </w:pPr>
            <w:r>
              <w:rPr>
                <w:rFonts w:hint="eastAsia"/>
                <w:color w:val="000000"/>
                <w:sz w:val="24"/>
                <w:szCs w:val="24"/>
              </w:rPr>
              <w:t>企业资质等级</w:t>
            </w:r>
          </w:p>
        </w:tc>
        <w:tc>
          <w:tcPr>
            <w:tcW w:w="2693" w:type="dxa"/>
            <w:gridSpan w:val="2"/>
            <w:tcBorders>
              <w:top w:val="single" w:color="000000" w:sz="6" w:space="0"/>
              <w:left w:val="single" w:color="000000" w:sz="6" w:space="0"/>
              <w:bottom w:val="single" w:color="000000" w:sz="6" w:space="0"/>
              <w:right w:val="single" w:color="000000" w:sz="6" w:space="0"/>
            </w:tcBorders>
            <w:vAlign w:val="center"/>
          </w:tcPr>
          <w:p>
            <w:pPr>
              <w:pStyle w:val="29"/>
              <w:spacing w:line="360" w:lineRule="auto"/>
              <w:ind w:firstLine="480"/>
              <w:rPr>
                <w:color w:val="000000"/>
                <w:sz w:val="24"/>
                <w:szCs w:val="24"/>
              </w:rPr>
            </w:pPr>
          </w:p>
        </w:tc>
        <w:tc>
          <w:tcPr>
            <w:tcW w:w="1418" w:type="dxa"/>
            <w:gridSpan w:val="2"/>
            <w:vMerge w:val="restart"/>
            <w:tcBorders>
              <w:top w:val="single" w:color="000000" w:sz="6" w:space="0"/>
              <w:left w:val="single" w:color="000000" w:sz="6" w:space="0"/>
              <w:bottom w:val="single" w:color="000000" w:sz="6" w:space="0"/>
              <w:right w:val="single" w:color="000000" w:sz="6" w:space="0"/>
            </w:tcBorders>
            <w:vAlign w:val="center"/>
          </w:tcPr>
          <w:p>
            <w:pPr>
              <w:pStyle w:val="29"/>
              <w:spacing w:line="360" w:lineRule="auto"/>
              <w:rPr>
                <w:b/>
                <w:color w:val="000000"/>
                <w:sz w:val="24"/>
                <w:szCs w:val="24"/>
              </w:rPr>
            </w:pPr>
          </w:p>
          <w:p>
            <w:pPr>
              <w:pStyle w:val="29"/>
              <w:spacing w:before="9" w:line="360" w:lineRule="auto"/>
              <w:ind w:firstLine="482"/>
              <w:rPr>
                <w:b/>
                <w:color w:val="000000"/>
                <w:sz w:val="24"/>
                <w:szCs w:val="24"/>
              </w:rPr>
            </w:pPr>
          </w:p>
          <w:p>
            <w:pPr>
              <w:pStyle w:val="29"/>
              <w:spacing w:line="360" w:lineRule="auto"/>
              <w:ind w:firstLine="473"/>
              <w:rPr>
                <w:color w:val="000000"/>
                <w:sz w:val="24"/>
                <w:szCs w:val="24"/>
              </w:rPr>
            </w:pPr>
            <w:r>
              <w:rPr>
                <w:rFonts w:hint="eastAsia"/>
                <w:color w:val="000000"/>
                <w:w w:val="99"/>
                <w:sz w:val="24"/>
                <w:szCs w:val="24"/>
              </w:rPr>
              <w:t>其</w:t>
            </w:r>
          </w:p>
          <w:p>
            <w:pPr>
              <w:pStyle w:val="29"/>
              <w:spacing w:line="360" w:lineRule="auto"/>
              <w:ind w:firstLine="482"/>
              <w:rPr>
                <w:b/>
                <w:color w:val="000000"/>
                <w:sz w:val="24"/>
                <w:szCs w:val="24"/>
              </w:rPr>
            </w:pPr>
          </w:p>
          <w:p>
            <w:pPr>
              <w:pStyle w:val="29"/>
              <w:spacing w:line="360" w:lineRule="auto"/>
              <w:ind w:firstLine="482"/>
              <w:rPr>
                <w:b/>
                <w:color w:val="000000"/>
                <w:sz w:val="24"/>
                <w:szCs w:val="24"/>
              </w:rPr>
            </w:pPr>
          </w:p>
          <w:p>
            <w:pPr>
              <w:pStyle w:val="29"/>
              <w:spacing w:before="3" w:line="360" w:lineRule="auto"/>
              <w:ind w:firstLine="482"/>
              <w:rPr>
                <w:b/>
                <w:color w:val="000000"/>
                <w:sz w:val="24"/>
                <w:szCs w:val="24"/>
              </w:rPr>
            </w:pPr>
          </w:p>
          <w:p>
            <w:pPr>
              <w:pStyle w:val="29"/>
              <w:spacing w:line="360" w:lineRule="auto"/>
              <w:ind w:firstLine="473"/>
              <w:rPr>
                <w:color w:val="000000"/>
                <w:sz w:val="24"/>
                <w:szCs w:val="24"/>
              </w:rPr>
            </w:pPr>
            <w:r>
              <w:rPr>
                <w:rFonts w:hint="eastAsia"/>
                <w:color w:val="000000"/>
                <w:w w:val="99"/>
                <w:sz w:val="24"/>
                <w:szCs w:val="24"/>
              </w:rPr>
              <w:t>中</w:t>
            </w:r>
          </w:p>
        </w:tc>
        <w:tc>
          <w:tcPr>
            <w:tcW w:w="1900" w:type="dxa"/>
            <w:gridSpan w:val="2"/>
            <w:tcBorders>
              <w:top w:val="single" w:color="000000" w:sz="6" w:space="0"/>
              <w:left w:val="single" w:color="000000" w:sz="6" w:space="0"/>
              <w:bottom w:val="single" w:color="000000" w:sz="6" w:space="0"/>
              <w:right w:val="single" w:color="000000" w:sz="6" w:space="0"/>
            </w:tcBorders>
            <w:vAlign w:val="center"/>
          </w:tcPr>
          <w:p>
            <w:pPr>
              <w:pStyle w:val="29"/>
              <w:spacing w:before="91" w:line="360" w:lineRule="auto"/>
              <w:rPr>
                <w:color w:val="000000"/>
                <w:sz w:val="24"/>
                <w:szCs w:val="24"/>
              </w:rPr>
            </w:pPr>
            <w:r>
              <w:rPr>
                <w:rFonts w:hint="eastAsia"/>
                <w:color w:val="000000"/>
                <w:sz w:val="24"/>
                <w:szCs w:val="24"/>
              </w:rPr>
              <w:t>注册工程师</w:t>
            </w:r>
          </w:p>
        </w:tc>
        <w:tc>
          <w:tcPr>
            <w:tcW w:w="1927" w:type="dxa"/>
            <w:gridSpan w:val="2"/>
            <w:tcBorders>
              <w:top w:val="single" w:color="000000" w:sz="6" w:space="0"/>
              <w:left w:val="single" w:color="000000" w:sz="6" w:space="0"/>
              <w:bottom w:val="single" w:color="000000" w:sz="6" w:space="0"/>
            </w:tcBorders>
            <w:vAlign w:val="center"/>
          </w:tcPr>
          <w:p>
            <w:pPr>
              <w:pStyle w:val="29"/>
              <w:spacing w:line="360" w:lineRule="auto"/>
              <w:ind w:firstLine="48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1843" w:type="dxa"/>
            <w:tcBorders>
              <w:top w:val="single" w:color="000000" w:sz="6" w:space="0"/>
              <w:bottom w:val="single" w:color="000000" w:sz="6" w:space="0"/>
              <w:right w:val="single" w:color="000000" w:sz="6" w:space="0"/>
            </w:tcBorders>
            <w:vAlign w:val="center"/>
          </w:tcPr>
          <w:p>
            <w:pPr>
              <w:pStyle w:val="29"/>
              <w:spacing w:before="92" w:line="360" w:lineRule="auto"/>
              <w:ind w:right="190"/>
              <w:rPr>
                <w:color w:val="000000"/>
                <w:sz w:val="24"/>
                <w:szCs w:val="24"/>
              </w:rPr>
            </w:pPr>
            <w:r>
              <w:rPr>
                <w:rFonts w:hint="eastAsia"/>
                <w:color w:val="000000"/>
                <w:sz w:val="24"/>
                <w:szCs w:val="24"/>
              </w:rPr>
              <w:t>营业执照号</w:t>
            </w:r>
          </w:p>
        </w:tc>
        <w:tc>
          <w:tcPr>
            <w:tcW w:w="2693" w:type="dxa"/>
            <w:gridSpan w:val="2"/>
            <w:tcBorders>
              <w:top w:val="single" w:color="000000" w:sz="6" w:space="0"/>
              <w:left w:val="single" w:color="000000" w:sz="6" w:space="0"/>
              <w:bottom w:val="single" w:color="000000" w:sz="6" w:space="0"/>
              <w:right w:val="single" w:color="000000" w:sz="6" w:space="0"/>
            </w:tcBorders>
            <w:vAlign w:val="center"/>
          </w:tcPr>
          <w:p>
            <w:pPr>
              <w:pStyle w:val="29"/>
              <w:spacing w:line="360" w:lineRule="auto"/>
              <w:ind w:firstLine="480"/>
              <w:rPr>
                <w:color w:val="000000"/>
                <w:sz w:val="24"/>
                <w:szCs w:val="24"/>
              </w:rPr>
            </w:pPr>
          </w:p>
        </w:tc>
        <w:tc>
          <w:tcPr>
            <w:tcW w:w="1418" w:type="dxa"/>
            <w:gridSpan w:val="2"/>
            <w:vMerge w:val="continue"/>
            <w:tcBorders>
              <w:top w:val="nil"/>
              <w:left w:val="single" w:color="000000" w:sz="6" w:space="0"/>
              <w:bottom w:val="single" w:color="000000" w:sz="6" w:space="0"/>
              <w:right w:val="single" w:color="000000" w:sz="6" w:space="0"/>
            </w:tcBorders>
            <w:vAlign w:val="center"/>
          </w:tcPr>
          <w:p/>
        </w:tc>
        <w:tc>
          <w:tcPr>
            <w:tcW w:w="1900" w:type="dxa"/>
            <w:gridSpan w:val="2"/>
            <w:tcBorders>
              <w:top w:val="single" w:color="000000" w:sz="6" w:space="0"/>
              <w:left w:val="single" w:color="000000" w:sz="6" w:space="0"/>
              <w:bottom w:val="single" w:color="000000" w:sz="6" w:space="0"/>
              <w:right w:val="single" w:color="000000" w:sz="6" w:space="0"/>
            </w:tcBorders>
            <w:vAlign w:val="center"/>
          </w:tcPr>
          <w:p>
            <w:pPr>
              <w:pStyle w:val="29"/>
              <w:spacing w:before="92" w:line="360" w:lineRule="auto"/>
              <w:rPr>
                <w:color w:val="000000"/>
                <w:sz w:val="24"/>
                <w:szCs w:val="24"/>
              </w:rPr>
            </w:pPr>
            <w:r>
              <w:rPr>
                <w:rFonts w:hint="eastAsia"/>
                <w:color w:val="000000"/>
                <w:sz w:val="24"/>
                <w:szCs w:val="24"/>
              </w:rPr>
              <w:t>高级职称人员</w:t>
            </w:r>
          </w:p>
        </w:tc>
        <w:tc>
          <w:tcPr>
            <w:tcW w:w="1927" w:type="dxa"/>
            <w:gridSpan w:val="2"/>
            <w:tcBorders>
              <w:top w:val="single" w:color="000000" w:sz="6" w:space="0"/>
              <w:left w:val="single" w:color="000000" w:sz="6" w:space="0"/>
              <w:bottom w:val="single" w:color="000000" w:sz="6" w:space="0"/>
            </w:tcBorders>
            <w:vAlign w:val="center"/>
          </w:tcPr>
          <w:p>
            <w:pPr>
              <w:pStyle w:val="29"/>
              <w:spacing w:line="360" w:lineRule="auto"/>
              <w:ind w:firstLine="48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1843" w:type="dxa"/>
            <w:tcBorders>
              <w:top w:val="single" w:color="000000" w:sz="6" w:space="0"/>
              <w:bottom w:val="single" w:color="000000" w:sz="6" w:space="0"/>
              <w:right w:val="single" w:color="000000" w:sz="6" w:space="0"/>
            </w:tcBorders>
            <w:vAlign w:val="center"/>
          </w:tcPr>
          <w:p>
            <w:pPr>
              <w:pStyle w:val="29"/>
              <w:spacing w:before="92" w:line="360" w:lineRule="auto"/>
              <w:ind w:right="190"/>
              <w:rPr>
                <w:color w:val="000000"/>
                <w:sz w:val="24"/>
                <w:szCs w:val="24"/>
              </w:rPr>
            </w:pPr>
            <w:r>
              <w:rPr>
                <w:rFonts w:hint="eastAsia"/>
                <w:color w:val="000000"/>
                <w:sz w:val="24"/>
                <w:szCs w:val="24"/>
              </w:rPr>
              <w:t>注册资金</w:t>
            </w:r>
          </w:p>
        </w:tc>
        <w:tc>
          <w:tcPr>
            <w:tcW w:w="2693" w:type="dxa"/>
            <w:gridSpan w:val="2"/>
            <w:tcBorders>
              <w:top w:val="single" w:color="000000" w:sz="6" w:space="0"/>
              <w:left w:val="single" w:color="000000" w:sz="6" w:space="0"/>
              <w:bottom w:val="single" w:color="000000" w:sz="6" w:space="0"/>
              <w:right w:val="single" w:color="000000" w:sz="6" w:space="0"/>
            </w:tcBorders>
            <w:vAlign w:val="center"/>
          </w:tcPr>
          <w:p>
            <w:pPr>
              <w:pStyle w:val="29"/>
              <w:spacing w:line="360" w:lineRule="auto"/>
              <w:ind w:firstLine="480"/>
              <w:rPr>
                <w:color w:val="000000"/>
                <w:sz w:val="24"/>
                <w:szCs w:val="24"/>
              </w:rPr>
            </w:pPr>
          </w:p>
        </w:tc>
        <w:tc>
          <w:tcPr>
            <w:tcW w:w="1418" w:type="dxa"/>
            <w:gridSpan w:val="2"/>
            <w:vMerge w:val="continue"/>
            <w:tcBorders>
              <w:top w:val="nil"/>
              <w:left w:val="single" w:color="000000" w:sz="6" w:space="0"/>
              <w:bottom w:val="single" w:color="000000" w:sz="6" w:space="0"/>
              <w:right w:val="single" w:color="000000" w:sz="6" w:space="0"/>
            </w:tcBorders>
            <w:vAlign w:val="center"/>
          </w:tcPr>
          <w:p/>
        </w:tc>
        <w:tc>
          <w:tcPr>
            <w:tcW w:w="1900" w:type="dxa"/>
            <w:gridSpan w:val="2"/>
            <w:tcBorders>
              <w:top w:val="single" w:color="000000" w:sz="6" w:space="0"/>
              <w:left w:val="single" w:color="000000" w:sz="6" w:space="0"/>
              <w:bottom w:val="single" w:color="000000" w:sz="6" w:space="0"/>
              <w:right w:val="single" w:color="000000" w:sz="6" w:space="0"/>
            </w:tcBorders>
            <w:vAlign w:val="center"/>
          </w:tcPr>
          <w:p>
            <w:pPr>
              <w:pStyle w:val="29"/>
              <w:spacing w:before="92" w:line="360" w:lineRule="auto"/>
              <w:rPr>
                <w:color w:val="000000"/>
                <w:sz w:val="24"/>
                <w:szCs w:val="24"/>
              </w:rPr>
            </w:pPr>
            <w:r>
              <w:rPr>
                <w:rFonts w:hint="eastAsia"/>
                <w:color w:val="000000"/>
                <w:sz w:val="24"/>
                <w:szCs w:val="24"/>
              </w:rPr>
              <w:t>中级职称人员</w:t>
            </w:r>
          </w:p>
        </w:tc>
        <w:tc>
          <w:tcPr>
            <w:tcW w:w="1927" w:type="dxa"/>
            <w:gridSpan w:val="2"/>
            <w:tcBorders>
              <w:top w:val="single" w:color="000000" w:sz="6" w:space="0"/>
              <w:left w:val="single" w:color="000000" w:sz="6" w:space="0"/>
              <w:bottom w:val="single" w:color="000000" w:sz="6" w:space="0"/>
            </w:tcBorders>
            <w:vAlign w:val="center"/>
          </w:tcPr>
          <w:p>
            <w:pPr>
              <w:pStyle w:val="29"/>
              <w:spacing w:line="360" w:lineRule="auto"/>
              <w:ind w:firstLine="48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7" w:hRule="atLeast"/>
        </w:trPr>
        <w:tc>
          <w:tcPr>
            <w:tcW w:w="1843" w:type="dxa"/>
            <w:tcBorders>
              <w:top w:val="single" w:color="000000" w:sz="6" w:space="0"/>
              <w:bottom w:val="single" w:color="000000" w:sz="6" w:space="0"/>
              <w:right w:val="single" w:color="000000" w:sz="6" w:space="0"/>
            </w:tcBorders>
            <w:vAlign w:val="center"/>
          </w:tcPr>
          <w:p>
            <w:pPr>
              <w:pStyle w:val="29"/>
              <w:spacing w:line="360" w:lineRule="auto"/>
              <w:ind w:right="190"/>
              <w:rPr>
                <w:color w:val="000000"/>
                <w:sz w:val="24"/>
                <w:szCs w:val="24"/>
              </w:rPr>
            </w:pPr>
            <w:r>
              <w:rPr>
                <w:rFonts w:hint="eastAsia"/>
                <w:color w:val="000000"/>
                <w:sz w:val="24"/>
                <w:szCs w:val="24"/>
              </w:rPr>
              <w:t>开户银行</w:t>
            </w:r>
          </w:p>
        </w:tc>
        <w:tc>
          <w:tcPr>
            <w:tcW w:w="2693" w:type="dxa"/>
            <w:gridSpan w:val="2"/>
            <w:tcBorders>
              <w:top w:val="single" w:color="000000" w:sz="6" w:space="0"/>
              <w:left w:val="single" w:color="000000" w:sz="6" w:space="0"/>
              <w:bottom w:val="single" w:color="000000" w:sz="6" w:space="0"/>
              <w:right w:val="single" w:color="000000" w:sz="6" w:space="0"/>
            </w:tcBorders>
            <w:vAlign w:val="center"/>
          </w:tcPr>
          <w:p>
            <w:pPr>
              <w:pStyle w:val="29"/>
              <w:spacing w:line="360" w:lineRule="auto"/>
              <w:ind w:firstLine="480"/>
              <w:rPr>
                <w:color w:val="000000"/>
                <w:sz w:val="24"/>
                <w:szCs w:val="24"/>
              </w:rPr>
            </w:pPr>
          </w:p>
        </w:tc>
        <w:tc>
          <w:tcPr>
            <w:tcW w:w="1418" w:type="dxa"/>
            <w:gridSpan w:val="2"/>
            <w:vMerge w:val="continue"/>
            <w:tcBorders>
              <w:top w:val="nil"/>
              <w:left w:val="single" w:color="000000" w:sz="6" w:space="0"/>
              <w:bottom w:val="single" w:color="000000" w:sz="6" w:space="0"/>
              <w:right w:val="single" w:color="000000" w:sz="6" w:space="0"/>
            </w:tcBorders>
            <w:vAlign w:val="center"/>
          </w:tcPr>
          <w:p/>
        </w:tc>
        <w:tc>
          <w:tcPr>
            <w:tcW w:w="1900" w:type="dxa"/>
            <w:gridSpan w:val="2"/>
            <w:tcBorders>
              <w:top w:val="single" w:color="000000" w:sz="6" w:space="0"/>
              <w:left w:val="single" w:color="000000" w:sz="6" w:space="0"/>
              <w:bottom w:val="single" w:color="000000" w:sz="6" w:space="0"/>
              <w:right w:val="single" w:color="000000" w:sz="6" w:space="0"/>
            </w:tcBorders>
            <w:vAlign w:val="center"/>
          </w:tcPr>
          <w:p>
            <w:pPr>
              <w:pStyle w:val="29"/>
              <w:spacing w:line="360" w:lineRule="auto"/>
              <w:rPr>
                <w:color w:val="000000"/>
                <w:sz w:val="24"/>
                <w:szCs w:val="24"/>
              </w:rPr>
            </w:pPr>
            <w:r>
              <w:rPr>
                <w:rFonts w:hint="eastAsia"/>
                <w:color w:val="000000"/>
                <w:sz w:val="24"/>
                <w:szCs w:val="24"/>
              </w:rPr>
              <w:t>初级职称人员</w:t>
            </w:r>
          </w:p>
        </w:tc>
        <w:tc>
          <w:tcPr>
            <w:tcW w:w="1927" w:type="dxa"/>
            <w:gridSpan w:val="2"/>
            <w:tcBorders>
              <w:top w:val="single" w:color="000000" w:sz="6" w:space="0"/>
              <w:left w:val="single" w:color="000000" w:sz="6" w:space="0"/>
              <w:bottom w:val="single" w:color="000000" w:sz="6" w:space="0"/>
            </w:tcBorders>
            <w:vAlign w:val="center"/>
          </w:tcPr>
          <w:p>
            <w:pPr>
              <w:pStyle w:val="29"/>
              <w:spacing w:line="360" w:lineRule="auto"/>
              <w:ind w:firstLine="48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1843" w:type="dxa"/>
            <w:tcBorders>
              <w:top w:val="single" w:color="000000" w:sz="6" w:space="0"/>
              <w:bottom w:val="single" w:color="000000" w:sz="6" w:space="0"/>
              <w:right w:val="single" w:color="000000" w:sz="6" w:space="0"/>
            </w:tcBorders>
            <w:vAlign w:val="center"/>
          </w:tcPr>
          <w:p>
            <w:pPr>
              <w:pStyle w:val="29"/>
              <w:spacing w:before="1" w:line="360" w:lineRule="auto"/>
              <w:ind w:right="190"/>
              <w:rPr>
                <w:color w:val="000000"/>
                <w:sz w:val="24"/>
                <w:szCs w:val="24"/>
              </w:rPr>
            </w:pPr>
            <w:r>
              <w:rPr>
                <w:rFonts w:hint="eastAsia"/>
                <w:color w:val="000000"/>
                <w:sz w:val="24"/>
                <w:szCs w:val="24"/>
              </w:rPr>
              <w:t>账号</w:t>
            </w:r>
          </w:p>
        </w:tc>
        <w:tc>
          <w:tcPr>
            <w:tcW w:w="2693" w:type="dxa"/>
            <w:gridSpan w:val="2"/>
            <w:tcBorders>
              <w:top w:val="single" w:color="000000" w:sz="6" w:space="0"/>
              <w:left w:val="single" w:color="000000" w:sz="6" w:space="0"/>
              <w:bottom w:val="single" w:color="000000" w:sz="6" w:space="0"/>
              <w:right w:val="single" w:color="000000" w:sz="6" w:space="0"/>
            </w:tcBorders>
            <w:vAlign w:val="center"/>
          </w:tcPr>
          <w:p>
            <w:pPr>
              <w:pStyle w:val="29"/>
              <w:spacing w:line="360" w:lineRule="auto"/>
              <w:ind w:firstLine="480"/>
              <w:rPr>
                <w:color w:val="000000"/>
                <w:sz w:val="24"/>
                <w:szCs w:val="24"/>
              </w:rPr>
            </w:pPr>
          </w:p>
        </w:tc>
        <w:tc>
          <w:tcPr>
            <w:tcW w:w="1418" w:type="dxa"/>
            <w:gridSpan w:val="2"/>
            <w:vMerge w:val="continue"/>
            <w:tcBorders>
              <w:top w:val="nil"/>
              <w:left w:val="single" w:color="000000" w:sz="6" w:space="0"/>
              <w:bottom w:val="single" w:color="000000" w:sz="6" w:space="0"/>
              <w:right w:val="single" w:color="000000" w:sz="6" w:space="0"/>
            </w:tcBorders>
            <w:vAlign w:val="center"/>
          </w:tcPr>
          <w:p/>
        </w:tc>
        <w:tc>
          <w:tcPr>
            <w:tcW w:w="1900" w:type="dxa"/>
            <w:gridSpan w:val="2"/>
            <w:tcBorders>
              <w:top w:val="single" w:color="000000" w:sz="6" w:space="0"/>
              <w:left w:val="single" w:color="000000" w:sz="6" w:space="0"/>
              <w:bottom w:val="single" w:color="000000" w:sz="6" w:space="0"/>
              <w:right w:val="single" w:color="000000" w:sz="6" w:space="0"/>
            </w:tcBorders>
            <w:vAlign w:val="center"/>
          </w:tcPr>
          <w:p>
            <w:pPr>
              <w:pStyle w:val="29"/>
              <w:spacing w:before="1" w:line="360" w:lineRule="auto"/>
              <w:ind w:right="766"/>
              <w:rPr>
                <w:color w:val="000000"/>
                <w:sz w:val="24"/>
                <w:szCs w:val="24"/>
              </w:rPr>
            </w:pPr>
            <w:r>
              <w:rPr>
                <w:rFonts w:hint="eastAsia"/>
                <w:color w:val="000000"/>
                <w:sz w:val="24"/>
                <w:szCs w:val="24"/>
              </w:rPr>
              <w:t>技工</w:t>
            </w:r>
          </w:p>
        </w:tc>
        <w:tc>
          <w:tcPr>
            <w:tcW w:w="1927" w:type="dxa"/>
            <w:gridSpan w:val="2"/>
            <w:tcBorders>
              <w:top w:val="single" w:color="000000" w:sz="6" w:space="0"/>
              <w:left w:val="single" w:color="000000" w:sz="6" w:space="0"/>
              <w:bottom w:val="single" w:color="000000" w:sz="6" w:space="0"/>
            </w:tcBorders>
            <w:vAlign w:val="center"/>
          </w:tcPr>
          <w:p>
            <w:pPr>
              <w:pStyle w:val="29"/>
              <w:spacing w:line="360" w:lineRule="auto"/>
              <w:ind w:firstLine="48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9" w:hRule="atLeast"/>
        </w:trPr>
        <w:tc>
          <w:tcPr>
            <w:tcW w:w="1843" w:type="dxa"/>
            <w:tcBorders>
              <w:top w:val="single" w:color="000000" w:sz="6" w:space="0"/>
              <w:bottom w:val="single" w:color="000000" w:sz="6" w:space="0"/>
              <w:right w:val="single" w:color="000000" w:sz="6" w:space="0"/>
            </w:tcBorders>
            <w:vAlign w:val="center"/>
          </w:tcPr>
          <w:p>
            <w:pPr>
              <w:pStyle w:val="29"/>
              <w:spacing w:line="360" w:lineRule="auto"/>
              <w:ind w:firstLine="482"/>
              <w:rPr>
                <w:b/>
                <w:color w:val="000000"/>
                <w:sz w:val="24"/>
                <w:szCs w:val="24"/>
              </w:rPr>
            </w:pPr>
          </w:p>
          <w:p>
            <w:pPr>
              <w:pStyle w:val="29"/>
              <w:spacing w:before="6" w:line="360" w:lineRule="auto"/>
              <w:ind w:firstLine="482"/>
              <w:rPr>
                <w:b/>
                <w:color w:val="000000"/>
                <w:sz w:val="24"/>
                <w:szCs w:val="24"/>
              </w:rPr>
            </w:pPr>
          </w:p>
          <w:p>
            <w:pPr>
              <w:pStyle w:val="29"/>
              <w:spacing w:line="360" w:lineRule="auto"/>
              <w:ind w:right="190"/>
              <w:rPr>
                <w:color w:val="000000"/>
                <w:sz w:val="24"/>
                <w:szCs w:val="24"/>
              </w:rPr>
            </w:pPr>
            <w:r>
              <w:rPr>
                <w:rFonts w:hint="eastAsia"/>
                <w:color w:val="000000"/>
                <w:sz w:val="24"/>
                <w:szCs w:val="24"/>
              </w:rPr>
              <w:t>经营范围</w:t>
            </w:r>
          </w:p>
        </w:tc>
        <w:tc>
          <w:tcPr>
            <w:tcW w:w="7938" w:type="dxa"/>
            <w:gridSpan w:val="8"/>
            <w:tcBorders>
              <w:top w:val="single" w:color="000000" w:sz="6" w:space="0"/>
              <w:left w:val="single" w:color="000000" w:sz="6" w:space="0"/>
              <w:bottom w:val="single" w:color="000000" w:sz="6" w:space="0"/>
            </w:tcBorders>
            <w:vAlign w:val="center"/>
          </w:tcPr>
          <w:p>
            <w:pPr>
              <w:pStyle w:val="29"/>
              <w:spacing w:line="360" w:lineRule="auto"/>
              <w:ind w:firstLine="48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843" w:type="dxa"/>
            <w:tcBorders>
              <w:top w:val="single" w:color="000000" w:sz="6" w:space="0"/>
              <w:right w:val="single" w:color="000000" w:sz="6" w:space="0"/>
            </w:tcBorders>
            <w:vAlign w:val="center"/>
          </w:tcPr>
          <w:p>
            <w:pPr>
              <w:pStyle w:val="29"/>
              <w:spacing w:before="92" w:line="360" w:lineRule="auto"/>
              <w:ind w:right="190"/>
              <w:rPr>
                <w:color w:val="000000"/>
                <w:sz w:val="24"/>
                <w:szCs w:val="24"/>
              </w:rPr>
            </w:pPr>
            <w:r>
              <w:rPr>
                <w:rFonts w:hint="eastAsia"/>
                <w:color w:val="000000"/>
                <w:sz w:val="24"/>
                <w:szCs w:val="24"/>
              </w:rPr>
              <w:t>备注</w:t>
            </w:r>
          </w:p>
        </w:tc>
        <w:tc>
          <w:tcPr>
            <w:tcW w:w="7938" w:type="dxa"/>
            <w:gridSpan w:val="8"/>
            <w:tcBorders>
              <w:top w:val="single" w:color="000000" w:sz="6" w:space="0"/>
              <w:left w:val="single" w:color="000000" w:sz="6" w:space="0"/>
            </w:tcBorders>
            <w:vAlign w:val="center"/>
          </w:tcPr>
          <w:p>
            <w:pPr>
              <w:pStyle w:val="29"/>
              <w:spacing w:line="360" w:lineRule="auto"/>
              <w:ind w:firstLine="480"/>
              <w:rPr>
                <w:color w:val="000000"/>
                <w:sz w:val="24"/>
                <w:szCs w:val="24"/>
              </w:rPr>
            </w:pPr>
          </w:p>
        </w:tc>
      </w:tr>
    </w:tbl>
    <w:p>
      <w:pPr>
        <w:pStyle w:val="10"/>
        <w:ind w:firstLine="0"/>
        <w:rPr>
          <w:rFonts w:hAnsi="宋体" w:cs="宋体"/>
          <w:sz w:val="24"/>
          <w:szCs w:val="24"/>
        </w:rPr>
      </w:pPr>
      <w:r>
        <w:rPr>
          <w:rFonts w:hint="eastAsia" w:hAnsi="宋体" w:cs="宋体"/>
          <w:sz w:val="24"/>
          <w:szCs w:val="24"/>
        </w:rPr>
        <w:t>附：提供“一照三号”或“一照一码”的营业执照副本及资质证书复印件等加盖公章。</w:t>
      </w:r>
    </w:p>
    <w:p>
      <w:pPr>
        <w:pStyle w:val="10"/>
        <w:rPr>
          <w:rFonts w:hAnsi="宋体" w:cs="宋体"/>
          <w:sz w:val="24"/>
          <w:szCs w:val="24"/>
        </w:rPr>
      </w:pPr>
    </w:p>
    <w:p>
      <w:pPr>
        <w:pStyle w:val="10"/>
        <w:rPr>
          <w:rFonts w:hAnsi="宋体" w:cs="宋体"/>
          <w:sz w:val="24"/>
          <w:szCs w:val="24"/>
        </w:rPr>
      </w:pPr>
    </w:p>
    <w:p>
      <w:pPr>
        <w:jc w:val="center"/>
        <w:rPr>
          <w:rFonts w:hAnsi="宋体" w:cs="宋体"/>
          <w:b/>
          <w:bCs/>
          <w:szCs w:val="30"/>
        </w:rPr>
      </w:pPr>
    </w:p>
    <w:p>
      <w:pPr>
        <w:jc w:val="center"/>
        <w:rPr>
          <w:rFonts w:hAnsi="宋体" w:cs="宋体"/>
          <w:b/>
          <w:bCs/>
          <w:szCs w:val="30"/>
        </w:rPr>
      </w:pPr>
    </w:p>
    <w:p>
      <w:pPr>
        <w:spacing w:line="240" w:lineRule="atLeast"/>
        <w:rPr>
          <w:rFonts w:ascii="Arial" w:hAnsi="Arial" w:cs="Arial"/>
          <w:b/>
          <w:bCs/>
          <w:sz w:val="27"/>
          <w:szCs w:val="27"/>
        </w:rPr>
      </w:pPr>
      <w:r>
        <w:rPr>
          <w:rFonts w:hint="eastAsia" w:ascii="Arial" w:hAnsi="Arial" w:cs="Arial"/>
          <w:b/>
          <w:bCs/>
          <w:sz w:val="27"/>
          <w:szCs w:val="27"/>
        </w:rPr>
        <w:t>满足《中华人民共和国政府采购法》第二十二条规定承诺函</w:t>
      </w:r>
    </w:p>
    <w:p>
      <w:pPr>
        <w:spacing w:line="240" w:lineRule="atLeast"/>
        <w:rPr>
          <w:rFonts w:ascii="Arial" w:hAnsi="Arial" w:cs="Arial"/>
          <w:sz w:val="27"/>
          <w:szCs w:val="27"/>
        </w:rPr>
      </w:pPr>
    </w:p>
    <w:p>
      <w:pPr>
        <w:spacing w:line="240" w:lineRule="atLeast"/>
        <w:rPr>
          <w:rFonts w:ascii="Arial" w:hAnsi="Arial" w:cs="Arial"/>
          <w:sz w:val="27"/>
          <w:szCs w:val="27"/>
        </w:rPr>
      </w:pPr>
    </w:p>
    <w:p>
      <w:pPr>
        <w:spacing w:line="432" w:lineRule="auto"/>
        <w:rPr>
          <w:b/>
          <w:sz w:val="28"/>
          <w:szCs w:val="21"/>
        </w:rPr>
      </w:pPr>
      <w:r>
        <w:rPr>
          <w:rFonts w:hint="eastAsia"/>
          <w:b/>
          <w:sz w:val="28"/>
          <w:szCs w:val="21"/>
        </w:rPr>
        <w:t>致：海南省规划展览馆</w:t>
      </w:r>
    </w:p>
    <w:p>
      <w:pPr>
        <w:spacing w:line="240" w:lineRule="atLeast"/>
        <w:rPr>
          <w:rFonts w:ascii="Arial" w:hAnsi="Arial" w:cs="Arial"/>
          <w:sz w:val="27"/>
          <w:szCs w:val="27"/>
        </w:rPr>
      </w:pPr>
    </w:p>
    <w:p>
      <w:pPr>
        <w:spacing w:line="360" w:lineRule="auto"/>
        <w:ind w:firstLine="480" w:firstLineChars="200"/>
        <w:rPr>
          <w:sz w:val="24"/>
        </w:rPr>
      </w:pPr>
      <w:r>
        <w:rPr>
          <w:rFonts w:hint="eastAsia"/>
          <w:sz w:val="24"/>
        </w:rPr>
        <w:t>我单位作为</w:t>
      </w:r>
      <w:r>
        <w:rPr>
          <w:rFonts w:hint="eastAsia"/>
          <w:sz w:val="24"/>
          <w:u w:val="single" w:color="000000"/>
        </w:rPr>
        <w:t>（项目名称）（项目编号：   ）   包</w:t>
      </w:r>
      <w:r>
        <w:rPr>
          <w:rFonts w:hint="eastAsia"/>
          <w:sz w:val="24"/>
        </w:rPr>
        <w:t>本次采购项目的投标人，根据招标文件要求，现郑重承诺如下：</w:t>
      </w:r>
    </w:p>
    <w:p>
      <w:pPr>
        <w:spacing w:line="360" w:lineRule="auto"/>
        <w:rPr>
          <w:sz w:val="24"/>
        </w:rPr>
      </w:pPr>
      <w:r>
        <w:rPr>
          <w:rFonts w:hint="eastAsia"/>
          <w:sz w:val="24"/>
        </w:rPr>
        <w:t>具备《中华人民共和国政府采购法》第二十二条第一款：</w:t>
      </w:r>
    </w:p>
    <w:p>
      <w:pPr>
        <w:spacing w:line="360" w:lineRule="auto"/>
        <w:ind w:firstLine="480" w:firstLineChars="200"/>
        <w:rPr>
          <w:sz w:val="24"/>
        </w:rPr>
      </w:pPr>
      <w:r>
        <w:rPr>
          <w:rFonts w:hint="eastAsia"/>
          <w:sz w:val="24"/>
        </w:rPr>
        <w:t>（一）具有独立承担民事责任的能力；</w:t>
      </w:r>
    </w:p>
    <w:p>
      <w:pPr>
        <w:spacing w:line="360" w:lineRule="auto"/>
        <w:ind w:firstLine="480" w:firstLineChars="200"/>
        <w:rPr>
          <w:sz w:val="24"/>
        </w:rPr>
      </w:pPr>
      <w:r>
        <w:rPr>
          <w:rFonts w:hint="eastAsia"/>
          <w:sz w:val="24"/>
        </w:rPr>
        <w:t>（二）具有良好的商业信誉和健全的财务会计制度；</w:t>
      </w:r>
    </w:p>
    <w:p>
      <w:pPr>
        <w:spacing w:line="360" w:lineRule="auto"/>
        <w:ind w:firstLine="480" w:firstLineChars="200"/>
        <w:rPr>
          <w:sz w:val="24"/>
        </w:rPr>
      </w:pPr>
      <w:r>
        <w:rPr>
          <w:rFonts w:hint="eastAsia"/>
          <w:sz w:val="24"/>
        </w:rPr>
        <w:t>（三）具有履行合同所必需的设备和专业技术能力；</w:t>
      </w:r>
    </w:p>
    <w:p>
      <w:pPr>
        <w:spacing w:line="360" w:lineRule="auto"/>
        <w:ind w:firstLine="480" w:firstLineChars="200"/>
        <w:rPr>
          <w:sz w:val="24"/>
        </w:rPr>
      </w:pPr>
      <w:r>
        <w:rPr>
          <w:rFonts w:hint="eastAsia"/>
          <w:sz w:val="24"/>
        </w:rPr>
        <w:t>（四）有依法缴纳税收和社会保障资金的良好记录；</w:t>
      </w:r>
    </w:p>
    <w:p>
      <w:pPr>
        <w:spacing w:line="360" w:lineRule="auto"/>
        <w:ind w:firstLine="480" w:firstLineChars="200"/>
        <w:rPr>
          <w:sz w:val="24"/>
        </w:rPr>
      </w:pPr>
      <w:r>
        <w:rPr>
          <w:rFonts w:hint="eastAsia"/>
          <w:sz w:val="24"/>
        </w:rPr>
        <w:t>（五）参加政府采购活动前三年内（成立不足三年的从成立之日起算），在经营活动中没有重大违法记录；</w:t>
      </w:r>
    </w:p>
    <w:p>
      <w:pPr>
        <w:spacing w:line="360" w:lineRule="auto"/>
        <w:ind w:firstLine="480" w:firstLineChars="200"/>
        <w:rPr>
          <w:sz w:val="24"/>
        </w:rPr>
      </w:pPr>
      <w:r>
        <w:rPr>
          <w:rFonts w:hint="eastAsia"/>
          <w:sz w:val="24"/>
        </w:rPr>
        <w:t>（六）法律、行政法规规定的其他条件。</w:t>
      </w:r>
    </w:p>
    <w:p>
      <w:pPr>
        <w:pStyle w:val="5"/>
      </w:pPr>
    </w:p>
    <w:p>
      <w:pPr>
        <w:spacing w:line="360" w:lineRule="auto"/>
        <w:ind w:firstLine="576"/>
        <w:rPr>
          <w:sz w:val="24"/>
        </w:rPr>
      </w:pPr>
      <w:r>
        <w:rPr>
          <w:rFonts w:hint="eastAsia"/>
          <w:sz w:val="24"/>
        </w:rPr>
        <w:t>本单位对上述承诺的内容事项真实性负责。如经查实上述承诺的内容事项存在虚假，我单位愿意接受以提供虚假材料谋取中标追究法律责任。</w:t>
      </w:r>
    </w:p>
    <w:p>
      <w:pPr>
        <w:rPr>
          <w:szCs w:val="28"/>
        </w:rPr>
      </w:pPr>
    </w:p>
    <w:p>
      <w:pPr>
        <w:rPr>
          <w:sz w:val="28"/>
          <w:szCs w:val="28"/>
        </w:rPr>
      </w:pPr>
    </w:p>
    <w:p>
      <w:pPr>
        <w:rPr>
          <w:szCs w:val="28"/>
        </w:rPr>
      </w:pPr>
    </w:p>
    <w:p>
      <w:pPr>
        <w:spacing w:line="360" w:lineRule="auto"/>
        <w:ind w:right="3" w:rightChars="1" w:firstLine="1800" w:firstLineChars="750"/>
        <w:rPr>
          <w:sz w:val="24"/>
          <w:szCs w:val="24"/>
        </w:rPr>
      </w:pPr>
      <w:r>
        <w:rPr>
          <w:rFonts w:hint="eastAsia"/>
          <w:sz w:val="24"/>
          <w:szCs w:val="24"/>
        </w:rPr>
        <w:t>投标人名称（盖章）：</w:t>
      </w:r>
    </w:p>
    <w:p>
      <w:pPr>
        <w:spacing w:line="360" w:lineRule="auto"/>
        <w:ind w:right="3" w:rightChars="1" w:firstLine="1800" w:firstLineChars="750"/>
        <w:rPr>
          <w:sz w:val="24"/>
          <w:szCs w:val="24"/>
        </w:rPr>
      </w:pPr>
      <w:r>
        <w:rPr>
          <w:rFonts w:hint="eastAsia"/>
          <w:sz w:val="24"/>
          <w:szCs w:val="24"/>
        </w:rPr>
        <w:t>日期：  年  月  日</w:t>
      </w:r>
    </w:p>
    <w:p>
      <w:pPr>
        <w:rPr>
          <w:b/>
          <w:bCs/>
          <w:sz w:val="32"/>
          <w:szCs w:val="32"/>
        </w:rPr>
      </w:pPr>
    </w:p>
    <w:p>
      <w:pPr>
        <w:rPr>
          <w:b/>
          <w:bCs/>
          <w:sz w:val="32"/>
          <w:szCs w:val="32"/>
        </w:rPr>
      </w:pPr>
      <w:r>
        <w:rPr>
          <w:rFonts w:hint="eastAsia"/>
          <w:b/>
          <w:bCs/>
          <w:sz w:val="32"/>
          <w:szCs w:val="32"/>
        </w:rPr>
        <w:br w:type="page"/>
      </w:r>
    </w:p>
    <w:p>
      <w:pPr>
        <w:rPr>
          <w:b/>
          <w:bCs/>
          <w:sz w:val="28"/>
        </w:rPr>
      </w:pPr>
      <w:r>
        <w:rPr>
          <w:rFonts w:hint="eastAsia"/>
          <w:b/>
          <w:bCs/>
          <w:sz w:val="28"/>
        </w:rPr>
        <w:t>（二）具有良好的商业信誉和健全的财务会计制度【格式自拟】；</w:t>
      </w:r>
    </w:p>
    <w:p>
      <w:pPr>
        <w:autoSpaceDN w:val="0"/>
        <w:adjustRightInd w:val="0"/>
        <w:spacing w:line="360" w:lineRule="auto"/>
        <w:ind w:firstLine="560" w:firstLineChars="200"/>
        <w:jc w:val="left"/>
        <w:textAlignment w:val="baseline"/>
        <w:rPr>
          <w:rFonts w:hint="eastAsia" w:ascii="宋体" w:hAnsi="宋体" w:cs="宋体"/>
          <w:kern w:val="0"/>
          <w:sz w:val="28"/>
          <w:szCs w:val="28"/>
        </w:rPr>
      </w:pPr>
      <w:r>
        <w:rPr>
          <w:rFonts w:hint="eastAsia" w:ascii="宋体" w:hAnsi="宋体" w:cs="宋体"/>
          <w:kern w:val="0"/>
          <w:sz w:val="28"/>
          <w:szCs w:val="28"/>
        </w:rPr>
        <w:t xml:space="preserve">本公司 </w:t>
      </w:r>
      <w:r>
        <w:rPr>
          <w:rFonts w:hint="eastAsia" w:ascii="宋体" w:hAnsi="宋体" w:cs="宋体"/>
          <w:kern w:val="0"/>
          <w:sz w:val="28"/>
          <w:szCs w:val="28"/>
          <w:u w:val="single"/>
        </w:rPr>
        <w:t xml:space="preserve">  （公司名称）  </w:t>
      </w:r>
      <w:r>
        <w:rPr>
          <w:rFonts w:hint="eastAsia" w:ascii="宋体" w:hAnsi="宋体" w:cs="宋体"/>
          <w:kern w:val="0"/>
          <w:sz w:val="28"/>
          <w:szCs w:val="28"/>
        </w:rPr>
        <w:t xml:space="preserve">参加 </w:t>
      </w:r>
      <w:r>
        <w:rPr>
          <w:rFonts w:hint="eastAsia" w:ascii="宋体" w:hAnsi="宋体" w:cs="宋体"/>
          <w:kern w:val="0"/>
          <w:sz w:val="28"/>
          <w:szCs w:val="28"/>
          <w:u w:val="single"/>
        </w:rPr>
        <w:t xml:space="preserve"> （项目名称）</w:t>
      </w:r>
      <w:r>
        <w:rPr>
          <w:rFonts w:hint="eastAsia" w:ascii="宋体" w:hAnsi="宋体" w:cs="宋体"/>
          <w:kern w:val="0"/>
          <w:sz w:val="28"/>
          <w:szCs w:val="28"/>
        </w:rPr>
        <w:t>的竞争性磋商采购活动，现承诺：</w:t>
      </w:r>
    </w:p>
    <w:p>
      <w:pPr>
        <w:autoSpaceDN w:val="0"/>
        <w:adjustRightInd w:val="0"/>
        <w:spacing w:line="360" w:lineRule="auto"/>
        <w:jc w:val="left"/>
        <w:textAlignment w:val="baseline"/>
        <w:rPr>
          <w:rFonts w:hint="eastAsia" w:ascii="宋体" w:hAnsi="宋体" w:cs="宋体"/>
          <w:kern w:val="0"/>
          <w:sz w:val="28"/>
          <w:szCs w:val="28"/>
        </w:rPr>
      </w:pPr>
      <w:r>
        <w:rPr>
          <w:rFonts w:hint="eastAsia" w:ascii="宋体" w:hAnsi="宋体" w:cs="宋体"/>
          <w:kern w:val="0"/>
          <w:sz w:val="28"/>
          <w:szCs w:val="28"/>
        </w:rPr>
        <w:t xml:space="preserve">    我公司具有良好的商业信誉和健全的财务会计制度。</w:t>
      </w:r>
    </w:p>
    <w:p>
      <w:pPr>
        <w:autoSpaceDN w:val="0"/>
        <w:adjustRightInd w:val="0"/>
        <w:spacing w:line="360" w:lineRule="auto"/>
        <w:jc w:val="left"/>
        <w:textAlignment w:val="baseline"/>
        <w:rPr>
          <w:rFonts w:hint="eastAsia" w:ascii="宋体" w:hAnsi="宋体" w:cs="宋体"/>
          <w:kern w:val="0"/>
          <w:sz w:val="28"/>
          <w:szCs w:val="28"/>
        </w:rPr>
      </w:pPr>
      <w:r>
        <w:rPr>
          <w:rFonts w:hint="eastAsia" w:ascii="宋体" w:hAnsi="宋体" w:cs="宋体"/>
          <w:kern w:val="0"/>
          <w:sz w:val="28"/>
          <w:szCs w:val="28"/>
        </w:rPr>
        <w:t xml:space="preserve">    如违反以上承诺，本公司愿承担一切法律责任。</w:t>
      </w:r>
    </w:p>
    <w:p>
      <w:pPr>
        <w:autoSpaceDN w:val="0"/>
        <w:adjustRightInd w:val="0"/>
        <w:spacing w:line="360" w:lineRule="auto"/>
        <w:jc w:val="left"/>
        <w:textAlignment w:val="baseline"/>
        <w:rPr>
          <w:rFonts w:hint="eastAsia" w:ascii="宋体" w:hAnsi="宋体" w:cs="宋体"/>
          <w:kern w:val="0"/>
          <w:sz w:val="24"/>
          <w:szCs w:val="24"/>
        </w:rPr>
      </w:pPr>
    </w:p>
    <w:p>
      <w:pPr>
        <w:spacing w:line="360" w:lineRule="auto"/>
        <w:ind w:right="3" w:rightChars="1" w:firstLine="2100" w:firstLineChars="750"/>
        <w:rPr>
          <w:rFonts w:hint="eastAsia" w:ascii="宋体" w:hAnsi="宋体" w:eastAsia="宋体" w:cs="宋体"/>
          <w:sz w:val="28"/>
          <w:szCs w:val="28"/>
        </w:rPr>
      </w:pPr>
      <w:r>
        <w:rPr>
          <w:rFonts w:hint="eastAsia" w:ascii="宋体" w:hAnsi="宋体" w:eastAsia="宋体" w:cs="宋体"/>
          <w:sz w:val="28"/>
          <w:szCs w:val="28"/>
        </w:rPr>
        <w:t>供应商名称（盖章）：</w:t>
      </w:r>
    </w:p>
    <w:p>
      <w:pPr>
        <w:spacing w:line="360" w:lineRule="auto"/>
        <w:ind w:right="3" w:rightChars="1" w:firstLine="2100" w:firstLineChars="750"/>
        <w:rPr>
          <w:rFonts w:hint="eastAsia" w:ascii="宋体" w:hAnsi="宋体" w:eastAsia="宋体" w:cs="宋体"/>
          <w:sz w:val="28"/>
          <w:szCs w:val="28"/>
        </w:rPr>
      </w:pPr>
      <w:r>
        <w:rPr>
          <w:rFonts w:hint="eastAsia" w:ascii="宋体" w:hAnsi="宋体" w:eastAsia="宋体" w:cs="宋体"/>
          <w:sz w:val="28"/>
          <w:szCs w:val="28"/>
        </w:rPr>
        <w:t>法定代表人/授权代表（签字或盖章）：</w:t>
      </w:r>
    </w:p>
    <w:p>
      <w:pPr>
        <w:spacing w:line="360" w:lineRule="auto"/>
        <w:ind w:right="3" w:rightChars="1" w:firstLine="2100" w:firstLineChars="750"/>
        <w:rPr>
          <w:rFonts w:hint="eastAsia" w:ascii="宋体" w:hAnsi="宋体" w:eastAsia="宋体" w:cs="宋体"/>
          <w:sz w:val="28"/>
          <w:szCs w:val="28"/>
        </w:rPr>
      </w:pPr>
      <w:r>
        <w:rPr>
          <w:rFonts w:hint="eastAsia" w:ascii="宋体" w:hAnsi="宋体" w:eastAsia="宋体" w:cs="宋体"/>
          <w:sz w:val="28"/>
          <w:szCs w:val="28"/>
        </w:rPr>
        <w:t>日期：</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年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月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w:t>
      </w:r>
    </w:p>
    <w:p>
      <w:pPr>
        <w:pStyle w:val="2"/>
      </w:pPr>
    </w:p>
    <w:p>
      <w:pPr>
        <w:rPr>
          <w:sz w:val="28"/>
        </w:rPr>
      </w:pPr>
      <w:r>
        <w:rPr>
          <w:rFonts w:hint="eastAsia"/>
          <w:b/>
          <w:bCs/>
          <w:sz w:val="28"/>
        </w:rPr>
        <w:t>（三）具有依法缴纳税收和社会保障资金的良好记录【格式自拟】；</w:t>
      </w:r>
    </w:p>
    <w:p>
      <w:pPr>
        <w:rPr>
          <w:sz w:val="28"/>
        </w:rPr>
      </w:pPr>
    </w:p>
    <w:p>
      <w:pPr>
        <w:autoSpaceDN w:val="0"/>
        <w:adjustRightInd w:val="0"/>
        <w:spacing w:line="360" w:lineRule="auto"/>
        <w:ind w:firstLine="560" w:firstLineChars="200"/>
        <w:jc w:val="left"/>
        <w:textAlignment w:val="baseline"/>
        <w:rPr>
          <w:rFonts w:hint="eastAsia" w:ascii="宋体" w:hAnsi="宋体" w:cs="宋体"/>
          <w:kern w:val="0"/>
          <w:sz w:val="28"/>
          <w:szCs w:val="28"/>
        </w:rPr>
      </w:pPr>
      <w:r>
        <w:rPr>
          <w:rFonts w:hint="eastAsia" w:ascii="宋体" w:hAnsi="宋体" w:cs="宋体"/>
          <w:kern w:val="0"/>
          <w:sz w:val="28"/>
          <w:szCs w:val="28"/>
        </w:rPr>
        <w:t xml:space="preserve">本公司 </w:t>
      </w:r>
      <w:r>
        <w:rPr>
          <w:rFonts w:hint="eastAsia" w:ascii="宋体" w:hAnsi="宋体" w:cs="宋体"/>
          <w:kern w:val="0"/>
          <w:sz w:val="28"/>
          <w:szCs w:val="28"/>
          <w:u w:val="single"/>
        </w:rPr>
        <w:t xml:space="preserve">  （公司名称）  </w:t>
      </w:r>
      <w:r>
        <w:rPr>
          <w:rFonts w:hint="eastAsia" w:ascii="宋体" w:hAnsi="宋体" w:cs="宋体"/>
          <w:kern w:val="0"/>
          <w:sz w:val="28"/>
          <w:szCs w:val="28"/>
        </w:rPr>
        <w:t xml:space="preserve">参加 </w:t>
      </w:r>
      <w:r>
        <w:rPr>
          <w:rFonts w:hint="eastAsia" w:ascii="宋体" w:hAnsi="宋体" w:cs="宋体"/>
          <w:kern w:val="0"/>
          <w:sz w:val="28"/>
          <w:szCs w:val="28"/>
          <w:u w:val="single"/>
        </w:rPr>
        <w:t xml:space="preserve"> （项目名称）</w:t>
      </w:r>
      <w:r>
        <w:rPr>
          <w:rFonts w:hint="eastAsia" w:ascii="宋体" w:hAnsi="宋体" w:cs="宋体"/>
          <w:kern w:val="0"/>
          <w:sz w:val="28"/>
          <w:szCs w:val="28"/>
        </w:rPr>
        <w:t>的竞争性磋商采购活动，现承诺：</w:t>
      </w:r>
    </w:p>
    <w:p>
      <w:pPr>
        <w:autoSpaceDN w:val="0"/>
        <w:adjustRightInd w:val="0"/>
        <w:spacing w:line="360" w:lineRule="auto"/>
        <w:jc w:val="left"/>
        <w:textAlignment w:val="baseline"/>
        <w:rPr>
          <w:rFonts w:hint="eastAsia" w:ascii="宋体" w:hAnsi="宋体" w:cs="宋体"/>
          <w:kern w:val="0"/>
          <w:sz w:val="28"/>
          <w:szCs w:val="28"/>
        </w:rPr>
      </w:pPr>
      <w:r>
        <w:rPr>
          <w:rFonts w:hint="eastAsia" w:ascii="宋体" w:hAnsi="宋体" w:cs="宋体"/>
          <w:kern w:val="0"/>
          <w:sz w:val="28"/>
          <w:szCs w:val="28"/>
        </w:rPr>
        <w:t xml:space="preserve">    我公司具有依法缴纳税收和社会保障资金的良好记录。</w:t>
      </w:r>
    </w:p>
    <w:p>
      <w:pPr>
        <w:autoSpaceDN w:val="0"/>
        <w:adjustRightInd w:val="0"/>
        <w:spacing w:line="360" w:lineRule="auto"/>
        <w:jc w:val="left"/>
        <w:textAlignment w:val="baseline"/>
        <w:rPr>
          <w:rFonts w:hint="eastAsia" w:ascii="宋体" w:hAnsi="宋体" w:cs="宋体"/>
          <w:kern w:val="0"/>
          <w:sz w:val="28"/>
          <w:szCs w:val="28"/>
        </w:rPr>
      </w:pPr>
      <w:r>
        <w:rPr>
          <w:rFonts w:hint="eastAsia" w:ascii="宋体" w:hAnsi="宋体" w:cs="宋体"/>
          <w:kern w:val="0"/>
          <w:sz w:val="28"/>
          <w:szCs w:val="28"/>
        </w:rPr>
        <w:t xml:space="preserve">    如违反以上承诺，本公司愿承担一切法律责任。</w:t>
      </w:r>
    </w:p>
    <w:p>
      <w:pPr>
        <w:autoSpaceDN w:val="0"/>
        <w:adjustRightInd w:val="0"/>
        <w:spacing w:line="360" w:lineRule="auto"/>
        <w:jc w:val="left"/>
        <w:textAlignment w:val="baseline"/>
        <w:rPr>
          <w:rFonts w:hint="eastAsia" w:ascii="宋体" w:hAnsi="宋体" w:cs="宋体"/>
          <w:kern w:val="0"/>
          <w:sz w:val="24"/>
          <w:szCs w:val="24"/>
        </w:rPr>
      </w:pPr>
    </w:p>
    <w:p>
      <w:pPr>
        <w:spacing w:line="360" w:lineRule="auto"/>
        <w:ind w:right="3" w:rightChars="1" w:firstLine="2100" w:firstLineChars="750"/>
        <w:rPr>
          <w:rFonts w:hint="eastAsia" w:ascii="宋体" w:hAnsi="宋体" w:eastAsia="宋体" w:cs="宋体"/>
          <w:sz w:val="28"/>
          <w:szCs w:val="28"/>
        </w:rPr>
      </w:pPr>
      <w:r>
        <w:rPr>
          <w:rFonts w:hint="eastAsia" w:ascii="宋体" w:hAnsi="宋体" w:eastAsia="宋体" w:cs="宋体"/>
          <w:sz w:val="28"/>
          <w:szCs w:val="28"/>
        </w:rPr>
        <w:t>供应商名称（盖章）：</w:t>
      </w:r>
    </w:p>
    <w:p>
      <w:pPr>
        <w:spacing w:line="360" w:lineRule="auto"/>
        <w:ind w:right="3" w:rightChars="1" w:firstLine="2100" w:firstLineChars="750"/>
        <w:rPr>
          <w:rFonts w:hint="eastAsia" w:ascii="宋体" w:hAnsi="宋体" w:eastAsia="宋体" w:cs="宋体"/>
          <w:sz w:val="28"/>
          <w:szCs w:val="28"/>
        </w:rPr>
      </w:pPr>
      <w:r>
        <w:rPr>
          <w:rFonts w:hint="eastAsia" w:ascii="宋体" w:hAnsi="宋体" w:eastAsia="宋体" w:cs="宋体"/>
          <w:sz w:val="28"/>
          <w:szCs w:val="28"/>
        </w:rPr>
        <w:t>法定代表人/授权代表（签字或盖章）：</w:t>
      </w:r>
    </w:p>
    <w:p>
      <w:pPr>
        <w:spacing w:line="360" w:lineRule="auto"/>
        <w:ind w:right="3" w:rightChars="1" w:firstLine="2100" w:firstLineChars="750"/>
        <w:rPr>
          <w:rFonts w:hint="eastAsia" w:ascii="宋体" w:hAnsi="宋体" w:eastAsia="宋体" w:cs="宋体"/>
          <w:bCs/>
          <w:kern w:val="0"/>
          <w:sz w:val="28"/>
          <w:szCs w:val="28"/>
        </w:rPr>
      </w:pPr>
      <w:r>
        <w:rPr>
          <w:rFonts w:hint="eastAsia" w:ascii="宋体" w:hAnsi="宋体" w:eastAsia="宋体" w:cs="宋体"/>
          <w:sz w:val="28"/>
          <w:szCs w:val="28"/>
        </w:rPr>
        <w:t>日期：</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年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月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w:t>
      </w:r>
    </w:p>
    <w:p>
      <w:pPr>
        <w:spacing w:line="360" w:lineRule="auto"/>
      </w:pPr>
    </w:p>
    <w:p>
      <w:pPr>
        <w:rPr>
          <w:sz w:val="28"/>
        </w:rPr>
      </w:pPr>
      <w:bookmarkStart w:id="87" w:name="_Toc17023887"/>
    </w:p>
    <w:p>
      <w:pPr>
        <w:rPr>
          <w:sz w:val="28"/>
        </w:rPr>
      </w:pPr>
    </w:p>
    <w:p>
      <w:pPr>
        <w:rPr>
          <w:b/>
          <w:bCs/>
          <w:kern w:val="2"/>
          <w:sz w:val="28"/>
          <w:szCs w:val="28"/>
        </w:rPr>
      </w:pPr>
    </w:p>
    <w:p>
      <w:pPr>
        <w:rPr>
          <w:b/>
          <w:sz w:val="24"/>
          <w:szCs w:val="24"/>
        </w:rPr>
      </w:pPr>
      <w:r>
        <w:rPr>
          <w:rFonts w:hint="eastAsia"/>
          <w:b/>
          <w:bCs/>
          <w:kern w:val="2"/>
          <w:sz w:val="28"/>
          <w:szCs w:val="28"/>
        </w:rPr>
        <w:t>（四）无重大违法记录的声明函</w:t>
      </w:r>
      <w:bookmarkEnd w:id="87"/>
    </w:p>
    <w:p>
      <w:pPr>
        <w:spacing w:line="432" w:lineRule="auto"/>
        <w:rPr>
          <w:b/>
          <w:sz w:val="24"/>
        </w:rPr>
      </w:pPr>
      <w:r>
        <w:rPr>
          <w:rFonts w:hint="eastAsia"/>
          <w:b/>
          <w:sz w:val="28"/>
          <w:szCs w:val="28"/>
        </w:rPr>
        <w:t>致：海南省规划展览馆</w:t>
      </w:r>
    </w:p>
    <w:p>
      <w:pPr>
        <w:spacing w:line="360" w:lineRule="auto"/>
        <w:ind w:firstLine="630" w:firstLineChars="225"/>
        <w:rPr>
          <w:sz w:val="28"/>
          <w:szCs w:val="28"/>
        </w:rPr>
      </w:pPr>
      <w:r>
        <w:rPr>
          <w:rFonts w:hint="eastAsia"/>
          <w:sz w:val="28"/>
          <w:szCs w:val="28"/>
        </w:rPr>
        <w:t>我公司（公司名称）在本项目招标公告近三年内，在经营活动中没有重大违法记录，在政府采购活动没有重大违法记录。我司在经营活动中没有被列入失信被执行人、税收违法黑名单、政府采购严重违法失信行为记录名单等重大违法记录。</w:t>
      </w:r>
    </w:p>
    <w:p>
      <w:pPr>
        <w:spacing w:line="360" w:lineRule="auto"/>
        <w:ind w:firstLine="630" w:firstLineChars="225"/>
        <w:rPr>
          <w:sz w:val="28"/>
          <w:szCs w:val="28"/>
        </w:rPr>
      </w:pPr>
      <w:r>
        <w:rPr>
          <w:rFonts w:hint="eastAsia"/>
          <w:sz w:val="28"/>
          <w:szCs w:val="28"/>
        </w:rPr>
        <w:t>如有虚假，我司愿意接受相关处罚。</w:t>
      </w:r>
    </w:p>
    <w:p>
      <w:pPr>
        <w:spacing w:line="360" w:lineRule="auto"/>
        <w:ind w:firstLine="630" w:firstLineChars="225"/>
        <w:rPr>
          <w:sz w:val="28"/>
          <w:szCs w:val="28"/>
        </w:rPr>
      </w:pPr>
      <w:r>
        <w:rPr>
          <w:rFonts w:hint="eastAsia"/>
          <w:sz w:val="28"/>
          <w:szCs w:val="28"/>
        </w:rPr>
        <w:t>特此声明。</w:t>
      </w:r>
    </w:p>
    <w:p>
      <w:pPr>
        <w:spacing w:line="360" w:lineRule="auto"/>
        <w:ind w:firstLine="560" w:firstLineChars="200"/>
        <w:rPr>
          <w:sz w:val="28"/>
          <w:szCs w:val="28"/>
        </w:rPr>
      </w:pPr>
    </w:p>
    <w:p>
      <w:pPr>
        <w:spacing w:line="360" w:lineRule="auto"/>
        <w:ind w:right="3" w:rightChars="1" w:firstLine="2100" w:firstLineChars="750"/>
        <w:rPr>
          <w:sz w:val="28"/>
          <w:szCs w:val="28"/>
        </w:rPr>
      </w:pPr>
      <w:r>
        <w:rPr>
          <w:rFonts w:hint="eastAsia"/>
          <w:sz w:val="28"/>
          <w:szCs w:val="28"/>
        </w:rPr>
        <w:t>投标人名称（盖章）：</w:t>
      </w:r>
    </w:p>
    <w:p>
      <w:pPr>
        <w:spacing w:line="360" w:lineRule="auto"/>
        <w:ind w:right="3" w:rightChars="1" w:firstLine="2100" w:firstLineChars="750"/>
        <w:rPr>
          <w:sz w:val="28"/>
          <w:szCs w:val="28"/>
        </w:rPr>
      </w:pPr>
      <w:r>
        <w:rPr>
          <w:rFonts w:hint="eastAsia"/>
          <w:sz w:val="28"/>
          <w:szCs w:val="28"/>
        </w:rPr>
        <w:t>日期：  年  月  日</w:t>
      </w:r>
    </w:p>
    <w:p>
      <w:pPr>
        <w:adjustRightInd w:val="0"/>
        <w:snapToGrid w:val="0"/>
        <w:spacing w:line="360" w:lineRule="auto"/>
        <w:rPr>
          <w:bCs/>
          <w:kern w:val="28"/>
          <w:sz w:val="28"/>
          <w:szCs w:val="28"/>
        </w:rPr>
      </w:pPr>
    </w:p>
    <w:p>
      <w:pPr>
        <w:pStyle w:val="9"/>
        <w:rPr>
          <w:b/>
          <w:sz w:val="28"/>
          <w:szCs w:val="28"/>
        </w:rPr>
      </w:pPr>
      <w:r>
        <w:rPr>
          <w:rFonts w:hint="eastAsia" w:eastAsia="宋体"/>
        </w:rPr>
        <w:t>（五）</w:t>
      </w:r>
      <w:r>
        <w:rPr>
          <w:rFonts w:hint="eastAsia" w:eastAsia="宋体"/>
          <w:sz w:val="28"/>
          <w:szCs w:val="28"/>
        </w:rPr>
        <w:t>无环保类行政处罚记录声明函</w:t>
      </w:r>
    </w:p>
    <w:p>
      <w:pPr>
        <w:spacing w:line="432" w:lineRule="auto"/>
        <w:rPr>
          <w:b/>
          <w:sz w:val="24"/>
        </w:rPr>
      </w:pPr>
      <w:r>
        <w:rPr>
          <w:rFonts w:hint="eastAsia"/>
          <w:b/>
          <w:sz w:val="28"/>
          <w:szCs w:val="28"/>
        </w:rPr>
        <w:t>致：海南省规划展览馆</w:t>
      </w:r>
    </w:p>
    <w:p>
      <w:pPr>
        <w:spacing w:line="360" w:lineRule="auto"/>
        <w:ind w:firstLine="630" w:firstLineChars="225"/>
        <w:rPr>
          <w:sz w:val="28"/>
          <w:szCs w:val="28"/>
        </w:rPr>
      </w:pPr>
      <w:r>
        <w:rPr>
          <w:rFonts w:hint="eastAsia"/>
          <w:sz w:val="28"/>
          <w:szCs w:val="28"/>
        </w:rPr>
        <w:t>我公司（公司名称）在参加政府采购活动前三年内，在经营活动中没有环保类行政处罚记录。</w:t>
      </w:r>
    </w:p>
    <w:p>
      <w:pPr>
        <w:spacing w:line="360" w:lineRule="auto"/>
        <w:ind w:firstLine="630" w:firstLineChars="225"/>
        <w:rPr>
          <w:sz w:val="28"/>
          <w:szCs w:val="28"/>
        </w:rPr>
      </w:pPr>
      <w:r>
        <w:rPr>
          <w:rFonts w:hint="eastAsia"/>
          <w:sz w:val="28"/>
          <w:szCs w:val="28"/>
        </w:rPr>
        <w:t>如有虚假，我司愿意接受相关处罚。</w:t>
      </w:r>
    </w:p>
    <w:p>
      <w:pPr>
        <w:spacing w:line="360" w:lineRule="auto"/>
        <w:ind w:firstLine="630" w:firstLineChars="225"/>
        <w:rPr>
          <w:sz w:val="28"/>
          <w:szCs w:val="28"/>
        </w:rPr>
      </w:pPr>
      <w:r>
        <w:rPr>
          <w:rFonts w:hint="eastAsia"/>
          <w:sz w:val="28"/>
          <w:szCs w:val="28"/>
        </w:rPr>
        <w:t>特此声明。</w:t>
      </w:r>
    </w:p>
    <w:p>
      <w:pPr>
        <w:spacing w:line="360" w:lineRule="auto"/>
        <w:ind w:firstLine="560" w:firstLineChars="200"/>
        <w:rPr>
          <w:sz w:val="28"/>
          <w:szCs w:val="28"/>
        </w:rPr>
      </w:pPr>
    </w:p>
    <w:p>
      <w:pPr>
        <w:spacing w:line="360" w:lineRule="auto"/>
        <w:ind w:right="3" w:rightChars="1" w:firstLine="2100" w:firstLineChars="750"/>
        <w:rPr>
          <w:sz w:val="28"/>
          <w:szCs w:val="28"/>
        </w:rPr>
      </w:pPr>
      <w:r>
        <w:rPr>
          <w:rFonts w:hint="eastAsia"/>
          <w:sz w:val="28"/>
          <w:szCs w:val="28"/>
        </w:rPr>
        <w:t>投标人名称（盖章）：</w:t>
      </w:r>
    </w:p>
    <w:p>
      <w:pPr>
        <w:spacing w:line="360" w:lineRule="auto"/>
        <w:ind w:right="3" w:rightChars="1" w:firstLine="2100" w:firstLineChars="750"/>
        <w:rPr>
          <w:sz w:val="28"/>
          <w:szCs w:val="28"/>
        </w:rPr>
      </w:pPr>
      <w:r>
        <w:rPr>
          <w:rFonts w:hint="eastAsia"/>
          <w:sz w:val="28"/>
          <w:szCs w:val="28"/>
        </w:rPr>
        <w:t>日期：  年  月  日</w:t>
      </w:r>
    </w:p>
    <w:p>
      <w:pPr>
        <w:pStyle w:val="3"/>
      </w:pPr>
    </w:p>
    <w:p>
      <w:pPr>
        <w:rPr>
          <w:sz w:val="24"/>
          <w:szCs w:val="24"/>
        </w:rPr>
      </w:pPr>
      <w:r>
        <w:rPr>
          <w:rFonts w:hint="eastAsia"/>
          <w:b/>
          <w:bCs/>
          <w:kern w:val="2"/>
          <w:sz w:val="28"/>
          <w:szCs w:val="28"/>
        </w:rPr>
        <w:t>（六）具有履行合同所必需的设备和专业技术能力承诺函</w:t>
      </w:r>
    </w:p>
    <w:p>
      <w:pPr>
        <w:spacing w:line="432" w:lineRule="auto"/>
        <w:rPr>
          <w:b/>
          <w:sz w:val="24"/>
        </w:rPr>
      </w:pPr>
      <w:r>
        <w:rPr>
          <w:rFonts w:hint="eastAsia"/>
          <w:b/>
          <w:sz w:val="28"/>
          <w:szCs w:val="28"/>
        </w:rPr>
        <w:t>致：海南省规划展览馆</w:t>
      </w:r>
    </w:p>
    <w:p>
      <w:pPr>
        <w:spacing w:line="360" w:lineRule="auto"/>
        <w:ind w:firstLine="560" w:firstLineChars="200"/>
        <w:textAlignment w:val="baseline"/>
        <w:rPr>
          <w:sz w:val="28"/>
          <w:szCs w:val="28"/>
        </w:rPr>
      </w:pPr>
      <w:r>
        <w:rPr>
          <w:rFonts w:hint="eastAsia"/>
          <w:sz w:val="28"/>
          <w:szCs w:val="28"/>
        </w:rPr>
        <w:t xml:space="preserve">本公司 </w:t>
      </w:r>
      <w:r>
        <w:rPr>
          <w:rFonts w:hint="eastAsia"/>
          <w:sz w:val="28"/>
          <w:szCs w:val="28"/>
          <w:u w:val="single"/>
        </w:rPr>
        <w:t xml:space="preserve">  （公司名称）  </w:t>
      </w:r>
      <w:r>
        <w:rPr>
          <w:rFonts w:hint="eastAsia"/>
          <w:sz w:val="28"/>
          <w:szCs w:val="28"/>
        </w:rPr>
        <w:t xml:space="preserve">参加 </w:t>
      </w:r>
      <w:r>
        <w:rPr>
          <w:rFonts w:hint="eastAsia"/>
          <w:sz w:val="28"/>
          <w:szCs w:val="28"/>
          <w:u w:val="single"/>
        </w:rPr>
        <w:t xml:space="preserve"> （项目名称）   包</w:t>
      </w:r>
      <w:r>
        <w:rPr>
          <w:rFonts w:hint="eastAsia"/>
          <w:sz w:val="28"/>
          <w:szCs w:val="28"/>
        </w:rPr>
        <w:t>的公开招标采购活动，现承诺：</w:t>
      </w:r>
    </w:p>
    <w:p>
      <w:pPr>
        <w:spacing w:line="360" w:lineRule="auto"/>
        <w:textAlignment w:val="baseline"/>
        <w:rPr>
          <w:sz w:val="28"/>
          <w:szCs w:val="28"/>
        </w:rPr>
      </w:pPr>
      <w:r>
        <w:rPr>
          <w:rFonts w:hint="eastAsia"/>
          <w:sz w:val="28"/>
          <w:szCs w:val="28"/>
        </w:rPr>
        <w:t xml:space="preserve">    我公司具有履行合同所必需的设备和专业技术能力。</w:t>
      </w:r>
    </w:p>
    <w:p>
      <w:pPr>
        <w:spacing w:line="360" w:lineRule="auto"/>
        <w:textAlignment w:val="baseline"/>
        <w:rPr>
          <w:sz w:val="28"/>
          <w:szCs w:val="28"/>
        </w:rPr>
      </w:pPr>
      <w:r>
        <w:rPr>
          <w:rFonts w:hint="eastAsia"/>
          <w:sz w:val="28"/>
          <w:szCs w:val="28"/>
        </w:rPr>
        <w:t xml:space="preserve">    如违反以上承诺，本公司愿承担一切法律责任。</w:t>
      </w:r>
    </w:p>
    <w:p>
      <w:pPr>
        <w:spacing w:line="360" w:lineRule="auto"/>
        <w:textAlignment w:val="baseline"/>
        <w:rPr>
          <w:sz w:val="28"/>
          <w:szCs w:val="28"/>
        </w:rPr>
      </w:pPr>
    </w:p>
    <w:p>
      <w:pPr>
        <w:spacing w:line="360" w:lineRule="auto"/>
        <w:ind w:right="3" w:rightChars="1" w:firstLine="2100" w:firstLineChars="750"/>
        <w:rPr>
          <w:sz w:val="28"/>
          <w:szCs w:val="28"/>
        </w:rPr>
      </w:pPr>
      <w:r>
        <w:rPr>
          <w:rFonts w:hint="eastAsia"/>
          <w:sz w:val="28"/>
          <w:szCs w:val="28"/>
        </w:rPr>
        <w:t>投标人名称（盖章）：</w:t>
      </w:r>
    </w:p>
    <w:p>
      <w:pPr>
        <w:spacing w:line="360" w:lineRule="auto"/>
        <w:ind w:right="3" w:rightChars="1" w:firstLine="2100" w:firstLineChars="750"/>
        <w:rPr>
          <w:sz w:val="28"/>
          <w:szCs w:val="28"/>
        </w:rPr>
      </w:pPr>
      <w:r>
        <w:rPr>
          <w:rFonts w:hint="eastAsia"/>
          <w:sz w:val="28"/>
          <w:szCs w:val="28"/>
        </w:rPr>
        <w:t>日期：  年  月  日</w:t>
      </w:r>
    </w:p>
    <w:p>
      <w:pPr>
        <w:rPr>
          <w:b/>
          <w:bCs/>
          <w:sz w:val="28"/>
        </w:rPr>
      </w:pPr>
    </w:p>
    <w:p>
      <w:pPr>
        <w:rPr>
          <w:b/>
          <w:bCs/>
          <w:sz w:val="28"/>
        </w:rPr>
      </w:pPr>
      <w:r>
        <w:rPr>
          <w:rFonts w:hint="eastAsia"/>
          <w:b/>
          <w:bCs/>
          <w:sz w:val="28"/>
        </w:rPr>
        <w:t>（七）必须为未被列入信用中国网站(www.creditchina.gov.cn)的“重大税收违法失信主体”、“政府采购严重违法失信行为记录名单”和中国政府采购网(www.ccgp.gov.cn)的“政府采购严重违法失信行为记录名单”以及中国执行信息公开网（http://zxgk.court.gov.cn/shixin/）“失信被执行人”的供应商。(须提供查询截图复印件</w:t>
      </w:r>
      <w:r>
        <w:rPr>
          <w:rFonts w:hint="eastAsia"/>
          <w:b/>
          <w:bCs/>
          <w:sz w:val="28"/>
          <w:lang w:val="en-US" w:eastAsia="zh-CN"/>
        </w:rPr>
        <w:t>或承诺函</w:t>
      </w:r>
      <w:r>
        <w:rPr>
          <w:rFonts w:hint="eastAsia"/>
          <w:b/>
          <w:bCs/>
          <w:sz w:val="28"/>
        </w:rPr>
        <w:t>加盖公章；未提供或提供内容不准确的，以采购代理机构在评标现场查询结果为准）；</w:t>
      </w:r>
    </w:p>
    <w:p/>
    <w:p>
      <w:pPr>
        <w:pStyle w:val="2"/>
      </w:pPr>
    </w:p>
    <w:p>
      <w:pPr>
        <w:pStyle w:val="3"/>
      </w:pPr>
    </w:p>
    <w:p>
      <w:pPr>
        <w:pStyle w:val="4"/>
      </w:pPr>
    </w:p>
    <w:p/>
    <w:p>
      <w:pPr>
        <w:pStyle w:val="2"/>
      </w:pPr>
    </w:p>
    <w:p>
      <w:pPr>
        <w:pStyle w:val="3"/>
      </w:pPr>
    </w:p>
    <w:p>
      <w:pPr>
        <w:pStyle w:val="21"/>
        <w:ind w:left="0" w:leftChars="0" w:firstLine="0" w:firstLineChars="0"/>
        <w:rPr>
          <w:rFonts w:hint="eastAsia"/>
          <w:b/>
          <w:bCs/>
          <w:kern w:val="2"/>
          <w:sz w:val="28"/>
          <w:szCs w:val="28"/>
        </w:rPr>
      </w:pPr>
    </w:p>
    <w:p>
      <w:pPr>
        <w:pStyle w:val="21"/>
        <w:ind w:left="0" w:leftChars="0" w:firstLine="0" w:firstLineChars="0"/>
        <w:rPr>
          <w:rFonts w:hint="eastAsia"/>
          <w:b/>
          <w:bCs/>
          <w:kern w:val="2"/>
          <w:sz w:val="28"/>
          <w:szCs w:val="28"/>
        </w:rPr>
      </w:pPr>
      <w:r>
        <w:rPr>
          <w:rFonts w:hint="eastAsia"/>
          <w:b/>
          <w:bCs/>
          <w:kern w:val="2"/>
          <w:sz w:val="28"/>
          <w:szCs w:val="28"/>
        </w:rPr>
        <w:t>（</w:t>
      </w:r>
      <w:r>
        <w:rPr>
          <w:rFonts w:hint="eastAsia"/>
          <w:b/>
          <w:bCs/>
          <w:kern w:val="2"/>
          <w:sz w:val="28"/>
          <w:szCs w:val="28"/>
          <w:lang w:val="en-US" w:eastAsia="zh-CN"/>
        </w:rPr>
        <w:t>八</w:t>
      </w:r>
      <w:r>
        <w:rPr>
          <w:rFonts w:hint="eastAsia"/>
          <w:b/>
          <w:bCs/>
          <w:kern w:val="2"/>
          <w:sz w:val="28"/>
          <w:szCs w:val="28"/>
        </w:rPr>
        <w:t>）具备法律、行政法规规定的其他条件（提供声明函加盖公章）</w:t>
      </w:r>
    </w:p>
    <w:p>
      <w:pPr>
        <w:spacing w:line="360" w:lineRule="auto"/>
        <w:ind w:firstLine="560" w:firstLineChars="200"/>
        <w:textAlignment w:val="baseline"/>
        <w:rPr>
          <w:sz w:val="28"/>
          <w:szCs w:val="28"/>
        </w:rPr>
      </w:pPr>
      <w:r>
        <w:rPr>
          <w:rFonts w:hint="eastAsia"/>
          <w:sz w:val="28"/>
          <w:szCs w:val="28"/>
        </w:rPr>
        <w:t xml:space="preserve">本公司 </w:t>
      </w:r>
      <w:r>
        <w:rPr>
          <w:rFonts w:hint="eastAsia"/>
          <w:sz w:val="28"/>
          <w:szCs w:val="28"/>
          <w:u w:val="single"/>
        </w:rPr>
        <w:t xml:space="preserve">  （公司名称）  </w:t>
      </w:r>
      <w:r>
        <w:rPr>
          <w:rFonts w:hint="eastAsia"/>
          <w:sz w:val="28"/>
          <w:szCs w:val="28"/>
        </w:rPr>
        <w:t xml:space="preserve">参加 </w:t>
      </w:r>
      <w:r>
        <w:rPr>
          <w:rFonts w:hint="eastAsia"/>
          <w:sz w:val="28"/>
          <w:szCs w:val="28"/>
          <w:u w:val="single"/>
        </w:rPr>
        <w:t xml:space="preserve"> （项目名称）   包</w:t>
      </w:r>
      <w:r>
        <w:rPr>
          <w:rFonts w:hint="eastAsia"/>
          <w:sz w:val="28"/>
          <w:szCs w:val="28"/>
        </w:rPr>
        <w:t>的公开招标采购活动，现承诺：</w:t>
      </w:r>
    </w:p>
    <w:p>
      <w:pPr>
        <w:spacing w:line="360" w:lineRule="auto"/>
        <w:textAlignment w:val="baseline"/>
        <w:rPr>
          <w:sz w:val="28"/>
          <w:szCs w:val="28"/>
        </w:rPr>
      </w:pPr>
      <w:r>
        <w:rPr>
          <w:rFonts w:hint="eastAsia"/>
          <w:sz w:val="28"/>
          <w:szCs w:val="28"/>
        </w:rPr>
        <w:t xml:space="preserve">    我公司具备法律、行政法规规定的其他条件。</w:t>
      </w:r>
    </w:p>
    <w:p>
      <w:pPr>
        <w:spacing w:line="360" w:lineRule="auto"/>
        <w:textAlignment w:val="baseline"/>
        <w:rPr>
          <w:sz w:val="28"/>
          <w:szCs w:val="28"/>
        </w:rPr>
      </w:pPr>
      <w:r>
        <w:rPr>
          <w:rFonts w:hint="eastAsia"/>
          <w:sz w:val="28"/>
          <w:szCs w:val="28"/>
        </w:rPr>
        <w:t xml:space="preserve">    如违反以上承诺，本公司愿承担一切法律责任。</w:t>
      </w:r>
    </w:p>
    <w:p>
      <w:pPr>
        <w:spacing w:line="360" w:lineRule="auto"/>
        <w:textAlignment w:val="baseline"/>
        <w:rPr>
          <w:sz w:val="28"/>
          <w:szCs w:val="28"/>
        </w:rPr>
      </w:pPr>
    </w:p>
    <w:p>
      <w:pPr>
        <w:spacing w:line="360" w:lineRule="auto"/>
        <w:ind w:right="3" w:rightChars="1" w:firstLine="2100" w:firstLineChars="750"/>
        <w:rPr>
          <w:sz w:val="28"/>
          <w:szCs w:val="28"/>
        </w:rPr>
      </w:pPr>
      <w:r>
        <w:rPr>
          <w:rFonts w:hint="eastAsia"/>
          <w:sz w:val="28"/>
          <w:szCs w:val="28"/>
        </w:rPr>
        <w:t>投标人名称（盖章）：</w:t>
      </w:r>
    </w:p>
    <w:p>
      <w:pPr>
        <w:spacing w:line="360" w:lineRule="auto"/>
        <w:ind w:right="3" w:rightChars="1" w:firstLine="2100" w:firstLineChars="750"/>
        <w:rPr>
          <w:sz w:val="28"/>
          <w:szCs w:val="28"/>
        </w:rPr>
      </w:pPr>
      <w:r>
        <w:rPr>
          <w:rFonts w:hint="eastAsia"/>
          <w:sz w:val="28"/>
          <w:szCs w:val="28"/>
        </w:rPr>
        <w:t>日期：  年  月  日</w:t>
      </w:r>
    </w:p>
    <w:p>
      <w:pPr>
        <w:pStyle w:val="21"/>
        <w:ind w:left="0" w:leftChars="0" w:firstLine="0" w:firstLineChars="0"/>
        <w:rPr>
          <w:rFonts w:hint="eastAsia"/>
          <w:b/>
          <w:bCs/>
          <w:kern w:val="2"/>
          <w:sz w:val="28"/>
          <w:szCs w:val="28"/>
        </w:rPr>
      </w:pPr>
    </w:p>
    <w:p>
      <w:pPr>
        <w:pStyle w:val="8"/>
        <w:numPr>
          <w:ilvl w:val="0"/>
          <w:numId w:val="0"/>
        </w:numPr>
        <w:jc w:val="left"/>
        <w:rPr>
          <w:rFonts w:hint="eastAsia" w:ascii="宋体" w:hAnsi="宋体" w:cs="宋体"/>
          <w:sz w:val="28"/>
        </w:rPr>
      </w:pPr>
      <w:r>
        <w:rPr>
          <w:rFonts w:hint="eastAsia"/>
          <w:b/>
          <w:bCs/>
          <w:kern w:val="2"/>
          <w:sz w:val="28"/>
          <w:szCs w:val="28"/>
        </w:rPr>
        <w:t>（</w:t>
      </w:r>
      <w:r>
        <w:rPr>
          <w:rFonts w:hint="eastAsia"/>
          <w:b/>
          <w:bCs/>
          <w:kern w:val="2"/>
          <w:sz w:val="28"/>
          <w:szCs w:val="28"/>
          <w:lang w:val="en-US" w:eastAsia="zh-CN"/>
        </w:rPr>
        <w:t>九</w:t>
      </w:r>
      <w:r>
        <w:rPr>
          <w:rFonts w:hint="eastAsia"/>
          <w:b/>
          <w:bCs/>
          <w:kern w:val="2"/>
          <w:sz w:val="28"/>
          <w:szCs w:val="28"/>
        </w:rPr>
        <w:t>）</w:t>
      </w:r>
      <w:r>
        <w:rPr>
          <w:rFonts w:hint="eastAsia" w:ascii="宋体" w:hAnsi="宋体" w:cs="宋体"/>
          <w:sz w:val="28"/>
        </w:rPr>
        <w:t>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提供声明函加盖本单位公章】</w:t>
      </w:r>
    </w:p>
    <w:p>
      <w:pPr>
        <w:pStyle w:val="21"/>
        <w:ind w:left="0" w:leftChars="0" w:firstLine="0" w:firstLineChars="0"/>
      </w:pPr>
    </w:p>
    <w:p>
      <w:pPr>
        <w:rPr>
          <w:sz w:val="36"/>
        </w:rPr>
      </w:pPr>
    </w:p>
    <w:p>
      <w:pPr>
        <w:rPr>
          <w:sz w:val="28"/>
        </w:rPr>
      </w:pPr>
    </w:p>
    <w:p>
      <w:pPr>
        <w:pStyle w:val="2"/>
        <w:rPr>
          <w:sz w:val="28"/>
        </w:rPr>
      </w:pPr>
    </w:p>
    <w:p>
      <w:pPr>
        <w:pStyle w:val="3"/>
        <w:rPr>
          <w:sz w:val="28"/>
        </w:rPr>
      </w:pPr>
    </w:p>
    <w:p>
      <w:pPr>
        <w:pStyle w:val="4"/>
        <w:rPr>
          <w:sz w:val="28"/>
        </w:rPr>
      </w:pPr>
    </w:p>
    <w:p>
      <w:pPr>
        <w:rPr>
          <w:sz w:val="28"/>
        </w:rPr>
      </w:pPr>
    </w:p>
    <w:p>
      <w:pPr>
        <w:pStyle w:val="2"/>
      </w:pPr>
    </w:p>
    <w:p>
      <w:pPr>
        <w:rPr>
          <w:sz w:val="28"/>
        </w:rPr>
      </w:pPr>
      <w:r>
        <w:rPr>
          <w:rFonts w:hint="eastAsia"/>
          <w:b/>
          <w:bCs/>
          <w:sz w:val="28"/>
        </w:rPr>
        <w:t>（</w:t>
      </w:r>
      <w:r>
        <w:rPr>
          <w:rFonts w:hint="eastAsia"/>
          <w:b/>
          <w:bCs/>
          <w:sz w:val="28"/>
          <w:lang w:val="en-US" w:eastAsia="zh-CN"/>
        </w:rPr>
        <w:t>十</w:t>
      </w:r>
      <w:r>
        <w:rPr>
          <w:rFonts w:hint="eastAsia"/>
          <w:b/>
          <w:bCs/>
          <w:sz w:val="28"/>
        </w:rPr>
        <w:t>）投标保证金</w:t>
      </w:r>
    </w:p>
    <w:p>
      <w:pPr>
        <w:rPr>
          <w:sz w:val="28"/>
        </w:rPr>
      </w:pPr>
      <w:r>
        <w:rPr>
          <w:rFonts w:hint="eastAsia"/>
          <w:sz w:val="28"/>
        </w:rPr>
        <w:t>（本项目保证金不做要求）</w:t>
      </w:r>
    </w:p>
    <w:p>
      <w:pPr>
        <w:rPr>
          <w:b/>
          <w:bCs/>
          <w:sz w:val="28"/>
          <w:szCs w:val="28"/>
        </w:rPr>
      </w:pPr>
      <w:r>
        <w:rPr>
          <w:rFonts w:hint="eastAsia"/>
          <w:sz w:val="28"/>
        </w:rPr>
        <w:br w:type="page"/>
      </w:r>
    </w:p>
    <w:p>
      <w:pPr>
        <w:rPr>
          <w:sz w:val="28"/>
        </w:rPr>
      </w:pPr>
      <w:r>
        <w:rPr>
          <w:rFonts w:hint="eastAsia"/>
          <w:b/>
          <w:bCs/>
          <w:sz w:val="28"/>
        </w:rPr>
        <w:t>（</w:t>
      </w:r>
      <w:r>
        <w:rPr>
          <w:rFonts w:hint="eastAsia"/>
          <w:b/>
          <w:bCs/>
          <w:sz w:val="28"/>
          <w:lang w:val="en-US" w:eastAsia="zh-CN"/>
        </w:rPr>
        <w:t>十一</w:t>
      </w:r>
      <w:r>
        <w:rPr>
          <w:rFonts w:hint="eastAsia"/>
          <w:b/>
          <w:bCs/>
          <w:sz w:val="28"/>
        </w:rPr>
        <w:t>）诚信投标、诚信履约承诺书</w:t>
      </w:r>
    </w:p>
    <w:p>
      <w:pPr>
        <w:spacing w:line="360" w:lineRule="auto"/>
        <w:rPr>
          <w:b/>
          <w:sz w:val="24"/>
          <w:szCs w:val="24"/>
        </w:rPr>
      </w:pPr>
    </w:p>
    <w:p>
      <w:pPr>
        <w:spacing w:line="432" w:lineRule="auto"/>
        <w:rPr>
          <w:b/>
          <w:sz w:val="24"/>
        </w:rPr>
      </w:pPr>
      <w:r>
        <w:rPr>
          <w:rFonts w:hint="eastAsia"/>
          <w:b/>
          <w:sz w:val="24"/>
        </w:rPr>
        <w:t>致</w:t>
      </w:r>
      <w:r>
        <w:rPr>
          <w:rFonts w:hint="eastAsia"/>
          <w:b/>
          <w:sz w:val="24"/>
          <w:szCs w:val="24"/>
        </w:rPr>
        <w:t>：海南省规划展览馆</w:t>
      </w:r>
    </w:p>
    <w:p>
      <w:pPr>
        <w:spacing w:line="360" w:lineRule="auto"/>
        <w:ind w:firstLine="480" w:firstLineChars="200"/>
        <w:textAlignment w:val="baseline"/>
        <w:rPr>
          <w:sz w:val="24"/>
          <w:szCs w:val="24"/>
        </w:rPr>
      </w:pPr>
      <w:r>
        <w:rPr>
          <w:rFonts w:hint="eastAsia"/>
          <w:sz w:val="24"/>
          <w:szCs w:val="24"/>
        </w:rPr>
        <w:t>我方就本次公开招标采购活动向贵方郑重承诺：</w:t>
      </w:r>
    </w:p>
    <w:p>
      <w:pPr>
        <w:spacing w:line="360" w:lineRule="auto"/>
        <w:ind w:firstLine="480" w:firstLineChars="200"/>
        <w:textAlignment w:val="baseline"/>
        <w:rPr>
          <w:sz w:val="24"/>
          <w:szCs w:val="24"/>
        </w:rPr>
      </w:pPr>
      <w:r>
        <w:rPr>
          <w:rFonts w:hint="eastAsia"/>
          <w:sz w:val="24"/>
          <w:szCs w:val="24"/>
        </w:rPr>
        <w:t>一、我方已经充分理解了并完全响应招标文件规定的所有要求、采购需求、成交条件和合同条款，没有任何异议。</w:t>
      </w:r>
    </w:p>
    <w:p>
      <w:pPr>
        <w:spacing w:line="360" w:lineRule="auto"/>
        <w:ind w:firstLine="480" w:firstLineChars="200"/>
        <w:textAlignment w:val="baseline"/>
        <w:rPr>
          <w:sz w:val="24"/>
          <w:szCs w:val="24"/>
        </w:rPr>
      </w:pPr>
      <w:r>
        <w:rPr>
          <w:rFonts w:hint="eastAsia"/>
          <w:sz w:val="24"/>
          <w:szCs w:val="24"/>
        </w:rPr>
        <w:t>二、我方在响应文件中提交的所有证明材料都是真实有效的；我方做出的所有响应都是真实可信、可以实现、并经得起验收检验的。我方保证所有的投标响应在投标有效期内不发生任何变更。</w:t>
      </w:r>
    </w:p>
    <w:p>
      <w:pPr>
        <w:spacing w:line="360" w:lineRule="auto"/>
        <w:ind w:firstLine="480" w:firstLineChars="200"/>
        <w:textAlignment w:val="baseline"/>
        <w:rPr>
          <w:sz w:val="24"/>
          <w:szCs w:val="24"/>
        </w:rPr>
      </w:pPr>
      <w:r>
        <w:rPr>
          <w:rFonts w:hint="eastAsia"/>
          <w:sz w:val="24"/>
          <w:szCs w:val="24"/>
        </w:rPr>
        <w:t>三、我方知道，如果成交后放弃成交，不论原因何在，都是不诚信投标的行为，都会给采购项目造成损失。如果采购人将本合同授予我方，我方将承担所有的潜在合同风险，绝不以任何理由弃标。</w:t>
      </w:r>
    </w:p>
    <w:p>
      <w:pPr>
        <w:spacing w:line="360" w:lineRule="auto"/>
        <w:ind w:firstLine="480" w:firstLineChars="200"/>
        <w:textAlignment w:val="baseline"/>
        <w:rPr>
          <w:sz w:val="24"/>
          <w:szCs w:val="24"/>
        </w:rPr>
      </w:pPr>
      <w:r>
        <w:rPr>
          <w:rFonts w:hint="eastAsia"/>
          <w:sz w:val="24"/>
          <w:szCs w:val="24"/>
        </w:rPr>
        <w:t>四、我方知道，成交后拒签或故意拖延签署合同、拒绝履行或故意拖延履行合同，不论原因何在，都是不诚信履约的行为。如果采购人将本合同授予我方，我方将如约在规定的期限内签署合同，在规定的期限内履行合同。</w:t>
      </w:r>
    </w:p>
    <w:p>
      <w:pPr>
        <w:spacing w:line="360" w:lineRule="auto"/>
        <w:ind w:firstLine="480" w:firstLineChars="200"/>
        <w:textAlignment w:val="baseline"/>
        <w:rPr>
          <w:sz w:val="24"/>
          <w:szCs w:val="24"/>
        </w:rPr>
      </w:pPr>
      <w:r>
        <w:rPr>
          <w:rFonts w:hint="eastAsia"/>
          <w:sz w:val="24"/>
          <w:szCs w:val="24"/>
        </w:rPr>
        <w:t>五、我方声明：我方在过往两年内的政府采购活动中，没有成交后放弃成交、拒签或故意拖延签署合同、拒绝履行或故意拖延履行合同的不诚信行为。</w:t>
      </w:r>
    </w:p>
    <w:p>
      <w:pPr>
        <w:spacing w:line="360" w:lineRule="auto"/>
        <w:textAlignment w:val="baseline"/>
        <w:rPr>
          <w:sz w:val="24"/>
          <w:szCs w:val="24"/>
        </w:rPr>
      </w:pPr>
      <w:r>
        <w:rPr>
          <w:rFonts w:hint="eastAsia"/>
          <w:sz w:val="24"/>
          <w:szCs w:val="24"/>
        </w:rPr>
        <w:t>以上承诺，能够经受来自任何方面的审查和监督。如有虚假或背离，我方愿承担由此引发的一切不利后果，无条件接受采购人的处置和政府采购监管单位的处罚。</w:t>
      </w:r>
    </w:p>
    <w:p>
      <w:pPr>
        <w:adjustRightInd w:val="0"/>
        <w:snapToGrid w:val="0"/>
        <w:spacing w:line="360" w:lineRule="auto"/>
        <w:rPr>
          <w:spacing w:val="8"/>
          <w:sz w:val="24"/>
        </w:rPr>
      </w:pPr>
    </w:p>
    <w:p>
      <w:pPr>
        <w:spacing w:line="360" w:lineRule="auto"/>
        <w:ind w:right="3" w:rightChars="1" w:firstLine="1800" w:firstLineChars="750"/>
        <w:rPr>
          <w:sz w:val="24"/>
          <w:szCs w:val="24"/>
        </w:rPr>
      </w:pPr>
      <w:r>
        <w:rPr>
          <w:rFonts w:hint="eastAsia"/>
          <w:sz w:val="24"/>
          <w:szCs w:val="24"/>
        </w:rPr>
        <w:t>投标人名称（盖章）：</w:t>
      </w:r>
    </w:p>
    <w:p>
      <w:pPr>
        <w:spacing w:line="360" w:lineRule="auto"/>
        <w:ind w:right="3" w:rightChars="1" w:firstLine="1800" w:firstLineChars="750"/>
        <w:rPr>
          <w:sz w:val="24"/>
          <w:szCs w:val="24"/>
        </w:rPr>
      </w:pPr>
      <w:r>
        <w:rPr>
          <w:rFonts w:hint="eastAsia"/>
          <w:sz w:val="24"/>
          <w:szCs w:val="24"/>
        </w:rPr>
        <w:t>日期：  年  月  日</w:t>
      </w:r>
    </w:p>
    <w:p>
      <w:pPr>
        <w:rPr>
          <w:b/>
          <w:bCs/>
          <w:sz w:val="28"/>
          <w:szCs w:val="28"/>
        </w:rPr>
      </w:pPr>
      <w:r>
        <w:rPr>
          <w:rFonts w:hint="eastAsia"/>
          <w:sz w:val="28"/>
        </w:rPr>
        <w:br w:type="page"/>
      </w:r>
    </w:p>
    <w:p>
      <w:pPr>
        <w:rPr>
          <w:b/>
          <w:bCs/>
          <w:sz w:val="28"/>
        </w:rPr>
      </w:pPr>
      <w:r>
        <w:rPr>
          <w:rFonts w:hint="eastAsia"/>
          <w:b/>
          <w:bCs/>
          <w:sz w:val="28"/>
        </w:rPr>
        <w:t>（十</w:t>
      </w:r>
      <w:r>
        <w:rPr>
          <w:rFonts w:hint="eastAsia"/>
          <w:b/>
          <w:bCs/>
          <w:sz w:val="28"/>
          <w:lang w:val="en-US" w:eastAsia="zh-CN"/>
        </w:rPr>
        <w:t>二</w:t>
      </w:r>
      <w:r>
        <w:rPr>
          <w:rFonts w:hint="eastAsia"/>
          <w:b/>
          <w:bCs/>
          <w:sz w:val="28"/>
        </w:rPr>
        <w:t>）用户需求履约承诺书</w:t>
      </w:r>
    </w:p>
    <w:p>
      <w:pPr>
        <w:spacing w:line="432" w:lineRule="auto"/>
        <w:rPr>
          <w:b/>
          <w:sz w:val="24"/>
        </w:rPr>
      </w:pPr>
    </w:p>
    <w:p>
      <w:pPr>
        <w:spacing w:line="432" w:lineRule="auto"/>
        <w:rPr>
          <w:b/>
          <w:sz w:val="24"/>
        </w:rPr>
      </w:pPr>
      <w:r>
        <w:rPr>
          <w:rFonts w:hint="eastAsia"/>
          <w:b/>
          <w:sz w:val="24"/>
        </w:rPr>
        <w:t>致</w:t>
      </w:r>
      <w:r>
        <w:rPr>
          <w:rFonts w:hint="eastAsia"/>
          <w:b/>
          <w:sz w:val="24"/>
          <w:szCs w:val="24"/>
        </w:rPr>
        <w:t>：海南省规划展览馆</w:t>
      </w:r>
    </w:p>
    <w:p>
      <w:pPr>
        <w:spacing w:line="360" w:lineRule="auto"/>
        <w:ind w:firstLine="480" w:firstLineChars="200"/>
        <w:textAlignment w:val="baseline"/>
        <w:rPr>
          <w:sz w:val="24"/>
          <w:szCs w:val="24"/>
        </w:rPr>
      </w:pPr>
      <w:r>
        <w:rPr>
          <w:rFonts w:hint="eastAsia"/>
          <w:sz w:val="24"/>
          <w:szCs w:val="24"/>
        </w:rPr>
        <w:t>我方就本次公开招标采购活动向贵方郑重承诺：</w:t>
      </w:r>
    </w:p>
    <w:p>
      <w:pPr>
        <w:adjustRightInd w:val="0"/>
        <w:snapToGrid w:val="0"/>
        <w:spacing w:line="360" w:lineRule="auto"/>
        <w:ind w:firstLine="512" w:firstLineChars="200"/>
        <w:rPr>
          <w:spacing w:val="8"/>
          <w:sz w:val="24"/>
        </w:rPr>
      </w:pPr>
      <w:r>
        <w:rPr>
          <w:rFonts w:hint="eastAsia"/>
          <w:spacing w:val="8"/>
          <w:sz w:val="24"/>
        </w:rPr>
        <w:t>我公司已认真阅读招标文件中“采购需求”中的所有条款，对以上的内容要求了解清晰，我公司</w:t>
      </w:r>
      <w:r>
        <w:rPr>
          <w:rFonts w:hint="eastAsia"/>
          <w:sz w:val="24"/>
          <w:szCs w:val="24"/>
        </w:rPr>
        <w:t>招标</w:t>
      </w:r>
      <w:r>
        <w:rPr>
          <w:rFonts w:hint="eastAsia"/>
          <w:spacing w:val="8"/>
          <w:sz w:val="24"/>
        </w:rPr>
        <w:t>文件“采购需求”中的要求签署和愿行采购合同，为采购人提供优质的服务。</w:t>
      </w:r>
    </w:p>
    <w:p>
      <w:pPr>
        <w:spacing w:line="360" w:lineRule="auto"/>
        <w:ind w:right="3" w:rightChars="1"/>
        <w:rPr>
          <w:sz w:val="24"/>
          <w:szCs w:val="24"/>
        </w:rPr>
      </w:pPr>
    </w:p>
    <w:p>
      <w:pPr>
        <w:spacing w:line="360" w:lineRule="auto"/>
        <w:ind w:right="3" w:rightChars="1"/>
        <w:rPr>
          <w:sz w:val="24"/>
          <w:szCs w:val="24"/>
        </w:rPr>
      </w:pPr>
    </w:p>
    <w:p>
      <w:pPr>
        <w:spacing w:line="360" w:lineRule="auto"/>
        <w:ind w:right="3" w:rightChars="1"/>
        <w:jc w:val="right"/>
        <w:rPr>
          <w:sz w:val="24"/>
          <w:szCs w:val="24"/>
        </w:rPr>
      </w:pPr>
    </w:p>
    <w:p>
      <w:pPr>
        <w:spacing w:line="360" w:lineRule="auto"/>
        <w:ind w:right="3" w:rightChars="1"/>
        <w:jc w:val="right"/>
        <w:rPr>
          <w:sz w:val="24"/>
          <w:szCs w:val="24"/>
        </w:rPr>
      </w:pPr>
    </w:p>
    <w:p>
      <w:pPr>
        <w:spacing w:line="360" w:lineRule="auto"/>
        <w:ind w:right="3" w:rightChars="1"/>
        <w:jc w:val="right"/>
        <w:rPr>
          <w:sz w:val="24"/>
          <w:szCs w:val="24"/>
        </w:rPr>
      </w:pPr>
    </w:p>
    <w:p>
      <w:pPr>
        <w:spacing w:line="360" w:lineRule="auto"/>
        <w:ind w:right="3" w:rightChars="1" w:firstLine="1800" w:firstLineChars="750"/>
        <w:rPr>
          <w:sz w:val="24"/>
          <w:szCs w:val="24"/>
        </w:rPr>
      </w:pPr>
      <w:r>
        <w:rPr>
          <w:rFonts w:hint="eastAsia"/>
          <w:sz w:val="24"/>
          <w:szCs w:val="24"/>
        </w:rPr>
        <w:t>投标人名称（盖章）：</w:t>
      </w:r>
    </w:p>
    <w:p>
      <w:pPr>
        <w:spacing w:line="360" w:lineRule="auto"/>
        <w:ind w:right="3" w:rightChars="1" w:firstLine="1800" w:firstLineChars="750"/>
        <w:rPr>
          <w:sz w:val="24"/>
          <w:szCs w:val="24"/>
        </w:rPr>
      </w:pPr>
      <w:r>
        <w:rPr>
          <w:rFonts w:hint="eastAsia"/>
          <w:sz w:val="24"/>
          <w:szCs w:val="24"/>
        </w:rPr>
        <w:t>日期：  年  月  日</w:t>
      </w:r>
    </w:p>
    <w:p>
      <w:pPr>
        <w:rPr>
          <w:sz w:val="32"/>
          <w:szCs w:val="24"/>
        </w:rPr>
      </w:pPr>
    </w:p>
    <w:p>
      <w:pPr>
        <w:rPr>
          <w:b/>
          <w:bCs/>
          <w:sz w:val="32"/>
          <w:szCs w:val="32"/>
        </w:rPr>
      </w:pPr>
      <w:r>
        <w:rPr>
          <w:rFonts w:hint="eastAsia"/>
          <w:b/>
          <w:bCs/>
          <w:sz w:val="32"/>
          <w:szCs w:val="32"/>
        </w:rPr>
        <w:br w:type="page"/>
      </w:r>
    </w:p>
    <w:p>
      <w:pPr>
        <w:pStyle w:val="6"/>
        <w:ind w:firstLine="643"/>
        <w:jc w:val="center"/>
        <w:rPr>
          <w:sz w:val="32"/>
        </w:rPr>
      </w:pPr>
      <w:r>
        <w:rPr>
          <w:rFonts w:hint="eastAsia"/>
          <w:sz w:val="32"/>
        </w:rPr>
        <w:t>7.项目管理机构表</w:t>
      </w:r>
    </w:p>
    <w:p>
      <w:pPr>
        <w:pStyle w:val="3"/>
        <w:spacing w:before="6" w:line="360" w:lineRule="auto"/>
        <w:ind w:firstLine="141"/>
        <w:rPr>
          <w:b/>
          <w:sz w:val="7"/>
        </w:rPr>
      </w:pPr>
    </w:p>
    <w:tbl>
      <w:tblPr>
        <w:tblStyle w:val="22"/>
        <w:tblW w:w="9781" w:type="dxa"/>
        <w:tblInd w:w="0" w:type="dxa"/>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
      <w:tblGrid>
        <w:gridCol w:w="993"/>
        <w:gridCol w:w="992"/>
        <w:gridCol w:w="992"/>
        <w:gridCol w:w="1134"/>
        <w:gridCol w:w="1134"/>
        <w:gridCol w:w="709"/>
        <w:gridCol w:w="709"/>
        <w:gridCol w:w="992"/>
        <w:gridCol w:w="1134"/>
        <w:gridCol w:w="992"/>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681" w:hRule="atLeast"/>
        </w:trPr>
        <w:tc>
          <w:tcPr>
            <w:tcW w:w="993" w:type="dxa"/>
            <w:vMerge w:val="restart"/>
            <w:tcBorders>
              <w:bottom w:val="single" w:color="000000" w:sz="4" w:space="0"/>
              <w:right w:val="single" w:color="000000" w:sz="4" w:space="0"/>
            </w:tcBorders>
            <w:vAlign w:val="center"/>
          </w:tcPr>
          <w:p>
            <w:pPr>
              <w:pStyle w:val="29"/>
              <w:spacing w:before="1" w:line="360" w:lineRule="auto"/>
              <w:rPr>
                <w:color w:val="000000"/>
                <w:sz w:val="21"/>
              </w:rPr>
            </w:pPr>
            <w:r>
              <w:rPr>
                <w:rFonts w:hint="eastAsia"/>
                <w:color w:val="000000"/>
                <w:sz w:val="21"/>
              </w:rPr>
              <w:t>职务</w:t>
            </w:r>
          </w:p>
        </w:tc>
        <w:tc>
          <w:tcPr>
            <w:tcW w:w="992" w:type="dxa"/>
            <w:vMerge w:val="restart"/>
            <w:tcBorders>
              <w:left w:val="single" w:color="000000" w:sz="4" w:space="0"/>
              <w:bottom w:val="single" w:color="000000" w:sz="4" w:space="0"/>
              <w:right w:val="single" w:color="000000" w:sz="4" w:space="0"/>
            </w:tcBorders>
            <w:vAlign w:val="center"/>
          </w:tcPr>
          <w:p>
            <w:pPr>
              <w:pStyle w:val="29"/>
              <w:spacing w:before="1" w:line="360" w:lineRule="auto"/>
              <w:rPr>
                <w:color w:val="000000"/>
                <w:sz w:val="21"/>
              </w:rPr>
            </w:pPr>
            <w:r>
              <w:rPr>
                <w:rFonts w:hint="eastAsia"/>
                <w:color w:val="000000"/>
                <w:sz w:val="21"/>
              </w:rPr>
              <w:t>姓名</w:t>
            </w:r>
          </w:p>
        </w:tc>
        <w:tc>
          <w:tcPr>
            <w:tcW w:w="992" w:type="dxa"/>
            <w:vMerge w:val="restart"/>
            <w:tcBorders>
              <w:left w:val="single" w:color="000000" w:sz="4" w:space="0"/>
              <w:bottom w:val="single" w:color="000000" w:sz="4" w:space="0"/>
              <w:right w:val="single" w:color="000000" w:sz="4" w:space="0"/>
            </w:tcBorders>
            <w:vAlign w:val="center"/>
          </w:tcPr>
          <w:p>
            <w:pPr>
              <w:pStyle w:val="29"/>
              <w:spacing w:before="1" w:line="360" w:lineRule="auto"/>
              <w:rPr>
                <w:color w:val="000000"/>
                <w:sz w:val="21"/>
              </w:rPr>
            </w:pPr>
            <w:r>
              <w:rPr>
                <w:rFonts w:hint="eastAsia"/>
                <w:color w:val="000000"/>
                <w:sz w:val="21"/>
              </w:rPr>
              <w:t>职称</w:t>
            </w:r>
          </w:p>
        </w:tc>
        <w:tc>
          <w:tcPr>
            <w:tcW w:w="1134" w:type="dxa"/>
            <w:vMerge w:val="restart"/>
            <w:tcBorders>
              <w:left w:val="single" w:color="000000" w:sz="4" w:space="0"/>
              <w:bottom w:val="single" w:color="000000" w:sz="4" w:space="0"/>
              <w:right w:val="single" w:color="000000" w:sz="4" w:space="0"/>
            </w:tcBorders>
            <w:vAlign w:val="center"/>
          </w:tcPr>
          <w:p>
            <w:pPr>
              <w:pStyle w:val="29"/>
              <w:spacing w:line="360" w:lineRule="auto"/>
              <w:ind w:right="80"/>
              <w:rPr>
                <w:color w:val="000000"/>
                <w:sz w:val="21"/>
              </w:rPr>
            </w:pPr>
            <w:r>
              <w:rPr>
                <w:rFonts w:hint="eastAsia"/>
                <w:color w:val="000000"/>
                <w:sz w:val="21"/>
              </w:rPr>
              <w:t>从业时间</w:t>
            </w:r>
          </w:p>
        </w:tc>
        <w:tc>
          <w:tcPr>
            <w:tcW w:w="3544" w:type="dxa"/>
            <w:gridSpan w:val="4"/>
            <w:tcBorders>
              <w:left w:val="single" w:color="000000" w:sz="4" w:space="0"/>
              <w:bottom w:val="single" w:color="000000" w:sz="4" w:space="0"/>
              <w:right w:val="single" w:color="000000" w:sz="4" w:space="0"/>
            </w:tcBorders>
            <w:vAlign w:val="center"/>
          </w:tcPr>
          <w:p>
            <w:pPr>
              <w:pStyle w:val="29"/>
              <w:spacing w:before="164" w:line="360" w:lineRule="auto"/>
              <w:rPr>
                <w:color w:val="000000"/>
                <w:sz w:val="21"/>
              </w:rPr>
            </w:pPr>
            <w:r>
              <w:rPr>
                <w:rFonts w:hint="eastAsia"/>
                <w:color w:val="000000"/>
                <w:sz w:val="21"/>
              </w:rPr>
              <w:t>执业或职业资格证明</w:t>
            </w:r>
          </w:p>
        </w:tc>
        <w:tc>
          <w:tcPr>
            <w:tcW w:w="1134" w:type="dxa"/>
            <w:vMerge w:val="restart"/>
            <w:tcBorders>
              <w:left w:val="single" w:color="000000" w:sz="4" w:space="0"/>
              <w:bottom w:val="single" w:color="000000" w:sz="4" w:space="0"/>
              <w:right w:val="single" w:color="000000" w:sz="4" w:space="0"/>
            </w:tcBorders>
            <w:vAlign w:val="center"/>
          </w:tcPr>
          <w:p>
            <w:pPr>
              <w:pStyle w:val="29"/>
              <w:spacing w:before="1" w:line="360" w:lineRule="auto"/>
              <w:rPr>
                <w:color w:val="000000"/>
                <w:sz w:val="21"/>
              </w:rPr>
            </w:pPr>
            <w:r>
              <w:rPr>
                <w:rFonts w:hint="eastAsia"/>
                <w:color w:val="000000"/>
                <w:sz w:val="21"/>
              </w:rPr>
              <w:t>从事过类似业绩</w:t>
            </w:r>
          </w:p>
        </w:tc>
        <w:tc>
          <w:tcPr>
            <w:tcW w:w="992" w:type="dxa"/>
            <w:vMerge w:val="restart"/>
            <w:tcBorders>
              <w:left w:val="single" w:color="000000" w:sz="4" w:space="0"/>
              <w:bottom w:val="single" w:color="000000" w:sz="4" w:space="0"/>
            </w:tcBorders>
            <w:vAlign w:val="center"/>
          </w:tcPr>
          <w:p>
            <w:pPr>
              <w:pStyle w:val="29"/>
              <w:spacing w:before="1" w:line="360" w:lineRule="auto"/>
              <w:rPr>
                <w:color w:val="000000"/>
                <w:sz w:val="21"/>
              </w:rPr>
            </w:pPr>
            <w:r>
              <w:rPr>
                <w:rFonts w:hint="eastAsia"/>
                <w:color w:val="000000"/>
                <w:sz w:val="21"/>
              </w:rPr>
              <w:t>备注</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662" w:hRule="atLeast"/>
        </w:trPr>
        <w:tc>
          <w:tcPr>
            <w:tcW w:w="993" w:type="dxa"/>
            <w:vMerge w:val="continue"/>
            <w:tcBorders>
              <w:top w:val="nil"/>
              <w:bottom w:val="single" w:color="000000" w:sz="4" w:space="0"/>
              <w:right w:val="single" w:color="000000" w:sz="4" w:space="0"/>
            </w:tcBorders>
            <w:vAlign w:val="center"/>
          </w:tcPr>
          <w:p/>
        </w:tc>
        <w:tc>
          <w:tcPr>
            <w:tcW w:w="992" w:type="dxa"/>
            <w:vMerge w:val="continue"/>
            <w:tcBorders>
              <w:top w:val="nil"/>
              <w:left w:val="single" w:color="000000" w:sz="4" w:space="0"/>
              <w:bottom w:val="single" w:color="000000" w:sz="4" w:space="0"/>
              <w:right w:val="single" w:color="000000" w:sz="4" w:space="0"/>
            </w:tcBorders>
            <w:vAlign w:val="center"/>
          </w:tcPr>
          <w:p/>
        </w:tc>
        <w:tc>
          <w:tcPr>
            <w:tcW w:w="992" w:type="dxa"/>
            <w:vMerge w:val="continue"/>
            <w:tcBorders>
              <w:top w:val="nil"/>
              <w:left w:val="single" w:color="000000" w:sz="4" w:space="0"/>
              <w:bottom w:val="single" w:color="000000" w:sz="4" w:space="0"/>
              <w:right w:val="single" w:color="000000" w:sz="4" w:space="0"/>
            </w:tcBorders>
            <w:vAlign w:val="center"/>
          </w:tcPr>
          <w:p/>
        </w:tc>
        <w:tc>
          <w:tcPr>
            <w:tcW w:w="1134" w:type="dxa"/>
            <w:vMerge w:val="continue"/>
            <w:tcBorders>
              <w:top w:val="nil"/>
              <w:left w:val="single" w:color="000000" w:sz="4" w:space="0"/>
              <w:bottom w:val="single" w:color="000000" w:sz="4" w:space="0"/>
              <w:right w:val="single" w:color="000000" w:sz="4" w:space="0"/>
            </w:tcBorders>
            <w:vAlign w:val="center"/>
          </w:tc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29"/>
              <w:spacing w:before="149" w:line="360" w:lineRule="auto"/>
              <w:rPr>
                <w:color w:val="000000"/>
                <w:sz w:val="21"/>
              </w:rPr>
            </w:pPr>
            <w:r>
              <w:rPr>
                <w:rFonts w:hint="eastAsia"/>
                <w:color w:val="000000"/>
                <w:sz w:val="21"/>
              </w:rPr>
              <w:t>证书名称</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29"/>
              <w:spacing w:before="149" w:line="360" w:lineRule="auto"/>
              <w:rPr>
                <w:color w:val="000000"/>
                <w:sz w:val="21"/>
              </w:rPr>
            </w:pPr>
            <w:r>
              <w:rPr>
                <w:rFonts w:hint="eastAsia"/>
                <w:color w:val="000000"/>
                <w:sz w:val="21"/>
              </w:rPr>
              <w:t>专业</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29"/>
              <w:spacing w:before="149" w:line="360" w:lineRule="auto"/>
              <w:rPr>
                <w:color w:val="000000"/>
                <w:sz w:val="21"/>
              </w:rPr>
            </w:pPr>
            <w:r>
              <w:rPr>
                <w:rFonts w:hint="eastAsia"/>
                <w:color w:val="000000"/>
                <w:sz w:val="21"/>
              </w:rPr>
              <w:t>级别</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29"/>
              <w:spacing w:before="149" w:line="360" w:lineRule="auto"/>
              <w:rPr>
                <w:color w:val="000000"/>
                <w:sz w:val="21"/>
              </w:rPr>
            </w:pPr>
            <w:r>
              <w:rPr>
                <w:rFonts w:hint="eastAsia"/>
                <w:color w:val="000000"/>
                <w:sz w:val="21"/>
              </w:rPr>
              <w:t>证号</w:t>
            </w:r>
          </w:p>
        </w:tc>
        <w:tc>
          <w:tcPr>
            <w:tcW w:w="1134" w:type="dxa"/>
            <w:vMerge w:val="continue"/>
            <w:tcBorders>
              <w:top w:val="nil"/>
              <w:left w:val="single" w:color="000000" w:sz="4" w:space="0"/>
              <w:bottom w:val="single" w:color="000000" w:sz="4" w:space="0"/>
              <w:right w:val="single" w:color="000000" w:sz="4" w:space="0"/>
            </w:tcBorders>
            <w:vAlign w:val="center"/>
          </w:tcPr>
          <w:p/>
        </w:tc>
        <w:tc>
          <w:tcPr>
            <w:tcW w:w="992" w:type="dxa"/>
            <w:vMerge w:val="continue"/>
            <w:tcBorders>
              <w:top w:val="nil"/>
              <w:left w:val="single" w:color="000000" w:sz="4" w:space="0"/>
              <w:bottom w:val="single" w:color="000000" w:sz="4" w:space="0"/>
            </w:tcBorders>
            <w:vAlign w:val="center"/>
          </w:tc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844" w:hRule="atLeast"/>
        </w:trPr>
        <w:tc>
          <w:tcPr>
            <w:tcW w:w="993" w:type="dxa"/>
            <w:tcBorders>
              <w:top w:val="single" w:color="000000" w:sz="4" w:space="0"/>
              <w:bottom w:val="single" w:color="000000" w:sz="4" w:space="0"/>
              <w:right w:val="single" w:color="000000" w:sz="4" w:space="0"/>
            </w:tcBorders>
            <w:vAlign w:val="center"/>
          </w:tcPr>
          <w:p>
            <w:pPr>
              <w:pStyle w:val="29"/>
              <w:spacing w:line="360" w:lineRule="auto"/>
              <w:ind w:firstLine="560"/>
              <w:rPr>
                <w:color w:val="000000"/>
                <w:sz w:val="28"/>
              </w:rPr>
            </w:pP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29"/>
              <w:spacing w:line="360" w:lineRule="auto"/>
              <w:ind w:firstLine="560"/>
              <w:rPr>
                <w:color w:val="000000"/>
                <w:sz w:val="28"/>
              </w:rPr>
            </w:pP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29"/>
              <w:spacing w:line="360" w:lineRule="auto"/>
              <w:ind w:firstLine="560"/>
              <w:rPr>
                <w:color w:val="000000"/>
                <w:sz w:val="2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29"/>
              <w:spacing w:line="360" w:lineRule="auto"/>
              <w:ind w:firstLine="560"/>
              <w:rPr>
                <w:color w:val="000000"/>
                <w:sz w:val="2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29"/>
              <w:spacing w:line="360" w:lineRule="auto"/>
              <w:ind w:firstLine="560"/>
              <w:rPr>
                <w:color w:val="000000"/>
                <w:sz w:val="28"/>
              </w:rPr>
            </w:pP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29"/>
              <w:spacing w:line="360" w:lineRule="auto"/>
              <w:ind w:firstLine="560"/>
              <w:rPr>
                <w:color w:val="000000"/>
                <w:sz w:val="28"/>
              </w:rPr>
            </w:pP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29"/>
              <w:spacing w:line="360" w:lineRule="auto"/>
              <w:ind w:firstLine="560"/>
              <w:rPr>
                <w:color w:val="000000"/>
                <w:sz w:val="28"/>
              </w:rPr>
            </w:pP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29"/>
              <w:spacing w:line="360" w:lineRule="auto"/>
              <w:ind w:firstLine="560"/>
              <w:rPr>
                <w:color w:val="000000"/>
                <w:sz w:val="2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29"/>
              <w:spacing w:line="360" w:lineRule="auto"/>
              <w:ind w:firstLine="560"/>
              <w:rPr>
                <w:color w:val="000000"/>
                <w:sz w:val="28"/>
              </w:rPr>
            </w:pPr>
          </w:p>
        </w:tc>
        <w:tc>
          <w:tcPr>
            <w:tcW w:w="992" w:type="dxa"/>
            <w:tcBorders>
              <w:top w:val="single" w:color="000000" w:sz="4" w:space="0"/>
              <w:left w:val="single" w:color="000000" w:sz="4" w:space="0"/>
              <w:bottom w:val="single" w:color="000000" w:sz="4" w:space="0"/>
            </w:tcBorders>
            <w:vAlign w:val="center"/>
          </w:tcPr>
          <w:p>
            <w:pPr>
              <w:pStyle w:val="29"/>
              <w:spacing w:line="360" w:lineRule="auto"/>
              <w:ind w:firstLine="560"/>
              <w:rPr>
                <w:color w:val="000000"/>
                <w:sz w:val="28"/>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637" w:hRule="atLeast"/>
        </w:trPr>
        <w:tc>
          <w:tcPr>
            <w:tcW w:w="993" w:type="dxa"/>
            <w:tcBorders>
              <w:top w:val="single" w:color="000000" w:sz="4" w:space="0"/>
              <w:bottom w:val="single" w:color="000000" w:sz="4" w:space="0"/>
              <w:right w:val="single" w:color="000000" w:sz="4" w:space="0"/>
            </w:tcBorders>
            <w:vAlign w:val="center"/>
          </w:tcPr>
          <w:p>
            <w:pPr>
              <w:pStyle w:val="29"/>
              <w:spacing w:line="360" w:lineRule="auto"/>
              <w:ind w:firstLine="560"/>
              <w:rPr>
                <w:color w:val="000000"/>
                <w:sz w:val="28"/>
              </w:rPr>
            </w:pP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29"/>
              <w:spacing w:line="360" w:lineRule="auto"/>
              <w:ind w:firstLine="560"/>
              <w:rPr>
                <w:color w:val="000000"/>
                <w:sz w:val="28"/>
              </w:rPr>
            </w:pP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29"/>
              <w:spacing w:line="360" w:lineRule="auto"/>
              <w:ind w:firstLine="560"/>
              <w:rPr>
                <w:color w:val="000000"/>
                <w:sz w:val="2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29"/>
              <w:spacing w:line="360" w:lineRule="auto"/>
              <w:ind w:firstLine="560"/>
              <w:rPr>
                <w:color w:val="000000"/>
                <w:sz w:val="2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29"/>
              <w:spacing w:line="360" w:lineRule="auto"/>
              <w:ind w:firstLine="560"/>
              <w:rPr>
                <w:color w:val="000000"/>
                <w:sz w:val="28"/>
              </w:rPr>
            </w:pP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29"/>
              <w:spacing w:line="360" w:lineRule="auto"/>
              <w:ind w:firstLine="560"/>
              <w:rPr>
                <w:color w:val="000000"/>
                <w:sz w:val="28"/>
              </w:rPr>
            </w:pP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29"/>
              <w:spacing w:line="360" w:lineRule="auto"/>
              <w:ind w:firstLine="560"/>
              <w:rPr>
                <w:color w:val="000000"/>
                <w:sz w:val="28"/>
              </w:rPr>
            </w:pP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29"/>
              <w:spacing w:line="360" w:lineRule="auto"/>
              <w:ind w:firstLine="560"/>
              <w:rPr>
                <w:color w:val="000000"/>
                <w:sz w:val="2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29"/>
              <w:spacing w:line="360" w:lineRule="auto"/>
              <w:ind w:firstLine="560"/>
              <w:rPr>
                <w:color w:val="000000"/>
                <w:sz w:val="28"/>
              </w:rPr>
            </w:pPr>
          </w:p>
        </w:tc>
        <w:tc>
          <w:tcPr>
            <w:tcW w:w="992" w:type="dxa"/>
            <w:tcBorders>
              <w:top w:val="single" w:color="000000" w:sz="4" w:space="0"/>
              <w:left w:val="single" w:color="000000" w:sz="4" w:space="0"/>
              <w:bottom w:val="single" w:color="000000" w:sz="4" w:space="0"/>
            </w:tcBorders>
            <w:vAlign w:val="center"/>
          </w:tcPr>
          <w:p>
            <w:pPr>
              <w:pStyle w:val="29"/>
              <w:spacing w:line="360" w:lineRule="auto"/>
              <w:ind w:firstLine="560"/>
              <w:rPr>
                <w:color w:val="000000"/>
                <w:sz w:val="28"/>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635" w:hRule="atLeast"/>
        </w:trPr>
        <w:tc>
          <w:tcPr>
            <w:tcW w:w="993" w:type="dxa"/>
            <w:tcBorders>
              <w:top w:val="single" w:color="000000" w:sz="4" w:space="0"/>
              <w:bottom w:val="single" w:color="000000" w:sz="6" w:space="0"/>
              <w:right w:val="single" w:color="000000" w:sz="4" w:space="0"/>
            </w:tcBorders>
            <w:vAlign w:val="center"/>
          </w:tcPr>
          <w:p>
            <w:pPr>
              <w:pStyle w:val="29"/>
              <w:spacing w:line="360" w:lineRule="auto"/>
              <w:ind w:firstLine="560"/>
              <w:rPr>
                <w:color w:val="000000"/>
                <w:sz w:val="28"/>
              </w:rPr>
            </w:pPr>
          </w:p>
        </w:tc>
        <w:tc>
          <w:tcPr>
            <w:tcW w:w="992" w:type="dxa"/>
            <w:tcBorders>
              <w:top w:val="single" w:color="000000" w:sz="4" w:space="0"/>
              <w:left w:val="single" w:color="000000" w:sz="4" w:space="0"/>
              <w:bottom w:val="single" w:color="000000" w:sz="6" w:space="0"/>
              <w:right w:val="single" w:color="000000" w:sz="4" w:space="0"/>
            </w:tcBorders>
            <w:vAlign w:val="center"/>
          </w:tcPr>
          <w:p>
            <w:pPr>
              <w:pStyle w:val="29"/>
              <w:spacing w:line="360" w:lineRule="auto"/>
              <w:ind w:firstLine="560"/>
              <w:rPr>
                <w:color w:val="000000"/>
                <w:sz w:val="28"/>
              </w:rPr>
            </w:pPr>
          </w:p>
        </w:tc>
        <w:tc>
          <w:tcPr>
            <w:tcW w:w="992" w:type="dxa"/>
            <w:tcBorders>
              <w:top w:val="single" w:color="000000" w:sz="4" w:space="0"/>
              <w:left w:val="single" w:color="000000" w:sz="4" w:space="0"/>
              <w:bottom w:val="single" w:color="000000" w:sz="6" w:space="0"/>
              <w:right w:val="single" w:color="000000" w:sz="4" w:space="0"/>
            </w:tcBorders>
            <w:vAlign w:val="center"/>
          </w:tcPr>
          <w:p>
            <w:pPr>
              <w:pStyle w:val="29"/>
              <w:spacing w:line="360" w:lineRule="auto"/>
              <w:ind w:firstLine="560"/>
              <w:rPr>
                <w:color w:val="000000"/>
                <w:sz w:val="28"/>
              </w:rPr>
            </w:pPr>
          </w:p>
        </w:tc>
        <w:tc>
          <w:tcPr>
            <w:tcW w:w="1134" w:type="dxa"/>
            <w:tcBorders>
              <w:top w:val="single" w:color="000000" w:sz="4" w:space="0"/>
              <w:left w:val="single" w:color="000000" w:sz="4" w:space="0"/>
              <w:bottom w:val="single" w:color="000000" w:sz="6" w:space="0"/>
              <w:right w:val="single" w:color="000000" w:sz="4" w:space="0"/>
            </w:tcBorders>
            <w:vAlign w:val="center"/>
          </w:tcPr>
          <w:p>
            <w:pPr>
              <w:pStyle w:val="29"/>
              <w:spacing w:line="360" w:lineRule="auto"/>
              <w:ind w:firstLine="560"/>
              <w:rPr>
                <w:color w:val="000000"/>
                <w:sz w:val="28"/>
              </w:rPr>
            </w:pPr>
          </w:p>
        </w:tc>
        <w:tc>
          <w:tcPr>
            <w:tcW w:w="1134" w:type="dxa"/>
            <w:tcBorders>
              <w:top w:val="single" w:color="000000" w:sz="4" w:space="0"/>
              <w:left w:val="single" w:color="000000" w:sz="4" w:space="0"/>
              <w:bottom w:val="single" w:color="000000" w:sz="6" w:space="0"/>
              <w:right w:val="single" w:color="000000" w:sz="4" w:space="0"/>
            </w:tcBorders>
            <w:vAlign w:val="center"/>
          </w:tcPr>
          <w:p>
            <w:pPr>
              <w:pStyle w:val="29"/>
              <w:spacing w:line="360" w:lineRule="auto"/>
              <w:ind w:firstLine="560"/>
              <w:rPr>
                <w:color w:val="000000"/>
                <w:sz w:val="28"/>
              </w:rPr>
            </w:pPr>
          </w:p>
        </w:tc>
        <w:tc>
          <w:tcPr>
            <w:tcW w:w="709" w:type="dxa"/>
            <w:tcBorders>
              <w:top w:val="single" w:color="000000" w:sz="4" w:space="0"/>
              <w:left w:val="single" w:color="000000" w:sz="4" w:space="0"/>
              <w:bottom w:val="single" w:color="000000" w:sz="6" w:space="0"/>
              <w:right w:val="single" w:color="000000" w:sz="4" w:space="0"/>
            </w:tcBorders>
            <w:vAlign w:val="center"/>
          </w:tcPr>
          <w:p>
            <w:pPr>
              <w:pStyle w:val="29"/>
              <w:spacing w:line="360" w:lineRule="auto"/>
              <w:ind w:firstLine="560"/>
              <w:rPr>
                <w:color w:val="000000"/>
                <w:sz w:val="28"/>
              </w:rPr>
            </w:pPr>
          </w:p>
        </w:tc>
        <w:tc>
          <w:tcPr>
            <w:tcW w:w="709" w:type="dxa"/>
            <w:tcBorders>
              <w:top w:val="single" w:color="000000" w:sz="4" w:space="0"/>
              <w:left w:val="single" w:color="000000" w:sz="4" w:space="0"/>
              <w:bottom w:val="single" w:color="000000" w:sz="6" w:space="0"/>
              <w:right w:val="single" w:color="000000" w:sz="4" w:space="0"/>
            </w:tcBorders>
            <w:vAlign w:val="center"/>
          </w:tcPr>
          <w:p>
            <w:pPr>
              <w:pStyle w:val="29"/>
              <w:spacing w:line="360" w:lineRule="auto"/>
              <w:ind w:firstLine="560"/>
              <w:rPr>
                <w:color w:val="000000"/>
                <w:sz w:val="28"/>
              </w:rPr>
            </w:pPr>
          </w:p>
        </w:tc>
        <w:tc>
          <w:tcPr>
            <w:tcW w:w="992" w:type="dxa"/>
            <w:tcBorders>
              <w:top w:val="single" w:color="000000" w:sz="4" w:space="0"/>
              <w:left w:val="single" w:color="000000" w:sz="4" w:space="0"/>
              <w:bottom w:val="single" w:color="000000" w:sz="6" w:space="0"/>
              <w:right w:val="single" w:color="000000" w:sz="4" w:space="0"/>
            </w:tcBorders>
            <w:vAlign w:val="center"/>
          </w:tcPr>
          <w:p>
            <w:pPr>
              <w:pStyle w:val="29"/>
              <w:spacing w:line="360" w:lineRule="auto"/>
              <w:ind w:firstLine="560"/>
              <w:rPr>
                <w:color w:val="000000"/>
                <w:sz w:val="28"/>
              </w:rPr>
            </w:pPr>
          </w:p>
        </w:tc>
        <w:tc>
          <w:tcPr>
            <w:tcW w:w="1134" w:type="dxa"/>
            <w:tcBorders>
              <w:top w:val="single" w:color="000000" w:sz="4" w:space="0"/>
              <w:left w:val="single" w:color="000000" w:sz="4" w:space="0"/>
              <w:bottom w:val="single" w:color="000000" w:sz="6" w:space="0"/>
              <w:right w:val="single" w:color="000000" w:sz="4" w:space="0"/>
            </w:tcBorders>
            <w:vAlign w:val="center"/>
          </w:tcPr>
          <w:p>
            <w:pPr>
              <w:pStyle w:val="29"/>
              <w:spacing w:line="360" w:lineRule="auto"/>
              <w:ind w:firstLine="560"/>
              <w:rPr>
                <w:color w:val="000000"/>
                <w:sz w:val="28"/>
              </w:rPr>
            </w:pPr>
          </w:p>
        </w:tc>
        <w:tc>
          <w:tcPr>
            <w:tcW w:w="992" w:type="dxa"/>
            <w:tcBorders>
              <w:top w:val="single" w:color="000000" w:sz="4" w:space="0"/>
              <w:left w:val="single" w:color="000000" w:sz="4" w:space="0"/>
              <w:bottom w:val="single" w:color="000000" w:sz="6" w:space="0"/>
            </w:tcBorders>
            <w:vAlign w:val="center"/>
          </w:tcPr>
          <w:p>
            <w:pPr>
              <w:pStyle w:val="29"/>
              <w:spacing w:line="360" w:lineRule="auto"/>
              <w:ind w:firstLine="560"/>
              <w:rPr>
                <w:color w:val="000000"/>
                <w:sz w:val="28"/>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635" w:hRule="atLeast"/>
        </w:trPr>
        <w:tc>
          <w:tcPr>
            <w:tcW w:w="993" w:type="dxa"/>
            <w:tcBorders>
              <w:top w:val="single" w:color="000000" w:sz="6" w:space="0"/>
              <w:bottom w:val="single" w:color="000000" w:sz="4" w:space="0"/>
              <w:right w:val="single" w:color="000000" w:sz="4" w:space="0"/>
            </w:tcBorders>
            <w:vAlign w:val="center"/>
          </w:tcPr>
          <w:p>
            <w:pPr>
              <w:pStyle w:val="29"/>
              <w:spacing w:line="360" w:lineRule="auto"/>
              <w:ind w:firstLine="560"/>
              <w:rPr>
                <w:color w:val="000000"/>
                <w:sz w:val="28"/>
              </w:rPr>
            </w:pPr>
          </w:p>
        </w:tc>
        <w:tc>
          <w:tcPr>
            <w:tcW w:w="992" w:type="dxa"/>
            <w:tcBorders>
              <w:top w:val="single" w:color="000000" w:sz="6" w:space="0"/>
              <w:left w:val="single" w:color="000000" w:sz="4" w:space="0"/>
              <w:bottom w:val="single" w:color="000000" w:sz="4" w:space="0"/>
              <w:right w:val="single" w:color="000000" w:sz="4" w:space="0"/>
            </w:tcBorders>
            <w:vAlign w:val="center"/>
          </w:tcPr>
          <w:p>
            <w:pPr>
              <w:pStyle w:val="29"/>
              <w:spacing w:line="360" w:lineRule="auto"/>
              <w:ind w:firstLine="560"/>
              <w:rPr>
                <w:color w:val="000000"/>
                <w:sz w:val="28"/>
              </w:rPr>
            </w:pPr>
          </w:p>
        </w:tc>
        <w:tc>
          <w:tcPr>
            <w:tcW w:w="992" w:type="dxa"/>
            <w:tcBorders>
              <w:top w:val="single" w:color="000000" w:sz="6" w:space="0"/>
              <w:left w:val="single" w:color="000000" w:sz="4" w:space="0"/>
              <w:bottom w:val="single" w:color="000000" w:sz="4" w:space="0"/>
              <w:right w:val="single" w:color="000000" w:sz="4" w:space="0"/>
            </w:tcBorders>
            <w:vAlign w:val="center"/>
          </w:tcPr>
          <w:p>
            <w:pPr>
              <w:pStyle w:val="29"/>
              <w:spacing w:line="360" w:lineRule="auto"/>
              <w:ind w:firstLine="560"/>
              <w:rPr>
                <w:color w:val="000000"/>
                <w:sz w:val="28"/>
              </w:rPr>
            </w:pPr>
          </w:p>
        </w:tc>
        <w:tc>
          <w:tcPr>
            <w:tcW w:w="1134" w:type="dxa"/>
            <w:tcBorders>
              <w:top w:val="single" w:color="000000" w:sz="6" w:space="0"/>
              <w:left w:val="single" w:color="000000" w:sz="4" w:space="0"/>
              <w:bottom w:val="single" w:color="000000" w:sz="4" w:space="0"/>
              <w:right w:val="single" w:color="000000" w:sz="4" w:space="0"/>
            </w:tcBorders>
            <w:vAlign w:val="center"/>
          </w:tcPr>
          <w:p>
            <w:pPr>
              <w:pStyle w:val="29"/>
              <w:spacing w:line="360" w:lineRule="auto"/>
              <w:ind w:firstLine="560"/>
              <w:rPr>
                <w:color w:val="000000"/>
                <w:sz w:val="28"/>
              </w:rPr>
            </w:pPr>
          </w:p>
        </w:tc>
        <w:tc>
          <w:tcPr>
            <w:tcW w:w="1134" w:type="dxa"/>
            <w:tcBorders>
              <w:top w:val="single" w:color="000000" w:sz="6" w:space="0"/>
              <w:left w:val="single" w:color="000000" w:sz="4" w:space="0"/>
              <w:bottom w:val="single" w:color="000000" w:sz="4" w:space="0"/>
              <w:right w:val="single" w:color="000000" w:sz="4" w:space="0"/>
            </w:tcBorders>
            <w:vAlign w:val="center"/>
          </w:tcPr>
          <w:p>
            <w:pPr>
              <w:pStyle w:val="29"/>
              <w:spacing w:line="360" w:lineRule="auto"/>
              <w:ind w:firstLine="560"/>
              <w:rPr>
                <w:color w:val="000000"/>
                <w:sz w:val="28"/>
              </w:rPr>
            </w:pPr>
          </w:p>
        </w:tc>
        <w:tc>
          <w:tcPr>
            <w:tcW w:w="709" w:type="dxa"/>
            <w:tcBorders>
              <w:top w:val="single" w:color="000000" w:sz="6" w:space="0"/>
              <w:left w:val="single" w:color="000000" w:sz="4" w:space="0"/>
              <w:bottom w:val="single" w:color="000000" w:sz="4" w:space="0"/>
              <w:right w:val="single" w:color="000000" w:sz="4" w:space="0"/>
            </w:tcBorders>
            <w:vAlign w:val="center"/>
          </w:tcPr>
          <w:p>
            <w:pPr>
              <w:pStyle w:val="29"/>
              <w:spacing w:line="360" w:lineRule="auto"/>
              <w:ind w:firstLine="560"/>
              <w:rPr>
                <w:color w:val="000000"/>
                <w:sz w:val="28"/>
              </w:rPr>
            </w:pPr>
          </w:p>
        </w:tc>
        <w:tc>
          <w:tcPr>
            <w:tcW w:w="709" w:type="dxa"/>
            <w:tcBorders>
              <w:top w:val="single" w:color="000000" w:sz="6" w:space="0"/>
              <w:left w:val="single" w:color="000000" w:sz="4" w:space="0"/>
              <w:bottom w:val="single" w:color="000000" w:sz="4" w:space="0"/>
              <w:right w:val="single" w:color="000000" w:sz="4" w:space="0"/>
            </w:tcBorders>
            <w:vAlign w:val="center"/>
          </w:tcPr>
          <w:p>
            <w:pPr>
              <w:pStyle w:val="29"/>
              <w:spacing w:line="360" w:lineRule="auto"/>
              <w:ind w:firstLine="560"/>
              <w:rPr>
                <w:color w:val="000000"/>
                <w:sz w:val="28"/>
              </w:rPr>
            </w:pPr>
          </w:p>
        </w:tc>
        <w:tc>
          <w:tcPr>
            <w:tcW w:w="992" w:type="dxa"/>
            <w:tcBorders>
              <w:top w:val="single" w:color="000000" w:sz="6" w:space="0"/>
              <w:left w:val="single" w:color="000000" w:sz="4" w:space="0"/>
              <w:bottom w:val="single" w:color="000000" w:sz="4" w:space="0"/>
              <w:right w:val="single" w:color="000000" w:sz="4" w:space="0"/>
            </w:tcBorders>
            <w:vAlign w:val="center"/>
          </w:tcPr>
          <w:p>
            <w:pPr>
              <w:pStyle w:val="29"/>
              <w:spacing w:line="360" w:lineRule="auto"/>
              <w:ind w:firstLine="560"/>
              <w:rPr>
                <w:color w:val="000000"/>
                <w:sz w:val="28"/>
              </w:rPr>
            </w:pPr>
          </w:p>
        </w:tc>
        <w:tc>
          <w:tcPr>
            <w:tcW w:w="1134" w:type="dxa"/>
            <w:tcBorders>
              <w:top w:val="single" w:color="000000" w:sz="6" w:space="0"/>
              <w:left w:val="single" w:color="000000" w:sz="4" w:space="0"/>
              <w:bottom w:val="single" w:color="000000" w:sz="4" w:space="0"/>
              <w:right w:val="single" w:color="000000" w:sz="4" w:space="0"/>
            </w:tcBorders>
            <w:vAlign w:val="center"/>
          </w:tcPr>
          <w:p>
            <w:pPr>
              <w:pStyle w:val="29"/>
              <w:spacing w:line="360" w:lineRule="auto"/>
              <w:ind w:firstLine="560"/>
              <w:rPr>
                <w:color w:val="000000"/>
                <w:sz w:val="28"/>
              </w:rPr>
            </w:pPr>
          </w:p>
        </w:tc>
        <w:tc>
          <w:tcPr>
            <w:tcW w:w="992" w:type="dxa"/>
            <w:tcBorders>
              <w:top w:val="single" w:color="000000" w:sz="6" w:space="0"/>
              <w:left w:val="single" w:color="000000" w:sz="4" w:space="0"/>
              <w:bottom w:val="single" w:color="000000" w:sz="4" w:space="0"/>
            </w:tcBorders>
            <w:vAlign w:val="center"/>
          </w:tcPr>
          <w:p>
            <w:pPr>
              <w:pStyle w:val="29"/>
              <w:spacing w:line="360" w:lineRule="auto"/>
              <w:ind w:firstLine="560"/>
              <w:rPr>
                <w:color w:val="000000"/>
                <w:sz w:val="28"/>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647" w:hRule="atLeast"/>
        </w:trPr>
        <w:tc>
          <w:tcPr>
            <w:tcW w:w="993" w:type="dxa"/>
            <w:tcBorders>
              <w:top w:val="single" w:color="000000" w:sz="4" w:space="0"/>
              <w:right w:val="single" w:color="000000" w:sz="4" w:space="0"/>
            </w:tcBorders>
            <w:vAlign w:val="center"/>
          </w:tcPr>
          <w:p>
            <w:pPr>
              <w:pStyle w:val="29"/>
              <w:spacing w:line="360" w:lineRule="auto"/>
              <w:ind w:firstLine="560"/>
              <w:rPr>
                <w:color w:val="000000"/>
                <w:sz w:val="28"/>
              </w:rPr>
            </w:pPr>
          </w:p>
        </w:tc>
        <w:tc>
          <w:tcPr>
            <w:tcW w:w="992" w:type="dxa"/>
            <w:tcBorders>
              <w:top w:val="single" w:color="000000" w:sz="4" w:space="0"/>
              <w:left w:val="single" w:color="000000" w:sz="4" w:space="0"/>
              <w:right w:val="single" w:color="000000" w:sz="4" w:space="0"/>
            </w:tcBorders>
            <w:vAlign w:val="center"/>
          </w:tcPr>
          <w:p>
            <w:pPr>
              <w:pStyle w:val="29"/>
              <w:spacing w:line="360" w:lineRule="auto"/>
              <w:ind w:firstLine="560"/>
              <w:rPr>
                <w:color w:val="000000"/>
                <w:sz w:val="28"/>
              </w:rPr>
            </w:pPr>
          </w:p>
        </w:tc>
        <w:tc>
          <w:tcPr>
            <w:tcW w:w="992" w:type="dxa"/>
            <w:tcBorders>
              <w:top w:val="single" w:color="000000" w:sz="4" w:space="0"/>
              <w:left w:val="single" w:color="000000" w:sz="4" w:space="0"/>
              <w:right w:val="single" w:color="000000" w:sz="4" w:space="0"/>
            </w:tcBorders>
            <w:vAlign w:val="center"/>
          </w:tcPr>
          <w:p>
            <w:pPr>
              <w:pStyle w:val="29"/>
              <w:spacing w:line="360" w:lineRule="auto"/>
              <w:ind w:firstLine="560"/>
              <w:rPr>
                <w:color w:val="000000"/>
                <w:sz w:val="28"/>
              </w:rPr>
            </w:pPr>
          </w:p>
        </w:tc>
        <w:tc>
          <w:tcPr>
            <w:tcW w:w="1134" w:type="dxa"/>
            <w:tcBorders>
              <w:top w:val="single" w:color="000000" w:sz="4" w:space="0"/>
              <w:left w:val="single" w:color="000000" w:sz="4" w:space="0"/>
              <w:right w:val="single" w:color="000000" w:sz="4" w:space="0"/>
            </w:tcBorders>
            <w:vAlign w:val="center"/>
          </w:tcPr>
          <w:p>
            <w:pPr>
              <w:pStyle w:val="29"/>
              <w:spacing w:line="360" w:lineRule="auto"/>
              <w:ind w:firstLine="560"/>
              <w:rPr>
                <w:color w:val="000000"/>
                <w:sz w:val="28"/>
              </w:rPr>
            </w:pPr>
          </w:p>
        </w:tc>
        <w:tc>
          <w:tcPr>
            <w:tcW w:w="1134" w:type="dxa"/>
            <w:tcBorders>
              <w:top w:val="single" w:color="000000" w:sz="4" w:space="0"/>
              <w:left w:val="single" w:color="000000" w:sz="4" w:space="0"/>
              <w:right w:val="single" w:color="000000" w:sz="4" w:space="0"/>
            </w:tcBorders>
            <w:vAlign w:val="center"/>
          </w:tcPr>
          <w:p>
            <w:pPr>
              <w:pStyle w:val="29"/>
              <w:spacing w:line="360" w:lineRule="auto"/>
              <w:ind w:firstLine="560"/>
              <w:rPr>
                <w:color w:val="000000"/>
                <w:sz w:val="28"/>
              </w:rPr>
            </w:pPr>
          </w:p>
        </w:tc>
        <w:tc>
          <w:tcPr>
            <w:tcW w:w="709" w:type="dxa"/>
            <w:tcBorders>
              <w:top w:val="single" w:color="000000" w:sz="4" w:space="0"/>
              <w:left w:val="single" w:color="000000" w:sz="4" w:space="0"/>
              <w:right w:val="single" w:color="000000" w:sz="4" w:space="0"/>
            </w:tcBorders>
            <w:vAlign w:val="center"/>
          </w:tcPr>
          <w:p>
            <w:pPr>
              <w:pStyle w:val="29"/>
              <w:spacing w:line="360" w:lineRule="auto"/>
              <w:ind w:firstLine="560"/>
              <w:rPr>
                <w:color w:val="000000"/>
                <w:sz w:val="28"/>
              </w:rPr>
            </w:pPr>
          </w:p>
        </w:tc>
        <w:tc>
          <w:tcPr>
            <w:tcW w:w="709" w:type="dxa"/>
            <w:tcBorders>
              <w:top w:val="single" w:color="000000" w:sz="4" w:space="0"/>
              <w:left w:val="single" w:color="000000" w:sz="4" w:space="0"/>
              <w:right w:val="single" w:color="000000" w:sz="4" w:space="0"/>
            </w:tcBorders>
            <w:vAlign w:val="center"/>
          </w:tcPr>
          <w:p>
            <w:pPr>
              <w:pStyle w:val="29"/>
              <w:spacing w:line="360" w:lineRule="auto"/>
              <w:ind w:firstLine="560"/>
              <w:rPr>
                <w:color w:val="000000"/>
                <w:sz w:val="28"/>
              </w:rPr>
            </w:pPr>
          </w:p>
        </w:tc>
        <w:tc>
          <w:tcPr>
            <w:tcW w:w="992" w:type="dxa"/>
            <w:tcBorders>
              <w:top w:val="single" w:color="000000" w:sz="4" w:space="0"/>
              <w:left w:val="single" w:color="000000" w:sz="4" w:space="0"/>
              <w:right w:val="single" w:color="000000" w:sz="4" w:space="0"/>
            </w:tcBorders>
            <w:vAlign w:val="center"/>
          </w:tcPr>
          <w:p>
            <w:pPr>
              <w:pStyle w:val="29"/>
              <w:spacing w:line="360" w:lineRule="auto"/>
              <w:ind w:firstLine="560"/>
              <w:rPr>
                <w:color w:val="000000"/>
                <w:sz w:val="28"/>
              </w:rPr>
            </w:pPr>
          </w:p>
        </w:tc>
        <w:tc>
          <w:tcPr>
            <w:tcW w:w="1134" w:type="dxa"/>
            <w:tcBorders>
              <w:top w:val="single" w:color="000000" w:sz="4" w:space="0"/>
              <w:left w:val="single" w:color="000000" w:sz="4" w:space="0"/>
              <w:right w:val="single" w:color="000000" w:sz="4" w:space="0"/>
            </w:tcBorders>
            <w:vAlign w:val="center"/>
          </w:tcPr>
          <w:p>
            <w:pPr>
              <w:pStyle w:val="29"/>
              <w:spacing w:line="360" w:lineRule="auto"/>
              <w:ind w:firstLine="560"/>
              <w:rPr>
                <w:color w:val="000000"/>
                <w:sz w:val="28"/>
              </w:rPr>
            </w:pPr>
          </w:p>
        </w:tc>
        <w:tc>
          <w:tcPr>
            <w:tcW w:w="992" w:type="dxa"/>
            <w:tcBorders>
              <w:top w:val="single" w:color="000000" w:sz="4" w:space="0"/>
              <w:left w:val="single" w:color="000000" w:sz="4" w:space="0"/>
            </w:tcBorders>
            <w:vAlign w:val="center"/>
          </w:tcPr>
          <w:p>
            <w:pPr>
              <w:pStyle w:val="29"/>
              <w:spacing w:line="360" w:lineRule="auto"/>
              <w:ind w:firstLine="560"/>
              <w:rPr>
                <w:color w:val="000000"/>
                <w:sz w:val="28"/>
              </w:rPr>
            </w:pPr>
          </w:p>
        </w:tc>
      </w:tr>
    </w:tbl>
    <w:p>
      <w:pPr>
        <w:pStyle w:val="3"/>
        <w:spacing w:line="360" w:lineRule="auto"/>
        <w:ind w:firstLine="723"/>
        <w:rPr>
          <w:rFonts w:ascii="宋体" w:hAnsi="宋体" w:cs="宋体"/>
          <w:b/>
          <w:color w:val="000000"/>
          <w:sz w:val="36"/>
        </w:rPr>
      </w:pPr>
    </w:p>
    <w:p>
      <w:pPr>
        <w:pStyle w:val="3"/>
        <w:spacing w:line="360" w:lineRule="auto"/>
        <w:ind w:firstLine="723"/>
        <w:rPr>
          <w:rFonts w:ascii="宋体" w:hAnsi="宋体" w:cs="宋体"/>
          <w:b/>
          <w:color w:val="000000"/>
          <w:sz w:val="36"/>
        </w:rPr>
      </w:pPr>
    </w:p>
    <w:p>
      <w:pPr>
        <w:pStyle w:val="3"/>
        <w:spacing w:before="11" w:line="360" w:lineRule="auto"/>
        <w:ind w:firstLine="1064"/>
        <w:rPr>
          <w:rFonts w:ascii="宋体" w:hAnsi="宋体" w:cs="宋体"/>
          <w:b/>
          <w:color w:val="000000"/>
          <w:sz w:val="53"/>
        </w:rPr>
      </w:pPr>
    </w:p>
    <w:p>
      <w:pPr>
        <w:tabs>
          <w:tab w:val="left" w:pos="1762"/>
        </w:tabs>
        <w:spacing w:before="1" w:line="360" w:lineRule="auto"/>
        <w:ind w:right="1379" w:firstLine="480"/>
        <w:jc w:val="right"/>
        <w:rPr>
          <w:rFonts w:hAnsi="宋体" w:cs="宋体"/>
          <w:color w:val="000000"/>
          <w:sz w:val="24"/>
          <w:szCs w:val="24"/>
        </w:rPr>
      </w:pPr>
      <w:r>
        <w:rPr>
          <w:rFonts w:hint="eastAsia" w:hAnsi="宋体" w:cs="宋体"/>
          <w:color w:val="000000"/>
          <w:sz w:val="24"/>
          <w:szCs w:val="24"/>
        </w:rPr>
        <w:t>投标人名称：</w:t>
      </w:r>
      <w:r>
        <w:rPr>
          <w:rFonts w:hint="eastAsia" w:hAnsi="宋体" w:cs="宋体"/>
          <w:color w:val="000000"/>
          <w:sz w:val="24"/>
          <w:szCs w:val="24"/>
        </w:rPr>
        <w:tab/>
      </w:r>
      <w:r>
        <w:rPr>
          <w:rFonts w:hint="eastAsia" w:hAnsi="宋体" w:cs="宋体"/>
          <w:color w:val="000000"/>
          <w:sz w:val="24"/>
          <w:szCs w:val="24"/>
        </w:rPr>
        <w:t>（盖章）</w:t>
      </w:r>
    </w:p>
    <w:p>
      <w:pPr>
        <w:pStyle w:val="3"/>
        <w:spacing w:before="8" w:line="360" w:lineRule="auto"/>
        <w:ind w:firstLine="480"/>
        <w:rPr>
          <w:rFonts w:ascii="宋体" w:hAnsi="宋体" w:cs="宋体"/>
          <w:color w:val="000000"/>
          <w:szCs w:val="24"/>
        </w:rPr>
      </w:pPr>
    </w:p>
    <w:p>
      <w:pPr>
        <w:spacing w:before="1" w:line="360" w:lineRule="auto"/>
        <w:ind w:right="1383" w:firstLine="480"/>
        <w:jc w:val="right"/>
        <w:rPr>
          <w:rFonts w:hAnsi="宋体" w:cs="宋体"/>
          <w:color w:val="000000"/>
          <w:sz w:val="24"/>
          <w:szCs w:val="24"/>
        </w:rPr>
      </w:pPr>
      <w:r>
        <w:rPr>
          <w:rFonts w:hint="eastAsia" w:hAnsi="宋体" w:cs="宋体"/>
          <w:color w:val="000000"/>
          <w:sz w:val="24"/>
          <w:szCs w:val="24"/>
        </w:rPr>
        <w:t>日期</w:t>
      </w:r>
      <w:r>
        <w:rPr>
          <w:rFonts w:hint="eastAsia" w:hAnsi="宋体" w:cs="宋体"/>
          <w:color w:val="000000"/>
          <w:spacing w:val="10"/>
          <w:sz w:val="24"/>
          <w:szCs w:val="24"/>
        </w:rPr>
        <w:t xml:space="preserve">:   </w:t>
      </w:r>
      <w:r>
        <w:rPr>
          <w:rFonts w:hint="eastAsia" w:hAnsi="宋体" w:cs="宋体"/>
          <w:color w:val="000000"/>
          <w:spacing w:val="-6"/>
          <w:sz w:val="24"/>
          <w:szCs w:val="24"/>
        </w:rPr>
        <w:t>年 月 日</w:t>
      </w:r>
    </w:p>
    <w:p>
      <w:pPr>
        <w:jc w:val="center"/>
        <w:rPr>
          <w:rFonts w:hAnsi="宋体" w:cs="宋体"/>
          <w:b/>
          <w:bCs/>
          <w:szCs w:val="30"/>
        </w:rPr>
      </w:pPr>
    </w:p>
    <w:p>
      <w:pPr>
        <w:jc w:val="center"/>
        <w:rPr>
          <w:rFonts w:hAnsi="宋体" w:cs="宋体"/>
          <w:b/>
          <w:bCs/>
          <w:szCs w:val="30"/>
        </w:rPr>
      </w:pPr>
    </w:p>
    <w:p>
      <w:pPr>
        <w:jc w:val="center"/>
        <w:rPr>
          <w:rFonts w:hAnsi="宋体" w:cs="宋体"/>
          <w:b/>
          <w:bCs/>
          <w:szCs w:val="30"/>
        </w:rPr>
      </w:pPr>
    </w:p>
    <w:p>
      <w:pPr>
        <w:jc w:val="center"/>
        <w:rPr>
          <w:rFonts w:hAnsi="宋体" w:cs="宋体"/>
          <w:b/>
          <w:bCs/>
          <w:szCs w:val="30"/>
        </w:rPr>
      </w:pPr>
    </w:p>
    <w:p>
      <w:pPr>
        <w:pStyle w:val="10"/>
        <w:ind w:firstLine="0"/>
        <w:rPr>
          <w:rFonts w:hAnsi="宋体" w:cs="宋体"/>
          <w:b/>
          <w:bCs/>
          <w:sz w:val="30"/>
          <w:szCs w:val="30"/>
        </w:rPr>
      </w:pPr>
    </w:p>
    <w:p>
      <w:pPr>
        <w:jc w:val="center"/>
        <w:rPr>
          <w:rFonts w:hAnsi="宋体" w:cs="宋体"/>
          <w:b/>
          <w:bCs/>
          <w:szCs w:val="30"/>
        </w:rPr>
      </w:pPr>
    </w:p>
    <w:p>
      <w:pPr>
        <w:jc w:val="center"/>
        <w:outlineLvl w:val="2"/>
        <w:rPr>
          <w:rFonts w:hAnsi="宋体" w:cs="宋体"/>
          <w:b/>
          <w:bCs/>
          <w:szCs w:val="30"/>
        </w:rPr>
      </w:pPr>
      <w:r>
        <w:rPr>
          <w:rFonts w:hint="eastAsia" w:hAnsi="宋体" w:cs="宋体"/>
          <w:b/>
          <w:bCs/>
          <w:szCs w:val="30"/>
        </w:rPr>
        <w:t>8.技术部分（项目方案等)</w:t>
      </w:r>
    </w:p>
    <w:p>
      <w:pPr>
        <w:spacing w:before="156" w:beforeLines="50" w:after="156" w:afterLines="50" w:line="440" w:lineRule="exact"/>
        <w:jc w:val="center"/>
        <w:rPr>
          <w:rFonts w:hAnsi="宋体" w:cs="宋体"/>
          <w:b/>
          <w:bCs/>
          <w:szCs w:val="30"/>
        </w:rPr>
      </w:pPr>
    </w:p>
    <w:p>
      <w:pPr>
        <w:pStyle w:val="10"/>
        <w:rPr>
          <w:rFonts w:hAnsi="宋体" w:cs="宋体"/>
          <w:b/>
          <w:bCs/>
          <w:sz w:val="30"/>
          <w:szCs w:val="30"/>
        </w:rPr>
      </w:pPr>
    </w:p>
    <w:p>
      <w:pPr>
        <w:pStyle w:val="10"/>
        <w:rPr>
          <w:rFonts w:hAnsi="宋体" w:cs="宋体"/>
          <w:b/>
          <w:bCs/>
          <w:sz w:val="30"/>
          <w:szCs w:val="30"/>
        </w:rPr>
      </w:pPr>
    </w:p>
    <w:p>
      <w:pPr>
        <w:pStyle w:val="10"/>
        <w:rPr>
          <w:rFonts w:hAnsi="宋体" w:cs="宋体"/>
          <w:b/>
          <w:bCs/>
          <w:sz w:val="30"/>
          <w:szCs w:val="30"/>
        </w:rPr>
      </w:pPr>
    </w:p>
    <w:p>
      <w:pPr>
        <w:pStyle w:val="10"/>
        <w:rPr>
          <w:rFonts w:hAnsi="宋体" w:cs="宋体"/>
          <w:b/>
          <w:bCs/>
          <w:sz w:val="30"/>
          <w:szCs w:val="30"/>
        </w:rPr>
      </w:pPr>
    </w:p>
    <w:p>
      <w:pPr>
        <w:pStyle w:val="10"/>
        <w:rPr>
          <w:rFonts w:hAnsi="宋体" w:cs="宋体"/>
          <w:b/>
          <w:bCs/>
          <w:sz w:val="30"/>
          <w:szCs w:val="30"/>
        </w:rPr>
      </w:pPr>
    </w:p>
    <w:p>
      <w:pPr>
        <w:pStyle w:val="10"/>
        <w:rPr>
          <w:rFonts w:hAnsi="宋体" w:cs="宋体"/>
          <w:b/>
          <w:bCs/>
          <w:sz w:val="30"/>
          <w:szCs w:val="30"/>
        </w:rPr>
      </w:pPr>
    </w:p>
    <w:p>
      <w:pPr>
        <w:rPr>
          <w:rFonts w:hAnsi="宋体" w:cs="宋体"/>
          <w:b/>
          <w:bCs/>
          <w:szCs w:val="30"/>
        </w:rPr>
      </w:pPr>
    </w:p>
    <w:p>
      <w:pPr>
        <w:pStyle w:val="5"/>
        <w:rPr>
          <w:rFonts w:hAnsi="宋体" w:cs="宋体"/>
          <w:sz w:val="30"/>
          <w:szCs w:val="30"/>
        </w:rPr>
      </w:pPr>
    </w:p>
    <w:p>
      <w:pPr>
        <w:rPr>
          <w:rFonts w:hAnsi="宋体" w:cs="宋体"/>
          <w:b/>
          <w:bCs/>
          <w:szCs w:val="30"/>
        </w:rPr>
      </w:pPr>
    </w:p>
    <w:p>
      <w:pPr>
        <w:pStyle w:val="5"/>
        <w:rPr>
          <w:rFonts w:hAnsi="宋体" w:cs="宋体"/>
          <w:sz w:val="30"/>
          <w:szCs w:val="30"/>
        </w:rPr>
      </w:pPr>
    </w:p>
    <w:p>
      <w:pPr>
        <w:rPr>
          <w:rFonts w:hAnsi="宋体" w:cs="宋体"/>
          <w:b/>
          <w:bCs/>
          <w:szCs w:val="30"/>
        </w:rPr>
      </w:pPr>
    </w:p>
    <w:p>
      <w:pPr>
        <w:pStyle w:val="5"/>
        <w:rPr>
          <w:rFonts w:hAnsi="宋体" w:cs="宋体"/>
          <w:sz w:val="30"/>
          <w:szCs w:val="30"/>
        </w:rPr>
      </w:pPr>
    </w:p>
    <w:p/>
    <w:p>
      <w:pPr>
        <w:pStyle w:val="10"/>
        <w:ind w:firstLine="0"/>
        <w:rPr>
          <w:sz w:val="28"/>
          <w:szCs w:val="36"/>
        </w:rPr>
      </w:pPr>
    </w:p>
    <w:p>
      <w:pPr>
        <w:pStyle w:val="10"/>
        <w:rPr>
          <w:sz w:val="28"/>
          <w:szCs w:val="36"/>
        </w:rPr>
      </w:pPr>
    </w:p>
    <w:p>
      <w:pPr>
        <w:pStyle w:val="10"/>
        <w:ind w:firstLine="0"/>
        <w:rPr>
          <w:sz w:val="28"/>
          <w:szCs w:val="36"/>
        </w:rPr>
      </w:pPr>
    </w:p>
    <w:p>
      <w:pPr>
        <w:spacing w:line="440" w:lineRule="exact"/>
        <w:jc w:val="center"/>
        <w:outlineLvl w:val="2"/>
        <w:rPr>
          <w:rFonts w:hAnsi="宋体"/>
          <w:sz w:val="24"/>
          <w:szCs w:val="24"/>
        </w:rPr>
      </w:pPr>
      <w:r>
        <w:rPr>
          <w:rFonts w:hint="eastAsia" w:hAnsi="宋体" w:cs="宋体"/>
          <w:b/>
          <w:bCs/>
          <w:szCs w:val="30"/>
        </w:rPr>
        <w:t>9.供应商认为需要的其它材料（格式自拟）</w:t>
      </w:r>
    </w:p>
    <w:p>
      <w:pPr>
        <w:pStyle w:val="10"/>
        <w:rPr>
          <w:sz w:val="28"/>
          <w:szCs w:val="36"/>
        </w:rPr>
      </w:pPr>
    </w:p>
    <w:p>
      <w:pPr>
        <w:pStyle w:val="10"/>
        <w:rPr>
          <w:sz w:val="28"/>
          <w:szCs w:val="36"/>
        </w:rPr>
      </w:pPr>
    </w:p>
    <w:p>
      <w:pPr>
        <w:pStyle w:val="10"/>
        <w:rPr>
          <w:sz w:val="28"/>
          <w:szCs w:val="36"/>
        </w:rPr>
      </w:pPr>
    </w:p>
    <w:p>
      <w:pPr>
        <w:pStyle w:val="10"/>
        <w:rPr>
          <w:sz w:val="28"/>
          <w:szCs w:val="36"/>
        </w:rPr>
      </w:pPr>
    </w:p>
    <w:p>
      <w:pPr>
        <w:pStyle w:val="10"/>
        <w:rPr>
          <w:sz w:val="28"/>
          <w:szCs w:val="36"/>
        </w:rPr>
      </w:pPr>
    </w:p>
    <w:p>
      <w:pPr>
        <w:rPr>
          <w:sz w:val="28"/>
          <w:szCs w:val="36"/>
        </w:rPr>
      </w:pPr>
    </w:p>
    <w:p>
      <w:pPr>
        <w:pStyle w:val="15"/>
        <w:ind w:left="0"/>
      </w:pPr>
    </w:p>
    <w:p>
      <w:pPr>
        <w:pStyle w:val="15"/>
        <w:ind w:left="0"/>
      </w:pPr>
    </w:p>
    <w:p>
      <w:pPr>
        <w:pStyle w:val="10"/>
        <w:ind w:firstLine="0"/>
        <w:rPr>
          <w:sz w:val="28"/>
          <w:szCs w:val="36"/>
        </w:rPr>
      </w:pPr>
    </w:p>
    <w:p>
      <w:pPr>
        <w:jc w:val="both"/>
        <w:rPr>
          <w:sz w:val="28"/>
          <w:szCs w:val="36"/>
        </w:rPr>
      </w:pPr>
    </w:p>
    <w:p>
      <w:pPr>
        <w:pStyle w:val="5"/>
        <w:rPr>
          <w:sz w:val="28"/>
          <w:szCs w:val="36"/>
        </w:rPr>
      </w:pPr>
    </w:p>
    <w:p>
      <w:pPr>
        <w:rPr>
          <w:sz w:val="28"/>
          <w:szCs w:val="36"/>
        </w:rPr>
      </w:pPr>
    </w:p>
    <w:p>
      <w:pPr>
        <w:pStyle w:val="5"/>
        <w:rPr>
          <w:sz w:val="28"/>
          <w:szCs w:val="36"/>
        </w:rPr>
      </w:pPr>
    </w:p>
    <w:p>
      <w:pPr>
        <w:rPr>
          <w:sz w:val="28"/>
          <w:szCs w:val="36"/>
        </w:rPr>
      </w:pPr>
    </w:p>
    <w:p>
      <w:pPr>
        <w:pStyle w:val="5"/>
        <w:rPr>
          <w:sz w:val="28"/>
          <w:szCs w:val="36"/>
        </w:rPr>
      </w:pPr>
    </w:p>
    <w:p/>
    <w:p>
      <w:pPr>
        <w:pStyle w:val="6"/>
        <w:jc w:val="center"/>
        <w:rPr>
          <w:rFonts w:ascii="Times New Roman" w:hAnsi="Times New Roman" w:cs="宋体"/>
          <w:sz w:val="28"/>
          <w:szCs w:val="28"/>
          <w:lang w:val="zh-CN" w:bidi="zh-CN"/>
        </w:rPr>
      </w:pPr>
      <w:r>
        <w:rPr>
          <w:rFonts w:hint="eastAsia" w:ascii="Times New Roman" w:hAnsi="Times New Roman" w:cs="宋体"/>
          <w:sz w:val="28"/>
          <w:szCs w:val="28"/>
          <w:lang w:bidi="zh-CN"/>
        </w:rPr>
        <w:t>10.</w:t>
      </w:r>
      <w:r>
        <w:rPr>
          <w:rFonts w:hint="eastAsia" w:ascii="Times New Roman" w:hAnsi="Times New Roman" w:cs="宋体"/>
          <w:sz w:val="28"/>
          <w:szCs w:val="28"/>
          <w:lang w:val="zh-CN" w:bidi="zh-CN"/>
        </w:rPr>
        <w:t>中小企业声明函（</w:t>
      </w:r>
      <w:r>
        <w:rPr>
          <w:rFonts w:hint="eastAsia" w:ascii="Times New Roman" w:hAnsi="Times New Roman" w:cs="宋体"/>
          <w:sz w:val="28"/>
          <w:szCs w:val="28"/>
          <w:lang w:bidi="zh-CN"/>
        </w:rPr>
        <w:t>工程、服务</w:t>
      </w:r>
      <w:r>
        <w:rPr>
          <w:rFonts w:hint="eastAsia" w:ascii="Times New Roman" w:hAnsi="Times New Roman" w:cs="宋体"/>
          <w:sz w:val="28"/>
          <w:szCs w:val="28"/>
          <w:lang w:val="zh-CN" w:bidi="zh-CN"/>
        </w:rPr>
        <w:t>）</w:t>
      </w:r>
    </w:p>
    <w:p>
      <w:pPr>
        <w:widowControl/>
        <w:autoSpaceDE/>
        <w:autoSpaceDN/>
        <w:adjustRightInd/>
        <w:spacing w:line="360" w:lineRule="auto"/>
        <w:ind w:firstLine="480" w:firstLineChars="200"/>
        <w:rPr>
          <w:rFonts w:hAnsi="宋体" w:cs="宋体"/>
          <w:sz w:val="24"/>
          <w:szCs w:val="24"/>
        </w:rPr>
      </w:pPr>
      <w:r>
        <w:rPr>
          <w:rFonts w:hint="eastAsia" w:hAnsi="宋体" w:cs="宋体"/>
          <w:sz w:val="24"/>
          <w:szCs w:val="24"/>
        </w:rPr>
        <w:t>本公司郑重声明，根据《政府采购促进中小企业发展管理办法》（财库﹝2020﹞46号）的规定，本公司参加</w:t>
      </w:r>
      <w:r>
        <w:rPr>
          <w:rFonts w:hint="eastAsia" w:hAnsi="宋体" w:cs="宋体"/>
          <w:sz w:val="24"/>
          <w:szCs w:val="24"/>
          <w:u w:val="single"/>
        </w:rPr>
        <w:t>（单位名称）</w:t>
      </w:r>
      <w:r>
        <w:rPr>
          <w:rFonts w:hint="eastAsia" w:hAnsi="宋体" w:cs="宋体"/>
          <w:sz w:val="24"/>
          <w:szCs w:val="24"/>
        </w:rPr>
        <w:t>的</w:t>
      </w:r>
      <w:r>
        <w:rPr>
          <w:rFonts w:hint="eastAsia" w:hAnsi="宋体" w:cs="宋体"/>
          <w:sz w:val="24"/>
          <w:szCs w:val="24"/>
          <w:u w:val="single"/>
        </w:rPr>
        <w:t>（项目名称）</w:t>
      </w:r>
      <w:r>
        <w:rPr>
          <w:rFonts w:hint="eastAsia" w:hAnsi="宋体" w:cs="宋体"/>
          <w:sz w:val="24"/>
          <w:szCs w:val="24"/>
        </w:rPr>
        <w:t>采购活动，服务全部由符合政策要求的中小企业承接。相关企业的具体情况如下：</w:t>
      </w:r>
    </w:p>
    <w:p>
      <w:pPr>
        <w:widowControl/>
        <w:autoSpaceDE/>
        <w:autoSpaceDN/>
        <w:adjustRightInd/>
        <w:spacing w:line="360" w:lineRule="auto"/>
        <w:ind w:firstLine="480" w:firstLineChars="200"/>
        <w:rPr>
          <w:rFonts w:hAnsi="宋体" w:cs="宋体"/>
          <w:sz w:val="24"/>
          <w:szCs w:val="24"/>
        </w:rPr>
      </w:pPr>
      <w:r>
        <w:rPr>
          <w:rFonts w:hint="eastAsia" w:hAnsi="宋体" w:cs="宋体"/>
          <w:sz w:val="24"/>
          <w:szCs w:val="24"/>
        </w:rPr>
        <w:t>1.</w:t>
      </w:r>
      <w:r>
        <w:rPr>
          <w:rFonts w:hint="eastAsia" w:hAnsi="宋体" w:cs="宋体"/>
          <w:sz w:val="24"/>
          <w:szCs w:val="24"/>
          <w:u w:val="single"/>
        </w:rPr>
        <w:t>（标的名称）</w:t>
      </w:r>
      <w:r>
        <w:rPr>
          <w:rFonts w:hint="eastAsia" w:hAnsi="宋体" w:cs="宋体"/>
          <w:sz w:val="24"/>
          <w:szCs w:val="24"/>
        </w:rPr>
        <w:t>，属于</w:t>
      </w:r>
      <w:r>
        <w:rPr>
          <w:rFonts w:hint="eastAsia" w:hAnsi="宋体" w:cs="宋体"/>
          <w:sz w:val="24"/>
          <w:szCs w:val="24"/>
          <w:u w:val="single"/>
        </w:rPr>
        <w:t>（采购文件中明确的所属行业）</w:t>
      </w:r>
      <w:r>
        <w:rPr>
          <w:rFonts w:hint="eastAsia" w:hAnsi="宋体" w:cs="宋体"/>
          <w:sz w:val="24"/>
          <w:szCs w:val="24"/>
        </w:rPr>
        <w:t>；承接企业为</w:t>
      </w:r>
      <w:r>
        <w:rPr>
          <w:rFonts w:hint="eastAsia" w:hAnsi="宋体" w:cs="宋体"/>
          <w:sz w:val="24"/>
          <w:szCs w:val="24"/>
          <w:u w:val="single"/>
        </w:rPr>
        <w:t>（企业名称）</w:t>
      </w:r>
      <w:r>
        <w:rPr>
          <w:rFonts w:hint="eastAsia" w:hAnsi="宋体" w:cs="宋体"/>
          <w:sz w:val="24"/>
          <w:szCs w:val="24"/>
        </w:rPr>
        <w:t>，从业人员</w:t>
      </w:r>
      <w:r>
        <w:rPr>
          <w:rFonts w:hint="eastAsia" w:hAnsi="宋体" w:cs="宋体"/>
          <w:sz w:val="24"/>
          <w:szCs w:val="24"/>
          <w:u w:val="single"/>
        </w:rPr>
        <w:t xml:space="preserve">   </w:t>
      </w:r>
      <w:r>
        <w:rPr>
          <w:rFonts w:hint="eastAsia" w:hAnsi="宋体" w:cs="宋体"/>
          <w:sz w:val="24"/>
          <w:szCs w:val="24"/>
        </w:rPr>
        <w:t>人，营业收入为</w:t>
      </w:r>
      <w:r>
        <w:rPr>
          <w:rFonts w:hint="eastAsia" w:hAnsi="宋体" w:cs="宋体"/>
          <w:sz w:val="24"/>
          <w:szCs w:val="24"/>
          <w:u w:val="single"/>
        </w:rPr>
        <w:t xml:space="preserve">   </w:t>
      </w:r>
      <w:r>
        <w:rPr>
          <w:rFonts w:hint="eastAsia" w:hAnsi="宋体" w:cs="宋体"/>
          <w:sz w:val="24"/>
          <w:szCs w:val="24"/>
        </w:rPr>
        <w:t>万元，资产总额为</w:t>
      </w:r>
      <w:r>
        <w:rPr>
          <w:rFonts w:hint="eastAsia" w:hAnsi="宋体" w:cs="宋体"/>
          <w:sz w:val="24"/>
          <w:szCs w:val="24"/>
          <w:u w:val="single"/>
        </w:rPr>
        <w:t xml:space="preserve">   </w:t>
      </w:r>
      <w:r>
        <w:rPr>
          <w:rFonts w:hint="eastAsia" w:hAnsi="宋体" w:cs="宋体"/>
          <w:sz w:val="24"/>
          <w:szCs w:val="24"/>
        </w:rPr>
        <w:t>万元</w:t>
      </w:r>
      <w:r>
        <w:rPr>
          <w:rFonts w:hint="eastAsia" w:hAnsi="宋体" w:cs="宋体"/>
          <w:sz w:val="24"/>
          <w:szCs w:val="24"/>
          <w:vertAlign w:val="superscript"/>
        </w:rPr>
        <w:t>1</w:t>
      </w:r>
      <w:r>
        <w:rPr>
          <w:rFonts w:hint="eastAsia" w:hAnsi="宋体" w:cs="宋体"/>
          <w:sz w:val="24"/>
          <w:szCs w:val="24"/>
        </w:rPr>
        <w:t>，属于</w:t>
      </w:r>
      <w:r>
        <w:rPr>
          <w:rFonts w:hint="eastAsia" w:hAnsi="宋体" w:cs="宋体"/>
          <w:sz w:val="24"/>
          <w:szCs w:val="24"/>
          <w:u w:val="single"/>
        </w:rPr>
        <w:t>（中型企业、小型企业、微型企业）</w:t>
      </w:r>
      <w:r>
        <w:rPr>
          <w:rFonts w:hint="eastAsia" w:hAnsi="宋体" w:cs="宋体"/>
          <w:sz w:val="24"/>
          <w:szCs w:val="24"/>
        </w:rPr>
        <w:t>；</w:t>
      </w:r>
    </w:p>
    <w:p>
      <w:pPr>
        <w:widowControl/>
        <w:autoSpaceDE/>
        <w:autoSpaceDN/>
        <w:adjustRightInd/>
        <w:spacing w:line="360" w:lineRule="auto"/>
        <w:ind w:firstLine="480" w:firstLineChars="200"/>
        <w:rPr>
          <w:rFonts w:hAnsi="宋体" w:cs="宋体"/>
          <w:sz w:val="24"/>
          <w:szCs w:val="24"/>
        </w:rPr>
      </w:pPr>
      <w:r>
        <w:rPr>
          <w:rFonts w:hint="eastAsia" w:hAnsi="宋体" w:cs="宋体"/>
          <w:sz w:val="24"/>
          <w:szCs w:val="24"/>
        </w:rPr>
        <w:t>2.</w:t>
      </w:r>
      <w:r>
        <w:rPr>
          <w:rFonts w:hint="eastAsia" w:hAnsi="宋体" w:cs="宋体"/>
          <w:sz w:val="24"/>
          <w:szCs w:val="24"/>
          <w:u w:val="single"/>
        </w:rPr>
        <w:t>（标的名称）</w:t>
      </w:r>
      <w:r>
        <w:rPr>
          <w:rFonts w:hint="eastAsia" w:hAnsi="宋体" w:cs="宋体"/>
          <w:sz w:val="24"/>
          <w:szCs w:val="24"/>
        </w:rPr>
        <w:t>，属于</w:t>
      </w:r>
      <w:r>
        <w:rPr>
          <w:rFonts w:hint="eastAsia" w:hAnsi="宋体" w:cs="宋体"/>
          <w:sz w:val="24"/>
          <w:szCs w:val="24"/>
          <w:u w:val="single"/>
        </w:rPr>
        <w:t>（采购文件中明确的所属行业）</w:t>
      </w:r>
      <w:r>
        <w:rPr>
          <w:rFonts w:hint="eastAsia" w:hAnsi="宋体" w:cs="宋体"/>
          <w:sz w:val="24"/>
          <w:szCs w:val="24"/>
        </w:rPr>
        <w:t>；承接企业为</w:t>
      </w:r>
      <w:r>
        <w:rPr>
          <w:rFonts w:hint="eastAsia" w:hAnsi="宋体" w:cs="宋体"/>
          <w:sz w:val="24"/>
          <w:szCs w:val="24"/>
          <w:u w:val="single"/>
        </w:rPr>
        <w:t>（企业名称）</w:t>
      </w:r>
      <w:r>
        <w:rPr>
          <w:rFonts w:hint="eastAsia" w:hAnsi="宋体" w:cs="宋体"/>
          <w:sz w:val="24"/>
          <w:szCs w:val="24"/>
        </w:rPr>
        <w:t>，从业人员</w:t>
      </w:r>
      <w:r>
        <w:rPr>
          <w:rFonts w:hint="eastAsia" w:hAnsi="宋体" w:cs="宋体"/>
          <w:sz w:val="24"/>
          <w:szCs w:val="24"/>
          <w:u w:val="single"/>
        </w:rPr>
        <w:t xml:space="preserve">   </w:t>
      </w:r>
      <w:r>
        <w:rPr>
          <w:rFonts w:hint="eastAsia" w:hAnsi="宋体" w:cs="宋体"/>
          <w:sz w:val="24"/>
          <w:szCs w:val="24"/>
        </w:rPr>
        <w:t>人，营业收入为</w:t>
      </w:r>
      <w:r>
        <w:rPr>
          <w:rFonts w:hint="eastAsia" w:hAnsi="宋体" w:cs="宋体"/>
          <w:sz w:val="24"/>
          <w:szCs w:val="24"/>
          <w:u w:val="single"/>
        </w:rPr>
        <w:t xml:space="preserve">   </w:t>
      </w:r>
      <w:r>
        <w:rPr>
          <w:rFonts w:hint="eastAsia" w:hAnsi="宋体" w:cs="宋体"/>
          <w:sz w:val="24"/>
          <w:szCs w:val="24"/>
        </w:rPr>
        <w:t>万元，资产总额为</w:t>
      </w:r>
      <w:r>
        <w:rPr>
          <w:rFonts w:hint="eastAsia" w:hAnsi="宋体" w:cs="宋体"/>
          <w:sz w:val="24"/>
          <w:szCs w:val="24"/>
          <w:u w:val="single"/>
        </w:rPr>
        <w:t xml:space="preserve">   </w:t>
      </w:r>
      <w:r>
        <w:rPr>
          <w:rFonts w:hint="eastAsia" w:hAnsi="宋体" w:cs="宋体"/>
          <w:sz w:val="24"/>
          <w:szCs w:val="24"/>
        </w:rPr>
        <w:t>万元</w:t>
      </w:r>
      <w:r>
        <w:rPr>
          <w:rFonts w:hint="eastAsia" w:hAnsi="宋体" w:cs="宋体"/>
          <w:sz w:val="24"/>
          <w:szCs w:val="24"/>
          <w:vertAlign w:val="superscript"/>
        </w:rPr>
        <w:t>1</w:t>
      </w:r>
      <w:r>
        <w:rPr>
          <w:rFonts w:hint="eastAsia" w:hAnsi="宋体" w:cs="宋体"/>
          <w:sz w:val="24"/>
          <w:szCs w:val="24"/>
        </w:rPr>
        <w:t>，属于</w:t>
      </w:r>
      <w:r>
        <w:rPr>
          <w:rFonts w:hint="eastAsia" w:hAnsi="宋体" w:cs="宋体"/>
          <w:sz w:val="24"/>
          <w:szCs w:val="24"/>
          <w:u w:val="single"/>
        </w:rPr>
        <w:t>（中型企业、小型企业、微型企业）</w:t>
      </w:r>
      <w:r>
        <w:rPr>
          <w:rFonts w:hint="eastAsia" w:hAnsi="宋体" w:cs="宋体"/>
          <w:sz w:val="24"/>
          <w:szCs w:val="24"/>
        </w:rPr>
        <w:t>；</w:t>
      </w:r>
    </w:p>
    <w:p>
      <w:pPr>
        <w:widowControl/>
        <w:autoSpaceDE/>
        <w:autoSpaceDN/>
        <w:adjustRightInd/>
        <w:spacing w:line="360" w:lineRule="auto"/>
        <w:ind w:firstLine="480" w:firstLineChars="200"/>
        <w:rPr>
          <w:rFonts w:hAnsi="宋体" w:cs="宋体"/>
          <w:sz w:val="24"/>
          <w:szCs w:val="24"/>
        </w:rPr>
      </w:pPr>
      <w:r>
        <w:rPr>
          <w:rFonts w:hint="eastAsia" w:hAnsi="宋体" w:cs="宋体"/>
          <w:sz w:val="24"/>
          <w:szCs w:val="24"/>
        </w:rPr>
        <w:t>……</w:t>
      </w:r>
    </w:p>
    <w:p>
      <w:pPr>
        <w:widowControl/>
        <w:autoSpaceDE/>
        <w:autoSpaceDN/>
        <w:adjustRightInd/>
        <w:spacing w:line="360" w:lineRule="auto"/>
        <w:ind w:firstLine="480" w:firstLineChars="200"/>
        <w:rPr>
          <w:rFonts w:hAnsi="宋体" w:cs="宋体"/>
          <w:sz w:val="24"/>
          <w:szCs w:val="24"/>
        </w:rPr>
      </w:pPr>
      <w:r>
        <w:rPr>
          <w:rFonts w:hint="eastAsia" w:hAnsi="宋体" w:cs="宋体"/>
          <w:sz w:val="24"/>
          <w:szCs w:val="24"/>
        </w:rPr>
        <w:t>以上企业，不属于大企业的分支机构，不存在控股股东为大企业的情形，也不存在与大企业的负责人为同一人的情形。</w:t>
      </w:r>
    </w:p>
    <w:p>
      <w:pPr>
        <w:widowControl/>
        <w:autoSpaceDE/>
        <w:autoSpaceDN/>
        <w:adjustRightInd/>
        <w:spacing w:line="360" w:lineRule="auto"/>
        <w:ind w:firstLine="480" w:firstLineChars="200"/>
        <w:rPr>
          <w:rFonts w:hAnsi="宋体" w:cs="宋体"/>
          <w:sz w:val="24"/>
          <w:szCs w:val="24"/>
        </w:rPr>
      </w:pPr>
      <w:r>
        <w:rPr>
          <w:rFonts w:hint="eastAsia" w:hAnsi="宋体" w:cs="宋体"/>
          <w:sz w:val="24"/>
          <w:szCs w:val="24"/>
        </w:rPr>
        <w:t>本企业对上述声明内容的真实性负责。如有虚假，将依法承担相应责任。</w:t>
      </w:r>
    </w:p>
    <w:p>
      <w:pPr>
        <w:widowControl/>
        <w:autoSpaceDE/>
        <w:autoSpaceDN/>
        <w:adjustRightInd/>
        <w:spacing w:line="360" w:lineRule="auto"/>
        <w:rPr>
          <w:rFonts w:hAnsi="宋体" w:cs="宋体"/>
          <w:sz w:val="24"/>
          <w:szCs w:val="24"/>
        </w:rPr>
      </w:pPr>
    </w:p>
    <w:p>
      <w:pPr>
        <w:widowControl/>
        <w:autoSpaceDE/>
        <w:autoSpaceDN/>
        <w:adjustRightInd/>
        <w:spacing w:line="360" w:lineRule="auto"/>
        <w:rPr>
          <w:rFonts w:hAnsi="宋体" w:cs="宋体"/>
          <w:sz w:val="24"/>
          <w:szCs w:val="24"/>
        </w:rPr>
      </w:pPr>
    </w:p>
    <w:p>
      <w:pPr>
        <w:widowControl/>
        <w:autoSpaceDE/>
        <w:autoSpaceDN/>
        <w:adjustRightInd/>
        <w:spacing w:line="360" w:lineRule="auto"/>
        <w:jc w:val="right"/>
        <w:rPr>
          <w:rFonts w:hAnsi="宋体" w:cs="宋体"/>
          <w:sz w:val="24"/>
          <w:szCs w:val="24"/>
        </w:rPr>
      </w:pPr>
      <w:r>
        <w:rPr>
          <w:rFonts w:hint="eastAsia" w:hAnsi="宋体" w:cs="宋体"/>
          <w:sz w:val="24"/>
          <w:szCs w:val="24"/>
        </w:rPr>
        <w:t>企业名称（盖章）：</w:t>
      </w:r>
    </w:p>
    <w:p>
      <w:pPr>
        <w:widowControl/>
        <w:autoSpaceDE/>
        <w:autoSpaceDN/>
        <w:adjustRightInd/>
        <w:spacing w:line="360" w:lineRule="auto"/>
        <w:jc w:val="center"/>
        <w:rPr>
          <w:rFonts w:hAnsi="宋体" w:cs="宋体"/>
          <w:sz w:val="24"/>
          <w:szCs w:val="24"/>
        </w:rPr>
      </w:pPr>
      <w:r>
        <w:rPr>
          <w:rFonts w:hint="eastAsia" w:hAnsi="宋体" w:cs="宋体"/>
          <w:sz w:val="24"/>
          <w:szCs w:val="24"/>
        </w:rPr>
        <w:t xml:space="preserve">                                             日期：</w:t>
      </w:r>
    </w:p>
    <w:p>
      <w:pPr>
        <w:widowControl/>
        <w:autoSpaceDE/>
        <w:autoSpaceDN/>
        <w:adjustRightInd/>
        <w:spacing w:line="360" w:lineRule="auto"/>
        <w:rPr>
          <w:rFonts w:hAnsi="宋体" w:cs="宋体"/>
          <w:sz w:val="24"/>
          <w:szCs w:val="24"/>
        </w:rPr>
      </w:pPr>
    </w:p>
    <w:p>
      <w:pPr>
        <w:widowControl/>
        <w:autoSpaceDE/>
        <w:autoSpaceDN/>
        <w:adjustRightInd/>
        <w:spacing w:line="360" w:lineRule="auto"/>
        <w:rPr>
          <w:rFonts w:hAnsi="宋体" w:cs="宋体"/>
          <w:sz w:val="24"/>
          <w:szCs w:val="24"/>
        </w:rPr>
      </w:pPr>
    </w:p>
    <w:p>
      <w:pPr>
        <w:widowControl/>
        <w:autoSpaceDE/>
        <w:autoSpaceDN/>
        <w:adjustRightInd/>
        <w:spacing w:line="360" w:lineRule="auto"/>
        <w:rPr>
          <w:rFonts w:hAnsi="宋体" w:cs="宋体"/>
          <w:sz w:val="24"/>
          <w:szCs w:val="24"/>
        </w:rPr>
      </w:pPr>
    </w:p>
    <w:p>
      <w:pPr>
        <w:widowControl/>
        <w:autoSpaceDE/>
        <w:autoSpaceDN/>
        <w:adjustRightInd/>
        <w:spacing w:line="360" w:lineRule="auto"/>
        <w:rPr>
          <w:rFonts w:hAnsi="宋体" w:cs="宋体"/>
          <w:sz w:val="24"/>
          <w:szCs w:val="24"/>
        </w:rPr>
      </w:pPr>
    </w:p>
    <w:p>
      <w:pPr>
        <w:widowControl/>
        <w:autoSpaceDE/>
        <w:autoSpaceDN/>
        <w:adjustRightInd/>
        <w:spacing w:line="360" w:lineRule="auto"/>
        <w:rPr>
          <w:rFonts w:hAnsi="宋体" w:cs="宋体"/>
          <w:sz w:val="21"/>
          <w:szCs w:val="21"/>
        </w:rPr>
      </w:pPr>
      <w:r>
        <w:rPr>
          <w:rFonts w:hint="eastAsia" w:hAnsi="宋体" w:cs="宋体"/>
          <w:sz w:val="21"/>
          <w:szCs w:val="21"/>
        </w:rPr>
        <w:t>注：</w:t>
      </w:r>
      <w:r>
        <w:rPr>
          <w:rFonts w:hint="eastAsia" w:hAnsi="宋体" w:cs="宋体"/>
          <w:sz w:val="21"/>
          <w:szCs w:val="21"/>
          <w:vertAlign w:val="superscript"/>
        </w:rPr>
        <w:t>1</w:t>
      </w:r>
      <w:r>
        <w:rPr>
          <w:rFonts w:hint="eastAsia" w:hAnsi="宋体" w:cs="宋体"/>
          <w:sz w:val="21"/>
          <w:szCs w:val="21"/>
        </w:rPr>
        <w:t>从业人员、营业收入、资产总额填报上一年度数据，无上一年度数据的新成立企业可不填报。</w:t>
      </w:r>
    </w:p>
    <w:p>
      <w:pPr>
        <w:jc w:val="both"/>
        <w:rPr>
          <w:sz w:val="28"/>
          <w:szCs w:val="36"/>
        </w:rPr>
      </w:pPr>
    </w:p>
    <w:p>
      <w:pPr>
        <w:rPr>
          <w:b/>
          <w:bCs/>
          <w:sz w:val="32"/>
          <w:szCs w:val="40"/>
        </w:rPr>
      </w:pPr>
      <w:r>
        <w:rPr>
          <w:rFonts w:hint="eastAsia"/>
          <w:b/>
          <w:bCs/>
          <w:sz w:val="32"/>
          <w:szCs w:val="40"/>
        </w:rPr>
        <w:br w:type="page"/>
      </w:r>
    </w:p>
    <w:p>
      <w:pPr>
        <w:jc w:val="center"/>
        <w:outlineLvl w:val="2"/>
        <w:rPr>
          <w:b/>
          <w:bCs/>
          <w:sz w:val="32"/>
          <w:szCs w:val="40"/>
        </w:rPr>
      </w:pPr>
      <w:r>
        <w:rPr>
          <w:rFonts w:hint="eastAsia"/>
          <w:b/>
          <w:bCs/>
          <w:sz w:val="32"/>
          <w:szCs w:val="40"/>
        </w:rPr>
        <w:t>11</w:t>
      </w:r>
      <w:r>
        <w:rPr>
          <w:rFonts w:hint="eastAsia" w:hAnsi="宋体" w:cs="宋体"/>
          <w:b/>
          <w:bCs/>
          <w:szCs w:val="30"/>
        </w:rPr>
        <w:t>.</w:t>
      </w:r>
      <w:r>
        <w:rPr>
          <w:rFonts w:hAnsi="宋体" w:cs="宋体"/>
          <w:b/>
          <w:bCs/>
          <w:szCs w:val="30"/>
        </w:rPr>
        <w:t>监狱企业证明文件</w:t>
      </w:r>
    </w:p>
    <w:p>
      <w:pPr>
        <w:spacing w:line="360" w:lineRule="auto"/>
        <w:ind w:left="360" w:right="8546"/>
      </w:pPr>
    </w:p>
    <w:p>
      <w:pPr>
        <w:spacing w:line="360" w:lineRule="auto"/>
        <w:ind w:left="420" w:firstLine="420"/>
      </w:pPr>
      <w:r>
        <w:rPr>
          <w:rFonts w:hAnsi="宋体" w:cs="宋体"/>
          <w:sz w:val="24"/>
        </w:rPr>
        <w:t>享受政策优惠的监狱企业须提供由省级以上监狱管理局、戒毒管理局（含新疆生产建设兵团）出具的属于监狱企业的证明文件。</w:t>
      </w:r>
    </w:p>
    <w:p>
      <w:pPr>
        <w:spacing w:line="360" w:lineRule="auto"/>
        <w:ind w:firstLine="576"/>
        <w:rPr>
          <w:rFonts w:hAnsi="宋体"/>
          <w:sz w:val="24"/>
          <w:szCs w:val="24"/>
        </w:rPr>
      </w:pPr>
      <w:r>
        <w:rPr>
          <w:rFonts w:hAnsi="宋体"/>
          <w:sz w:val="24"/>
          <w:szCs w:val="24"/>
        </w:rPr>
        <w:t xml:space="preserve"> </w:t>
      </w:r>
    </w:p>
    <w:p>
      <w:pPr>
        <w:jc w:val="both"/>
        <w:rPr>
          <w:sz w:val="28"/>
          <w:szCs w:val="36"/>
        </w:rPr>
      </w:pPr>
    </w:p>
    <w:p>
      <w:pPr>
        <w:jc w:val="center"/>
        <w:rPr>
          <w:rFonts w:hAnsi="宋体" w:cs="宋体"/>
          <w:b/>
          <w:bCs/>
          <w:szCs w:val="30"/>
        </w:rPr>
      </w:pPr>
    </w:p>
    <w:p>
      <w:pPr>
        <w:rPr>
          <w:rFonts w:hAnsi="宋体" w:cs="宋体"/>
          <w:szCs w:val="30"/>
        </w:rPr>
      </w:pPr>
    </w:p>
    <w:p>
      <w:pPr>
        <w:rPr>
          <w:rFonts w:hAnsi="宋体" w:cs="宋体"/>
          <w:b/>
          <w:bCs/>
          <w:szCs w:val="30"/>
        </w:rPr>
      </w:pPr>
    </w:p>
    <w:p>
      <w:pPr>
        <w:rPr>
          <w:rFonts w:hAnsi="宋体" w:cs="宋体"/>
          <w:szCs w:val="30"/>
        </w:rPr>
      </w:pPr>
    </w:p>
    <w:p>
      <w:pPr>
        <w:rPr>
          <w:rFonts w:hAnsi="宋体" w:cs="宋体"/>
          <w:b/>
          <w:bCs/>
          <w:szCs w:val="30"/>
        </w:rPr>
      </w:pPr>
    </w:p>
    <w:p>
      <w:pPr>
        <w:rPr>
          <w:rFonts w:hAnsi="宋体" w:cs="宋体"/>
          <w:szCs w:val="30"/>
        </w:rPr>
      </w:pPr>
    </w:p>
    <w:p>
      <w:pPr>
        <w:rPr>
          <w:rFonts w:hAnsi="宋体" w:cs="宋体"/>
          <w:szCs w:val="30"/>
        </w:rPr>
      </w:pPr>
    </w:p>
    <w:p>
      <w:pPr>
        <w:rPr>
          <w:rFonts w:hAnsi="宋体" w:cs="宋体"/>
          <w:szCs w:val="30"/>
        </w:rPr>
      </w:pPr>
      <w:r>
        <w:rPr>
          <w:rFonts w:hAnsi="宋体" w:cs="宋体"/>
          <w:szCs w:val="30"/>
        </w:rPr>
        <w:br w:type="page"/>
      </w:r>
    </w:p>
    <w:p>
      <w:pPr>
        <w:jc w:val="center"/>
        <w:outlineLvl w:val="2"/>
        <w:rPr>
          <w:rFonts w:hAnsi="宋体" w:cs="宋体"/>
          <w:b/>
          <w:bCs/>
          <w:szCs w:val="30"/>
        </w:rPr>
      </w:pPr>
      <w:r>
        <w:rPr>
          <w:rFonts w:hint="eastAsia" w:hAnsi="宋体" w:cs="宋体"/>
          <w:b/>
          <w:bCs/>
          <w:szCs w:val="30"/>
        </w:rPr>
        <w:t>12.</w:t>
      </w:r>
      <w:r>
        <w:rPr>
          <w:rFonts w:hAnsi="宋体" w:cs="宋体"/>
          <w:b/>
          <w:bCs/>
          <w:szCs w:val="30"/>
        </w:rPr>
        <w:t>残疾人福利性单位声明函</w:t>
      </w:r>
    </w:p>
    <w:p>
      <w:pPr>
        <w:spacing w:line="588" w:lineRule="exact"/>
        <w:ind w:firstLine="504" w:firstLineChars="200"/>
        <w:rPr>
          <w:rFonts w:hAnsi="宋体"/>
          <w:spacing w:val="6"/>
          <w:sz w:val="24"/>
          <w:szCs w:val="18"/>
        </w:rPr>
      </w:pPr>
      <w:r>
        <w:rPr>
          <w:rFonts w:hint="eastAsia" w:hAnsi="宋体"/>
          <w:spacing w:val="6"/>
          <w:sz w:val="24"/>
          <w:szCs w:val="18"/>
        </w:rPr>
        <w:t>本单位郑重声明，根据《财政部 民政部 中国残疾人联合会关于促进残疾人就业政府采购政策的通知》（财库</w:t>
      </w:r>
      <w:r>
        <w:rPr>
          <w:rFonts w:hint="eastAsia" w:hAnsi="宋体"/>
          <w:sz w:val="24"/>
          <w:szCs w:val="18"/>
        </w:rPr>
        <w:t>〔2017〕 141</w:t>
      </w:r>
      <w:r>
        <w:rPr>
          <w:rFonts w:hint="eastAsia" w:hAnsi="宋体"/>
          <w:spacing w:val="6"/>
          <w:sz w:val="24"/>
          <w:szCs w:val="18"/>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Ansi="宋体"/>
          <w:spacing w:val="6"/>
          <w:sz w:val="24"/>
          <w:szCs w:val="18"/>
        </w:rPr>
      </w:pPr>
      <w:r>
        <w:rPr>
          <w:rFonts w:hint="eastAsia" w:hAnsi="宋体"/>
          <w:spacing w:val="6"/>
          <w:sz w:val="24"/>
          <w:szCs w:val="18"/>
        </w:rPr>
        <w:t>本单位对上述声明的真实性负责。如有虚假，将依法承担相应责任。</w:t>
      </w:r>
    </w:p>
    <w:p>
      <w:pPr>
        <w:spacing w:line="588" w:lineRule="exact"/>
        <w:ind w:firstLine="504" w:firstLineChars="200"/>
        <w:rPr>
          <w:rFonts w:hAnsi="宋体"/>
          <w:spacing w:val="6"/>
          <w:sz w:val="24"/>
          <w:szCs w:val="18"/>
        </w:rPr>
      </w:pPr>
    </w:p>
    <w:p>
      <w:pPr>
        <w:spacing w:line="588" w:lineRule="exact"/>
        <w:ind w:firstLine="504" w:firstLineChars="200"/>
        <w:rPr>
          <w:rFonts w:hAnsi="宋体"/>
          <w:spacing w:val="6"/>
          <w:sz w:val="24"/>
          <w:szCs w:val="18"/>
        </w:rPr>
      </w:pPr>
    </w:p>
    <w:p>
      <w:pPr>
        <w:tabs>
          <w:tab w:val="left" w:pos="4860"/>
        </w:tabs>
        <w:spacing w:line="588" w:lineRule="exact"/>
        <w:ind w:right="1560" w:firstLine="504" w:firstLineChars="200"/>
        <w:jc w:val="center"/>
        <w:rPr>
          <w:rFonts w:hAnsi="宋体"/>
          <w:spacing w:val="6"/>
          <w:sz w:val="24"/>
          <w:szCs w:val="18"/>
        </w:rPr>
      </w:pPr>
      <w:r>
        <w:rPr>
          <w:rFonts w:hint="eastAsia" w:hAnsi="宋体"/>
          <w:spacing w:val="6"/>
          <w:sz w:val="24"/>
          <w:szCs w:val="18"/>
        </w:rPr>
        <w:t xml:space="preserve">               单位名称（盖章）：</w:t>
      </w:r>
    </w:p>
    <w:p>
      <w:pPr>
        <w:tabs>
          <w:tab w:val="left" w:pos="4860"/>
        </w:tabs>
        <w:spacing w:line="588" w:lineRule="exact"/>
        <w:ind w:right="1560" w:firstLine="504" w:firstLineChars="200"/>
        <w:jc w:val="center"/>
        <w:rPr>
          <w:rFonts w:hAnsi="宋体"/>
          <w:spacing w:val="6"/>
          <w:szCs w:val="21"/>
        </w:rPr>
      </w:pPr>
      <w:r>
        <w:rPr>
          <w:rFonts w:hint="eastAsia" w:hAnsi="宋体"/>
          <w:spacing w:val="6"/>
          <w:sz w:val="24"/>
          <w:szCs w:val="18"/>
        </w:rPr>
        <w:t xml:space="preserve">       日  期：</w:t>
      </w:r>
    </w:p>
    <w:p>
      <w:pPr>
        <w:pStyle w:val="5"/>
        <w:adjustRightInd w:val="0"/>
        <w:snapToGrid w:val="0"/>
        <w:spacing w:line="360" w:lineRule="auto"/>
        <w:jc w:val="center"/>
        <w:rPr>
          <w:rFonts w:hAnsi="宋体"/>
          <w:b w:val="0"/>
        </w:rPr>
      </w:pPr>
      <w:r>
        <w:rPr>
          <w:rFonts w:hAnsi="宋体"/>
          <w:sz w:val="24"/>
          <w:szCs w:val="24"/>
        </w:rPr>
        <w:br w:type="page"/>
      </w:r>
      <w:bookmarkStart w:id="88" w:name="_Toc13384"/>
      <w:bookmarkStart w:id="89" w:name="_Toc12454"/>
      <w:r>
        <w:rPr>
          <w:rFonts w:hint="eastAsia" w:hAnsi="宋体"/>
        </w:rPr>
        <w:t>第六章  评标办法和程序</w:t>
      </w:r>
      <w:bookmarkEnd w:id="85"/>
      <w:bookmarkEnd w:id="86"/>
      <w:bookmarkEnd w:id="88"/>
      <w:bookmarkEnd w:id="89"/>
    </w:p>
    <w:p>
      <w:pPr>
        <w:spacing w:line="360" w:lineRule="auto"/>
        <w:ind w:firstLine="482" w:firstLineChars="200"/>
        <w:rPr>
          <w:rFonts w:hAnsi="宋体"/>
          <w:b/>
          <w:bCs/>
          <w:sz w:val="24"/>
          <w:szCs w:val="24"/>
        </w:rPr>
      </w:pPr>
      <w:r>
        <w:rPr>
          <w:rFonts w:hint="eastAsia" w:hAnsi="宋体"/>
          <w:b/>
          <w:bCs/>
          <w:sz w:val="24"/>
          <w:szCs w:val="24"/>
        </w:rPr>
        <w:t>1.评审方法及评审程序</w:t>
      </w:r>
    </w:p>
    <w:p>
      <w:pPr>
        <w:spacing w:line="360" w:lineRule="auto"/>
        <w:ind w:firstLine="480" w:firstLineChars="200"/>
        <w:rPr>
          <w:rFonts w:hAnsi="宋体"/>
          <w:sz w:val="24"/>
          <w:szCs w:val="24"/>
          <w:lang w:val="en-GB"/>
        </w:rPr>
      </w:pPr>
      <w:r>
        <w:rPr>
          <w:rFonts w:hint="eastAsia" w:hAnsi="宋体"/>
          <w:sz w:val="24"/>
          <w:szCs w:val="24"/>
        </w:rPr>
        <w:t xml:space="preserve">1.1 </w:t>
      </w:r>
      <w:r>
        <w:rPr>
          <w:rFonts w:hint="eastAsia" w:hAnsi="宋体"/>
          <w:sz w:val="24"/>
          <w:szCs w:val="24"/>
          <w:lang w:val="en-GB"/>
        </w:rPr>
        <w:t>本次评审采用综合评分法。</w:t>
      </w:r>
    </w:p>
    <w:p>
      <w:pPr>
        <w:spacing w:line="360" w:lineRule="auto"/>
        <w:ind w:firstLine="480" w:firstLineChars="200"/>
        <w:rPr>
          <w:rFonts w:hAnsi="宋体"/>
          <w:sz w:val="24"/>
          <w:szCs w:val="24"/>
        </w:rPr>
      </w:pPr>
      <w:r>
        <w:rPr>
          <w:rFonts w:hint="eastAsia" w:hAnsi="宋体"/>
          <w:sz w:val="24"/>
          <w:szCs w:val="24"/>
        </w:rPr>
        <w:t>1</w:t>
      </w:r>
      <w:r>
        <w:rPr>
          <w:rFonts w:hint="eastAsia" w:hAnsi="宋体"/>
          <w:sz w:val="24"/>
          <w:szCs w:val="24"/>
          <w:lang w:val="en-GB"/>
        </w:rPr>
        <w:t>.</w:t>
      </w:r>
      <w:r>
        <w:rPr>
          <w:rFonts w:hint="eastAsia" w:hAnsi="宋体"/>
          <w:sz w:val="24"/>
          <w:szCs w:val="24"/>
        </w:rPr>
        <w:t>2 综合评分法，是指响应文件满足磋商文件全部实质性要求且按评审因素的量化指标评审得分最高的供应商为成交候选供应商的评审方法。综合评分法评审标准中的分值设置与评审因素的量化指标相对应。</w:t>
      </w:r>
    </w:p>
    <w:p>
      <w:pPr>
        <w:spacing w:line="360" w:lineRule="auto"/>
        <w:ind w:firstLine="480" w:firstLineChars="200"/>
        <w:rPr>
          <w:rFonts w:hAnsi="宋体"/>
          <w:sz w:val="24"/>
          <w:szCs w:val="24"/>
        </w:rPr>
      </w:pPr>
      <w:r>
        <w:rPr>
          <w:rFonts w:hint="eastAsia" w:hAnsi="宋体"/>
          <w:sz w:val="24"/>
          <w:szCs w:val="24"/>
        </w:rPr>
        <w:t>1.3 评审时，磋商小组各成员独立对每个有效响应的文件进行评价、打分，然后汇总每个供应商每项评分因素的得分。</w:t>
      </w:r>
    </w:p>
    <w:p>
      <w:pPr>
        <w:spacing w:line="360" w:lineRule="auto"/>
        <w:ind w:firstLine="480" w:firstLineChars="200"/>
        <w:rPr>
          <w:rFonts w:hAnsi="宋体"/>
          <w:sz w:val="24"/>
          <w:szCs w:val="24"/>
        </w:rPr>
      </w:pPr>
      <w:r>
        <w:rPr>
          <w:rFonts w:hint="eastAsia" w:hAnsi="宋体"/>
          <w:sz w:val="24"/>
          <w:szCs w:val="24"/>
        </w:rPr>
        <w:t>1.4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hAnsi="宋体"/>
          <w:sz w:val="24"/>
          <w:szCs w:val="24"/>
        </w:rPr>
      </w:pPr>
      <w:r>
        <w:rPr>
          <w:rFonts w:hint="eastAsia" w:hAnsi="宋体"/>
          <w:sz w:val="24"/>
          <w:szCs w:val="24"/>
        </w:rPr>
        <w:t>1.5 磋商小组要求供应商澄清、说明或者更正响应文件应当以书面形式作出。供应商的澄清、说明或者更正应当由法定代表人或其授权代表签字或者加盖公章。由授权代表签字的，应当附法定代表人授权书。</w:t>
      </w:r>
    </w:p>
    <w:p>
      <w:pPr>
        <w:spacing w:line="360" w:lineRule="auto"/>
        <w:ind w:firstLine="480" w:firstLineChars="200"/>
        <w:rPr>
          <w:rFonts w:hAnsi="宋体"/>
          <w:sz w:val="24"/>
          <w:szCs w:val="24"/>
          <w:lang w:val="en-GB"/>
        </w:rPr>
      </w:pPr>
      <w:r>
        <w:rPr>
          <w:rFonts w:hint="eastAsia" w:hAnsi="宋体"/>
          <w:sz w:val="24"/>
          <w:szCs w:val="24"/>
        </w:rPr>
        <w:t xml:space="preserve">1.6 </w:t>
      </w:r>
      <w:r>
        <w:rPr>
          <w:rFonts w:hint="eastAsia" w:hAnsi="宋体"/>
          <w:sz w:val="24"/>
          <w:szCs w:val="24"/>
          <w:lang w:val="en-GB"/>
        </w:rPr>
        <w:t>初步审查：</w:t>
      </w:r>
      <w:r>
        <w:rPr>
          <w:rFonts w:hint="eastAsia" w:hAnsi="宋体"/>
          <w:sz w:val="24"/>
          <w:szCs w:val="24"/>
        </w:rPr>
        <w:t>评审小组</w:t>
      </w:r>
      <w:r>
        <w:rPr>
          <w:rFonts w:hint="eastAsia" w:hAnsi="宋体"/>
          <w:sz w:val="24"/>
          <w:szCs w:val="24"/>
          <w:lang w:val="en-GB"/>
        </w:rPr>
        <w:t>根据国家相关法律法规和</w:t>
      </w:r>
      <w:r>
        <w:rPr>
          <w:rFonts w:hint="eastAsia" w:hAnsi="宋体"/>
          <w:sz w:val="24"/>
          <w:szCs w:val="24"/>
        </w:rPr>
        <w:t>磋商</w:t>
      </w:r>
      <w:r>
        <w:rPr>
          <w:rFonts w:hint="eastAsia" w:hAnsi="宋体"/>
          <w:sz w:val="24"/>
          <w:szCs w:val="24"/>
          <w:lang w:val="en-GB"/>
        </w:rPr>
        <w:t>文件的规定，对响应文件的资格性和符合性进行审查，如供应商不具备磋商资格，</w:t>
      </w:r>
      <w:r>
        <w:rPr>
          <w:rFonts w:hint="eastAsia" w:hAnsi="宋体"/>
          <w:sz w:val="24"/>
          <w:szCs w:val="24"/>
        </w:rPr>
        <w:t>评审小组</w:t>
      </w:r>
      <w:r>
        <w:rPr>
          <w:rFonts w:hint="eastAsia" w:hAnsi="宋体"/>
          <w:sz w:val="24"/>
          <w:szCs w:val="24"/>
          <w:lang w:val="en-GB"/>
        </w:rPr>
        <w:t>可按投票方式决定是否作无效响应处理（详见</w:t>
      </w:r>
      <w:r>
        <w:rPr>
          <w:rFonts w:hint="eastAsia" w:hAnsi="宋体"/>
          <w:sz w:val="24"/>
          <w:szCs w:val="24"/>
        </w:rPr>
        <w:t>附表1</w:t>
      </w:r>
      <w:r>
        <w:rPr>
          <w:rFonts w:hint="eastAsia" w:hAnsi="宋体"/>
          <w:sz w:val="24"/>
          <w:szCs w:val="24"/>
          <w:lang w:val="en-GB"/>
        </w:rPr>
        <w:t>）。</w:t>
      </w:r>
    </w:p>
    <w:p>
      <w:pPr>
        <w:spacing w:line="360" w:lineRule="auto"/>
        <w:ind w:firstLine="480" w:firstLineChars="200"/>
        <w:rPr>
          <w:rFonts w:hAnsi="宋体"/>
          <w:sz w:val="24"/>
          <w:szCs w:val="24"/>
        </w:rPr>
      </w:pPr>
      <w:r>
        <w:rPr>
          <w:rFonts w:hint="eastAsia" w:hAnsi="宋体"/>
          <w:sz w:val="24"/>
          <w:szCs w:val="24"/>
        </w:rPr>
        <w:t>1.6.1 磋商小组根据《审查表》对响应文件的资格性和符合性进行审查，只有对《审查表》所列各项作出实质性响应的响应文件才能通过初步评审。对是否实质性响应磋商文件的要求有争议的内容，磋商小组将以记名方式表决，得票超过半数的供应商有资格进入下一阶段的评审，否则将被淘汰。有以下情况的将不能通过初步评审：</w:t>
      </w:r>
    </w:p>
    <w:p>
      <w:pPr>
        <w:spacing w:line="360" w:lineRule="auto"/>
        <w:ind w:firstLine="576"/>
        <w:rPr>
          <w:rFonts w:hAnsi="宋体"/>
          <w:sz w:val="24"/>
          <w:szCs w:val="24"/>
        </w:rPr>
      </w:pPr>
      <w:r>
        <w:rPr>
          <w:rFonts w:hint="eastAsia" w:hAnsi="宋体"/>
          <w:sz w:val="24"/>
          <w:szCs w:val="24"/>
        </w:rPr>
        <w:t>（1）供应商未能满足供应商资格要求的；</w:t>
      </w:r>
    </w:p>
    <w:p>
      <w:pPr>
        <w:spacing w:line="360" w:lineRule="auto"/>
        <w:ind w:firstLine="576"/>
        <w:rPr>
          <w:rFonts w:hAnsi="宋体"/>
          <w:sz w:val="24"/>
          <w:szCs w:val="24"/>
        </w:rPr>
      </w:pPr>
      <w:r>
        <w:rPr>
          <w:rFonts w:hint="eastAsia" w:hAnsi="宋体"/>
          <w:sz w:val="24"/>
          <w:szCs w:val="24"/>
        </w:rPr>
        <w:t>（2）响应文件未按磋商文件规定要求填写响应内容及签名盖章的；</w:t>
      </w:r>
    </w:p>
    <w:p>
      <w:pPr>
        <w:spacing w:line="360" w:lineRule="auto"/>
        <w:ind w:firstLine="576"/>
        <w:rPr>
          <w:rFonts w:hAnsi="宋体"/>
          <w:sz w:val="24"/>
          <w:szCs w:val="24"/>
        </w:rPr>
      </w:pPr>
      <w:r>
        <w:rPr>
          <w:rFonts w:hint="eastAsia" w:hAnsi="宋体"/>
          <w:sz w:val="24"/>
          <w:szCs w:val="24"/>
        </w:rPr>
        <w:t>（3）报价不是固定价或者报价不是唯一的；</w:t>
      </w:r>
    </w:p>
    <w:p>
      <w:pPr>
        <w:spacing w:line="360" w:lineRule="auto"/>
        <w:ind w:firstLine="576"/>
        <w:rPr>
          <w:rFonts w:hAnsi="宋体"/>
          <w:sz w:val="24"/>
          <w:szCs w:val="24"/>
        </w:rPr>
      </w:pPr>
      <w:r>
        <w:rPr>
          <w:rFonts w:hint="eastAsia" w:hAnsi="宋体"/>
          <w:sz w:val="24"/>
          <w:szCs w:val="24"/>
        </w:rPr>
        <w:t>（4）不符合磋商文件规定的其它条件。</w:t>
      </w:r>
    </w:p>
    <w:p>
      <w:pPr>
        <w:spacing w:line="360" w:lineRule="auto"/>
        <w:ind w:firstLine="576"/>
        <w:rPr>
          <w:rFonts w:hAnsi="宋体"/>
          <w:sz w:val="24"/>
          <w:szCs w:val="24"/>
        </w:rPr>
      </w:pPr>
      <w:r>
        <w:rPr>
          <w:rFonts w:hint="eastAsia" w:hAnsi="宋体"/>
          <w:sz w:val="24"/>
          <w:szCs w:val="24"/>
        </w:rPr>
        <w:t>1.6.2 判断响应文件有效与否只根据响应文件本身，而不寻求外部证据。</w:t>
      </w:r>
    </w:p>
    <w:p>
      <w:pPr>
        <w:spacing w:line="360" w:lineRule="auto"/>
        <w:ind w:firstLine="576"/>
        <w:rPr>
          <w:rFonts w:hAnsi="宋体"/>
          <w:sz w:val="24"/>
          <w:szCs w:val="24"/>
        </w:rPr>
      </w:pPr>
      <w:r>
        <w:rPr>
          <w:rFonts w:hint="eastAsia" w:hAnsi="宋体"/>
          <w:sz w:val="24"/>
          <w:szCs w:val="24"/>
        </w:rPr>
        <w:t>1.6.3 磋商小组在初审中，对算术错误的修正原则如下：</w:t>
      </w:r>
    </w:p>
    <w:p>
      <w:pPr>
        <w:spacing w:line="360" w:lineRule="auto"/>
        <w:ind w:firstLine="576"/>
        <w:rPr>
          <w:rFonts w:hAnsi="宋体"/>
          <w:sz w:val="24"/>
          <w:szCs w:val="24"/>
        </w:rPr>
      </w:pPr>
      <w:r>
        <w:rPr>
          <w:rFonts w:hint="eastAsia" w:hAnsi="宋体"/>
          <w:sz w:val="24"/>
          <w:szCs w:val="24"/>
        </w:rPr>
        <w:t>（1）报价一览表内容与响应文件中明细表内容不一致的，以报价一览表为准；</w:t>
      </w:r>
    </w:p>
    <w:p>
      <w:pPr>
        <w:spacing w:line="360" w:lineRule="auto"/>
        <w:ind w:firstLine="576"/>
        <w:rPr>
          <w:rFonts w:hAnsi="宋体"/>
          <w:sz w:val="24"/>
          <w:szCs w:val="24"/>
        </w:rPr>
      </w:pPr>
      <w:r>
        <w:rPr>
          <w:rFonts w:hint="eastAsia" w:hAnsi="宋体"/>
          <w:sz w:val="24"/>
          <w:szCs w:val="24"/>
        </w:rPr>
        <w:t>（2）响应文件的大写金额和小写金额不一致的，以大写金额为准；</w:t>
      </w:r>
    </w:p>
    <w:p>
      <w:pPr>
        <w:spacing w:line="360" w:lineRule="auto"/>
        <w:ind w:firstLine="576"/>
        <w:rPr>
          <w:rFonts w:hAnsi="宋体"/>
          <w:sz w:val="24"/>
          <w:szCs w:val="24"/>
        </w:rPr>
      </w:pPr>
      <w:r>
        <w:rPr>
          <w:rFonts w:hint="eastAsia" w:hAnsi="宋体"/>
          <w:sz w:val="24"/>
          <w:szCs w:val="24"/>
        </w:rPr>
        <w:t>（3）总价金额与按单价汇总金额不一致的，以单价金额计算结果为准；</w:t>
      </w:r>
    </w:p>
    <w:p>
      <w:pPr>
        <w:spacing w:line="360" w:lineRule="auto"/>
        <w:ind w:firstLine="576"/>
        <w:rPr>
          <w:rFonts w:hAnsi="宋体"/>
          <w:sz w:val="24"/>
          <w:szCs w:val="24"/>
        </w:rPr>
      </w:pPr>
      <w:r>
        <w:rPr>
          <w:rFonts w:hint="eastAsia" w:hAnsi="宋体"/>
          <w:sz w:val="24"/>
          <w:szCs w:val="24"/>
        </w:rPr>
        <w:t>（4）单价金额小数点有明显错位的，以总价为准并修改单价；</w:t>
      </w:r>
    </w:p>
    <w:p>
      <w:pPr>
        <w:spacing w:line="360" w:lineRule="auto"/>
        <w:ind w:firstLine="576"/>
        <w:rPr>
          <w:rFonts w:hAnsi="宋体"/>
          <w:sz w:val="24"/>
          <w:szCs w:val="24"/>
        </w:rPr>
      </w:pPr>
      <w:r>
        <w:rPr>
          <w:rFonts w:hint="eastAsia" w:hAnsi="宋体"/>
          <w:sz w:val="24"/>
          <w:szCs w:val="24"/>
        </w:rPr>
        <w:t>（5）若供应商不同意以上修正，响应文件将视为无效。</w:t>
      </w:r>
    </w:p>
    <w:p>
      <w:pPr>
        <w:spacing w:line="360" w:lineRule="auto"/>
        <w:ind w:firstLine="480" w:firstLineChars="200"/>
        <w:rPr>
          <w:rFonts w:hAnsi="宋体"/>
          <w:sz w:val="24"/>
          <w:szCs w:val="24"/>
        </w:rPr>
      </w:pPr>
      <w:r>
        <w:rPr>
          <w:rFonts w:hint="eastAsia" w:hAnsi="宋体"/>
          <w:sz w:val="24"/>
          <w:szCs w:val="24"/>
        </w:rPr>
        <w:t>1.7 磋商小组对响应文件进行审核后，与各家供应商进行单独磋商。经磋商后确定最终采购需求。</w:t>
      </w:r>
    </w:p>
    <w:p>
      <w:pPr>
        <w:spacing w:line="360" w:lineRule="auto"/>
        <w:ind w:firstLine="480" w:firstLineChars="200"/>
        <w:rPr>
          <w:rFonts w:hAnsi="宋体"/>
          <w:sz w:val="24"/>
          <w:szCs w:val="24"/>
          <w:lang w:val="en-GB"/>
        </w:rPr>
      </w:pPr>
      <w:r>
        <w:rPr>
          <w:rFonts w:hint="eastAsia" w:hAnsi="宋体"/>
          <w:sz w:val="24"/>
          <w:szCs w:val="24"/>
        </w:rPr>
        <w:t xml:space="preserve">1.8 </w:t>
      </w:r>
      <w:r>
        <w:rPr>
          <w:rFonts w:hint="eastAsia" w:hAnsi="宋体"/>
          <w:sz w:val="24"/>
          <w:szCs w:val="24"/>
          <w:lang w:val="en-GB"/>
        </w:rPr>
        <w:t>量化评审</w:t>
      </w:r>
    </w:p>
    <w:p>
      <w:pPr>
        <w:spacing w:line="360" w:lineRule="auto"/>
        <w:ind w:firstLine="480" w:firstLineChars="200"/>
        <w:rPr>
          <w:rFonts w:hAnsi="宋体"/>
          <w:sz w:val="24"/>
          <w:szCs w:val="24"/>
        </w:rPr>
      </w:pPr>
      <w:r>
        <w:rPr>
          <w:rFonts w:hint="eastAsia" w:hAnsi="宋体"/>
          <w:sz w:val="24"/>
          <w:szCs w:val="24"/>
        </w:rPr>
        <w:t>1.8.1 磋商小组根据评审办法对通过初步审查的响应文件进行详细评审，并进行技术和商务的评审打分。</w:t>
      </w:r>
    </w:p>
    <w:p>
      <w:pPr>
        <w:spacing w:line="360" w:lineRule="auto"/>
        <w:ind w:firstLine="480" w:firstLineChars="200"/>
        <w:rPr>
          <w:rFonts w:hAnsi="宋体"/>
          <w:sz w:val="24"/>
          <w:szCs w:val="24"/>
        </w:rPr>
      </w:pPr>
      <w:r>
        <w:rPr>
          <w:rFonts w:hint="eastAsia" w:hAnsi="宋体"/>
          <w:sz w:val="24"/>
          <w:szCs w:val="24"/>
        </w:rPr>
        <w:t>1.8.2 技术、商务评分：具体评审的内容详见（附表2）。</w:t>
      </w:r>
    </w:p>
    <w:p>
      <w:pPr>
        <w:spacing w:line="360" w:lineRule="auto"/>
        <w:ind w:firstLine="480" w:firstLineChars="200"/>
        <w:rPr>
          <w:rFonts w:hAnsi="宋体"/>
          <w:sz w:val="24"/>
          <w:szCs w:val="24"/>
        </w:rPr>
      </w:pPr>
      <w:r>
        <w:rPr>
          <w:rFonts w:hint="eastAsia" w:hAnsi="宋体"/>
          <w:sz w:val="24"/>
          <w:szCs w:val="24"/>
        </w:rPr>
        <w:t>1.8.3 价格分统一采用低价优先法计算，将通过初步评审的所有供应商的报价，即满足磋商文件要求且价格最低的报价为磋商基准价，</w:t>
      </w:r>
      <w:r>
        <w:rPr>
          <w:rFonts w:hint="eastAsia" w:hAnsi="宋体"/>
          <w:sz w:val="24"/>
          <w:szCs w:val="24"/>
          <w:lang w:val="en-GB"/>
        </w:rPr>
        <w:t>其价格分为满分；小微企业根据认定给予6%的价格优惠</w:t>
      </w:r>
      <w:r>
        <w:rPr>
          <w:rFonts w:hint="eastAsia" w:hAnsi="宋体"/>
          <w:sz w:val="24"/>
          <w:szCs w:val="24"/>
        </w:rPr>
        <w:t>。其他供应商的价格分统一按照下列公式计算：</w:t>
      </w:r>
    </w:p>
    <w:p>
      <w:pPr>
        <w:spacing w:line="360" w:lineRule="auto"/>
        <w:ind w:firstLine="480" w:firstLineChars="200"/>
        <w:rPr>
          <w:rFonts w:hAnsi="宋体"/>
          <w:sz w:val="24"/>
          <w:szCs w:val="24"/>
        </w:rPr>
      </w:pPr>
      <w:r>
        <w:rPr>
          <w:rFonts w:hint="eastAsia" w:hAnsi="宋体"/>
          <w:sz w:val="24"/>
          <w:szCs w:val="24"/>
        </w:rPr>
        <w:t>价格分=（基准价／报价）×价格权值×100（小微企业按照工信部相关规定给予10%的价格优惠）</w:t>
      </w:r>
    </w:p>
    <w:p>
      <w:pPr>
        <w:spacing w:line="360" w:lineRule="auto"/>
        <w:ind w:firstLine="480" w:firstLineChars="200"/>
        <w:rPr>
          <w:rFonts w:hAnsi="宋体"/>
          <w:sz w:val="24"/>
          <w:szCs w:val="24"/>
        </w:rPr>
      </w:pPr>
      <w:r>
        <w:rPr>
          <w:rFonts w:hint="eastAsia" w:hAnsi="宋体"/>
          <w:sz w:val="24"/>
          <w:szCs w:val="24"/>
        </w:rPr>
        <w:t>1.8.4 技术、商务及价格权重分配</w:t>
      </w:r>
    </w:p>
    <w:tbl>
      <w:tblPr>
        <w:tblStyle w:val="22"/>
        <w:tblW w:w="6473" w:type="dxa"/>
        <w:tblInd w:w="1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7"/>
        <w:gridCol w:w="2498"/>
        <w:gridCol w:w="2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77" w:type="dxa"/>
            <w:shd w:val="clear" w:color="auto" w:fill="D9D9D9"/>
            <w:noWrap/>
            <w:vAlign w:val="center"/>
          </w:tcPr>
          <w:p>
            <w:pPr>
              <w:pStyle w:val="30"/>
              <w:adjustRightInd w:val="0"/>
              <w:snapToGrid w:val="0"/>
              <w:jc w:val="center"/>
              <w:rPr>
                <w:lang w:val="en-GB"/>
              </w:rPr>
            </w:pPr>
            <w:r>
              <w:rPr>
                <w:rFonts w:hint="eastAsia"/>
                <w:lang w:val="en-GB"/>
              </w:rPr>
              <w:t>评分项目</w:t>
            </w:r>
          </w:p>
        </w:tc>
        <w:tc>
          <w:tcPr>
            <w:tcW w:w="2498" w:type="dxa"/>
            <w:shd w:val="clear" w:color="auto" w:fill="D9D9D9"/>
            <w:noWrap/>
            <w:vAlign w:val="center"/>
          </w:tcPr>
          <w:p>
            <w:pPr>
              <w:pStyle w:val="30"/>
              <w:adjustRightInd w:val="0"/>
              <w:snapToGrid w:val="0"/>
              <w:jc w:val="center"/>
              <w:rPr>
                <w:lang w:val="en-GB"/>
              </w:rPr>
            </w:pPr>
            <w:r>
              <w:rPr>
                <w:rFonts w:hint="eastAsia"/>
                <w:lang w:val="en-GB"/>
              </w:rPr>
              <w:t>技术</w:t>
            </w:r>
            <w:r>
              <w:rPr>
                <w:rFonts w:hint="eastAsia"/>
              </w:rPr>
              <w:t>/</w:t>
            </w:r>
            <w:r>
              <w:rPr>
                <w:rFonts w:hint="eastAsia"/>
                <w:lang w:val="en-GB"/>
              </w:rPr>
              <w:t>商务项</w:t>
            </w:r>
          </w:p>
        </w:tc>
        <w:tc>
          <w:tcPr>
            <w:tcW w:w="2498" w:type="dxa"/>
            <w:shd w:val="clear" w:color="auto" w:fill="D9D9D9"/>
            <w:noWrap/>
            <w:vAlign w:val="center"/>
          </w:tcPr>
          <w:p>
            <w:pPr>
              <w:pStyle w:val="30"/>
              <w:adjustRightInd w:val="0"/>
              <w:snapToGrid w:val="0"/>
              <w:jc w:val="center"/>
            </w:pPr>
            <w:r>
              <w:rPr>
                <w:rFonts w:hint="eastAsia"/>
              </w:rPr>
              <w:t>价格项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477" w:type="dxa"/>
            <w:noWrap/>
            <w:vAlign w:val="center"/>
          </w:tcPr>
          <w:p>
            <w:pPr>
              <w:pStyle w:val="30"/>
              <w:adjustRightInd w:val="0"/>
              <w:snapToGrid w:val="0"/>
              <w:jc w:val="center"/>
              <w:rPr>
                <w:lang w:val="en-GB"/>
              </w:rPr>
            </w:pPr>
            <w:r>
              <w:rPr>
                <w:rFonts w:hint="eastAsia"/>
                <w:lang w:val="en-GB"/>
              </w:rPr>
              <w:t>权重</w:t>
            </w:r>
          </w:p>
        </w:tc>
        <w:tc>
          <w:tcPr>
            <w:tcW w:w="2498" w:type="dxa"/>
            <w:tcBorders>
              <w:left w:val="single" w:color="auto" w:sz="4" w:space="0"/>
            </w:tcBorders>
            <w:noWrap/>
            <w:vAlign w:val="center"/>
          </w:tcPr>
          <w:p>
            <w:pPr>
              <w:pStyle w:val="30"/>
              <w:adjustRightInd w:val="0"/>
              <w:snapToGrid w:val="0"/>
              <w:ind w:firstLine="960" w:firstLineChars="400"/>
              <w:jc w:val="both"/>
              <w:rPr>
                <w:lang w:val="en-GB"/>
              </w:rPr>
            </w:pPr>
            <w:r>
              <w:rPr>
                <w:rFonts w:hint="eastAsia"/>
              </w:rPr>
              <w:t>90</w:t>
            </w:r>
            <w:r>
              <w:rPr>
                <w:rFonts w:hint="eastAsia"/>
                <w:lang w:val="en-GB"/>
              </w:rPr>
              <w:t>%</w:t>
            </w:r>
          </w:p>
        </w:tc>
        <w:tc>
          <w:tcPr>
            <w:tcW w:w="2498" w:type="dxa"/>
            <w:tcBorders>
              <w:left w:val="single" w:color="auto" w:sz="4" w:space="0"/>
            </w:tcBorders>
            <w:noWrap/>
            <w:vAlign w:val="center"/>
          </w:tcPr>
          <w:p>
            <w:pPr>
              <w:pStyle w:val="30"/>
              <w:adjustRightInd w:val="0"/>
              <w:snapToGrid w:val="0"/>
              <w:jc w:val="center"/>
            </w:pPr>
            <w:r>
              <w:rPr>
                <w:rFonts w:hint="eastAsia"/>
              </w:rPr>
              <w:t>10</w:t>
            </w:r>
            <w:r>
              <w:rPr>
                <w:rFonts w:hint="eastAsia"/>
                <w:lang w:val="en-GB"/>
              </w:rPr>
              <w:t>%</w:t>
            </w:r>
          </w:p>
        </w:tc>
      </w:tr>
    </w:tbl>
    <w:p>
      <w:pPr>
        <w:spacing w:line="360" w:lineRule="auto"/>
        <w:ind w:firstLine="480" w:firstLineChars="200"/>
        <w:rPr>
          <w:rFonts w:hAnsi="宋体"/>
          <w:sz w:val="24"/>
          <w:szCs w:val="24"/>
        </w:rPr>
      </w:pPr>
      <w:r>
        <w:rPr>
          <w:rFonts w:hint="eastAsia" w:hAnsi="宋体"/>
          <w:sz w:val="24"/>
          <w:szCs w:val="24"/>
        </w:rPr>
        <w:t>1.9 提交最终报价后，由磋商小组采用综合评分法对提交最后报价的供应商的响应文件和最后报价进行综合评分。磋商小组根据综合评分情况，按照评审得分由高到低顺序推荐2名以上成交候选供应商，并编写评审报告。评审得分相同的，按照最后报价由低到高的顺序推荐。评审得分且最后报价相同的，按照技术指标优劣顺序推荐。</w:t>
      </w:r>
    </w:p>
    <w:p>
      <w:pPr>
        <w:spacing w:line="360" w:lineRule="auto"/>
        <w:ind w:firstLine="576"/>
        <w:rPr>
          <w:rFonts w:hAnsi="宋体"/>
          <w:sz w:val="24"/>
          <w:szCs w:val="24"/>
        </w:rPr>
      </w:pPr>
      <w:r>
        <w:rPr>
          <w:rFonts w:hint="eastAsia" w:hAnsi="宋体"/>
          <w:sz w:val="24"/>
          <w:szCs w:val="24"/>
        </w:rPr>
        <w:t>注：</w:t>
      </w:r>
    </w:p>
    <w:p>
      <w:pPr>
        <w:spacing w:line="360" w:lineRule="auto"/>
        <w:ind w:firstLine="576"/>
        <w:rPr>
          <w:rFonts w:hAnsi="宋体"/>
          <w:sz w:val="24"/>
          <w:szCs w:val="24"/>
          <w:lang w:val="en-GB"/>
        </w:rPr>
      </w:pPr>
      <w:r>
        <w:rPr>
          <w:rFonts w:hint="eastAsia" w:hAnsi="宋体"/>
          <w:sz w:val="24"/>
          <w:szCs w:val="24"/>
        </w:rPr>
        <w:t>(1)</w:t>
      </w:r>
      <w:r>
        <w:rPr>
          <w:rFonts w:hint="eastAsia" w:hAnsi="宋体"/>
          <w:sz w:val="24"/>
          <w:szCs w:val="24"/>
          <w:lang w:val="en-GB"/>
        </w:rPr>
        <w:t>技术项得分=（∑各评委所审技术参数得分）</w:t>
      </w:r>
      <w:r>
        <w:rPr>
          <w:rFonts w:hint="eastAsia" w:hAnsi="宋体"/>
          <w:sz w:val="24"/>
          <w:szCs w:val="24"/>
        </w:rPr>
        <w:t>/</w:t>
      </w:r>
      <w:r>
        <w:rPr>
          <w:rFonts w:hint="eastAsia" w:hAnsi="宋体"/>
          <w:sz w:val="24"/>
          <w:szCs w:val="24"/>
          <w:lang w:val="en-GB"/>
        </w:rPr>
        <w:t>（评委人数）；</w:t>
      </w:r>
    </w:p>
    <w:p>
      <w:pPr>
        <w:spacing w:line="360" w:lineRule="auto"/>
        <w:ind w:firstLine="576"/>
        <w:rPr>
          <w:rFonts w:hAnsi="宋体"/>
          <w:sz w:val="24"/>
          <w:szCs w:val="24"/>
          <w:lang w:val="en-GB"/>
        </w:rPr>
      </w:pPr>
      <w:r>
        <w:rPr>
          <w:rFonts w:hint="eastAsia" w:hAnsi="宋体"/>
          <w:sz w:val="24"/>
          <w:szCs w:val="24"/>
        </w:rPr>
        <w:t>(2)</w:t>
      </w:r>
      <w:r>
        <w:rPr>
          <w:rFonts w:hint="eastAsia" w:hAnsi="宋体"/>
          <w:sz w:val="24"/>
          <w:szCs w:val="24"/>
          <w:lang w:val="en-GB"/>
        </w:rPr>
        <w:t>商务项得分=（∑各评委所审商务参数得分）</w:t>
      </w:r>
      <w:r>
        <w:rPr>
          <w:rFonts w:hint="eastAsia" w:hAnsi="宋体"/>
          <w:sz w:val="24"/>
          <w:szCs w:val="24"/>
        </w:rPr>
        <w:t>/</w:t>
      </w:r>
      <w:r>
        <w:rPr>
          <w:rFonts w:hint="eastAsia" w:hAnsi="宋体"/>
          <w:sz w:val="24"/>
          <w:szCs w:val="24"/>
          <w:lang w:val="en-GB"/>
        </w:rPr>
        <w:t>（评委人数）；</w:t>
      </w:r>
    </w:p>
    <w:p>
      <w:pPr>
        <w:spacing w:line="360" w:lineRule="auto"/>
        <w:ind w:firstLine="576"/>
        <w:rPr>
          <w:rFonts w:hAnsi="宋体"/>
          <w:sz w:val="24"/>
          <w:szCs w:val="24"/>
          <w:lang w:val="en-GB"/>
        </w:rPr>
      </w:pPr>
      <w:r>
        <w:rPr>
          <w:rFonts w:hint="eastAsia" w:hAnsi="宋体"/>
          <w:sz w:val="24"/>
          <w:szCs w:val="24"/>
        </w:rPr>
        <w:t>(3)</w:t>
      </w:r>
      <w:r>
        <w:rPr>
          <w:rFonts w:hint="eastAsia" w:hAnsi="宋体"/>
          <w:sz w:val="24"/>
          <w:szCs w:val="24"/>
          <w:lang w:val="en-GB"/>
        </w:rPr>
        <w:t>价格项得分</w:t>
      </w:r>
      <w:r>
        <w:rPr>
          <w:rFonts w:hint="eastAsia" w:hAnsi="宋体"/>
          <w:sz w:val="24"/>
          <w:szCs w:val="24"/>
        </w:rPr>
        <w:t>=（基准价／报价）×价格权值×100</w:t>
      </w:r>
      <w:r>
        <w:rPr>
          <w:rFonts w:hint="eastAsia" w:hAnsi="宋体"/>
          <w:sz w:val="24"/>
          <w:szCs w:val="24"/>
          <w:lang w:val="en-GB"/>
        </w:rPr>
        <w:t>；</w:t>
      </w:r>
    </w:p>
    <w:p>
      <w:pPr>
        <w:spacing w:line="360" w:lineRule="auto"/>
        <w:ind w:firstLine="576"/>
        <w:rPr>
          <w:rFonts w:hAnsi="宋体"/>
          <w:sz w:val="24"/>
          <w:szCs w:val="24"/>
          <w:lang w:val="en-GB"/>
        </w:rPr>
      </w:pPr>
      <w:r>
        <w:rPr>
          <w:rFonts w:hint="eastAsia" w:hAnsi="宋体"/>
          <w:sz w:val="24"/>
          <w:szCs w:val="24"/>
        </w:rPr>
        <w:t>(4)</w:t>
      </w:r>
      <w:r>
        <w:rPr>
          <w:rFonts w:hint="eastAsia" w:hAnsi="宋体"/>
          <w:sz w:val="24"/>
          <w:szCs w:val="24"/>
          <w:lang w:val="en-GB"/>
        </w:rPr>
        <w:t>供应商综合得分=技术项得分+商务项得分+价格项得分（保留二位小数）。</w:t>
      </w:r>
      <w:bookmarkStart w:id="90" w:name="_Toc11221"/>
      <w:bookmarkStart w:id="91" w:name="_Toc433127007"/>
      <w:bookmarkStart w:id="92" w:name="_Toc13342"/>
      <w:bookmarkStart w:id="93" w:name="_Toc10320"/>
      <w:bookmarkStart w:id="94" w:name="_Toc7145"/>
      <w:bookmarkStart w:id="95" w:name="_Toc31834"/>
    </w:p>
    <w:p>
      <w:pPr>
        <w:spacing w:line="360" w:lineRule="auto"/>
        <w:ind w:firstLine="576"/>
        <w:rPr>
          <w:rFonts w:hAnsi="宋体"/>
          <w:b/>
          <w:bCs/>
          <w:sz w:val="24"/>
          <w:szCs w:val="24"/>
        </w:rPr>
      </w:pPr>
      <w:r>
        <w:rPr>
          <w:rFonts w:hint="eastAsia" w:hAnsi="宋体"/>
          <w:b/>
          <w:bCs/>
          <w:sz w:val="24"/>
          <w:szCs w:val="24"/>
        </w:rPr>
        <w:t>2.确定成交供应商及后续工作</w:t>
      </w:r>
      <w:bookmarkEnd w:id="90"/>
      <w:bookmarkEnd w:id="91"/>
      <w:bookmarkEnd w:id="92"/>
      <w:bookmarkEnd w:id="93"/>
      <w:bookmarkEnd w:id="94"/>
      <w:bookmarkEnd w:id="95"/>
    </w:p>
    <w:p>
      <w:pPr>
        <w:spacing w:line="360" w:lineRule="auto"/>
        <w:ind w:firstLine="576"/>
        <w:rPr>
          <w:rFonts w:hAnsi="宋体"/>
          <w:sz w:val="24"/>
          <w:szCs w:val="24"/>
        </w:rPr>
      </w:pPr>
      <w:r>
        <w:rPr>
          <w:rFonts w:hint="eastAsia" w:hAnsi="宋体"/>
          <w:sz w:val="24"/>
          <w:szCs w:val="24"/>
        </w:rPr>
        <w:t>2.1 采购代理机构在评审结束后2个工作日内将评审报告送采购人确认。</w:t>
      </w:r>
    </w:p>
    <w:p>
      <w:pPr>
        <w:spacing w:line="360" w:lineRule="auto"/>
        <w:ind w:firstLine="576"/>
        <w:rPr>
          <w:rFonts w:hAnsi="宋体"/>
          <w:sz w:val="24"/>
          <w:szCs w:val="24"/>
        </w:rPr>
      </w:pPr>
      <w:r>
        <w:rPr>
          <w:rFonts w:hint="eastAsia" w:hAnsi="宋体"/>
          <w:sz w:val="24"/>
          <w:szCs w:val="24"/>
        </w:rPr>
        <w:t>2.2 采购人将在收到评审报告后5个工作日内，从评审报告提出的成交候选供应商中，按照排序由高到低的原则确定成交供应商。</w:t>
      </w:r>
    </w:p>
    <w:p>
      <w:pPr>
        <w:spacing w:line="360" w:lineRule="auto"/>
        <w:ind w:firstLine="576"/>
        <w:rPr>
          <w:rFonts w:hAnsi="宋体"/>
          <w:sz w:val="24"/>
          <w:szCs w:val="24"/>
        </w:rPr>
      </w:pPr>
      <w:r>
        <w:rPr>
          <w:rFonts w:hint="eastAsia" w:hAnsi="宋体"/>
          <w:sz w:val="24"/>
          <w:szCs w:val="24"/>
        </w:rPr>
        <w:t>2.3 采购人或者采购代理机构应当在成交供应商确定后2个工作日内，在指定的政府采购信息发布媒体上公告成交结果，同时向成交供应商发出成交通知书，并将磋商文件随成交结果同时公告。</w:t>
      </w:r>
    </w:p>
    <w:p>
      <w:pPr>
        <w:spacing w:line="360" w:lineRule="auto"/>
        <w:ind w:firstLine="576"/>
        <w:rPr>
          <w:rFonts w:hAnsi="宋体"/>
          <w:sz w:val="24"/>
          <w:szCs w:val="24"/>
        </w:rPr>
      </w:pPr>
      <w:r>
        <w:rPr>
          <w:rFonts w:hint="eastAsia" w:hAnsi="宋体"/>
          <w:sz w:val="24"/>
          <w:szCs w:val="24"/>
        </w:rPr>
        <w:t>2.4 采购人与成交供应商在成交通知书发出之日起30日内，按照磋商文件确定的合同文本以及采购标的、规格型号、采购金额、采购数量、技术和服务要求等事项签订政府采购合同。</w:t>
      </w:r>
    </w:p>
    <w:p>
      <w:pPr>
        <w:pStyle w:val="30"/>
        <w:adjustRightInd w:val="0"/>
        <w:snapToGrid w:val="0"/>
      </w:pPr>
    </w:p>
    <w:p>
      <w:pPr>
        <w:pStyle w:val="30"/>
        <w:adjustRightInd w:val="0"/>
        <w:snapToGrid w:val="0"/>
        <w:spacing w:line="360" w:lineRule="auto"/>
      </w:pPr>
    </w:p>
    <w:p>
      <w:pPr>
        <w:pStyle w:val="30"/>
        <w:adjustRightInd w:val="0"/>
        <w:snapToGrid w:val="0"/>
        <w:spacing w:line="360" w:lineRule="auto"/>
      </w:pPr>
    </w:p>
    <w:p>
      <w:pPr>
        <w:pStyle w:val="30"/>
        <w:adjustRightInd w:val="0"/>
        <w:snapToGrid w:val="0"/>
        <w:spacing w:line="360" w:lineRule="auto"/>
      </w:pPr>
    </w:p>
    <w:p>
      <w:pPr>
        <w:pStyle w:val="30"/>
        <w:adjustRightInd w:val="0"/>
        <w:snapToGrid w:val="0"/>
        <w:spacing w:line="360" w:lineRule="auto"/>
      </w:pPr>
    </w:p>
    <w:p>
      <w:pPr>
        <w:pStyle w:val="30"/>
        <w:adjustRightInd w:val="0"/>
        <w:snapToGrid w:val="0"/>
        <w:spacing w:line="360" w:lineRule="auto"/>
      </w:pPr>
    </w:p>
    <w:p>
      <w:r>
        <w:br w:type="page"/>
      </w:r>
    </w:p>
    <w:p>
      <w:pPr>
        <w:adjustRightInd w:val="0"/>
        <w:snapToGrid w:val="0"/>
        <w:spacing w:line="240" w:lineRule="auto"/>
        <w:jc w:val="both"/>
        <w:outlineLvl w:val="2"/>
        <w:rPr>
          <w:b/>
          <w:sz w:val="32"/>
          <w:szCs w:val="32"/>
        </w:rPr>
      </w:pPr>
      <w:bookmarkStart w:id="96" w:name="_Toc77"/>
      <w:r>
        <w:rPr>
          <w:rFonts w:hint="eastAsia" w:hAnsi="宋体"/>
          <w:b/>
          <w:sz w:val="32"/>
          <w:szCs w:val="32"/>
        </w:rPr>
        <w:t>附表1</w:t>
      </w:r>
      <w:bookmarkEnd w:id="96"/>
      <w:bookmarkStart w:id="97" w:name="_Toc12868_WPSOffice_Level1"/>
      <w:r>
        <w:rPr>
          <w:rFonts w:hint="eastAsia" w:hAnsi="宋体"/>
          <w:b/>
          <w:sz w:val="32"/>
          <w:szCs w:val="32"/>
        </w:rPr>
        <w:t xml:space="preserve">  </w:t>
      </w:r>
      <w:r>
        <w:rPr>
          <w:rFonts w:hint="eastAsia"/>
          <w:b/>
          <w:sz w:val="32"/>
          <w:szCs w:val="32"/>
        </w:rPr>
        <w:t>审查表</w:t>
      </w:r>
      <w:bookmarkEnd w:id="97"/>
    </w:p>
    <w:p>
      <w:pPr>
        <w:widowControl/>
        <w:spacing w:line="360" w:lineRule="auto"/>
        <w:ind w:firstLine="602" w:firstLineChars="200"/>
        <w:jc w:val="center"/>
        <w:rPr>
          <w:rFonts w:ascii="Times New Roman" w:hAnsi="Times New Roman"/>
          <w:b/>
          <w:szCs w:val="21"/>
        </w:rPr>
      </w:pPr>
      <w:r>
        <w:rPr>
          <w:rFonts w:ascii="Times New Roman" w:hAnsi="Times New Roman"/>
          <w:b/>
          <w:szCs w:val="21"/>
        </w:rPr>
        <w:t>资格性审查</w:t>
      </w:r>
    </w:p>
    <w:tbl>
      <w:tblPr>
        <w:tblStyle w:val="22"/>
        <w:tblpPr w:leftFromText="180" w:rightFromText="180" w:vertAnchor="text" w:tblpXSpec="center" w:tblpY="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15"/>
        <w:gridCol w:w="4589"/>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75" w:type="dxa"/>
            <w:vMerge w:val="restart"/>
            <w:vAlign w:val="center"/>
          </w:tcPr>
          <w:p>
            <w:pPr>
              <w:spacing w:line="360" w:lineRule="auto"/>
              <w:jc w:val="center"/>
              <w:rPr>
                <w:rFonts w:ascii="Times New Roman" w:hAnsi="Times New Roman"/>
                <w:sz w:val="21"/>
                <w:szCs w:val="21"/>
              </w:rPr>
            </w:pPr>
            <w:r>
              <w:rPr>
                <w:rFonts w:ascii="Times New Roman" w:hAnsi="Times New Roman"/>
                <w:sz w:val="21"/>
                <w:szCs w:val="21"/>
              </w:rPr>
              <w:t>序号</w:t>
            </w:r>
          </w:p>
        </w:tc>
        <w:tc>
          <w:tcPr>
            <w:tcW w:w="2215" w:type="dxa"/>
            <w:vMerge w:val="restart"/>
            <w:vAlign w:val="center"/>
          </w:tcPr>
          <w:p>
            <w:pPr>
              <w:spacing w:line="360" w:lineRule="auto"/>
              <w:jc w:val="center"/>
              <w:rPr>
                <w:rFonts w:ascii="Times New Roman" w:hAnsi="Times New Roman"/>
                <w:sz w:val="21"/>
                <w:szCs w:val="21"/>
              </w:rPr>
            </w:pPr>
            <w:r>
              <w:rPr>
                <w:rFonts w:ascii="Times New Roman" w:hAnsi="Times New Roman"/>
                <w:sz w:val="21"/>
                <w:szCs w:val="21"/>
              </w:rPr>
              <w:t>评审因素</w:t>
            </w:r>
          </w:p>
        </w:tc>
        <w:tc>
          <w:tcPr>
            <w:tcW w:w="4589" w:type="dxa"/>
            <w:vMerge w:val="restart"/>
            <w:vAlign w:val="center"/>
          </w:tcPr>
          <w:p>
            <w:pPr>
              <w:spacing w:line="360" w:lineRule="auto"/>
              <w:jc w:val="center"/>
              <w:rPr>
                <w:rFonts w:ascii="Times New Roman" w:hAnsi="Times New Roman"/>
                <w:sz w:val="21"/>
                <w:szCs w:val="21"/>
              </w:rPr>
            </w:pPr>
            <w:r>
              <w:rPr>
                <w:rFonts w:ascii="Times New Roman" w:hAnsi="Times New Roman"/>
                <w:sz w:val="21"/>
                <w:szCs w:val="21"/>
              </w:rPr>
              <w:t>评审标准</w:t>
            </w:r>
          </w:p>
        </w:tc>
        <w:tc>
          <w:tcPr>
            <w:tcW w:w="1701" w:type="dxa"/>
            <w:gridSpan w:val="3"/>
            <w:vAlign w:val="center"/>
          </w:tcPr>
          <w:p>
            <w:pPr>
              <w:spacing w:line="360" w:lineRule="auto"/>
              <w:jc w:val="center"/>
              <w:rPr>
                <w:rFonts w:ascii="Times New Roman" w:hAnsi="Times New Roman"/>
                <w:sz w:val="21"/>
                <w:szCs w:val="21"/>
              </w:rPr>
            </w:pPr>
            <w:r>
              <w:rPr>
                <w:rFonts w:ascii="Times New Roman" w:hAnsi="Times New Roman"/>
                <w:sz w:val="21"/>
                <w:szCs w:val="21"/>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75" w:type="dxa"/>
            <w:vMerge w:val="continue"/>
            <w:vAlign w:val="center"/>
          </w:tcPr>
          <w:p/>
        </w:tc>
        <w:tc>
          <w:tcPr>
            <w:tcW w:w="2215" w:type="dxa"/>
            <w:vMerge w:val="continue"/>
            <w:tcBorders>
              <w:left w:val="single" w:color="auto" w:sz="4" w:space="0"/>
            </w:tcBorders>
            <w:vAlign w:val="center"/>
          </w:tcPr>
          <w:p/>
        </w:tc>
        <w:tc>
          <w:tcPr>
            <w:tcW w:w="4589" w:type="dxa"/>
            <w:vMerge w:val="continue"/>
            <w:tcBorders>
              <w:left w:val="single" w:color="auto" w:sz="4" w:space="0"/>
            </w:tcBorders>
            <w:vAlign w:val="center"/>
          </w:tcPr>
          <w:p/>
        </w:tc>
        <w:tc>
          <w:tcPr>
            <w:tcW w:w="567" w:type="dxa"/>
            <w:tcBorders>
              <w:left w:val="single" w:color="auto" w:sz="4" w:space="0"/>
            </w:tcBorders>
            <w:vAlign w:val="center"/>
          </w:tcPr>
          <w:p>
            <w:pPr>
              <w:spacing w:line="360" w:lineRule="auto"/>
              <w:jc w:val="center"/>
              <w:rPr>
                <w:rFonts w:ascii="Times New Roman" w:hAnsi="Times New Roman"/>
                <w:sz w:val="21"/>
                <w:szCs w:val="21"/>
              </w:rPr>
            </w:pPr>
            <w:r>
              <w:rPr>
                <w:rFonts w:ascii="Times New Roman" w:hAnsi="Times New Roman"/>
                <w:sz w:val="21"/>
                <w:szCs w:val="21"/>
              </w:rPr>
              <w:t>1</w:t>
            </w:r>
          </w:p>
        </w:tc>
        <w:tc>
          <w:tcPr>
            <w:tcW w:w="567" w:type="dxa"/>
            <w:tcBorders>
              <w:left w:val="single" w:color="auto" w:sz="4" w:space="0"/>
            </w:tcBorders>
            <w:vAlign w:val="center"/>
          </w:tcPr>
          <w:p>
            <w:pPr>
              <w:spacing w:line="360" w:lineRule="auto"/>
              <w:jc w:val="center"/>
              <w:rPr>
                <w:rFonts w:ascii="Times New Roman" w:hAnsi="Times New Roman"/>
                <w:sz w:val="21"/>
                <w:szCs w:val="21"/>
              </w:rPr>
            </w:pPr>
            <w:r>
              <w:rPr>
                <w:rFonts w:ascii="Times New Roman" w:hAnsi="Times New Roman"/>
                <w:sz w:val="21"/>
                <w:szCs w:val="21"/>
              </w:rPr>
              <w:t>2</w:t>
            </w:r>
          </w:p>
        </w:tc>
        <w:tc>
          <w:tcPr>
            <w:tcW w:w="567" w:type="dxa"/>
            <w:tcBorders>
              <w:left w:val="single" w:color="auto" w:sz="4" w:space="0"/>
            </w:tcBorders>
            <w:vAlign w:val="center"/>
          </w:tcPr>
          <w:p>
            <w:pPr>
              <w:spacing w:line="360" w:lineRule="auto"/>
              <w:jc w:val="center"/>
              <w:rPr>
                <w:rFonts w:ascii="Times New Roman" w:hAnsi="Times New Roman"/>
                <w:sz w:val="21"/>
                <w:szCs w:val="21"/>
              </w:rPr>
            </w:pPr>
            <w:r>
              <w:rPr>
                <w:rFonts w:ascii="Times New Roman" w:hAnsi="Times New Roman"/>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Align w:val="center"/>
          </w:tcPr>
          <w:p>
            <w:pPr>
              <w:spacing w:line="360" w:lineRule="auto"/>
              <w:jc w:val="center"/>
              <w:rPr>
                <w:rFonts w:ascii="Times New Roman" w:hAnsi="Times New Roman"/>
                <w:sz w:val="21"/>
                <w:szCs w:val="21"/>
              </w:rPr>
            </w:pPr>
            <w:r>
              <w:rPr>
                <w:rFonts w:ascii="Times New Roman" w:hAnsi="Times New Roman"/>
                <w:sz w:val="21"/>
                <w:szCs w:val="21"/>
              </w:rPr>
              <w:t>1</w:t>
            </w:r>
          </w:p>
        </w:tc>
        <w:tc>
          <w:tcPr>
            <w:tcW w:w="2215" w:type="dxa"/>
            <w:tcBorders>
              <w:left w:val="single" w:color="auto" w:sz="4" w:space="0"/>
            </w:tcBorders>
            <w:vAlign w:val="center"/>
          </w:tcPr>
          <w:p>
            <w:pPr>
              <w:spacing w:line="360" w:lineRule="auto"/>
              <w:jc w:val="center"/>
              <w:rPr>
                <w:rFonts w:ascii="Times New Roman" w:hAnsi="Times New Roman"/>
                <w:sz w:val="21"/>
                <w:szCs w:val="21"/>
              </w:rPr>
            </w:pPr>
            <w:r>
              <w:rPr>
                <w:rFonts w:ascii="Times New Roman" w:hAnsi="Times New Roman"/>
                <w:sz w:val="21"/>
                <w:szCs w:val="21"/>
              </w:rPr>
              <w:t>营业执照</w:t>
            </w:r>
          </w:p>
        </w:tc>
        <w:tc>
          <w:tcPr>
            <w:tcW w:w="4589" w:type="dxa"/>
            <w:tcBorders>
              <w:left w:val="single" w:color="auto" w:sz="4" w:space="0"/>
            </w:tcBorders>
            <w:vAlign w:val="center"/>
          </w:tcPr>
          <w:p>
            <w:pPr>
              <w:spacing w:line="360" w:lineRule="auto"/>
              <w:jc w:val="center"/>
              <w:rPr>
                <w:rFonts w:ascii="Times New Roman" w:hAnsi="Times New Roman"/>
                <w:sz w:val="21"/>
                <w:szCs w:val="21"/>
              </w:rPr>
            </w:pPr>
            <w:r>
              <w:rPr>
                <w:rFonts w:ascii="Times New Roman" w:hAnsi="Times New Roman"/>
                <w:sz w:val="21"/>
                <w:szCs w:val="21"/>
              </w:rPr>
              <w:t>提供有效的营业执照</w:t>
            </w:r>
          </w:p>
        </w:tc>
        <w:tc>
          <w:tcPr>
            <w:tcW w:w="567" w:type="dxa"/>
            <w:tcBorders>
              <w:left w:val="single" w:color="auto" w:sz="4" w:space="0"/>
            </w:tcBorders>
            <w:vAlign w:val="center"/>
          </w:tcPr>
          <w:p>
            <w:pPr>
              <w:spacing w:line="360" w:lineRule="auto"/>
              <w:jc w:val="center"/>
              <w:rPr>
                <w:rFonts w:ascii="Times New Roman" w:hAnsi="Times New Roman"/>
                <w:sz w:val="21"/>
                <w:szCs w:val="21"/>
              </w:rPr>
            </w:pPr>
          </w:p>
        </w:tc>
        <w:tc>
          <w:tcPr>
            <w:tcW w:w="567" w:type="dxa"/>
            <w:tcBorders>
              <w:left w:val="single" w:color="auto" w:sz="4" w:space="0"/>
            </w:tcBorders>
            <w:vAlign w:val="center"/>
          </w:tcPr>
          <w:p>
            <w:pPr>
              <w:spacing w:line="360" w:lineRule="auto"/>
              <w:jc w:val="center"/>
              <w:rPr>
                <w:rFonts w:ascii="Times New Roman" w:hAnsi="Times New Roman"/>
                <w:sz w:val="21"/>
                <w:szCs w:val="21"/>
              </w:rPr>
            </w:pPr>
          </w:p>
        </w:tc>
        <w:tc>
          <w:tcPr>
            <w:tcW w:w="567" w:type="dxa"/>
            <w:tcBorders>
              <w:left w:val="single" w:color="auto" w:sz="4" w:space="0"/>
            </w:tcBorders>
            <w:vAlign w:val="center"/>
          </w:tcPr>
          <w:p>
            <w:pPr>
              <w:spacing w:line="360"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Align w:val="center"/>
          </w:tcPr>
          <w:p>
            <w:pPr>
              <w:spacing w:line="360" w:lineRule="auto"/>
              <w:jc w:val="center"/>
              <w:rPr>
                <w:rFonts w:ascii="Times New Roman" w:hAnsi="Times New Roman"/>
                <w:sz w:val="21"/>
                <w:szCs w:val="21"/>
              </w:rPr>
            </w:pPr>
            <w:r>
              <w:rPr>
                <w:rFonts w:ascii="Times New Roman" w:hAnsi="Times New Roman"/>
                <w:sz w:val="21"/>
                <w:szCs w:val="21"/>
              </w:rPr>
              <w:t>2</w:t>
            </w:r>
          </w:p>
        </w:tc>
        <w:tc>
          <w:tcPr>
            <w:tcW w:w="2215" w:type="dxa"/>
            <w:tcBorders>
              <w:left w:val="single" w:color="auto" w:sz="4" w:space="0"/>
            </w:tcBorders>
            <w:vAlign w:val="center"/>
          </w:tcPr>
          <w:p>
            <w:pPr>
              <w:spacing w:line="360" w:lineRule="auto"/>
              <w:jc w:val="center"/>
              <w:rPr>
                <w:rFonts w:ascii="Times New Roman" w:hAnsi="Times New Roman"/>
                <w:sz w:val="21"/>
                <w:szCs w:val="21"/>
              </w:rPr>
            </w:pPr>
            <w:r>
              <w:rPr>
                <w:rFonts w:ascii="Times New Roman" w:hAnsi="Times New Roman"/>
                <w:sz w:val="21"/>
                <w:szCs w:val="21"/>
              </w:rPr>
              <w:t>资格、资质要求</w:t>
            </w:r>
          </w:p>
        </w:tc>
        <w:tc>
          <w:tcPr>
            <w:tcW w:w="4589" w:type="dxa"/>
            <w:tcBorders>
              <w:left w:val="single" w:color="auto" w:sz="4" w:space="0"/>
            </w:tcBorders>
            <w:vAlign w:val="center"/>
          </w:tcPr>
          <w:p>
            <w:pPr>
              <w:spacing w:line="360" w:lineRule="auto"/>
              <w:jc w:val="center"/>
              <w:rPr>
                <w:rFonts w:ascii="Times New Roman" w:hAnsi="Times New Roman"/>
                <w:sz w:val="21"/>
                <w:szCs w:val="21"/>
              </w:rPr>
            </w:pPr>
            <w:r>
              <w:rPr>
                <w:rFonts w:ascii="Times New Roman" w:hAnsi="Times New Roman"/>
                <w:sz w:val="21"/>
                <w:szCs w:val="21"/>
              </w:rPr>
              <w:t>是否符合竞争性磋商文件第一章供应商资格、资质要求</w:t>
            </w:r>
          </w:p>
        </w:tc>
        <w:tc>
          <w:tcPr>
            <w:tcW w:w="567" w:type="dxa"/>
            <w:tcBorders>
              <w:left w:val="single" w:color="auto" w:sz="4" w:space="0"/>
            </w:tcBorders>
            <w:vAlign w:val="center"/>
          </w:tcPr>
          <w:p>
            <w:pPr>
              <w:spacing w:line="360" w:lineRule="auto"/>
              <w:jc w:val="center"/>
              <w:rPr>
                <w:rFonts w:ascii="Times New Roman" w:hAnsi="Times New Roman"/>
                <w:sz w:val="21"/>
                <w:szCs w:val="21"/>
              </w:rPr>
            </w:pPr>
          </w:p>
        </w:tc>
        <w:tc>
          <w:tcPr>
            <w:tcW w:w="567" w:type="dxa"/>
            <w:tcBorders>
              <w:left w:val="single" w:color="auto" w:sz="4" w:space="0"/>
            </w:tcBorders>
            <w:vAlign w:val="center"/>
          </w:tcPr>
          <w:p>
            <w:pPr>
              <w:spacing w:line="360" w:lineRule="auto"/>
              <w:jc w:val="center"/>
              <w:rPr>
                <w:rFonts w:ascii="Times New Roman" w:hAnsi="Times New Roman"/>
                <w:sz w:val="21"/>
                <w:szCs w:val="21"/>
              </w:rPr>
            </w:pPr>
          </w:p>
        </w:tc>
        <w:tc>
          <w:tcPr>
            <w:tcW w:w="567" w:type="dxa"/>
            <w:tcBorders>
              <w:left w:val="single" w:color="auto" w:sz="4" w:space="0"/>
            </w:tcBorders>
            <w:vAlign w:val="center"/>
          </w:tcPr>
          <w:p>
            <w:pPr>
              <w:spacing w:line="360"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Align w:val="center"/>
          </w:tcPr>
          <w:p>
            <w:pPr>
              <w:spacing w:line="360" w:lineRule="auto"/>
              <w:jc w:val="center"/>
              <w:rPr>
                <w:rFonts w:ascii="Times New Roman" w:hAnsi="Times New Roman"/>
                <w:sz w:val="21"/>
                <w:szCs w:val="21"/>
              </w:rPr>
            </w:pPr>
            <w:r>
              <w:rPr>
                <w:rFonts w:hint="eastAsia" w:ascii="Times New Roman" w:hAnsi="Times New Roman"/>
                <w:sz w:val="21"/>
                <w:szCs w:val="21"/>
              </w:rPr>
              <w:t>3</w:t>
            </w:r>
          </w:p>
        </w:tc>
        <w:tc>
          <w:tcPr>
            <w:tcW w:w="2215" w:type="dxa"/>
            <w:tcBorders>
              <w:left w:val="single" w:color="auto" w:sz="4" w:space="0"/>
            </w:tcBorders>
            <w:vAlign w:val="center"/>
          </w:tcPr>
          <w:p>
            <w:pPr>
              <w:spacing w:line="360" w:lineRule="auto"/>
              <w:jc w:val="center"/>
              <w:rPr>
                <w:rFonts w:ascii="Times New Roman" w:hAnsi="Times New Roman"/>
                <w:sz w:val="21"/>
                <w:szCs w:val="21"/>
              </w:rPr>
            </w:pPr>
            <w:r>
              <w:rPr>
                <w:rFonts w:ascii="Times New Roman" w:hAnsi="Times New Roman"/>
                <w:sz w:val="21"/>
                <w:szCs w:val="21"/>
              </w:rPr>
              <w:t>投标报价</w:t>
            </w:r>
          </w:p>
        </w:tc>
        <w:tc>
          <w:tcPr>
            <w:tcW w:w="4589" w:type="dxa"/>
            <w:tcBorders>
              <w:left w:val="single" w:color="auto" w:sz="4" w:space="0"/>
            </w:tcBorders>
            <w:vAlign w:val="center"/>
          </w:tcPr>
          <w:p>
            <w:pPr>
              <w:spacing w:line="360" w:lineRule="auto"/>
              <w:jc w:val="center"/>
              <w:rPr>
                <w:rFonts w:ascii="Times New Roman" w:hAnsi="Times New Roman"/>
                <w:sz w:val="21"/>
                <w:szCs w:val="21"/>
              </w:rPr>
            </w:pPr>
            <w:r>
              <w:rPr>
                <w:rFonts w:ascii="Times New Roman" w:hAnsi="Times New Roman"/>
                <w:sz w:val="21"/>
                <w:szCs w:val="21"/>
              </w:rPr>
              <w:t>投标报价不超采购预算</w:t>
            </w:r>
          </w:p>
        </w:tc>
        <w:tc>
          <w:tcPr>
            <w:tcW w:w="567" w:type="dxa"/>
            <w:tcBorders>
              <w:left w:val="single" w:color="auto" w:sz="4" w:space="0"/>
            </w:tcBorders>
            <w:vAlign w:val="center"/>
          </w:tcPr>
          <w:p>
            <w:pPr>
              <w:spacing w:line="360" w:lineRule="auto"/>
              <w:jc w:val="center"/>
              <w:rPr>
                <w:rFonts w:ascii="Times New Roman" w:hAnsi="Times New Roman"/>
                <w:sz w:val="21"/>
                <w:szCs w:val="21"/>
              </w:rPr>
            </w:pPr>
          </w:p>
        </w:tc>
        <w:tc>
          <w:tcPr>
            <w:tcW w:w="567" w:type="dxa"/>
            <w:tcBorders>
              <w:left w:val="single" w:color="auto" w:sz="4" w:space="0"/>
            </w:tcBorders>
            <w:vAlign w:val="center"/>
          </w:tcPr>
          <w:p>
            <w:pPr>
              <w:spacing w:line="360" w:lineRule="auto"/>
              <w:jc w:val="center"/>
              <w:rPr>
                <w:rFonts w:ascii="Times New Roman" w:hAnsi="Times New Roman"/>
                <w:sz w:val="21"/>
                <w:szCs w:val="21"/>
              </w:rPr>
            </w:pPr>
          </w:p>
        </w:tc>
        <w:tc>
          <w:tcPr>
            <w:tcW w:w="567" w:type="dxa"/>
            <w:tcBorders>
              <w:left w:val="single" w:color="auto" w:sz="4" w:space="0"/>
            </w:tcBorders>
            <w:vAlign w:val="center"/>
          </w:tcPr>
          <w:p>
            <w:pPr>
              <w:spacing w:line="360"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Align w:val="center"/>
          </w:tcPr>
          <w:p>
            <w:pPr>
              <w:spacing w:line="360" w:lineRule="auto"/>
              <w:jc w:val="center"/>
              <w:rPr>
                <w:rFonts w:ascii="Times New Roman" w:hAnsi="Times New Roman"/>
                <w:sz w:val="21"/>
                <w:szCs w:val="21"/>
              </w:rPr>
            </w:pPr>
            <w:r>
              <w:rPr>
                <w:rFonts w:hint="eastAsia" w:ascii="Times New Roman" w:hAnsi="Times New Roman"/>
                <w:sz w:val="21"/>
                <w:szCs w:val="21"/>
              </w:rPr>
              <w:t>4</w:t>
            </w:r>
          </w:p>
        </w:tc>
        <w:tc>
          <w:tcPr>
            <w:tcW w:w="2215" w:type="dxa"/>
            <w:tcBorders>
              <w:left w:val="single" w:color="auto" w:sz="4" w:space="0"/>
            </w:tcBorders>
            <w:vAlign w:val="center"/>
          </w:tcPr>
          <w:p>
            <w:pPr>
              <w:spacing w:line="360" w:lineRule="auto"/>
              <w:jc w:val="center"/>
              <w:rPr>
                <w:rFonts w:ascii="Times New Roman" w:hAnsi="Times New Roman"/>
                <w:sz w:val="21"/>
                <w:szCs w:val="21"/>
              </w:rPr>
            </w:pPr>
            <w:r>
              <w:rPr>
                <w:rFonts w:ascii="Times New Roman" w:hAnsi="Times New Roman"/>
                <w:sz w:val="21"/>
                <w:szCs w:val="21"/>
              </w:rPr>
              <w:t>信用记录</w:t>
            </w:r>
          </w:p>
        </w:tc>
        <w:tc>
          <w:tcPr>
            <w:tcW w:w="4589" w:type="dxa"/>
            <w:tcBorders>
              <w:left w:val="single" w:color="auto" w:sz="4" w:space="0"/>
            </w:tcBorders>
            <w:vAlign w:val="center"/>
          </w:tcPr>
          <w:p>
            <w:pPr>
              <w:spacing w:line="360" w:lineRule="auto"/>
              <w:jc w:val="center"/>
              <w:rPr>
                <w:rFonts w:ascii="Times New Roman" w:hAnsi="Times New Roman"/>
                <w:sz w:val="21"/>
                <w:szCs w:val="21"/>
              </w:rPr>
            </w:pPr>
            <w:r>
              <w:rPr>
                <w:rFonts w:ascii="Times New Roman" w:hAnsi="Times New Roman"/>
                <w:sz w:val="21"/>
                <w:szCs w:val="21"/>
              </w:rPr>
              <w:t>无严重违法失信行为记录</w:t>
            </w:r>
          </w:p>
        </w:tc>
        <w:tc>
          <w:tcPr>
            <w:tcW w:w="567" w:type="dxa"/>
            <w:tcBorders>
              <w:left w:val="single" w:color="auto" w:sz="4" w:space="0"/>
            </w:tcBorders>
            <w:vAlign w:val="center"/>
          </w:tcPr>
          <w:p>
            <w:pPr>
              <w:spacing w:line="360" w:lineRule="auto"/>
              <w:jc w:val="center"/>
              <w:rPr>
                <w:rFonts w:ascii="Times New Roman" w:hAnsi="Times New Roman"/>
                <w:sz w:val="21"/>
                <w:szCs w:val="21"/>
              </w:rPr>
            </w:pPr>
          </w:p>
        </w:tc>
        <w:tc>
          <w:tcPr>
            <w:tcW w:w="567" w:type="dxa"/>
            <w:tcBorders>
              <w:left w:val="single" w:color="auto" w:sz="4" w:space="0"/>
            </w:tcBorders>
            <w:vAlign w:val="center"/>
          </w:tcPr>
          <w:p>
            <w:pPr>
              <w:spacing w:line="360" w:lineRule="auto"/>
              <w:jc w:val="center"/>
              <w:rPr>
                <w:rFonts w:ascii="Times New Roman" w:hAnsi="Times New Roman"/>
                <w:sz w:val="21"/>
                <w:szCs w:val="21"/>
              </w:rPr>
            </w:pPr>
          </w:p>
        </w:tc>
        <w:tc>
          <w:tcPr>
            <w:tcW w:w="567" w:type="dxa"/>
            <w:tcBorders>
              <w:left w:val="single" w:color="auto" w:sz="4" w:space="0"/>
            </w:tcBorders>
            <w:vAlign w:val="center"/>
          </w:tcPr>
          <w:p>
            <w:pPr>
              <w:spacing w:line="360"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890" w:type="dxa"/>
            <w:gridSpan w:val="2"/>
            <w:vAlign w:val="center"/>
          </w:tcPr>
          <w:p>
            <w:pPr>
              <w:spacing w:line="360" w:lineRule="auto"/>
              <w:jc w:val="center"/>
              <w:rPr>
                <w:rFonts w:ascii="Times New Roman" w:hAnsi="Times New Roman"/>
                <w:sz w:val="21"/>
                <w:szCs w:val="21"/>
              </w:rPr>
            </w:pPr>
            <w:r>
              <w:rPr>
                <w:rFonts w:ascii="Times New Roman" w:hAnsi="Times New Roman"/>
                <w:sz w:val="21"/>
                <w:szCs w:val="21"/>
              </w:rPr>
              <w:t>结论</w:t>
            </w:r>
          </w:p>
        </w:tc>
        <w:tc>
          <w:tcPr>
            <w:tcW w:w="4589" w:type="dxa"/>
            <w:tcBorders>
              <w:left w:val="single" w:color="auto" w:sz="4" w:space="0"/>
            </w:tcBorders>
            <w:vAlign w:val="center"/>
          </w:tcPr>
          <w:p>
            <w:pPr>
              <w:spacing w:line="360" w:lineRule="auto"/>
              <w:jc w:val="center"/>
              <w:rPr>
                <w:rFonts w:ascii="Times New Roman" w:hAnsi="Times New Roman"/>
                <w:sz w:val="21"/>
                <w:szCs w:val="21"/>
              </w:rPr>
            </w:pPr>
          </w:p>
        </w:tc>
        <w:tc>
          <w:tcPr>
            <w:tcW w:w="567" w:type="dxa"/>
            <w:tcBorders>
              <w:left w:val="single" w:color="auto" w:sz="4" w:space="0"/>
            </w:tcBorders>
            <w:vAlign w:val="center"/>
          </w:tcPr>
          <w:p>
            <w:pPr>
              <w:spacing w:line="360" w:lineRule="auto"/>
              <w:jc w:val="center"/>
              <w:rPr>
                <w:rFonts w:ascii="Times New Roman" w:hAnsi="Times New Roman"/>
                <w:sz w:val="21"/>
                <w:szCs w:val="21"/>
              </w:rPr>
            </w:pPr>
          </w:p>
        </w:tc>
        <w:tc>
          <w:tcPr>
            <w:tcW w:w="567" w:type="dxa"/>
            <w:tcBorders>
              <w:left w:val="single" w:color="auto" w:sz="4" w:space="0"/>
            </w:tcBorders>
            <w:vAlign w:val="center"/>
          </w:tcPr>
          <w:p>
            <w:pPr>
              <w:spacing w:line="360" w:lineRule="auto"/>
              <w:jc w:val="center"/>
              <w:rPr>
                <w:rFonts w:ascii="Times New Roman" w:hAnsi="Times New Roman"/>
                <w:sz w:val="21"/>
                <w:szCs w:val="21"/>
              </w:rPr>
            </w:pPr>
          </w:p>
        </w:tc>
        <w:tc>
          <w:tcPr>
            <w:tcW w:w="567" w:type="dxa"/>
            <w:tcBorders>
              <w:left w:val="single" w:color="auto" w:sz="4" w:space="0"/>
            </w:tcBorders>
            <w:vAlign w:val="center"/>
          </w:tcPr>
          <w:p>
            <w:pPr>
              <w:spacing w:line="360" w:lineRule="auto"/>
              <w:jc w:val="center"/>
              <w:rPr>
                <w:rFonts w:ascii="Times New Roman" w:hAnsi="Times New Roman"/>
                <w:sz w:val="21"/>
                <w:szCs w:val="21"/>
              </w:rPr>
            </w:pPr>
          </w:p>
        </w:tc>
      </w:tr>
    </w:tbl>
    <w:p>
      <w:pPr>
        <w:widowControl/>
        <w:spacing w:line="360" w:lineRule="auto"/>
        <w:jc w:val="center"/>
        <w:rPr>
          <w:rFonts w:ascii="Times New Roman" w:hAnsi="Times New Roman"/>
          <w:b/>
          <w:szCs w:val="21"/>
        </w:rPr>
      </w:pPr>
      <w:r>
        <w:rPr>
          <w:rFonts w:hint="eastAsia" w:ascii="Times New Roman" w:hAnsi="Times New Roman"/>
          <w:b/>
          <w:szCs w:val="21"/>
        </w:rPr>
        <w:t>符合</w:t>
      </w:r>
      <w:r>
        <w:rPr>
          <w:rFonts w:ascii="Times New Roman" w:hAnsi="Times New Roman"/>
          <w:b/>
          <w:szCs w:val="21"/>
        </w:rPr>
        <w:t>性审查</w:t>
      </w:r>
    </w:p>
    <w:tbl>
      <w:tblPr>
        <w:tblStyle w:val="22"/>
        <w:tblpPr w:leftFromText="180" w:rightFromText="180" w:vertAnchor="text" w:tblpXSpec="center" w:tblpY="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074"/>
        <w:gridCol w:w="4589"/>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816" w:type="dxa"/>
            <w:vMerge w:val="restart"/>
            <w:vAlign w:val="center"/>
          </w:tcPr>
          <w:p>
            <w:pPr>
              <w:spacing w:line="360" w:lineRule="auto"/>
              <w:jc w:val="center"/>
              <w:rPr>
                <w:rFonts w:ascii="Times New Roman" w:hAnsi="Times New Roman"/>
                <w:sz w:val="21"/>
                <w:szCs w:val="21"/>
              </w:rPr>
            </w:pPr>
            <w:r>
              <w:rPr>
                <w:rFonts w:ascii="Times New Roman" w:hAnsi="Times New Roman"/>
                <w:sz w:val="21"/>
                <w:szCs w:val="21"/>
              </w:rPr>
              <w:t>序号</w:t>
            </w:r>
          </w:p>
        </w:tc>
        <w:tc>
          <w:tcPr>
            <w:tcW w:w="2074" w:type="dxa"/>
            <w:vMerge w:val="restart"/>
            <w:vAlign w:val="center"/>
          </w:tcPr>
          <w:p>
            <w:pPr>
              <w:spacing w:line="360" w:lineRule="auto"/>
              <w:jc w:val="center"/>
              <w:rPr>
                <w:rFonts w:ascii="Times New Roman" w:hAnsi="Times New Roman"/>
                <w:sz w:val="21"/>
                <w:szCs w:val="21"/>
              </w:rPr>
            </w:pPr>
            <w:r>
              <w:rPr>
                <w:rFonts w:ascii="Times New Roman" w:hAnsi="Times New Roman"/>
                <w:sz w:val="21"/>
                <w:szCs w:val="21"/>
              </w:rPr>
              <w:t>评审因素</w:t>
            </w:r>
          </w:p>
        </w:tc>
        <w:tc>
          <w:tcPr>
            <w:tcW w:w="4589" w:type="dxa"/>
            <w:vMerge w:val="restart"/>
            <w:vAlign w:val="center"/>
          </w:tcPr>
          <w:p>
            <w:pPr>
              <w:spacing w:line="360" w:lineRule="auto"/>
              <w:jc w:val="center"/>
              <w:rPr>
                <w:rFonts w:ascii="Times New Roman" w:hAnsi="Times New Roman"/>
                <w:sz w:val="21"/>
                <w:szCs w:val="21"/>
              </w:rPr>
            </w:pPr>
            <w:r>
              <w:rPr>
                <w:rFonts w:ascii="Times New Roman" w:hAnsi="Times New Roman"/>
                <w:sz w:val="21"/>
                <w:szCs w:val="21"/>
              </w:rPr>
              <w:t>评审标准</w:t>
            </w:r>
          </w:p>
        </w:tc>
        <w:tc>
          <w:tcPr>
            <w:tcW w:w="1701" w:type="dxa"/>
            <w:gridSpan w:val="3"/>
            <w:vAlign w:val="center"/>
          </w:tcPr>
          <w:p>
            <w:pPr>
              <w:spacing w:line="360" w:lineRule="auto"/>
              <w:jc w:val="center"/>
              <w:rPr>
                <w:rFonts w:ascii="Times New Roman" w:hAnsi="Times New Roman"/>
                <w:sz w:val="21"/>
                <w:szCs w:val="21"/>
              </w:rPr>
            </w:pPr>
            <w:r>
              <w:rPr>
                <w:rFonts w:ascii="Times New Roman" w:hAnsi="Times New Roman"/>
                <w:sz w:val="21"/>
                <w:szCs w:val="21"/>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16" w:type="dxa"/>
            <w:vMerge w:val="continue"/>
            <w:vAlign w:val="center"/>
          </w:tcPr>
          <w:p/>
        </w:tc>
        <w:tc>
          <w:tcPr>
            <w:tcW w:w="2074" w:type="dxa"/>
            <w:vMerge w:val="continue"/>
            <w:tcBorders>
              <w:left w:val="single" w:color="auto" w:sz="4" w:space="0"/>
            </w:tcBorders>
            <w:vAlign w:val="center"/>
          </w:tcPr>
          <w:p/>
        </w:tc>
        <w:tc>
          <w:tcPr>
            <w:tcW w:w="4589" w:type="dxa"/>
            <w:vMerge w:val="continue"/>
            <w:tcBorders>
              <w:left w:val="single" w:color="auto" w:sz="4" w:space="0"/>
            </w:tcBorders>
            <w:vAlign w:val="center"/>
          </w:tcPr>
          <w:p/>
        </w:tc>
        <w:tc>
          <w:tcPr>
            <w:tcW w:w="567" w:type="dxa"/>
            <w:tcBorders>
              <w:left w:val="single" w:color="auto" w:sz="4" w:space="0"/>
            </w:tcBorders>
            <w:vAlign w:val="center"/>
          </w:tcPr>
          <w:p>
            <w:pPr>
              <w:spacing w:line="360" w:lineRule="auto"/>
              <w:jc w:val="center"/>
              <w:rPr>
                <w:rFonts w:ascii="Times New Roman" w:hAnsi="Times New Roman"/>
                <w:sz w:val="21"/>
                <w:szCs w:val="21"/>
              </w:rPr>
            </w:pPr>
            <w:r>
              <w:rPr>
                <w:rFonts w:ascii="Times New Roman" w:hAnsi="Times New Roman"/>
                <w:sz w:val="21"/>
                <w:szCs w:val="21"/>
              </w:rPr>
              <w:t>1</w:t>
            </w:r>
          </w:p>
        </w:tc>
        <w:tc>
          <w:tcPr>
            <w:tcW w:w="567" w:type="dxa"/>
            <w:tcBorders>
              <w:left w:val="single" w:color="auto" w:sz="4" w:space="0"/>
            </w:tcBorders>
            <w:vAlign w:val="center"/>
          </w:tcPr>
          <w:p>
            <w:pPr>
              <w:spacing w:line="360" w:lineRule="auto"/>
              <w:jc w:val="center"/>
              <w:rPr>
                <w:rFonts w:ascii="Times New Roman" w:hAnsi="Times New Roman"/>
                <w:sz w:val="21"/>
                <w:szCs w:val="21"/>
              </w:rPr>
            </w:pPr>
            <w:r>
              <w:rPr>
                <w:rFonts w:ascii="Times New Roman" w:hAnsi="Times New Roman"/>
                <w:sz w:val="21"/>
                <w:szCs w:val="21"/>
              </w:rPr>
              <w:t>2</w:t>
            </w:r>
          </w:p>
        </w:tc>
        <w:tc>
          <w:tcPr>
            <w:tcW w:w="567" w:type="dxa"/>
            <w:tcBorders>
              <w:left w:val="single" w:color="auto" w:sz="4" w:space="0"/>
            </w:tcBorders>
            <w:vAlign w:val="center"/>
          </w:tcPr>
          <w:p>
            <w:pPr>
              <w:spacing w:line="360" w:lineRule="auto"/>
              <w:jc w:val="center"/>
              <w:rPr>
                <w:rFonts w:ascii="Times New Roman" w:hAnsi="Times New Roman"/>
                <w:sz w:val="21"/>
                <w:szCs w:val="21"/>
              </w:rPr>
            </w:pPr>
            <w:r>
              <w:rPr>
                <w:rFonts w:ascii="Times New Roman" w:hAnsi="Times New Roman"/>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16" w:type="dxa"/>
            <w:vAlign w:val="center"/>
          </w:tcPr>
          <w:p>
            <w:pPr>
              <w:spacing w:line="360" w:lineRule="auto"/>
              <w:jc w:val="center"/>
              <w:rPr>
                <w:rFonts w:ascii="Times New Roman" w:hAnsi="Times New Roman"/>
                <w:sz w:val="21"/>
                <w:szCs w:val="21"/>
              </w:rPr>
            </w:pPr>
            <w:r>
              <w:rPr>
                <w:rFonts w:ascii="Times New Roman" w:hAnsi="Times New Roman"/>
                <w:sz w:val="21"/>
                <w:szCs w:val="21"/>
              </w:rPr>
              <w:t>1</w:t>
            </w:r>
          </w:p>
        </w:tc>
        <w:tc>
          <w:tcPr>
            <w:tcW w:w="2074" w:type="dxa"/>
            <w:tcBorders>
              <w:left w:val="single" w:color="auto" w:sz="4" w:space="0"/>
            </w:tcBorders>
            <w:vAlign w:val="center"/>
          </w:tcPr>
          <w:p>
            <w:pPr>
              <w:spacing w:line="360" w:lineRule="auto"/>
              <w:jc w:val="center"/>
              <w:rPr>
                <w:rFonts w:ascii="Times New Roman" w:hAnsi="Times New Roman"/>
                <w:sz w:val="21"/>
                <w:szCs w:val="21"/>
              </w:rPr>
            </w:pPr>
            <w:r>
              <w:rPr>
                <w:rFonts w:ascii="Times New Roman" w:hAnsi="Times New Roman"/>
                <w:sz w:val="21"/>
                <w:szCs w:val="21"/>
              </w:rPr>
              <w:t>投标有效期</w:t>
            </w:r>
          </w:p>
        </w:tc>
        <w:tc>
          <w:tcPr>
            <w:tcW w:w="4589" w:type="dxa"/>
            <w:tcBorders>
              <w:left w:val="single" w:color="auto" w:sz="4" w:space="0"/>
            </w:tcBorders>
            <w:vAlign w:val="center"/>
          </w:tcPr>
          <w:p>
            <w:pPr>
              <w:spacing w:line="360" w:lineRule="auto"/>
              <w:jc w:val="center"/>
              <w:rPr>
                <w:rFonts w:ascii="Times New Roman" w:hAnsi="Times New Roman"/>
                <w:sz w:val="21"/>
                <w:szCs w:val="21"/>
              </w:rPr>
            </w:pPr>
            <w:r>
              <w:rPr>
                <w:rFonts w:hint="eastAsia" w:ascii="Times New Roman" w:hAnsi="Times New Roman"/>
                <w:sz w:val="21"/>
                <w:szCs w:val="21"/>
              </w:rPr>
              <w:t>自</w:t>
            </w:r>
            <w:r>
              <w:rPr>
                <w:rFonts w:ascii="Times New Roman" w:hAnsi="Times New Roman"/>
                <w:sz w:val="21"/>
                <w:szCs w:val="21"/>
              </w:rPr>
              <w:t>递交磋商响应文件截止之日起90天</w:t>
            </w:r>
          </w:p>
        </w:tc>
        <w:tc>
          <w:tcPr>
            <w:tcW w:w="567" w:type="dxa"/>
            <w:tcBorders>
              <w:left w:val="single" w:color="auto" w:sz="4" w:space="0"/>
            </w:tcBorders>
            <w:vAlign w:val="center"/>
          </w:tcPr>
          <w:p>
            <w:pPr>
              <w:spacing w:line="360" w:lineRule="auto"/>
              <w:jc w:val="center"/>
              <w:rPr>
                <w:rFonts w:ascii="Times New Roman" w:hAnsi="Times New Roman"/>
                <w:sz w:val="21"/>
                <w:szCs w:val="21"/>
              </w:rPr>
            </w:pPr>
          </w:p>
        </w:tc>
        <w:tc>
          <w:tcPr>
            <w:tcW w:w="567" w:type="dxa"/>
            <w:tcBorders>
              <w:left w:val="single" w:color="auto" w:sz="4" w:space="0"/>
            </w:tcBorders>
            <w:vAlign w:val="center"/>
          </w:tcPr>
          <w:p>
            <w:pPr>
              <w:spacing w:line="360" w:lineRule="auto"/>
              <w:jc w:val="center"/>
              <w:rPr>
                <w:rFonts w:ascii="Times New Roman" w:hAnsi="Times New Roman"/>
                <w:sz w:val="21"/>
                <w:szCs w:val="21"/>
              </w:rPr>
            </w:pPr>
          </w:p>
        </w:tc>
        <w:tc>
          <w:tcPr>
            <w:tcW w:w="567" w:type="dxa"/>
            <w:tcBorders>
              <w:left w:val="single" w:color="auto" w:sz="4" w:space="0"/>
            </w:tcBorders>
            <w:vAlign w:val="center"/>
          </w:tcPr>
          <w:p>
            <w:pPr>
              <w:spacing w:line="360"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16" w:type="dxa"/>
            <w:vAlign w:val="center"/>
          </w:tcPr>
          <w:p>
            <w:pPr>
              <w:spacing w:line="360" w:lineRule="auto"/>
              <w:jc w:val="center"/>
              <w:rPr>
                <w:rFonts w:ascii="Times New Roman" w:hAnsi="Times New Roman"/>
                <w:sz w:val="21"/>
                <w:szCs w:val="21"/>
              </w:rPr>
            </w:pPr>
            <w:r>
              <w:rPr>
                <w:rFonts w:ascii="Times New Roman" w:hAnsi="Times New Roman"/>
                <w:sz w:val="21"/>
                <w:szCs w:val="21"/>
              </w:rPr>
              <w:t>2</w:t>
            </w:r>
          </w:p>
        </w:tc>
        <w:tc>
          <w:tcPr>
            <w:tcW w:w="2074" w:type="dxa"/>
            <w:tcBorders>
              <w:left w:val="single" w:color="auto" w:sz="4" w:space="0"/>
            </w:tcBorders>
            <w:vAlign w:val="center"/>
          </w:tcPr>
          <w:p>
            <w:pPr>
              <w:spacing w:line="360" w:lineRule="auto"/>
              <w:jc w:val="center"/>
              <w:rPr>
                <w:rFonts w:ascii="Times New Roman" w:hAnsi="Times New Roman"/>
                <w:sz w:val="21"/>
                <w:szCs w:val="21"/>
              </w:rPr>
            </w:pPr>
            <w:r>
              <w:rPr>
                <w:rFonts w:ascii="Times New Roman" w:hAnsi="Times New Roman"/>
                <w:sz w:val="21"/>
                <w:szCs w:val="21"/>
              </w:rPr>
              <w:t>响应文件的有效性</w:t>
            </w:r>
          </w:p>
        </w:tc>
        <w:tc>
          <w:tcPr>
            <w:tcW w:w="4589" w:type="dxa"/>
            <w:tcBorders>
              <w:left w:val="single" w:color="auto" w:sz="4" w:space="0"/>
            </w:tcBorders>
            <w:vAlign w:val="center"/>
          </w:tcPr>
          <w:p>
            <w:pPr>
              <w:spacing w:line="360" w:lineRule="auto"/>
              <w:jc w:val="center"/>
              <w:rPr>
                <w:rFonts w:ascii="Times New Roman" w:hAnsi="Times New Roman"/>
                <w:sz w:val="21"/>
                <w:szCs w:val="21"/>
              </w:rPr>
            </w:pPr>
            <w:r>
              <w:rPr>
                <w:rFonts w:ascii="Times New Roman" w:hAnsi="Times New Roman"/>
                <w:sz w:val="21"/>
                <w:szCs w:val="21"/>
              </w:rPr>
              <w:t>是否符合竞争性磋商文件的式样和签署要求且内容完整无缺漏</w:t>
            </w:r>
          </w:p>
        </w:tc>
        <w:tc>
          <w:tcPr>
            <w:tcW w:w="567" w:type="dxa"/>
            <w:tcBorders>
              <w:left w:val="single" w:color="auto" w:sz="4" w:space="0"/>
            </w:tcBorders>
            <w:vAlign w:val="center"/>
          </w:tcPr>
          <w:p>
            <w:pPr>
              <w:spacing w:line="360" w:lineRule="auto"/>
              <w:jc w:val="center"/>
              <w:rPr>
                <w:rFonts w:ascii="Times New Roman" w:hAnsi="Times New Roman"/>
                <w:sz w:val="21"/>
                <w:szCs w:val="21"/>
              </w:rPr>
            </w:pPr>
          </w:p>
        </w:tc>
        <w:tc>
          <w:tcPr>
            <w:tcW w:w="567" w:type="dxa"/>
            <w:tcBorders>
              <w:left w:val="single" w:color="auto" w:sz="4" w:space="0"/>
            </w:tcBorders>
            <w:vAlign w:val="center"/>
          </w:tcPr>
          <w:p>
            <w:pPr>
              <w:spacing w:line="360" w:lineRule="auto"/>
              <w:jc w:val="center"/>
              <w:rPr>
                <w:rFonts w:ascii="Times New Roman" w:hAnsi="Times New Roman"/>
                <w:sz w:val="21"/>
                <w:szCs w:val="21"/>
              </w:rPr>
            </w:pPr>
          </w:p>
        </w:tc>
        <w:tc>
          <w:tcPr>
            <w:tcW w:w="567" w:type="dxa"/>
            <w:tcBorders>
              <w:left w:val="single" w:color="auto" w:sz="4" w:space="0"/>
            </w:tcBorders>
            <w:vAlign w:val="center"/>
          </w:tcPr>
          <w:p>
            <w:pPr>
              <w:spacing w:line="360"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16" w:type="dxa"/>
            <w:vAlign w:val="center"/>
          </w:tcPr>
          <w:p>
            <w:pPr>
              <w:spacing w:line="360" w:lineRule="auto"/>
              <w:jc w:val="center"/>
              <w:rPr>
                <w:rFonts w:ascii="Times New Roman" w:hAnsi="Times New Roman"/>
                <w:sz w:val="21"/>
                <w:szCs w:val="21"/>
              </w:rPr>
            </w:pPr>
            <w:r>
              <w:rPr>
                <w:rFonts w:ascii="Times New Roman" w:hAnsi="Times New Roman"/>
                <w:sz w:val="21"/>
                <w:szCs w:val="21"/>
              </w:rPr>
              <w:t>3</w:t>
            </w:r>
          </w:p>
        </w:tc>
        <w:tc>
          <w:tcPr>
            <w:tcW w:w="2074" w:type="dxa"/>
            <w:tcBorders>
              <w:left w:val="single" w:color="auto" w:sz="4" w:space="0"/>
            </w:tcBorders>
            <w:vAlign w:val="center"/>
          </w:tcPr>
          <w:p>
            <w:pPr>
              <w:spacing w:line="360" w:lineRule="auto"/>
              <w:jc w:val="center"/>
              <w:rPr>
                <w:rFonts w:ascii="Times New Roman" w:hAnsi="Times New Roman"/>
                <w:sz w:val="21"/>
                <w:szCs w:val="21"/>
              </w:rPr>
            </w:pPr>
            <w:r>
              <w:rPr>
                <w:rFonts w:hint="eastAsia"/>
                <w:sz w:val="21"/>
                <w:szCs w:val="21"/>
              </w:rPr>
              <w:t>服务期</w:t>
            </w:r>
            <w:r>
              <w:rPr>
                <w:rFonts w:ascii="Times New Roman" w:hAnsi="Times New Roman"/>
                <w:sz w:val="21"/>
                <w:szCs w:val="21"/>
              </w:rPr>
              <w:t>及</w:t>
            </w:r>
            <w:r>
              <w:rPr>
                <w:rFonts w:hint="eastAsia"/>
                <w:sz w:val="21"/>
                <w:szCs w:val="21"/>
              </w:rPr>
              <w:t>服务地点</w:t>
            </w:r>
          </w:p>
        </w:tc>
        <w:tc>
          <w:tcPr>
            <w:tcW w:w="4589" w:type="dxa"/>
            <w:tcBorders>
              <w:left w:val="single" w:color="auto" w:sz="4" w:space="0"/>
            </w:tcBorders>
            <w:vAlign w:val="center"/>
          </w:tcPr>
          <w:p>
            <w:pPr>
              <w:spacing w:line="360" w:lineRule="auto"/>
              <w:jc w:val="center"/>
              <w:rPr>
                <w:rFonts w:ascii="Times New Roman" w:hAnsi="Times New Roman"/>
                <w:sz w:val="21"/>
                <w:szCs w:val="21"/>
              </w:rPr>
            </w:pPr>
            <w:r>
              <w:rPr>
                <w:rFonts w:ascii="Times New Roman" w:hAnsi="Times New Roman"/>
                <w:sz w:val="21"/>
                <w:szCs w:val="21"/>
              </w:rPr>
              <w:t>是否符合竞争性磋商文件要求</w:t>
            </w:r>
          </w:p>
        </w:tc>
        <w:tc>
          <w:tcPr>
            <w:tcW w:w="567" w:type="dxa"/>
            <w:tcBorders>
              <w:left w:val="single" w:color="auto" w:sz="4" w:space="0"/>
            </w:tcBorders>
            <w:vAlign w:val="center"/>
          </w:tcPr>
          <w:p>
            <w:pPr>
              <w:spacing w:line="360" w:lineRule="auto"/>
              <w:jc w:val="center"/>
              <w:rPr>
                <w:rFonts w:ascii="Times New Roman" w:hAnsi="Times New Roman"/>
                <w:sz w:val="21"/>
                <w:szCs w:val="21"/>
              </w:rPr>
            </w:pPr>
          </w:p>
        </w:tc>
        <w:tc>
          <w:tcPr>
            <w:tcW w:w="567" w:type="dxa"/>
            <w:tcBorders>
              <w:left w:val="single" w:color="auto" w:sz="4" w:space="0"/>
            </w:tcBorders>
            <w:vAlign w:val="center"/>
          </w:tcPr>
          <w:p>
            <w:pPr>
              <w:spacing w:line="360" w:lineRule="auto"/>
              <w:jc w:val="center"/>
              <w:rPr>
                <w:rFonts w:ascii="Times New Roman" w:hAnsi="Times New Roman"/>
                <w:sz w:val="21"/>
                <w:szCs w:val="21"/>
              </w:rPr>
            </w:pPr>
          </w:p>
        </w:tc>
        <w:tc>
          <w:tcPr>
            <w:tcW w:w="567" w:type="dxa"/>
            <w:tcBorders>
              <w:left w:val="single" w:color="auto" w:sz="4" w:space="0"/>
            </w:tcBorders>
            <w:vAlign w:val="center"/>
          </w:tcPr>
          <w:p>
            <w:pPr>
              <w:spacing w:line="360"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16" w:type="dxa"/>
            <w:vAlign w:val="center"/>
          </w:tcPr>
          <w:p>
            <w:pPr>
              <w:spacing w:line="360" w:lineRule="auto"/>
              <w:jc w:val="center"/>
              <w:rPr>
                <w:rFonts w:ascii="Times New Roman" w:hAnsi="Times New Roman"/>
                <w:sz w:val="21"/>
                <w:szCs w:val="21"/>
              </w:rPr>
            </w:pPr>
            <w:r>
              <w:rPr>
                <w:rFonts w:ascii="Times New Roman" w:hAnsi="Times New Roman"/>
                <w:sz w:val="21"/>
                <w:szCs w:val="21"/>
              </w:rPr>
              <w:t>4</w:t>
            </w:r>
          </w:p>
        </w:tc>
        <w:tc>
          <w:tcPr>
            <w:tcW w:w="2074" w:type="dxa"/>
            <w:tcBorders>
              <w:left w:val="single" w:color="auto" w:sz="4" w:space="0"/>
            </w:tcBorders>
            <w:vAlign w:val="center"/>
          </w:tcPr>
          <w:p>
            <w:pPr>
              <w:spacing w:line="360" w:lineRule="auto"/>
              <w:jc w:val="center"/>
              <w:rPr>
                <w:rFonts w:ascii="Times New Roman" w:hAnsi="Times New Roman"/>
                <w:sz w:val="21"/>
                <w:szCs w:val="21"/>
              </w:rPr>
            </w:pPr>
            <w:r>
              <w:rPr>
                <w:rFonts w:ascii="Times New Roman" w:hAnsi="Times New Roman"/>
                <w:sz w:val="21"/>
                <w:szCs w:val="21"/>
              </w:rPr>
              <w:t>其他</w:t>
            </w:r>
          </w:p>
        </w:tc>
        <w:tc>
          <w:tcPr>
            <w:tcW w:w="4589" w:type="dxa"/>
            <w:tcBorders>
              <w:left w:val="single" w:color="auto" w:sz="4" w:space="0"/>
            </w:tcBorders>
            <w:vAlign w:val="center"/>
          </w:tcPr>
          <w:p>
            <w:pPr>
              <w:spacing w:line="360" w:lineRule="auto"/>
              <w:jc w:val="center"/>
              <w:rPr>
                <w:rFonts w:ascii="Times New Roman" w:hAnsi="Times New Roman"/>
                <w:sz w:val="21"/>
                <w:szCs w:val="21"/>
              </w:rPr>
            </w:pPr>
            <w:r>
              <w:rPr>
                <w:rFonts w:ascii="Times New Roman" w:hAnsi="Times New Roman"/>
                <w:sz w:val="21"/>
                <w:szCs w:val="21"/>
              </w:rPr>
              <w:t>无其他无效投标认定条件</w:t>
            </w:r>
          </w:p>
        </w:tc>
        <w:tc>
          <w:tcPr>
            <w:tcW w:w="567" w:type="dxa"/>
            <w:tcBorders>
              <w:left w:val="single" w:color="auto" w:sz="4" w:space="0"/>
            </w:tcBorders>
            <w:vAlign w:val="center"/>
          </w:tcPr>
          <w:p>
            <w:pPr>
              <w:spacing w:line="360" w:lineRule="auto"/>
              <w:jc w:val="center"/>
              <w:rPr>
                <w:rFonts w:ascii="Times New Roman" w:hAnsi="Times New Roman"/>
                <w:sz w:val="21"/>
                <w:szCs w:val="21"/>
              </w:rPr>
            </w:pPr>
          </w:p>
        </w:tc>
        <w:tc>
          <w:tcPr>
            <w:tcW w:w="567" w:type="dxa"/>
            <w:tcBorders>
              <w:left w:val="single" w:color="auto" w:sz="4" w:space="0"/>
            </w:tcBorders>
            <w:vAlign w:val="center"/>
          </w:tcPr>
          <w:p>
            <w:pPr>
              <w:spacing w:line="360" w:lineRule="auto"/>
              <w:jc w:val="center"/>
              <w:rPr>
                <w:rFonts w:ascii="Times New Roman" w:hAnsi="Times New Roman"/>
                <w:sz w:val="21"/>
                <w:szCs w:val="21"/>
              </w:rPr>
            </w:pPr>
          </w:p>
        </w:tc>
        <w:tc>
          <w:tcPr>
            <w:tcW w:w="567" w:type="dxa"/>
            <w:tcBorders>
              <w:left w:val="single" w:color="auto" w:sz="4" w:space="0"/>
            </w:tcBorders>
            <w:vAlign w:val="center"/>
          </w:tcPr>
          <w:p>
            <w:pPr>
              <w:spacing w:line="360"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890" w:type="dxa"/>
            <w:gridSpan w:val="2"/>
            <w:vAlign w:val="center"/>
          </w:tcPr>
          <w:p>
            <w:pPr>
              <w:spacing w:line="360" w:lineRule="auto"/>
              <w:jc w:val="center"/>
              <w:rPr>
                <w:rFonts w:ascii="Times New Roman" w:hAnsi="Times New Roman"/>
                <w:sz w:val="21"/>
                <w:szCs w:val="21"/>
              </w:rPr>
            </w:pPr>
            <w:r>
              <w:rPr>
                <w:rFonts w:ascii="Times New Roman" w:hAnsi="Times New Roman"/>
                <w:sz w:val="21"/>
                <w:szCs w:val="21"/>
              </w:rPr>
              <w:t>结论</w:t>
            </w:r>
          </w:p>
        </w:tc>
        <w:tc>
          <w:tcPr>
            <w:tcW w:w="4589" w:type="dxa"/>
            <w:tcBorders>
              <w:left w:val="single" w:color="auto" w:sz="4" w:space="0"/>
            </w:tcBorders>
            <w:vAlign w:val="center"/>
          </w:tcPr>
          <w:p>
            <w:pPr>
              <w:spacing w:line="360" w:lineRule="auto"/>
              <w:jc w:val="center"/>
              <w:rPr>
                <w:rFonts w:ascii="Times New Roman" w:hAnsi="Times New Roman"/>
                <w:sz w:val="21"/>
                <w:szCs w:val="21"/>
              </w:rPr>
            </w:pPr>
          </w:p>
        </w:tc>
        <w:tc>
          <w:tcPr>
            <w:tcW w:w="567" w:type="dxa"/>
            <w:tcBorders>
              <w:left w:val="single" w:color="auto" w:sz="4" w:space="0"/>
            </w:tcBorders>
            <w:vAlign w:val="center"/>
          </w:tcPr>
          <w:p>
            <w:pPr>
              <w:spacing w:line="360" w:lineRule="auto"/>
              <w:jc w:val="center"/>
              <w:rPr>
                <w:rFonts w:ascii="Times New Roman" w:hAnsi="Times New Roman"/>
                <w:sz w:val="21"/>
                <w:szCs w:val="21"/>
              </w:rPr>
            </w:pPr>
          </w:p>
        </w:tc>
        <w:tc>
          <w:tcPr>
            <w:tcW w:w="567" w:type="dxa"/>
            <w:tcBorders>
              <w:left w:val="single" w:color="auto" w:sz="4" w:space="0"/>
            </w:tcBorders>
            <w:vAlign w:val="center"/>
          </w:tcPr>
          <w:p>
            <w:pPr>
              <w:spacing w:line="360" w:lineRule="auto"/>
              <w:jc w:val="center"/>
              <w:rPr>
                <w:rFonts w:ascii="Times New Roman" w:hAnsi="Times New Roman"/>
                <w:sz w:val="21"/>
                <w:szCs w:val="21"/>
              </w:rPr>
            </w:pPr>
          </w:p>
        </w:tc>
        <w:tc>
          <w:tcPr>
            <w:tcW w:w="567" w:type="dxa"/>
            <w:tcBorders>
              <w:left w:val="single" w:color="auto" w:sz="4" w:space="0"/>
            </w:tcBorders>
            <w:vAlign w:val="center"/>
          </w:tcPr>
          <w:p>
            <w:pPr>
              <w:spacing w:line="360" w:lineRule="auto"/>
              <w:jc w:val="center"/>
              <w:rPr>
                <w:rFonts w:ascii="Times New Roman" w:hAnsi="Times New Roman"/>
                <w:sz w:val="21"/>
                <w:szCs w:val="21"/>
              </w:rPr>
            </w:pPr>
          </w:p>
        </w:tc>
      </w:tr>
    </w:tbl>
    <w:p>
      <w:pPr>
        <w:tabs>
          <w:tab w:val="left" w:pos="426"/>
          <w:tab w:val="left" w:pos="1701"/>
        </w:tabs>
        <w:adjustRightInd w:val="0"/>
        <w:snapToGrid w:val="0"/>
        <w:spacing w:line="360" w:lineRule="auto"/>
        <w:ind w:firstLine="600" w:firstLineChars="200"/>
        <w:rPr>
          <w:rFonts w:ascii="Times New Roman" w:hAnsi="Times New Roman"/>
          <w:szCs w:val="21"/>
        </w:rPr>
      </w:pPr>
    </w:p>
    <w:p>
      <w:pPr>
        <w:tabs>
          <w:tab w:val="left" w:pos="426"/>
          <w:tab w:val="left" w:pos="1701"/>
        </w:tabs>
        <w:adjustRightInd w:val="0"/>
        <w:snapToGrid w:val="0"/>
        <w:spacing w:line="360" w:lineRule="auto"/>
        <w:ind w:firstLine="420" w:firstLineChars="200"/>
        <w:rPr>
          <w:rFonts w:ascii="Times New Roman" w:hAnsi="Times New Roman"/>
          <w:sz w:val="21"/>
          <w:szCs w:val="21"/>
        </w:rPr>
      </w:pPr>
      <w:r>
        <w:rPr>
          <w:rFonts w:ascii="Times New Roman" w:hAnsi="Times New Roman"/>
          <w:sz w:val="21"/>
          <w:szCs w:val="21"/>
        </w:rPr>
        <w:t>1、表中只需填写“√、通过”或者“×、不通过”。</w:t>
      </w:r>
    </w:p>
    <w:p>
      <w:pPr>
        <w:tabs>
          <w:tab w:val="left" w:pos="426"/>
          <w:tab w:val="left" w:pos="1701"/>
        </w:tabs>
        <w:adjustRightInd w:val="0"/>
        <w:snapToGrid w:val="0"/>
        <w:spacing w:line="360" w:lineRule="auto"/>
        <w:ind w:firstLine="420" w:firstLineChars="200"/>
        <w:rPr>
          <w:rFonts w:ascii="Times New Roman" w:hAnsi="Times New Roman"/>
          <w:sz w:val="21"/>
          <w:szCs w:val="21"/>
        </w:rPr>
      </w:pPr>
      <w:r>
        <w:rPr>
          <w:rFonts w:ascii="Times New Roman" w:hAnsi="Times New Roman"/>
          <w:sz w:val="21"/>
          <w:szCs w:val="21"/>
        </w:rPr>
        <w:t>2、结论采用“一项否决”原则。只有全部审查项目都是“√、通过”的，结论才能是“合格”；只要其中一项是“×、不通过”的，结论只能是“不合格”。</w:t>
      </w:r>
    </w:p>
    <w:p>
      <w:pPr>
        <w:tabs>
          <w:tab w:val="left" w:pos="426"/>
          <w:tab w:val="left" w:pos="1701"/>
        </w:tabs>
        <w:adjustRightInd w:val="0"/>
        <w:snapToGrid w:val="0"/>
        <w:spacing w:line="360" w:lineRule="auto"/>
        <w:ind w:firstLine="420" w:firstLineChars="200"/>
        <w:rPr>
          <w:rFonts w:ascii="Times New Roman" w:hAnsi="Times New Roman"/>
          <w:sz w:val="21"/>
          <w:szCs w:val="21"/>
        </w:rPr>
      </w:pPr>
      <w:r>
        <w:rPr>
          <w:rFonts w:ascii="Times New Roman" w:hAnsi="Times New Roman"/>
          <w:sz w:val="21"/>
          <w:szCs w:val="21"/>
        </w:rPr>
        <w:t>3、只有结论是合格的供应商，才能进入下一轮评审；不合格的被淘汰。</w:t>
      </w:r>
    </w:p>
    <w:p>
      <w:pPr>
        <w:tabs>
          <w:tab w:val="left" w:pos="426"/>
          <w:tab w:val="left" w:pos="1701"/>
        </w:tabs>
        <w:adjustRightInd w:val="0"/>
        <w:snapToGrid w:val="0"/>
        <w:spacing w:line="360" w:lineRule="auto"/>
        <w:ind w:firstLine="420" w:firstLineChars="200"/>
        <w:rPr>
          <w:rFonts w:ascii="Times New Roman" w:hAnsi="Times New Roman"/>
          <w:sz w:val="21"/>
          <w:szCs w:val="21"/>
        </w:rPr>
      </w:pPr>
      <w:r>
        <w:rPr>
          <w:rFonts w:ascii="Times New Roman" w:hAnsi="Times New Roman"/>
          <w:sz w:val="21"/>
          <w:szCs w:val="21"/>
        </w:rPr>
        <w:t>注：“审查表”中的每一项要求均为必须满足项，有任何一项不满足都将会导致投标失败，请各供应商认真对待。证明材料需附于响应文件中。</w:t>
      </w:r>
    </w:p>
    <w:p>
      <w:pPr>
        <w:outlineLvl w:val="2"/>
        <w:rPr>
          <w:rFonts w:hAnsi="宋体"/>
          <w:b/>
          <w:sz w:val="32"/>
          <w:szCs w:val="32"/>
        </w:rPr>
      </w:pPr>
      <w:r>
        <w:rPr>
          <w:rFonts w:ascii="Times New Roman" w:hAnsi="Times New Roman"/>
          <w:sz w:val="21"/>
          <w:szCs w:val="21"/>
        </w:rPr>
        <w:br w:type="page"/>
      </w:r>
      <w:r>
        <w:rPr>
          <w:rFonts w:hint="eastAsia" w:hAnsi="宋体"/>
          <w:b/>
          <w:sz w:val="32"/>
          <w:szCs w:val="32"/>
        </w:rPr>
        <w:t>附表2  评分细则表</w:t>
      </w:r>
    </w:p>
    <w:tbl>
      <w:tblPr>
        <w:tblStyle w:val="22"/>
        <w:tblW w:w="4994"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82"/>
        <w:gridCol w:w="852"/>
        <w:gridCol w:w="71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91" w:type="pct"/>
            <w:vAlign w:val="center"/>
          </w:tcPr>
          <w:p>
            <w:pPr>
              <w:autoSpaceDE/>
              <w:autoSpaceDN/>
              <w:adjustRightInd/>
              <w:spacing w:line="360" w:lineRule="auto"/>
              <w:jc w:val="center"/>
              <w:rPr>
                <w:rFonts w:hAnsi="宋体" w:cs="宋体"/>
                <w:sz w:val="24"/>
                <w:szCs w:val="24"/>
              </w:rPr>
            </w:pPr>
            <w:r>
              <w:rPr>
                <w:rFonts w:hint="eastAsia" w:hAnsi="宋体" w:cs="宋体"/>
                <w:sz w:val="24"/>
                <w:szCs w:val="24"/>
              </w:rPr>
              <w:t>评标项目</w:t>
            </w:r>
          </w:p>
        </w:tc>
        <w:tc>
          <w:tcPr>
            <w:tcW w:w="459" w:type="pct"/>
            <w:vAlign w:val="center"/>
          </w:tcPr>
          <w:p>
            <w:pPr>
              <w:autoSpaceDE/>
              <w:autoSpaceDN/>
              <w:adjustRightInd/>
              <w:spacing w:line="360" w:lineRule="auto"/>
              <w:jc w:val="center"/>
              <w:rPr>
                <w:rFonts w:hAnsi="宋体" w:cs="宋体"/>
                <w:sz w:val="24"/>
                <w:szCs w:val="24"/>
              </w:rPr>
            </w:pPr>
            <w:r>
              <w:rPr>
                <w:rFonts w:hint="eastAsia" w:hAnsi="宋体" w:cs="宋体"/>
                <w:sz w:val="24"/>
                <w:szCs w:val="24"/>
              </w:rPr>
              <w:t>评标分值</w:t>
            </w:r>
          </w:p>
        </w:tc>
        <w:tc>
          <w:tcPr>
            <w:tcW w:w="3849" w:type="pct"/>
            <w:vAlign w:val="center"/>
          </w:tcPr>
          <w:p>
            <w:pPr>
              <w:autoSpaceDE/>
              <w:autoSpaceDN/>
              <w:adjustRightInd/>
              <w:spacing w:line="360" w:lineRule="auto"/>
              <w:jc w:val="center"/>
              <w:rPr>
                <w:rFonts w:hAnsi="宋体" w:cs="宋体"/>
                <w:sz w:val="24"/>
                <w:szCs w:val="24"/>
              </w:rPr>
            </w:pPr>
            <w:r>
              <w:rPr>
                <w:rFonts w:hint="eastAsia" w:hAnsi="宋体" w:cs="宋体"/>
                <w:sz w:val="24"/>
                <w:szCs w:val="24"/>
              </w:rPr>
              <w:t>评标方法描述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91" w:type="pct"/>
            <w:vAlign w:val="center"/>
          </w:tcPr>
          <w:p>
            <w:pPr>
              <w:autoSpaceDE/>
              <w:autoSpaceDN/>
              <w:adjustRightInd/>
              <w:spacing w:line="360" w:lineRule="auto"/>
              <w:jc w:val="center"/>
              <w:rPr>
                <w:rFonts w:hAnsi="宋体" w:cs="宋体"/>
                <w:sz w:val="24"/>
                <w:szCs w:val="24"/>
              </w:rPr>
            </w:pPr>
            <w:r>
              <w:rPr>
                <w:rFonts w:hAnsi="宋体" w:cs="宋体"/>
                <w:sz w:val="24"/>
                <w:szCs w:val="24"/>
              </w:rPr>
              <w:t>采购需求书参数响应</w:t>
            </w:r>
          </w:p>
        </w:tc>
        <w:tc>
          <w:tcPr>
            <w:tcW w:w="459" w:type="pct"/>
            <w:tcBorders>
              <w:left w:val="single" w:color="000000" w:sz="4" w:space="0"/>
            </w:tcBorders>
            <w:vAlign w:val="center"/>
          </w:tcPr>
          <w:p>
            <w:pPr>
              <w:autoSpaceDE/>
              <w:autoSpaceDN/>
              <w:adjustRightInd/>
              <w:spacing w:line="360" w:lineRule="auto"/>
              <w:jc w:val="center"/>
              <w:rPr>
                <w:rFonts w:hAnsi="宋体" w:cs="宋体"/>
                <w:sz w:val="24"/>
                <w:szCs w:val="24"/>
              </w:rPr>
            </w:pPr>
            <w:r>
              <w:rPr>
                <w:rFonts w:hint="eastAsia" w:hAnsi="宋体" w:cs="宋体"/>
                <w:sz w:val="24"/>
                <w:szCs w:val="24"/>
              </w:rPr>
              <w:t>10分</w:t>
            </w:r>
          </w:p>
        </w:tc>
        <w:tc>
          <w:tcPr>
            <w:tcW w:w="3849" w:type="pct"/>
            <w:tcBorders>
              <w:left w:val="single" w:color="000000" w:sz="4" w:space="0"/>
            </w:tcBorders>
            <w:vAlign w:val="center"/>
          </w:tcPr>
          <w:p>
            <w:pPr>
              <w:autoSpaceDE/>
              <w:autoSpaceDN/>
              <w:adjustRightInd/>
              <w:spacing w:line="360" w:lineRule="auto"/>
              <w:jc w:val="both"/>
              <w:rPr>
                <w:rFonts w:hAnsi="宋体" w:cs="宋体"/>
                <w:sz w:val="24"/>
                <w:szCs w:val="24"/>
                <w:lang w:val="en-GB"/>
              </w:rPr>
            </w:pPr>
            <w:r>
              <w:rPr>
                <w:rFonts w:hint="eastAsia" w:hAnsi="宋体" w:cs="宋体"/>
                <w:sz w:val="24"/>
                <w:szCs w:val="24"/>
                <w:lang w:val="en-GB"/>
              </w:rPr>
              <w:t>技术响应部分满分10分。供应商须对竞争性磋商文件第三章《采购需求书》“二、采购需求及技术要求”中的共计20项内容进行逐一响应，一项不响应或不满足的扣0.5分，扣完为止；</w:t>
            </w:r>
          </w:p>
          <w:p>
            <w:pPr>
              <w:autoSpaceDE/>
              <w:autoSpaceDN/>
              <w:adjustRightInd/>
              <w:spacing w:line="360" w:lineRule="auto"/>
              <w:jc w:val="both"/>
              <w:rPr>
                <w:rFonts w:hAnsi="宋体" w:cs="宋体"/>
                <w:sz w:val="24"/>
                <w:szCs w:val="24"/>
                <w:lang w:val="en-GB"/>
              </w:rPr>
            </w:pPr>
            <w:r>
              <w:rPr>
                <w:rFonts w:hint="eastAsia" w:hAnsi="宋体" w:cs="宋体"/>
                <w:sz w:val="24"/>
                <w:szCs w:val="24"/>
                <w:lang w:val="en-GB"/>
              </w:rPr>
              <w:t>注：（1）竞争性磋商文件采购需求书中所有要求进行逐一响应，优于或等于竞争性磋商文件采购需求书的均不扣分，优于的须提供相关证明材料或相关说明。</w:t>
            </w:r>
          </w:p>
          <w:p>
            <w:pPr>
              <w:autoSpaceDE/>
              <w:autoSpaceDN/>
              <w:adjustRightInd/>
              <w:spacing w:line="360" w:lineRule="auto"/>
              <w:jc w:val="both"/>
              <w:rPr>
                <w:rFonts w:hAnsi="宋体" w:cs="宋体"/>
                <w:sz w:val="24"/>
                <w:szCs w:val="24"/>
                <w:lang w:val="en-GB"/>
              </w:rPr>
            </w:pPr>
            <w:r>
              <w:rPr>
                <w:rFonts w:hint="eastAsia" w:hAnsi="宋体" w:cs="宋体"/>
                <w:sz w:val="24"/>
                <w:szCs w:val="24"/>
                <w:lang w:val="en-GB"/>
              </w:rPr>
              <w:t>（2）供应商须对采购需求书中所有要求的真实性负责，如虚假响应者，按废标处理、没收磋商保证金并将上报政府采购主管部门进行严肃处理。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91" w:type="pct"/>
            <w:vAlign w:val="center"/>
          </w:tcPr>
          <w:p>
            <w:pPr>
              <w:autoSpaceDE/>
              <w:autoSpaceDN/>
              <w:adjustRightInd/>
              <w:spacing w:line="360" w:lineRule="auto"/>
              <w:jc w:val="center"/>
              <w:rPr>
                <w:rFonts w:hAnsi="宋体" w:cs="宋体"/>
                <w:sz w:val="24"/>
                <w:szCs w:val="24"/>
              </w:rPr>
            </w:pPr>
            <w:r>
              <w:rPr>
                <w:rFonts w:hint="eastAsia" w:hAnsi="宋体" w:cs="宋体"/>
                <w:sz w:val="24"/>
                <w:szCs w:val="24"/>
              </w:rPr>
              <w:t>类似项目业绩</w:t>
            </w:r>
          </w:p>
        </w:tc>
        <w:tc>
          <w:tcPr>
            <w:tcW w:w="459" w:type="pct"/>
            <w:tcBorders>
              <w:left w:val="single" w:color="000000" w:sz="4" w:space="0"/>
            </w:tcBorders>
            <w:vAlign w:val="center"/>
          </w:tcPr>
          <w:p>
            <w:pPr>
              <w:autoSpaceDE/>
              <w:autoSpaceDN/>
              <w:adjustRightInd/>
              <w:spacing w:line="360" w:lineRule="auto"/>
              <w:jc w:val="center"/>
              <w:rPr>
                <w:rFonts w:hAnsi="宋体" w:cs="宋体"/>
                <w:sz w:val="24"/>
                <w:szCs w:val="24"/>
              </w:rPr>
            </w:pPr>
            <w:r>
              <w:rPr>
                <w:rFonts w:hint="eastAsia" w:hAnsi="宋体" w:cs="宋体"/>
                <w:sz w:val="24"/>
                <w:szCs w:val="24"/>
              </w:rPr>
              <w:t>20分</w:t>
            </w:r>
          </w:p>
        </w:tc>
        <w:tc>
          <w:tcPr>
            <w:tcW w:w="3849" w:type="pct"/>
            <w:tcBorders>
              <w:left w:val="single" w:color="000000" w:sz="4" w:space="0"/>
            </w:tcBorders>
            <w:vAlign w:val="center"/>
          </w:tcPr>
          <w:p>
            <w:pPr>
              <w:autoSpaceDE/>
              <w:autoSpaceDN/>
              <w:adjustRightInd/>
              <w:spacing w:line="360" w:lineRule="auto"/>
              <w:jc w:val="both"/>
              <w:rPr>
                <w:rFonts w:hAnsi="宋体" w:cs="宋体"/>
                <w:sz w:val="24"/>
                <w:szCs w:val="24"/>
                <w:lang w:val="zh-CN"/>
              </w:rPr>
            </w:pPr>
            <w:r>
              <w:rPr>
                <w:rFonts w:hint="eastAsia" w:hAnsi="宋体" w:cs="宋体"/>
                <w:sz w:val="24"/>
                <w:szCs w:val="24"/>
                <w:lang w:val="zh-CN"/>
              </w:rPr>
              <w:t>供应商自2019年1月1日以来完成的类似项目业绩，有一个得2分，满分20分。</w:t>
            </w:r>
          </w:p>
          <w:p>
            <w:pPr>
              <w:autoSpaceDE/>
              <w:autoSpaceDN/>
              <w:adjustRightInd/>
              <w:spacing w:line="360" w:lineRule="auto"/>
              <w:jc w:val="both"/>
              <w:rPr>
                <w:rFonts w:hAnsi="宋体" w:cs="宋体"/>
                <w:sz w:val="24"/>
                <w:szCs w:val="24"/>
                <w:lang w:val="zh-CN"/>
              </w:rPr>
            </w:pPr>
            <w:r>
              <w:rPr>
                <w:rFonts w:hint="eastAsia" w:hAnsi="宋体" w:cs="宋体"/>
                <w:sz w:val="24"/>
                <w:szCs w:val="24"/>
                <w:lang w:val="zh-CN"/>
              </w:rPr>
              <w:t>证明材料：提供业绩合同复印件并加盖单位公章。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91" w:type="pct"/>
            <w:vAlign w:val="center"/>
          </w:tcPr>
          <w:p>
            <w:pPr>
              <w:autoSpaceDE/>
              <w:autoSpaceDN/>
              <w:adjustRightInd/>
              <w:spacing w:line="360" w:lineRule="auto"/>
              <w:jc w:val="center"/>
              <w:rPr>
                <w:rFonts w:hAnsi="宋体" w:cs="宋体"/>
                <w:sz w:val="24"/>
                <w:szCs w:val="24"/>
              </w:rPr>
            </w:pPr>
            <w:r>
              <w:rPr>
                <w:rFonts w:hint="eastAsia" w:hAnsi="宋体" w:cs="宋体"/>
                <w:sz w:val="24"/>
                <w:szCs w:val="24"/>
              </w:rPr>
              <w:t>技术团队</w:t>
            </w:r>
          </w:p>
        </w:tc>
        <w:tc>
          <w:tcPr>
            <w:tcW w:w="459" w:type="pct"/>
            <w:tcBorders>
              <w:left w:val="single" w:color="000000" w:sz="4" w:space="0"/>
            </w:tcBorders>
            <w:vAlign w:val="center"/>
          </w:tcPr>
          <w:p>
            <w:pPr>
              <w:autoSpaceDE/>
              <w:autoSpaceDN/>
              <w:adjustRightInd/>
              <w:spacing w:line="360" w:lineRule="auto"/>
              <w:jc w:val="center"/>
              <w:rPr>
                <w:rFonts w:hAnsi="宋体" w:cs="宋体"/>
                <w:sz w:val="24"/>
                <w:szCs w:val="24"/>
              </w:rPr>
            </w:pPr>
            <w:r>
              <w:rPr>
                <w:rFonts w:hint="eastAsia" w:hAnsi="宋体" w:cs="宋体"/>
                <w:sz w:val="24"/>
                <w:szCs w:val="24"/>
              </w:rPr>
              <w:t>10分</w:t>
            </w:r>
          </w:p>
        </w:tc>
        <w:tc>
          <w:tcPr>
            <w:tcW w:w="3849" w:type="pct"/>
            <w:tcBorders>
              <w:left w:val="single" w:color="000000" w:sz="4" w:space="0"/>
            </w:tcBorders>
            <w:vAlign w:val="center"/>
          </w:tcPr>
          <w:p>
            <w:pPr>
              <w:autoSpaceDE/>
              <w:autoSpaceDN/>
              <w:adjustRightInd/>
              <w:spacing w:line="360" w:lineRule="auto"/>
              <w:jc w:val="both"/>
              <w:rPr>
                <w:rFonts w:hAnsi="宋体" w:cs="宋体"/>
                <w:sz w:val="24"/>
                <w:szCs w:val="24"/>
                <w:lang w:val="zh-CN"/>
              </w:rPr>
            </w:pPr>
            <w:r>
              <w:rPr>
                <w:rFonts w:hint="eastAsia" w:hAnsi="宋体" w:cs="宋体"/>
                <w:sz w:val="24"/>
                <w:szCs w:val="24"/>
                <w:lang w:val="zh-CN"/>
              </w:rPr>
              <w:t>供应商拟派技术团队成员专业技术性强、制作经验丰富，每具有一个中级及以上传媒艺术类或计算机系统集成类工程师证书的得2分，满分10分。</w:t>
            </w:r>
          </w:p>
          <w:p>
            <w:pPr>
              <w:autoSpaceDE/>
              <w:autoSpaceDN/>
              <w:adjustRightInd/>
              <w:spacing w:line="360" w:lineRule="auto"/>
              <w:jc w:val="both"/>
              <w:rPr>
                <w:rFonts w:hAnsi="宋体" w:cs="宋体"/>
                <w:sz w:val="24"/>
                <w:szCs w:val="24"/>
                <w:lang w:val="zh-CN"/>
              </w:rPr>
            </w:pPr>
            <w:r>
              <w:rPr>
                <w:rFonts w:hint="eastAsia" w:hAnsi="宋体" w:cs="宋体"/>
                <w:sz w:val="24"/>
                <w:szCs w:val="24"/>
                <w:lang w:val="zh-CN"/>
              </w:rPr>
              <w:t>证明材料：提供人员证书复印件、2024年1月以来任意1个月本单位社保缴纳证明、劳动合同等有效证明文件复印件并加盖单位公章。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691" w:type="pct"/>
            <w:vAlign w:val="center"/>
          </w:tcPr>
          <w:p>
            <w:pPr>
              <w:autoSpaceDE/>
              <w:autoSpaceDN/>
              <w:adjustRightInd/>
              <w:spacing w:line="360" w:lineRule="auto"/>
              <w:jc w:val="center"/>
              <w:rPr>
                <w:rFonts w:hAnsi="宋体" w:cs="宋体"/>
                <w:sz w:val="24"/>
                <w:szCs w:val="24"/>
              </w:rPr>
            </w:pPr>
            <w:r>
              <w:rPr>
                <w:rFonts w:hint="eastAsia" w:hAnsi="宋体" w:cs="宋体"/>
                <w:sz w:val="24"/>
                <w:szCs w:val="24"/>
              </w:rPr>
              <w:t>实施方案</w:t>
            </w:r>
          </w:p>
        </w:tc>
        <w:tc>
          <w:tcPr>
            <w:tcW w:w="459" w:type="pct"/>
            <w:tcBorders>
              <w:left w:val="single" w:color="000000" w:sz="4" w:space="0"/>
            </w:tcBorders>
            <w:vAlign w:val="center"/>
          </w:tcPr>
          <w:p>
            <w:pPr>
              <w:autoSpaceDE/>
              <w:autoSpaceDN/>
              <w:adjustRightInd/>
              <w:spacing w:line="360" w:lineRule="auto"/>
              <w:jc w:val="center"/>
              <w:rPr>
                <w:rFonts w:hAnsi="宋体" w:cs="宋体"/>
                <w:sz w:val="24"/>
                <w:szCs w:val="24"/>
              </w:rPr>
            </w:pPr>
            <w:r>
              <w:rPr>
                <w:rFonts w:hint="eastAsia" w:hAnsi="宋体" w:cs="宋体"/>
                <w:sz w:val="24"/>
                <w:szCs w:val="24"/>
              </w:rPr>
              <w:t>15分</w:t>
            </w:r>
          </w:p>
        </w:tc>
        <w:tc>
          <w:tcPr>
            <w:tcW w:w="3849" w:type="pct"/>
            <w:tcBorders>
              <w:left w:val="single" w:color="000000" w:sz="4" w:space="0"/>
            </w:tcBorders>
            <w:vAlign w:val="center"/>
          </w:tcPr>
          <w:p>
            <w:pPr>
              <w:autoSpaceDE/>
              <w:autoSpaceDN/>
              <w:adjustRightInd/>
              <w:spacing w:line="360" w:lineRule="auto"/>
              <w:jc w:val="both"/>
              <w:rPr>
                <w:rFonts w:hAnsi="宋体" w:cs="宋体"/>
                <w:sz w:val="24"/>
                <w:szCs w:val="24"/>
                <w:lang w:val="en-GB"/>
              </w:rPr>
            </w:pPr>
            <w:r>
              <w:rPr>
                <w:rFonts w:hint="eastAsia" w:hAnsi="宋体" w:cs="宋体"/>
                <w:sz w:val="24"/>
                <w:szCs w:val="24"/>
                <w:lang w:val="en-GB"/>
              </w:rPr>
              <w:t>供应商应针对本项目采购需求及本项目的实际情况，编制项目总体服务方案，方案应具备合理性、针对性和科学性，包括但不限于（①指导思想与原则；②任务及目标；③服务内容；④服务实施方案；⑤与采购人协调配合及后续服务。）进行评审：方案中包含以上5个要素且上述内容完整、切实可行得的得15分。评审标准如下：</w:t>
            </w:r>
          </w:p>
          <w:p>
            <w:pPr>
              <w:autoSpaceDE/>
              <w:autoSpaceDN/>
              <w:adjustRightInd/>
              <w:spacing w:line="360" w:lineRule="auto"/>
              <w:jc w:val="both"/>
              <w:rPr>
                <w:rFonts w:hAnsi="宋体" w:cs="宋体"/>
                <w:sz w:val="24"/>
                <w:szCs w:val="24"/>
                <w:lang w:val="en-GB"/>
              </w:rPr>
            </w:pPr>
            <w:r>
              <w:rPr>
                <w:rFonts w:hint="eastAsia" w:hAnsi="宋体" w:cs="宋体"/>
                <w:sz w:val="24"/>
                <w:szCs w:val="24"/>
                <w:lang w:val="en-GB"/>
              </w:rPr>
              <w:t>上述内容每缺少一项或内容不完整扣</w:t>
            </w:r>
            <w:r>
              <w:rPr>
                <w:rFonts w:hint="eastAsia" w:hAnsi="宋体" w:cs="宋体"/>
                <w:sz w:val="24"/>
                <w:szCs w:val="24"/>
              </w:rPr>
              <w:t>3</w:t>
            </w:r>
            <w:r>
              <w:rPr>
                <w:rFonts w:hint="eastAsia" w:hAnsi="宋体" w:cs="宋体"/>
                <w:sz w:val="24"/>
                <w:szCs w:val="24"/>
                <w:lang w:val="en-GB"/>
              </w:rPr>
              <w:t>分；</w:t>
            </w:r>
          </w:p>
          <w:p>
            <w:pPr>
              <w:autoSpaceDE/>
              <w:autoSpaceDN/>
              <w:adjustRightInd/>
              <w:spacing w:line="360" w:lineRule="auto"/>
              <w:jc w:val="both"/>
              <w:rPr>
                <w:rFonts w:hAnsi="宋体" w:cs="宋体"/>
                <w:sz w:val="24"/>
                <w:szCs w:val="24"/>
                <w:lang w:val="en-GB"/>
              </w:rPr>
            </w:pPr>
            <w:r>
              <w:rPr>
                <w:rFonts w:hint="eastAsia" w:hAnsi="宋体" w:cs="宋体"/>
                <w:sz w:val="24"/>
                <w:szCs w:val="24"/>
                <w:lang w:val="en-GB"/>
              </w:rPr>
              <w:t>上述内容有一处缺陷扣</w:t>
            </w:r>
            <w:r>
              <w:rPr>
                <w:rFonts w:hint="eastAsia" w:hAnsi="宋体" w:cs="宋体"/>
                <w:sz w:val="24"/>
                <w:szCs w:val="24"/>
              </w:rPr>
              <w:t>1.5</w:t>
            </w:r>
            <w:r>
              <w:rPr>
                <w:rFonts w:hint="eastAsia" w:hAnsi="宋体" w:cs="宋体"/>
                <w:sz w:val="24"/>
                <w:szCs w:val="24"/>
                <w:lang w:val="en-GB"/>
              </w:rPr>
              <w:t>分。</w:t>
            </w:r>
          </w:p>
          <w:p>
            <w:pPr>
              <w:autoSpaceDE/>
              <w:autoSpaceDN/>
              <w:adjustRightInd/>
              <w:spacing w:line="360" w:lineRule="auto"/>
              <w:jc w:val="both"/>
              <w:rPr>
                <w:rFonts w:hAnsi="宋体" w:cs="宋体"/>
                <w:sz w:val="24"/>
                <w:szCs w:val="24"/>
                <w:lang w:val="en-GB"/>
              </w:rPr>
            </w:pPr>
            <w:r>
              <w:rPr>
                <w:rFonts w:hint="eastAsia" w:hAnsi="宋体" w:cs="宋体"/>
                <w:sz w:val="24"/>
                <w:szCs w:val="24"/>
                <w:lang w:val="en-GB"/>
              </w:rPr>
              <w:t>（内容缺陷是指：内容非专门针对本项目或不适用项目特性的情形、内容不够完整或缺少关键节点、套用其他项目方案、内容前后矛盾、涉及的规范及标准错误、不利于项目实施、不可能实现的情形或专家评审认定内容不符合要求或不合理等任意一种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2" w:hRule="atLeast"/>
          <w:jc w:val="center"/>
        </w:trPr>
        <w:tc>
          <w:tcPr>
            <w:tcW w:w="691" w:type="pct"/>
            <w:vAlign w:val="center"/>
          </w:tcPr>
          <w:p>
            <w:pPr>
              <w:autoSpaceDE/>
              <w:autoSpaceDN/>
              <w:adjustRightInd/>
              <w:spacing w:line="360" w:lineRule="auto"/>
              <w:jc w:val="center"/>
              <w:rPr>
                <w:rFonts w:hAnsi="宋体" w:cs="宋体"/>
                <w:sz w:val="24"/>
                <w:szCs w:val="24"/>
              </w:rPr>
            </w:pPr>
            <w:r>
              <w:rPr>
                <w:rFonts w:hAnsi="宋体" w:cs="宋体"/>
                <w:sz w:val="24"/>
                <w:szCs w:val="24"/>
              </w:rPr>
              <w:t>技术实施方案</w:t>
            </w:r>
          </w:p>
          <w:p>
            <w:pPr>
              <w:autoSpaceDE/>
              <w:autoSpaceDN/>
              <w:adjustRightInd/>
              <w:spacing w:line="360" w:lineRule="auto"/>
              <w:jc w:val="center"/>
              <w:rPr>
                <w:rFonts w:hAnsi="宋体" w:cs="宋体"/>
                <w:sz w:val="24"/>
                <w:szCs w:val="24"/>
              </w:rPr>
            </w:pPr>
          </w:p>
        </w:tc>
        <w:tc>
          <w:tcPr>
            <w:tcW w:w="459" w:type="pct"/>
            <w:tcBorders>
              <w:left w:val="single" w:color="000000" w:sz="4" w:space="0"/>
            </w:tcBorders>
            <w:vAlign w:val="center"/>
          </w:tcPr>
          <w:p>
            <w:pPr>
              <w:autoSpaceDE/>
              <w:autoSpaceDN/>
              <w:adjustRightInd/>
              <w:spacing w:line="360" w:lineRule="auto"/>
              <w:jc w:val="center"/>
              <w:rPr>
                <w:rFonts w:hAnsi="宋体" w:cs="宋体"/>
                <w:sz w:val="24"/>
                <w:szCs w:val="24"/>
              </w:rPr>
            </w:pPr>
            <w:r>
              <w:rPr>
                <w:rFonts w:hint="eastAsia" w:hAnsi="宋体" w:cs="宋体"/>
                <w:sz w:val="24"/>
                <w:szCs w:val="24"/>
              </w:rPr>
              <w:t>30分</w:t>
            </w:r>
          </w:p>
        </w:tc>
        <w:tc>
          <w:tcPr>
            <w:tcW w:w="3849" w:type="pct"/>
            <w:tcBorders>
              <w:left w:val="single" w:color="000000" w:sz="4" w:space="0"/>
            </w:tcBorders>
            <w:vAlign w:val="center"/>
          </w:tcPr>
          <w:p>
            <w:pPr>
              <w:autoSpaceDE/>
              <w:autoSpaceDN/>
              <w:adjustRightInd/>
              <w:spacing w:line="360" w:lineRule="auto"/>
              <w:jc w:val="both"/>
              <w:rPr>
                <w:rFonts w:hAnsi="宋体" w:cs="宋体"/>
                <w:sz w:val="24"/>
                <w:szCs w:val="24"/>
                <w:lang w:val="en-GB"/>
              </w:rPr>
            </w:pPr>
            <w:r>
              <w:rPr>
                <w:rFonts w:hint="eastAsia" w:hAnsi="宋体" w:cs="宋体"/>
                <w:sz w:val="24"/>
                <w:szCs w:val="24"/>
                <w:lang w:val="en-GB"/>
              </w:rPr>
              <w:t>供应商应针对本项目采购需求及本项目的实际情况，编制项目技术实施方案，方案应具备合理性、针对性和科学性，包括但不限于（①项目成果将承载城市旅游介绍、资源招商、特色宣传等功能；②结构清晰，体系完整；③脚本结合项目特征定制，突出当地特色并质量保证；④拍摄规格，涵盖拍摄周期的合理性、实拍镜头的措施，采用最新机器及方式，根据屏幕尺寸定制拍摄画面；⑤三维制作采用高清及精细规格，渲染制作大场景并保障优势（占宣传片总片长80%及以上），并根据镜头匹配相应背影音乐。）进行评审：方案中包含以上5个要素且上述内容完整、切实可行得的得30分。评审标准如下：</w:t>
            </w:r>
          </w:p>
          <w:p>
            <w:pPr>
              <w:autoSpaceDE/>
              <w:autoSpaceDN/>
              <w:adjustRightInd/>
              <w:spacing w:line="360" w:lineRule="auto"/>
              <w:jc w:val="both"/>
              <w:rPr>
                <w:rFonts w:hAnsi="宋体" w:cs="宋体"/>
                <w:sz w:val="24"/>
                <w:szCs w:val="24"/>
                <w:lang w:val="en-GB"/>
              </w:rPr>
            </w:pPr>
            <w:r>
              <w:rPr>
                <w:rFonts w:hint="eastAsia" w:hAnsi="宋体" w:cs="宋体"/>
                <w:sz w:val="24"/>
                <w:szCs w:val="24"/>
                <w:lang w:val="en-GB"/>
              </w:rPr>
              <w:t>1）上述内容每缺少一项或内容不完整扣</w:t>
            </w:r>
            <w:r>
              <w:rPr>
                <w:rFonts w:hint="eastAsia" w:hAnsi="宋体" w:cs="宋体"/>
                <w:sz w:val="24"/>
                <w:szCs w:val="24"/>
              </w:rPr>
              <w:t>6</w:t>
            </w:r>
            <w:r>
              <w:rPr>
                <w:rFonts w:hint="eastAsia" w:hAnsi="宋体" w:cs="宋体"/>
                <w:sz w:val="24"/>
                <w:szCs w:val="24"/>
                <w:lang w:val="en-GB"/>
              </w:rPr>
              <w:t>分；</w:t>
            </w:r>
          </w:p>
          <w:p>
            <w:pPr>
              <w:autoSpaceDE/>
              <w:autoSpaceDN/>
              <w:adjustRightInd/>
              <w:spacing w:line="360" w:lineRule="auto"/>
              <w:jc w:val="both"/>
              <w:rPr>
                <w:rFonts w:hAnsi="宋体" w:cs="宋体"/>
                <w:sz w:val="24"/>
                <w:szCs w:val="24"/>
                <w:lang w:val="en-GB"/>
              </w:rPr>
            </w:pPr>
            <w:r>
              <w:rPr>
                <w:rFonts w:hint="eastAsia" w:hAnsi="宋体" w:cs="宋体"/>
                <w:sz w:val="24"/>
                <w:szCs w:val="24"/>
                <w:lang w:val="en-GB"/>
              </w:rPr>
              <w:t>2）上述内容有一处缺陷扣</w:t>
            </w:r>
            <w:r>
              <w:rPr>
                <w:rFonts w:hint="eastAsia" w:hAnsi="宋体" w:cs="宋体"/>
                <w:sz w:val="24"/>
                <w:szCs w:val="24"/>
              </w:rPr>
              <w:t>3</w:t>
            </w:r>
            <w:r>
              <w:rPr>
                <w:rFonts w:hint="eastAsia" w:hAnsi="宋体" w:cs="宋体"/>
                <w:sz w:val="24"/>
                <w:szCs w:val="24"/>
                <w:lang w:val="en-GB"/>
              </w:rPr>
              <w:t>分。</w:t>
            </w:r>
          </w:p>
          <w:p>
            <w:pPr>
              <w:autoSpaceDE/>
              <w:autoSpaceDN/>
              <w:adjustRightInd/>
              <w:spacing w:line="360" w:lineRule="auto"/>
              <w:jc w:val="both"/>
              <w:rPr>
                <w:rFonts w:hAnsi="宋体" w:cs="宋体"/>
                <w:sz w:val="24"/>
                <w:szCs w:val="24"/>
                <w:lang w:val="en-GB"/>
              </w:rPr>
            </w:pPr>
            <w:r>
              <w:rPr>
                <w:rFonts w:hint="eastAsia" w:hAnsi="宋体" w:cs="宋体"/>
                <w:sz w:val="24"/>
                <w:szCs w:val="24"/>
                <w:lang w:val="en-GB"/>
              </w:rPr>
              <w:t>（内容缺陷是指：内容非专门针对本项目或不适用项目特性的情形、内容不够完整或缺少关键节点、套用其他项目方案、内容前后矛盾、涉及的规范及标准错误、不利于项目实施、不可能实现的情形或专家评审认定内容不符合要求或不合理等任意一种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57" w:hRule="atLeast"/>
          <w:jc w:val="center"/>
        </w:trPr>
        <w:tc>
          <w:tcPr>
            <w:tcW w:w="691" w:type="pct"/>
            <w:vAlign w:val="center"/>
          </w:tcPr>
          <w:p>
            <w:pPr>
              <w:autoSpaceDE/>
              <w:autoSpaceDN/>
              <w:adjustRightInd/>
              <w:spacing w:line="360" w:lineRule="auto"/>
              <w:jc w:val="center"/>
              <w:rPr>
                <w:rFonts w:hAnsi="宋体" w:cs="宋体"/>
                <w:sz w:val="24"/>
                <w:szCs w:val="24"/>
              </w:rPr>
            </w:pPr>
            <w:r>
              <w:rPr>
                <w:rFonts w:hint="eastAsia" w:hAnsi="宋体" w:cs="宋体"/>
                <w:sz w:val="24"/>
                <w:szCs w:val="24"/>
              </w:rPr>
              <w:t>服务响应</w:t>
            </w:r>
          </w:p>
        </w:tc>
        <w:tc>
          <w:tcPr>
            <w:tcW w:w="459" w:type="pct"/>
            <w:tcBorders>
              <w:left w:val="single" w:color="000000" w:sz="4" w:space="0"/>
            </w:tcBorders>
            <w:vAlign w:val="center"/>
          </w:tcPr>
          <w:p>
            <w:pPr>
              <w:autoSpaceDE/>
              <w:autoSpaceDN/>
              <w:adjustRightInd/>
              <w:spacing w:line="360" w:lineRule="auto"/>
              <w:jc w:val="center"/>
              <w:rPr>
                <w:rFonts w:hAnsi="宋体" w:cs="宋体"/>
                <w:sz w:val="24"/>
                <w:szCs w:val="24"/>
              </w:rPr>
            </w:pPr>
            <w:r>
              <w:rPr>
                <w:rFonts w:hint="eastAsia" w:hAnsi="宋体" w:cs="宋体"/>
                <w:sz w:val="24"/>
                <w:szCs w:val="24"/>
              </w:rPr>
              <w:t>5分</w:t>
            </w:r>
          </w:p>
        </w:tc>
        <w:tc>
          <w:tcPr>
            <w:tcW w:w="3849" w:type="pct"/>
            <w:tcBorders>
              <w:left w:val="single" w:color="000000" w:sz="4" w:space="0"/>
            </w:tcBorders>
            <w:vAlign w:val="center"/>
          </w:tcPr>
          <w:p>
            <w:pPr>
              <w:autoSpaceDE/>
              <w:autoSpaceDN/>
              <w:adjustRightInd/>
              <w:spacing w:line="360" w:lineRule="auto"/>
              <w:jc w:val="both"/>
              <w:rPr>
                <w:rFonts w:hAnsi="宋体" w:cs="宋体"/>
                <w:sz w:val="24"/>
                <w:szCs w:val="24"/>
                <w:lang w:val="en-GB"/>
              </w:rPr>
            </w:pPr>
            <w:r>
              <w:rPr>
                <w:rFonts w:hint="eastAsia" w:hAnsi="宋体" w:cs="宋体"/>
                <w:sz w:val="24"/>
                <w:szCs w:val="24"/>
                <w:lang w:val="en-GB"/>
              </w:rPr>
              <w:t>供应商应具有良好的服务响应，供应商承诺提供高效优质的服务响应：承诺提供专人专线（服务热线或手机）服务，且提供7*24小时全天候响应服务能力的得5分。</w:t>
            </w:r>
          </w:p>
          <w:p>
            <w:pPr>
              <w:autoSpaceDE/>
              <w:autoSpaceDN/>
              <w:adjustRightInd/>
              <w:spacing w:line="360" w:lineRule="auto"/>
              <w:jc w:val="both"/>
              <w:rPr>
                <w:rFonts w:hAnsi="宋体" w:cs="宋体"/>
                <w:sz w:val="24"/>
                <w:szCs w:val="24"/>
                <w:lang w:val="en-GB"/>
              </w:rPr>
            </w:pPr>
            <w:r>
              <w:rPr>
                <w:rFonts w:hint="eastAsia" w:hAnsi="宋体" w:cs="宋体"/>
                <w:sz w:val="24"/>
                <w:szCs w:val="24"/>
                <w:lang w:val="en-GB"/>
              </w:rPr>
              <w:t>证明材料：提供承诺函加盖单位公章。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8" w:hRule="atLeast"/>
          <w:jc w:val="center"/>
        </w:trPr>
        <w:tc>
          <w:tcPr>
            <w:tcW w:w="691" w:type="pct"/>
            <w:vAlign w:val="center"/>
          </w:tcPr>
          <w:p>
            <w:pPr>
              <w:autoSpaceDE/>
              <w:autoSpaceDN/>
              <w:adjustRightInd/>
              <w:spacing w:line="360" w:lineRule="auto"/>
              <w:jc w:val="center"/>
              <w:rPr>
                <w:rFonts w:hAnsi="宋体" w:cs="宋体"/>
                <w:sz w:val="24"/>
                <w:szCs w:val="24"/>
              </w:rPr>
            </w:pPr>
            <w:r>
              <w:rPr>
                <w:rFonts w:hint="eastAsia" w:hAnsi="宋体" w:cs="宋体"/>
                <w:sz w:val="24"/>
                <w:szCs w:val="24"/>
              </w:rPr>
              <w:t>报价得分</w:t>
            </w:r>
          </w:p>
        </w:tc>
        <w:tc>
          <w:tcPr>
            <w:tcW w:w="459" w:type="pct"/>
            <w:tcBorders>
              <w:left w:val="single" w:color="000000" w:sz="4" w:space="0"/>
            </w:tcBorders>
            <w:vAlign w:val="center"/>
          </w:tcPr>
          <w:p>
            <w:pPr>
              <w:autoSpaceDE/>
              <w:autoSpaceDN/>
              <w:adjustRightInd/>
              <w:spacing w:line="360" w:lineRule="auto"/>
              <w:jc w:val="center"/>
              <w:rPr>
                <w:rFonts w:hAnsi="宋体" w:cs="宋体"/>
                <w:sz w:val="24"/>
                <w:szCs w:val="24"/>
              </w:rPr>
            </w:pPr>
            <w:r>
              <w:rPr>
                <w:rFonts w:hint="eastAsia" w:hAnsi="宋体" w:cs="宋体"/>
                <w:sz w:val="24"/>
                <w:szCs w:val="24"/>
              </w:rPr>
              <w:t>10</w:t>
            </w:r>
          </w:p>
        </w:tc>
        <w:tc>
          <w:tcPr>
            <w:tcW w:w="3849" w:type="pct"/>
            <w:tcBorders>
              <w:left w:val="single" w:color="000000" w:sz="4" w:space="0"/>
            </w:tcBorders>
            <w:vAlign w:val="center"/>
          </w:tcPr>
          <w:p>
            <w:pPr>
              <w:autoSpaceDE/>
              <w:autoSpaceDN/>
              <w:adjustRightInd/>
              <w:spacing w:line="360" w:lineRule="auto"/>
              <w:jc w:val="both"/>
              <w:rPr>
                <w:rFonts w:hAnsi="宋体" w:cs="宋体"/>
                <w:sz w:val="24"/>
                <w:szCs w:val="24"/>
              </w:rPr>
            </w:pPr>
            <w:r>
              <w:rPr>
                <w:rFonts w:hint="eastAsia" w:hAnsi="宋体" w:cs="宋体"/>
                <w:sz w:val="24"/>
                <w:szCs w:val="24"/>
              </w:rPr>
              <w:t>报价得分=评标基准价/投标报价*100*报价分值权重</w:t>
            </w:r>
          </w:p>
        </w:tc>
      </w:tr>
    </w:tbl>
    <w:p>
      <w:pPr>
        <w:spacing w:line="360" w:lineRule="auto"/>
        <w:ind w:right="480"/>
        <w:jc w:val="both"/>
      </w:pPr>
    </w:p>
    <w:p/>
    <w:sectPr>
      <w:pgSz w:w="11906" w:h="16838"/>
      <w:pgMar w:top="1418" w:right="1418" w:bottom="1418" w:left="141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p>
    <w:pPr>
      <w:pStyle w:val="16"/>
      <w:jc w:val="center"/>
    </w:pPr>
    <w:r>
      <w:rPr>
        <w:rFonts w:hint="eastAsia"/>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300" cy="200025"/>
              <wp:effectExtent l="0" t="0" r="0" b="0"/>
              <wp:wrapNone/>
              <wp:docPr id="18" name="文本框 18"/>
              <wp:cNvGraphicFramePr/>
              <a:graphic xmlns:a="http://schemas.openxmlformats.org/drawingml/2006/main">
                <a:graphicData uri="http://schemas.microsoft.com/office/word/2010/wordprocessingShape">
                  <wps:wsp>
                    <wps:cNvSpPr/>
                    <wps:spPr>
                      <a:xfrm>
                        <a:off x="0" y="0"/>
                        <a:ext cx="114300" cy="200025"/>
                      </a:xfrm>
                      <a:prstGeom prst="rect">
                        <a:avLst/>
                      </a:prstGeom>
                      <a:noFill/>
                      <a:ln w="6350" cap="flat" cmpd="sng">
                        <a:noFill/>
                        <a:prstDash val="solid"/>
                        <a:round/>
                      </a:ln>
                    </wps:spPr>
                    <wps:txbx>
                      <w:txbxContent>
                        <w:p>
                          <w:pPr>
                            <w:pStyle w:val="16"/>
                          </w:pPr>
                          <w:r>
                            <w:fldChar w:fldCharType="begin"/>
                          </w:r>
                          <w:r>
                            <w:instrText xml:space="preserve"> PAGE  \* MERGEFORMAT </w:instrText>
                          </w:r>
                          <w:r>
                            <w:fldChar w:fldCharType="separate"/>
                          </w:r>
                          <w:r>
                            <w:t>3</w:t>
                          </w:r>
                          <w:r>
                            <w:fldChar w:fldCharType="end"/>
                          </w:r>
                        </w:p>
                      </w:txbxContent>
                    </wps:txbx>
                    <wps:bodyPr vert="horz" wrap="none" lIns="0" tIns="0" rIns="0" bIns="0" anchor="t" anchorCtr="0" upright="0">
                      <a:spAutoFit/>
                    </wps:bodyPr>
                  </wps:wsp>
                </a:graphicData>
              </a:graphic>
            </wp:anchor>
          </w:drawing>
        </mc:Choice>
        <mc:Fallback>
          <w:pict>
            <v:rect id="文本框 18" o:spid="_x0000_s1026" o:spt="1" style="position:absolute;left:0pt;margin-top:0pt;height:15.75pt;width:9pt;mso-position-horizontal:center;mso-position-horizontal-relative:margin;mso-wrap-style:none;z-index:251659264;mso-width-relative:page;mso-height-relative:page;" filled="f" stroked="f" coordsize="21600,21600" o:gfxdata="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77LEfVAAAAAwEAAA8AAAAAAAAAAQAgAAAAIgAAAGRycy9kb3du&#10;cmV2LnhtbFBLAQIUABQAAAAIAIdO4kDwTTzRAgIAAPYDAAAOAAAAAAAAAAEAIAAAACQBAABkcnMv&#10;ZTJvRG9jLnhtbFBLBQYAAAAABgAGAFkBAACYBQAAAAA=&#10;">
              <v:fill on="f" focussize="0,0"/>
              <v:stroke on="f" weight="0.5pt" joinstyle="round"/>
              <v:imagedata o:title=""/>
              <o:lock v:ext="edit" aspectratio="f"/>
              <v:textbox inset="0mm,0mm,0mm,0mm" style="mso-fit-shape-to-text:t;">
                <w:txbxContent>
                  <w:p>
                    <w:pPr>
                      <w:pStyle w:val="16"/>
                    </w:pPr>
                    <w:r>
                      <w:fldChar w:fldCharType="begin"/>
                    </w:r>
                    <w:r>
                      <w:instrText xml:space="preserve"> PAGE  \* MERGEFORMAT </w:instrText>
                    </w:r>
                    <w:r>
                      <w:fldChar w:fldCharType="separate"/>
                    </w:r>
                    <w:r>
                      <w:t>3</w:t>
                    </w:r>
                    <w:r>
                      <w:fldChar w:fldCharType="end"/>
                    </w:r>
                  </w:p>
                </w:txbxContent>
              </v:textbox>
            </v:rect>
          </w:pict>
        </mc:Fallback>
      </mc:AlternateContent>
    </w:r>
  </w:p>
  <w:p>
    <w:pPr>
      <w:pStyle w:val="1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300" cy="200025"/>
              <wp:effectExtent l="0" t="0" r="0" b="0"/>
              <wp:wrapNone/>
              <wp:docPr id="3" name="文本框 3"/>
              <wp:cNvGraphicFramePr/>
              <a:graphic xmlns:a="http://schemas.openxmlformats.org/drawingml/2006/main">
                <a:graphicData uri="http://schemas.microsoft.com/office/word/2010/wordprocessingShape">
                  <wps:wsp>
                    <wps:cNvSpPr/>
                    <wps:spPr>
                      <a:xfrm>
                        <a:off x="0" y="0"/>
                        <a:ext cx="114300" cy="200025"/>
                      </a:xfrm>
                      <a:prstGeom prst="rect">
                        <a:avLst/>
                      </a:prstGeom>
                      <a:noFill/>
                      <a:ln w="6350" cap="flat" cmpd="sng">
                        <a:noFill/>
                        <a:prstDash val="solid"/>
                        <a:round/>
                      </a:ln>
                    </wps:spPr>
                    <wps:txbx>
                      <w:txbxContent>
                        <w:p>
                          <w:pPr>
                            <w:pStyle w:val="16"/>
                          </w:pPr>
                          <w:r>
                            <w:fldChar w:fldCharType="begin"/>
                          </w:r>
                          <w:r>
                            <w:instrText xml:space="preserve"> PAGE  \* MERGEFORMAT </w:instrText>
                          </w:r>
                          <w:r>
                            <w:fldChar w:fldCharType="separate"/>
                          </w:r>
                          <w:r>
                            <w:t>3</w:t>
                          </w:r>
                          <w:r>
                            <w:fldChar w:fldCharType="end"/>
                          </w:r>
                        </w:p>
                      </w:txbxContent>
                    </wps:txbx>
                    <wps:bodyPr vert="horz" wrap="none" lIns="0" tIns="0" rIns="0" bIns="0" anchor="t" anchorCtr="0" upright="0">
                      <a:spAutoFit/>
                    </wps:bodyPr>
                  </wps:wsp>
                </a:graphicData>
              </a:graphic>
            </wp:anchor>
          </w:drawing>
        </mc:Choice>
        <mc:Fallback>
          <w:pict>
            <v:rect id="文本框 3" o:spid="_x0000_s1026" o:spt="1" style="position:absolute;left:0pt;margin-top:0pt;height:15.75pt;width:9pt;mso-position-horizontal:center;mso-position-horizontal-relative:margin;mso-wrap-style:none;z-index:251659264;mso-width-relative:page;mso-height-relative:page;" filled="f" stroked="f" coordsize="21600,21600" o:gfxdata="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77LEfVAAAAAwEAAA8AAAAAAAAAAQAgAAAAIgAAAGRycy9kb3du&#10;cmV2LnhtbFBLAQIUABQAAAAIAIdO4kBEYV+KAgIAAPQDAAAOAAAAAAAAAAEAIAAAACQBAABkcnMv&#10;ZTJvRG9jLnhtbFBLBQYAAAAABgAGAFkBAACYBQAAAAA=&#10;">
              <v:fill on="f" focussize="0,0"/>
              <v:stroke on="f" weight="0.5pt" joinstyle="round"/>
              <v:imagedata o:title=""/>
              <o:lock v:ext="edit" aspectratio="f"/>
              <v:textbox inset="0mm,0mm,0mm,0mm" style="mso-fit-shape-to-text:t;">
                <w:txbxContent>
                  <w:p>
                    <w:pPr>
                      <w:pStyle w:val="16"/>
                    </w:pPr>
                    <w:r>
                      <w:fldChar w:fldCharType="begin"/>
                    </w:r>
                    <w:r>
                      <w:instrText xml:space="preserve"> PAGE  \* MERGEFORMAT </w:instrText>
                    </w:r>
                    <w:r>
                      <w:fldChar w:fldCharType="separate"/>
                    </w:r>
                    <w:r>
                      <w:t>3</w:t>
                    </w:r>
                    <w:r>
                      <w:fldChar w:fldCharType="end"/>
                    </w:r>
                  </w:p>
                </w:txbxContent>
              </v:textbox>
            </v:rect>
          </w:pict>
        </mc:Fallback>
      </mc:AlternateContent>
    </w:r>
  </w:p>
  <w:p>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left"/>
      <w:rPr>
        <w:rFonts w:hAnsi="宋体"/>
      </w:rPr>
    </w:pPr>
    <w:r>
      <w:rPr>
        <w:rFonts w:hint="eastAsia" w:hAnsi="宋体"/>
      </w:rPr>
      <w:t>项目编号：ZZXD-CG-2024007                                            中正信达建设集团有限公司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99F023"/>
    <w:multiLevelType w:val="singleLevel"/>
    <w:tmpl w:val="8999F023"/>
    <w:lvl w:ilvl="0" w:tentative="0">
      <w:start w:val="3"/>
      <w:numFmt w:val="chineseCounting"/>
      <w:suff w:val="space"/>
      <w:lvlText w:val="第%1章"/>
      <w:lvlJc w:val="left"/>
      <w:rPr>
        <w:rFonts w:hint="eastAsia"/>
      </w:rPr>
    </w:lvl>
  </w:abstractNum>
  <w:abstractNum w:abstractNumId="1">
    <w:nsid w:val="8A03F59F"/>
    <w:multiLevelType w:val="singleLevel"/>
    <w:tmpl w:val="8A03F59F"/>
    <w:lvl w:ilvl="0" w:tentative="0">
      <w:start w:val="1"/>
      <w:numFmt w:val="decimal"/>
      <w:lvlText w:val="%1."/>
      <w:lvlJc w:val="left"/>
      <w:pPr>
        <w:tabs>
          <w:tab w:val="left" w:pos="312"/>
        </w:tabs>
      </w:pPr>
    </w:lvl>
  </w:abstractNum>
  <w:abstractNum w:abstractNumId="2">
    <w:nsid w:val="BA0DA3DF"/>
    <w:multiLevelType w:val="singleLevel"/>
    <w:tmpl w:val="BA0DA3DF"/>
    <w:lvl w:ilvl="0" w:tentative="0">
      <w:start w:val="1"/>
      <w:numFmt w:val="decimal"/>
      <w:suff w:val="nothing"/>
      <w:lvlText w:val="%1．"/>
      <w:lvlJc w:val="left"/>
    </w:lvl>
  </w:abstractNum>
  <w:abstractNum w:abstractNumId="3">
    <w:nsid w:val="C5A9A108"/>
    <w:multiLevelType w:val="singleLevel"/>
    <w:tmpl w:val="C5A9A108"/>
    <w:lvl w:ilvl="0" w:tentative="0">
      <w:start w:val="1"/>
      <w:numFmt w:val="decimal"/>
      <w:lvlText w:val="(%1)"/>
      <w:lvlJc w:val="left"/>
      <w:pPr>
        <w:ind w:left="1276" w:hanging="425"/>
      </w:pPr>
    </w:lvl>
  </w:abstractNum>
  <w:abstractNum w:abstractNumId="4">
    <w:nsid w:val="C92CA98C"/>
    <w:multiLevelType w:val="singleLevel"/>
    <w:tmpl w:val="C92CA98C"/>
    <w:lvl w:ilvl="0" w:tentative="0">
      <w:start w:val="1"/>
      <w:numFmt w:val="decimal"/>
      <w:lvlText w:val="%1."/>
      <w:lvlJc w:val="left"/>
      <w:pPr>
        <w:tabs>
          <w:tab w:val="left" w:pos="312"/>
        </w:tabs>
      </w:pPr>
    </w:lvl>
  </w:abstractNum>
  <w:abstractNum w:abstractNumId="5">
    <w:nsid w:val="F2387EC9"/>
    <w:multiLevelType w:val="singleLevel"/>
    <w:tmpl w:val="F2387EC9"/>
    <w:lvl w:ilvl="0" w:tentative="0">
      <w:start w:val="1"/>
      <w:numFmt w:val="decimal"/>
      <w:lvlText w:val="(%1)"/>
      <w:lvlJc w:val="left"/>
      <w:pPr>
        <w:ind w:left="425" w:hanging="425"/>
      </w:pPr>
    </w:lvl>
  </w:abstractNum>
  <w:abstractNum w:abstractNumId="6">
    <w:nsid w:val="FB6D4B60"/>
    <w:multiLevelType w:val="singleLevel"/>
    <w:tmpl w:val="FB6D4B60"/>
    <w:lvl w:ilvl="0" w:tentative="0">
      <w:start w:val="1"/>
      <w:numFmt w:val="decimal"/>
      <w:lvlText w:val="(%1)"/>
      <w:lvlJc w:val="left"/>
      <w:pPr>
        <w:ind w:left="851" w:hanging="425"/>
      </w:pPr>
    </w:lvl>
  </w:abstractNum>
  <w:abstractNum w:abstractNumId="7">
    <w:nsid w:val="4014F25B"/>
    <w:multiLevelType w:val="singleLevel"/>
    <w:tmpl w:val="4014F25B"/>
    <w:lvl w:ilvl="0" w:tentative="0">
      <w:start w:val="1"/>
      <w:numFmt w:val="decimal"/>
      <w:lvlText w:val="%1."/>
      <w:lvlJc w:val="left"/>
      <w:pPr>
        <w:tabs>
          <w:tab w:val="left" w:pos="312"/>
        </w:tabs>
      </w:pPr>
    </w:lvl>
  </w:abstractNum>
  <w:abstractNum w:abstractNumId="8">
    <w:nsid w:val="6FF29F96"/>
    <w:multiLevelType w:val="singleLevel"/>
    <w:tmpl w:val="6FF29F96"/>
    <w:lvl w:ilvl="0" w:tentative="0">
      <w:start w:val="1"/>
      <w:numFmt w:val="decimal"/>
      <w:lvlText w:val="%1."/>
      <w:lvlJc w:val="left"/>
      <w:pPr>
        <w:ind w:left="425" w:hanging="425"/>
      </w:pPr>
    </w:lvl>
  </w:abstractNum>
  <w:num w:numId="1">
    <w:abstractNumId w:val="0"/>
  </w:num>
  <w:num w:numId="2">
    <w:abstractNumId w:val="8"/>
  </w:num>
  <w:num w:numId="3">
    <w:abstractNumId w:val="5"/>
  </w:num>
  <w:num w:numId="4">
    <w:abstractNumId w:val="3"/>
  </w:num>
  <w:num w:numId="5">
    <w:abstractNumId w:val="4"/>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5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
  <w:docVars>
    <w:docVar w:name="commondata" w:val="eyJoZGlkIjoiNDdjYWQ0OTI4YmJlMmQ3NWM4MGYzNmY4MTAyMjMxMzIifQ=="/>
    <w:docVar w:name="KSO_WPS_MARK_KEY" w:val="7c468f73-2c2f-431c-8b31-bae18d853d6d"/>
  </w:docVars>
  <w:rsids>
    <w:rsidRoot w:val="00000000"/>
    <w:rsid w:val="004B48CF"/>
    <w:rsid w:val="01DB6127"/>
    <w:rsid w:val="048954AF"/>
    <w:rsid w:val="0F24110D"/>
    <w:rsid w:val="109975BA"/>
    <w:rsid w:val="1410477D"/>
    <w:rsid w:val="161F618A"/>
    <w:rsid w:val="25457290"/>
    <w:rsid w:val="26783E77"/>
    <w:rsid w:val="26D22DA5"/>
    <w:rsid w:val="2DEA4E78"/>
    <w:rsid w:val="422B5D33"/>
    <w:rsid w:val="45F621B4"/>
    <w:rsid w:val="491A440C"/>
    <w:rsid w:val="51FF7392"/>
    <w:rsid w:val="56DD006A"/>
    <w:rsid w:val="59D4347E"/>
    <w:rsid w:val="5B2D1660"/>
    <w:rsid w:val="5E9B7E3F"/>
    <w:rsid w:val="61907509"/>
    <w:rsid w:val="65984BDE"/>
    <w:rsid w:val="66903B07"/>
    <w:rsid w:val="68821ED8"/>
    <w:rsid w:val="68EF2D67"/>
    <w:rsid w:val="6BB81B36"/>
    <w:rsid w:val="6F5328E3"/>
    <w:rsid w:val="799D5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utoSpaceDE w:val="0"/>
      <w:autoSpaceDN w:val="0"/>
      <w:adjustRightInd w:val="0"/>
      <w:spacing w:line="315" w:lineRule="atLeast"/>
    </w:pPr>
    <w:rPr>
      <w:rFonts w:ascii="宋体" w:hAnsi="Times New Roman" w:eastAsia="宋体" w:cs="Times New Roman"/>
      <w:sz w:val="30"/>
      <w:szCs w:val="20"/>
      <w:lang w:val="en-US" w:eastAsia="zh-CN" w:bidi="ar-SA"/>
    </w:rPr>
  </w:style>
  <w:style w:type="paragraph" w:styleId="5">
    <w:name w:val="heading 1"/>
    <w:basedOn w:val="6"/>
    <w:next w:val="1"/>
    <w:link w:val="24"/>
    <w:autoRedefine/>
    <w:qFormat/>
    <w:uiPriority w:val="0"/>
    <w:pPr>
      <w:spacing w:before="340" w:after="330" w:line="576" w:lineRule="auto"/>
      <w:outlineLvl w:val="0"/>
    </w:pPr>
    <w:rPr>
      <w:rFonts w:ascii="Times New Roman" w:hAnsi="Times New Roman"/>
      <w:kern w:val="44"/>
      <w:sz w:val="44"/>
      <w:szCs w:val="44"/>
    </w:rPr>
  </w:style>
  <w:style w:type="paragraph" w:styleId="7">
    <w:name w:val="heading 2"/>
    <w:basedOn w:val="1"/>
    <w:next w:val="1"/>
    <w:link w:val="26"/>
    <w:autoRedefine/>
    <w:qFormat/>
    <w:uiPriority w:val="0"/>
    <w:pPr>
      <w:keepNext/>
      <w:keepLines/>
      <w:spacing w:before="260" w:after="260" w:line="415" w:lineRule="auto"/>
      <w:outlineLvl w:val="1"/>
    </w:pPr>
    <w:rPr>
      <w:rFonts w:ascii="Arial" w:hAnsi="Arial" w:eastAsia="黑体"/>
      <w:b/>
      <w:bCs/>
      <w:kern w:val="2"/>
      <w:sz w:val="32"/>
      <w:szCs w:val="32"/>
    </w:rPr>
  </w:style>
  <w:style w:type="paragraph" w:styleId="6">
    <w:name w:val="heading 3"/>
    <w:basedOn w:val="1"/>
    <w:next w:val="1"/>
    <w:link w:val="25"/>
    <w:autoRedefine/>
    <w:qFormat/>
    <w:uiPriority w:val="0"/>
    <w:pPr>
      <w:keepNext/>
      <w:keepLines/>
      <w:spacing w:line="360" w:lineRule="auto"/>
      <w:outlineLvl w:val="2"/>
    </w:pPr>
    <w:rPr>
      <w:b/>
      <w:bCs/>
      <w:sz w:val="24"/>
      <w:szCs w:val="32"/>
    </w:rPr>
  </w:style>
  <w:style w:type="paragraph" w:styleId="8">
    <w:name w:val="heading 4"/>
    <w:basedOn w:val="1"/>
    <w:next w:val="1"/>
    <w:autoRedefine/>
    <w:qFormat/>
    <w:uiPriority w:val="0"/>
    <w:pPr>
      <w:keepNext/>
      <w:keepLines/>
      <w:spacing w:line="360" w:lineRule="auto"/>
      <w:outlineLvl w:val="3"/>
    </w:pPr>
    <w:rPr>
      <w:rFonts w:ascii="Arial" w:hAnsi="Arial"/>
      <w:b/>
      <w:bCs/>
      <w:szCs w:val="28"/>
    </w:rPr>
  </w:style>
  <w:style w:type="paragraph" w:styleId="9">
    <w:name w:val="heading 5"/>
    <w:basedOn w:val="1"/>
    <w:next w:val="1"/>
    <w:link w:val="27"/>
    <w:autoRedefine/>
    <w:qFormat/>
    <w:uiPriority w:val="0"/>
    <w:pPr>
      <w:spacing w:line="529" w:lineRule="exact"/>
      <w:ind w:left="112"/>
      <w:outlineLvl w:val="4"/>
    </w:pPr>
    <w:rPr>
      <w:rFonts w:ascii="Microsoft JhengHei" w:hAnsi="Microsoft JhengHei" w:eastAsia="Microsoft JhengHei" w:cs="Microsoft JhengHei"/>
      <w:b/>
      <w:bCs/>
      <w:sz w:val="31"/>
      <w:szCs w:val="31"/>
    </w:rPr>
  </w:style>
  <w:style w:type="character" w:default="1" w:styleId="23">
    <w:name w:val="Default Paragraph Font"/>
    <w:autoRedefine/>
    <w:qFormat/>
    <w:uiPriority w:val="0"/>
  </w:style>
  <w:style w:type="table" w:default="1" w:styleId="22">
    <w:name w:val="Normal Table"/>
    <w:autoRedefine/>
    <w:semiHidden/>
    <w:qFormat/>
    <w:uiPriority w:val="0"/>
    <w:tblPr>
      <w:tblCellMar>
        <w:top w:w="0" w:type="dxa"/>
        <w:left w:w="108" w:type="dxa"/>
        <w:bottom w:w="0" w:type="dxa"/>
        <w:right w:w="108" w:type="dxa"/>
      </w:tblCellMar>
    </w:tblPr>
  </w:style>
  <w:style w:type="paragraph" w:customStyle="1" w:styleId="2">
    <w:name w:val="表格文字"/>
    <w:basedOn w:val="1"/>
    <w:next w:val="3"/>
    <w:autoRedefine/>
    <w:qFormat/>
    <w:uiPriority w:val="0"/>
    <w:pPr>
      <w:autoSpaceDE/>
      <w:autoSpaceDN/>
    </w:pPr>
    <w:rPr>
      <w:rFonts w:ascii="Calibri" w:hAnsi="Calibri" w:cs="Times New Roman"/>
      <w:bCs/>
      <w:spacing w:val="10"/>
      <w:sz w:val="21"/>
      <w:szCs w:val="20"/>
      <w:lang w:val="en-US" w:bidi="ar-SA"/>
    </w:rPr>
  </w:style>
  <w:style w:type="paragraph" w:styleId="3">
    <w:name w:val="Body Text"/>
    <w:basedOn w:val="1"/>
    <w:next w:val="4"/>
    <w:autoRedefine/>
    <w:qFormat/>
    <w:uiPriority w:val="0"/>
    <w:pPr>
      <w:autoSpaceDE/>
      <w:autoSpaceDN/>
      <w:spacing w:line="400" w:lineRule="atLeast"/>
      <w:textAlignment w:val="baseline"/>
    </w:pPr>
    <w:rPr>
      <w:rFonts w:ascii="Times New Roman" w:hAnsi="Times New Roman"/>
      <w:sz w:val="24"/>
    </w:rPr>
  </w:style>
  <w:style w:type="paragraph" w:styleId="4">
    <w:name w:val="Body Text First Indent"/>
    <w:basedOn w:val="3"/>
    <w:next w:val="1"/>
    <w:autoRedefine/>
    <w:qFormat/>
    <w:uiPriority w:val="0"/>
    <w:pPr>
      <w:adjustRightInd w:val="0"/>
      <w:snapToGrid w:val="0"/>
      <w:spacing w:after="120" w:line="400" w:lineRule="exact"/>
      <w:ind w:firstLine="510"/>
      <w:jc w:val="both"/>
    </w:pPr>
    <w:rPr>
      <w:kern w:val="2"/>
    </w:rPr>
  </w:style>
  <w:style w:type="paragraph" w:styleId="10">
    <w:name w:val="Normal Indent"/>
    <w:basedOn w:val="1"/>
    <w:next w:val="1"/>
    <w:autoRedefine/>
    <w:qFormat/>
    <w:uiPriority w:val="0"/>
    <w:pPr>
      <w:spacing w:line="360" w:lineRule="atLeast"/>
      <w:ind w:firstLine="420"/>
      <w:textAlignment w:val="baseline"/>
    </w:pPr>
    <w:rPr>
      <w:rFonts w:ascii="Times New Roman" w:hAnsi="Times New Roman"/>
      <w:kern w:val="2"/>
      <w:sz w:val="21"/>
    </w:rPr>
  </w:style>
  <w:style w:type="paragraph" w:styleId="11">
    <w:name w:val="caption"/>
    <w:basedOn w:val="1"/>
    <w:next w:val="1"/>
    <w:autoRedefine/>
    <w:qFormat/>
    <w:uiPriority w:val="0"/>
    <w:pPr>
      <w:spacing w:before="152" w:after="160" w:line="360" w:lineRule="atLeast"/>
      <w:jc w:val="both"/>
    </w:pPr>
    <w:rPr>
      <w:rFonts w:ascii="黑体" w:eastAsia="黑体"/>
      <w:sz w:val="24"/>
    </w:rPr>
  </w:style>
  <w:style w:type="paragraph" w:styleId="12">
    <w:name w:val="annotation text"/>
    <w:basedOn w:val="1"/>
    <w:autoRedefine/>
    <w:qFormat/>
    <w:uiPriority w:val="0"/>
    <w:rPr>
      <w:rFonts w:ascii="Times New Roman" w:hAnsi="Times New Roman"/>
      <w:kern w:val="2"/>
      <w:sz w:val="21"/>
      <w:szCs w:val="24"/>
    </w:rPr>
  </w:style>
  <w:style w:type="paragraph" w:styleId="13">
    <w:name w:val="Body Text Indent"/>
    <w:basedOn w:val="1"/>
    <w:next w:val="1"/>
    <w:autoRedefine/>
    <w:qFormat/>
    <w:uiPriority w:val="0"/>
    <w:pPr>
      <w:ind w:firstLine="100" w:firstLineChars="100"/>
    </w:pPr>
    <w:rPr>
      <w:sz w:val="24"/>
    </w:rPr>
  </w:style>
  <w:style w:type="paragraph" w:styleId="14">
    <w:name w:val="Block Text"/>
    <w:basedOn w:val="1"/>
    <w:next w:val="1"/>
    <w:autoRedefine/>
    <w:qFormat/>
    <w:uiPriority w:val="0"/>
    <w:pPr>
      <w:autoSpaceDE/>
      <w:autoSpaceDN/>
      <w:adjustRightInd/>
      <w:spacing w:line="360" w:lineRule="auto"/>
      <w:jc w:val="both"/>
    </w:pPr>
    <w:rPr>
      <w:rFonts w:ascii="Times New Roman" w:hAnsi="Times New Roman" w:eastAsia="Times New Roman"/>
      <w:i/>
      <w:iCs/>
      <w:color w:val="000000"/>
      <w:kern w:val="2"/>
      <w:sz w:val="24"/>
      <w:szCs w:val="24"/>
    </w:rPr>
  </w:style>
  <w:style w:type="paragraph" w:styleId="15">
    <w:name w:val="Body Text Indent 2"/>
    <w:basedOn w:val="1"/>
    <w:autoRedefine/>
    <w:qFormat/>
    <w:uiPriority w:val="0"/>
    <w:pPr>
      <w:ind w:left="500" w:hanging="500" w:hangingChars="500"/>
    </w:pPr>
    <w:rPr>
      <w:rFonts w:ascii="仿宋_GB2312" w:hAnsi="宋体" w:eastAsia="仿宋_GB2312"/>
      <w:b/>
      <w:w w:val="96"/>
      <w:sz w:val="36"/>
    </w:rPr>
  </w:style>
  <w:style w:type="paragraph" w:styleId="16">
    <w:name w:val="footer"/>
    <w:basedOn w:val="1"/>
    <w:autoRedefine/>
    <w:qFormat/>
    <w:uiPriority w:val="0"/>
    <w:pPr>
      <w:tabs>
        <w:tab w:val="center" w:pos="4153"/>
        <w:tab w:val="right" w:pos="8306"/>
      </w:tabs>
      <w:adjustRightInd w:val="0"/>
      <w:snapToGrid w:val="0"/>
    </w:pPr>
    <w:rPr>
      <w:rFonts w:ascii="Times New Roman" w:hAnsi="Times New Roman"/>
      <w:kern w:val="2"/>
      <w:sz w:val="18"/>
      <w:szCs w:val="18"/>
    </w:rPr>
  </w:style>
  <w:style w:type="paragraph" w:styleId="17">
    <w:name w:val="header"/>
    <w:basedOn w:val="1"/>
    <w:autoRedefine/>
    <w:qFormat/>
    <w:uiPriority w:val="0"/>
    <w:pPr>
      <w:pBdr>
        <w:bottom w:val="single" w:color="auto" w:sz="6" w:space="1"/>
      </w:pBdr>
      <w:tabs>
        <w:tab w:val="center" w:pos="4153"/>
        <w:tab w:val="right" w:pos="8306"/>
      </w:tabs>
      <w:adjustRightInd w:val="0"/>
      <w:snapToGrid w:val="0"/>
      <w:jc w:val="center"/>
    </w:pPr>
    <w:rPr>
      <w:rFonts w:ascii="Times New Roman" w:hAnsi="Times New Roman"/>
      <w:kern w:val="2"/>
      <w:sz w:val="18"/>
      <w:szCs w:val="18"/>
    </w:rPr>
  </w:style>
  <w:style w:type="paragraph" w:styleId="18">
    <w:name w:val="toc 1"/>
    <w:basedOn w:val="1"/>
    <w:next w:val="1"/>
    <w:autoRedefine/>
    <w:qFormat/>
    <w:uiPriority w:val="0"/>
    <w:pPr>
      <w:spacing w:before="120" w:after="120"/>
    </w:pPr>
    <w:rPr>
      <w:b/>
      <w:bCs/>
      <w:caps/>
      <w:sz w:val="20"/>
    </w:rPr>
  </w:style>
  <w:style w:type="paragraph" w:styleId="19">
    <w:name w:val="footnote text"/>
    <w:basedOn w:val="1"/>
    <w:autoRedefine/>
    <w:qFormat/>
    <w:uiPriority w:val="0"/>
    <w:pPr>
      <w:adjustRightInd w:val="0"/>
      <w:snapToGrid w:val="0"/>
    </w:pPr>
    <w:rPr>
      <w:sz w:val="18"/>
      <w:szCs w:val="18"/>
    </w:rPr>
  </w:style>
  <w:style w:type="paragraph" w:styleId="20">
    <w:name w:val="Body Text 2"/>
    <w:basedOn w:val="1"/>
    <w:autoRedefine/>
    <w:qFormat/>
    <w:uiPriority w:val="0"/>
    <w:pPr>
      <w:spacing w:line="280" w:lineRule="exact"/>
    </w:pPr>
    <w:rPr>
      <w:rFonts w:ascii="仿宋_GB2312" w:eastAsia="仿宋_GB2312"/>
      <w:sz w:val="24"/>
    </w:rPr>
  </w:style>
  <w:style w:type="paragraph" w:styleId="21">
    <w:name w:val="Body Text First Indent 2"/>
    <w:basedOn w:val="13"/>
    <w:autoRedefine/>
    <w:qFormat/>
    <w:uiPriority w:val="0"/>
    <w:pPr>
      <w:spacing w:after="120" w:line="240" w:lineRule="auto"/>
      <w:ind w:left="200" w:leftChars="200"/>
    </w:pPr>
    <w:rPr>
      <w:sz w:val="21"/>
      <w:szCs w:val="22"/>
    </w:rPr>
  </w:style>
  <w:style w:type="character" w:customStyle="1" w:styleId="24">
    <w:name w:val="heading 1 Char"/>
    <w:basedOn w:val="25"/>
    <w:link w:val="5"/>
    <w:autoRedefine/>
    <w:qFormat/>
    <w:uiPriority w:val="0"/>
    <w:rPr>
      <w:rFonts w:ascii="Times New Roman" w:hAnsi="Times New Roman"/>
      <w:kern w:val="44"/>
      <w:sz w:val="44"/>
      <w:szCs w:val="44"/>
    </w:rPr>
  </w:style>
  <w:style w:type="character" w:customStyle="1" w:styleId="25">
    <w:name w:val="heading 3 Char"/>
    <w:basedOn w:val="23"/>
    <w:link w:val="6"/>
    <w:autoRedefine/>
    <w:qFormat/>
    <w:uiPriority w:val="0"/>
    <w:rPr>
      <w:rFonts w:ascii="宋体" w:hAnsi="Times New Roman" w:eastAsia="宋体" w:cs="Times New Roman"/>
      <w:b/>
      <w:bCs/>
      <w:sz w:val="24"/>
      <w:szCs w:val="32"/>
      <w:lang w:val="en-US" w:eastAsia="zh-CN" w:bidi="ar-SA"/>
    </w:rPr>
  </w:style>
  <w:style w:type="character" w:customStyle="1" w:styleId="26">
    <w:name w:val="heading 2 Char"/>
    <w:basedOn w:val="23"/>
    <w:link w:val="7"/>
    <w:autoRedefine/>
    <w:qFormat/>
    <w:uiPriority w:val="0"/>
    <w:rPr>
      <w:rFonts w:ascii="Arial" w:hAnsi="Arial" w:eastAsia="黑体" w:cs="Times New Roman"/>
      <w:b/>
      <w:bCs/>
      <w:kern w:val="2"/>
      <w:sz w:val="32"/>
      <w:szCs w:val="32"/>
      <w:lang w:val="en-US" w:eastAsia="zh-CN" w:bidi="ar-SA"/>
    </w:rPr>
  </w:style>
  <w:style w:type="character" w:customStyle="1" w:styleId="27">
    <w:name w:val="heading 5 Char"/>
    <w:basedOn w:val="23"/>
    <w:link w:val="9"/>
    <w:autoRedefine/>
    <w:qFormat/>
    <w:uiPriority w:val="0"/>
    <w:rPr>
      <w:rFonts w:ascii="Microsoft JhengHei" w:hAnsi="Microsoft JhengHei" w:eastAsia="Microsoft JhengHei" w:cs="Microsoft JhengHei"/>
      <w:b/>
      <w:bCs/>
      <w:sz w:val="31"/>
      <w:szCs w:val="31"/>
      <w:lang w:val="en-US" w:eastAsia="zh-CN" w:bidi="ar-SA"/>
    </w:rPr>
  </w:style>
  <w:style w:type="paragraph" w:customStyle="1" w:styleId="28">
    <w:name w:val="正文00"/>
    <w:basedOn w:val="1"/>
    <w:autoRedefine/>
    <w:qFormat/>
    <w:uiPriority w:val="0"/>
    <w:pPr>
      <w:topLinePunct/>
      <w:autoSpaceDE w:val="0"/>
      <w:autoSpaceDN w:val="0"/>
      <w:spacing w:line="360" w:lineRule="auto"/>
      <w:ind w:firstLine="200" w:firstLineChars="200"/>
    </w:pPr>
    <w:rPr>
      <w:kern w:val="24"/>
      <w:sz w:val="24"/>
      <w:szCs w:val="21"/>
    </w:rPr>
  </w:style>
  <w:style w:type="paragraph" w:customStyle="1" w:styleId="29">
    <w:name w:val="Table Paragraph"/>
    <w:basedOn w:val="1"/>
    <w:autoRedefine/>
    <w:qFormat/>
    <w:uiPriority w:val="0"/>
    <w:pPr>
      <w:spacing w:before="170"/>
      <w:jc w:val="center"/>
    </w:pPr>
    <w:rPr>
      <w:rFonts w:hAnsi="宋体" w:cs="宋体"/>
      <w:lang w:val="zh-CN"/>
    </w:rPr>
  </w:style>
  <w:style w:type="paragraph" w:customStyle="1" w:styleId="30">
    <w:name w:val="p0"/>
    <w:basedOn w:val="1"/>
    <w:autoRedefine/>
    <w:qFormat/>
    <w:uiPriority w:val="0"/>
    <w:pPr>
      <w:widowControl/>
      <w:autoSpaceDE/>
      <w:autoSpaceDN/>
      <w:adjustRightInd/>
      <w:spacing w:before="100" w:beforeAutospacing="1" w:after="100" w:afterAutospacing="1" w:line="240" w:lineRule="auto"/>
    </w:pPr>
    <w:rPr>
      <w:rFonts w:hAnsi="宋体" w:cs="宋体"/>
      <w:sz w:val="24"/>
      <w:szCs w:val="24"/>
    </w:rPr>
  </w:style>
  <w:style w:type="paragraph" w:customStyle="1" w:styleId="31">
    <w:name w:val="Table Text"/>
    <w:basedOn w:val="1"/>
    <w:autoRedefine/>
    <w:qFormat/>
    <w:uiPriority w:val="0"/>
    <w:rPr>
      <w:rFonts w:ascii="微软雅黑" w:hAnsi="微软雅黑" w:eastAsia="微软雅黑" w:cs="微软雅黑"/>
      <w:sz w:val="24"/>
      <w:szCs w:val="24"/>
    </w:rPr>
  </w:style>
  <w:style w:type="character" w:customStyle="1" w:styleId="32">
    <w:name w:val="pl"/>
    <w:autoRedefine/>
    <w:qFormat/>
    <w:uiPriority w:val="0"/>
  </w:style>
  <w:style w:type="paragraph" w:customStyle="1" w:styleId="33">
    <w:name w:val="纯文本1"/>
    <w:basedOn w:val="1"/>
    <w:autoRedefine/>
    <w:qFormat/>
    <w:uiPriority w:val="0"/>
    <w:rPr>
      <w:rFonts w:hAnsi="Courier New" w:eastAsia="宋体" w:cs="Arial"/>
    </w:rPr>
  </w:style>
  <w:style w:type="character" w:customStyle="1" w:styleId="34">
    <w:name w:val="font01"/>
    <w:basedOn w:val="23"/>
    <w:autoRedefine/>
    <w:qFormat/>
    <w:uiPriority w:val="0"/>
    <w:rPr>
      <w:rFonts w:hint="eastAsia" w:ascii="宋体" w:hAnsi="宋体" w:eastAsia="宋体" w:cs="宋体"/>
      <w:color w:val="000000"/>
      <w:sz w:val="20"/>
      <w:szCs w:val="20"/>
      <w:u w:val="none"/>
    </w:rPr>
  </w:style>
  <w:style w:type="character" w:customStyle="1" w:styleId="35">
    <w:name w:val="font61"/>
    <w:basedOn w:val="23"/>
    <w:autoRedefine/>
    <w:qFormat/>
    <w:uiPriority w:val="0"/>
    <w:rPr>
      <w:rFonts w:hint="eastAsia" w:ascii="宋体" w:hAnsi="宋体" w:eastAsia="宋体" w:cs="宋体"/>
      <w:color w:val="FF0000"/>
      <w:sz w:val="20"/>
      <w:szCs w:val="20"/>
      <w:u w:val="none"/>
    </w:rPr>
  </w:style>
  <w:style w:type="character" w:customStyle="1" w:styleId="36">
    <w:name w:val="font31"/>
    <w:basedOn w:val="23"/>
    <w:autoRedefine/>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主题">
      <a:majorFont>
        <a:latin typeface=""/>
        <a:ea typeface=""/>
        <a:cs typeface=""/>
      </a:majorFont>
      <a:minorFont>
        <a:latin typeface=""/>
        <a:ea typeface=""/>
        <a:cs typeface=""/>
      </a:minorFont>
    </a:fontScheme>
    <a:fmtScheme name="Office 主题">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1"/>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1"/>
        </a:gradFill>
      </a:fillStyleLst>
      <a:lnStyleLst>
        <a:ln w="6350" cap="flat" cmpd="sng">
          <a:solidFill>
            <a:schemeClr val="phClr"/>
          </a:solidFill>
          <a:prstDash val="solid"/>
          <a:miter/>
        </a:ln>
        <a:ln w="12700" cap="flat" cmpd="sng">
          <a:solidFill>
            <a:schemeClr val="phClr"/>
          </a:solidFill>
          <a:prstDash val="solid"/>
          <a:miter/>
        </a:ln>
        <a:ln w="19050" cap="flat" cmpd="sng">
          <a:solidFill>
            <a:schemeClr val="phClr"/>
          </a:solidFill>
          <a:prstDash val="solid"/>
          <a:miter/>
        </a:ln>
      </a:lnStyleLst>
      <a:effectStyleLst>
        <a:effectStyle>
          <a:effectLst/>
        </a:effectStyle>
        <a:effectStyle>
          <a:effectLst/>
        </a:effectStyle>
        <a:effectStyle>
          <a:effectLst>
            <a:outerShdw blurRad="57150" dist="19050" dir="5400000" algn="ctr" rotWithShape="0">
              <a:srgbClr val="000000">
                <a:alpha val="62745"/>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1"/>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customData xmlns="http://www.yozosoft.com.cn/officeDocument/2016/customData">
  <customProps>
    <docPr revisions="3 0 5 0 0 0 1 0 0 0 3000 0 1 1 1 1"/>
    <sectPr/>
    <sectPr/>
    <sectPr/>
    <sectPr/>
    <sectPr/>
  </customProps>
</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98C960-F719-4329-B8DB-0971082D8431}">
  <ds:schemaRefs/>
</ds:datastoreItem>
</file>

<file path=docProps/app.xml><?xml version="1.0" encoding="utf-8"?>
<Properties xmlns="http://schemas.openxmlformats.org/officeDocument/2006/extended-properties" xmlns:vt="http://schemas.openxmlformats.org/officeDocument/2006/docPropsVTypes">
  <Template>Normal.eit</Template>
  <Pages>62</Pages>
  <Words>0</Words>
  <Characters>23181</Characters>
  <Lines>0</Lines>
  <Paragraphs>907</Paragraphs>
  <TotalTime>12</TotalTime>
  <ScaleCrop>false</ScaleCrop>
  <LinksUpToDate>false</LinksUpToDate>
  <CharactersWithSpaces>30908</CharactersWithSpaces>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2024-04-20T01:16:00Z</dcterms:created>
  <dc:creator>L7丫</dc:creator>
  <cp:lastModifiedBy>沉默是金</cp:lastModifiedBy>
  <dcterms:modified xsi:type="dcterms:W3CDTF">2024-04-30T09:06:15Z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59439E764C7449BEA11EAA5D4091F138</vt:lpwstr>
  </property>
  <property fmtid="{D5CDD505-2E9C-101B-9397-08002B2CF9AE}" pid="3" name="KSOProductBuildVer">
    <vt:lpwstr>2052-12.1.0.16729</vt:lpwstr>
  </property>
</Properties>
</file>