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仿宋" w:hAnsi="仿宋" w:eastAsia="仿宋" w:cs="宋体"/>
          <w:kern w:val="0"/>
          <w:szCs w:val="44"/>
        </w:rPr>
      </w:pPr>
      <w:bookmarkStart w:id="0" w:name="_Toc154682949"/>
      <w:r>
        <w:rPr>
          <w:rFonts w:hint="eastAsia" w:ascii="仿宋" w:hAnsi="仿宋" w:eastAsia="仿宋"/>
        </w:rPr>
        <w:t xml:space="preserve">第三章  </w:t>
      </w:r>
      <w:bookmarkStart w:id="1" w:name="_GoBack"/>
      <w:r>
        <w:rPr>
          <w:rFonts w:hint="eastAsia" w:ascii="仿宋" w:hAnsi="仿宋" w:eastAsia="仿宋"/>
        </w:rPr>
        <w:t>用户需求书</w:t>
      </w:r>
      <w:bookmarkEnd w:id="0"/>
    </w:p>
    <w:bookmarkEnd w:id="1"/>
    <w:p>
      <w:pPr>
        <w:spacing w:line="560" w:lineRule="exact"/>
        <w:rPr>
          <w:rFonts w:hint="eastAsia" w:ascii="仿宋" w:hAnsi="仿宋" w:eastAsia="仿宋"/>
          <w:b/>
          <w:bCs/>
          <w:sz w:val="24"/>
          <w:szCs w:val="24"/>
        </w:rPr>
      </w:pPr>
      <w:r>
        <w:rPr>
          <w:rFonts w:hint="eastAsia" w:ascii="仿宋" w:hAnsi="仿宋" w:eastAsia="仿宋"/>
          <w:b/>
          <w:bCs/>
          <w:sz w:val="24"/>
          <w:szCs w:val="24"/>
        </w:rPr>
        <w:t>一、项目概况</w:t>
      </w:r>
    </w:p>
    <w:p>
      <w:pPr>
        <w:spacing w:line="560" w:lineRule="exact"/>
        <w:ind w:firstLine="482" w:firstLineChars="200"/>
        <w:rPr>
          <w:rFonts w:hint="eastAsia" w:ascii="仿宋" w:hAnsi="仿宋" w:eastAsia="仿宋"/>
          <w:sz w:val="24"/>
          <w:szCs w:val="24"/>
        </w:rPr>
      </w:pPr>
      <w:r>
        <w:rPr>
          <w:rFonts w:hint="eastAsia" w:ascii="仿宋" w:hAnsi="仿宋" w:eastAsia="仿宋"/>
          <w:b/>
          <w:bCs/>
          <w:sz w:val="24"/>
          <w:szCs w:val="24"/>
        </w:rPr>
        <w:t>1、项目名称：</w:t>
      </w:r>
      <w:r>
        <w:rPr>
          <w:rFonts w:hint="eastAsia" w:ascii="仿宋" w:hAnsi="仿宋" w:eastAsia="仿宋"/>
          <w:sz w:val="24"/>
          <w:szCs w:val="24"/>
        </w:rPr>
        <w:t>临高县农村饮水安全工程项目委托运营管理（第二次采购）</w:t>
      </w:r>
    </w:p>
    <w:p>
      <w:pPr>
        <w:spacing w:line="560" w:lineRule="exact"/>
        <w:ind w:firstLine="482" w:firstLineChars="200"/>
        <w:rPr>
          <w:rFonts w:hint="eastAsia" w:ascii="仿宋" w:hAnsi="仿宋" w:eastAsia="仿宋"/>
          <w:sz w:val="24"/>
          <w:szCs w:val="24"/>
        </w:rPr>
      </w:pPr>
      <w:r>
        <w:rPr>
          <w:rFonts w:hint="eastAsia" w:ascii="仿宋" w:hAnsi="仿宋" w:eastAsia="仿宋"/>
          <w:b/>
          <w:bCs/>
          <w:sz w:val="24"/>
          <w:szCs w:val="24"/>
        </w:rPr>
        <w:t>2、项目概况</w:t>
      </w:r>
      <w:r>
        <w:rPr>
          <w:rFonts w:hint="eastAsia" w:ascii="仿宋" w:hAnsi="仿宋" w:eastAsia="仿宋"/>
          <w:sz w:val="24"/>
          <w:szCs w:val="24"/>
        </w:rPr>
        <w:t>：项目涉及临高县加来镇、临城镇、调楼镇、东英镇、新盈镇、和舍镇、博厚镇、多文镇、皇桐镇、南宝镇、波莲镇等11个乡镇的集中式农村饮水安全工程工有250宗，覆盖518个自然村，受益人口337616人，管网长2086.69公里。</w:t>
      </w:r>
    </w:p>
    <w:p>
      <w:pPr>
        <w:spacing w:line="560" w:lineRule="exact"/>
        <w:ind w:firstLine="482" w:firstLineChars="200"/>
        <w:rPr>
          <w:rFonts w:ascii="仿宋" w:hAnsi="仿宋" w:eastAsia="仿宋"/>
          <w:sz w:val="24"/>
          <w:szCs w:val="24"/>
        </w:rPr>
      </w:pPr>
      <w:r>
        <w:rPr>
          <w:rFonts w:hint="eastAsia" w:ascii="仿宋" w:hAnsi="仿宋" w:eastAsia="仿宋"/>
          <w:b/>
          <w:bCs/>
          <w:sz w:val="24"/>
          <w:szCs w:val="24"/>
        </w:rPr>
        <w:t>3、合同履行期限：</w:t>
      </w:r>
      <w:r>
        <w:rPr>
          <w:rFonts w:hint="eastAsia" w:ascii="仿宋" w:hAnsi="仿宋" w:eastAsia="仿宋"/>
          <w:sz w:val="24"/>
          <w:szCs w:val="24"/>
        </w:rPr>
        <w:t>自合同签订之日起12个月。</w:t>
      </w:r>
    </w:p>
    <w:p>
      <w:pPr>
        <w:spacing w:line="560" w:lineRule="exact"/>
        <w:ind w:firstLine="482" w:firstLineChars="200"/>
        <w:rPr>
          <w:rFonts w:hint="eastAsia" w:ascii="仿宋" w:hAnsi="仿宋" w:eastAsia="仿宋"/>
          <w:b/>
          <w:bCs/>
          <w:sz w:val="24"/>
          <w:szCs w:val="24"/>
        </w:rPr>
      </w:pPr>
      <w:r>
        <w:rPr>
          <w:rFonts w:ascii="仿宋" w:hAnsi="仿宋" w:eastAsia="仿宋"/>
          <w:b/>
          <w:bCs/>
          <w:sz w:val="24"/>
          <w:szCs w:val="24"/>
        </w:rPr>
        <w:t>4</w:t>
      </w:r>
      <w:r>
        <w:rPr>
          <w:rFonts w:hint="eastAsia" w:ascii="仿宋" w:hAnsi="仿宋" w:eastAsia="仿宋"/>
          <w:b/>
          <w:bCs/>
          <w:sz w:val="24"/>
          <w:szCs w:val="24"/>
        </w:rPr>
        <w:t>、服务地点：</w:t>
      </w:r>
      <w:r>
        <w:rPr>
          <w:rFonts w:hint="eastAsia" w:ascii="仿宋" w:hAnsi="仿宋" w:eastAsia="仿宋"/>
          <w:sz w:val="24"/>
          <w:szCs w:val="24"/>
        </w:rPr>
        <w:t>采购人指定地点。</w:t>
      </w:r>
    </w:p>
    <w:p>
      <w:pPr>
        <w:spacing w:line="560" w:lineRule="exact"/>
        <w:ind w:firstLine="482" w:firstLineChars="200"/>
        <w:rPr>
          <w:rFonts w:hint="eastAsia" w:ascii="仿宋" w:hAnsi="仿宋" w:eastAsia="仿宋"/>
          <w:sz w:val="24"/>
          <w:szCs w:val="24"/>
        </w:rPr>
      </w:pPr>
      <w:r>
        <w:rPr>
          <w:rFonts w:hint="eastAsia" w:ascii="仿宋" w:hAnsi="仿宋" w:eastAsia="仿宋"/>
          <w:b/>
          <w:bCs/>
          <w:sz w:val="24"/>
          <w:szCs w:val="24"/>
        </w:rPr>
        <w:t>5、预算金额</w:t>
      </w:r>
      <w:r>
        <w:rPr>
          <w:rFonts w:hint="eastAsia" w:ascii="仿宋" w:hAnsi="仿宋" w:eastAsia="仿宋"/>
          <w:sz w:val="24"/>
          <w:szCs w:val="24"/>
        </w:rPr>
        <w:t>：2659691.32元。最高限价为2659691.32元，超出预算金额（最高限价）的报价，按无效投标响应处理。</w:t>
      </w:r>
    </w:p>
    <w:p>
      <w:pPr>
        <w:spacing w:line="560" w:lineRule="exact"/>
        <w:ind w:firstLine="482" w:firstLineChars="200"/>
        <w:rPr>
          <w:rFonts w:hint="eastAsia" w:ascii="仿宋" w:hAnsi="仿宋" w:eastAsia="仿宋"/>
          <w:sz w:val="24"/>
          <w:szCs w:val="24"/>
        </w:rPr>
      </w:pPr>
      <w:r>
        <w:rPr>
          <w:rFonts w:hint="eastAsia" w:ascii="仿宋" w:hAnsi="仿宋" w:eastAsia="仿宋"/>
          <w:b/>
          <w:bCs/>
          <w:sz w:val="24"/>
          <w:szCs w:val="24"/>
        </w:rPr>
        <w:t>6、资金来源：</w:t>
      </w:r>
      <w:r>
        <w:rPr>
          <w:rFonts w:hint="eastAsia" w:ascii="仿宋" w:hAnsi="仿宋" w:eastAsia="仿宋"/>
          <w:sz w:val="24"/>
          <w:szCs w:val="24"/>
        </w:rPr>
        <w:t>财政资金。</w:t>
      </w:r>
    </w:p>
    <w:p>
      <w:pPr>
        <w:spacing w:line="560" w:lineRule="exact"/>
        <w:ind w:firstLine="482" w:firstLineChars="200"/>
        <w:rPr>
          <w:rFonts w:hint="eastAsia" w:ascii="仿宋" w:hAnsi="仿宋" w:eastAsia="仿宋"/>
          <w:sz w:val="24"/>
          <w:szCs w:val="24"/>
        </w:rPr>
      </w:pPr>
      <w:r>
        <w:rPr>
          <w:rFonts w:ascii="仿宋" w:hAnsi="仿宋" w:eastAsia="仿宋"/>
          <w:b/>
          <w:bCs/>
          <w:sz w:val="24"/>
          <w:szCs w:val="24"/>
        </w:rPr>
        <w:t>7</w:t>
      </w:r>
      <w:r>
        <w:rPr>
          <w:rFonts w:hint="eastAsia" w:ascii="仿宋" w:hAnsi="仿宋" w:eastAsia="仿宋"/>
          <w:b/>
          <w:bCs/>
          <w:sz w:val="24"/>
          <w:szCs w:val="24"/>
        </w:rPr>
        <w:t>、质量要求：</w:t>
      </w:r>
      <w:r>
        <w:rPr>
          <w:rFonts w:hint="eastAsia" w:ascii="仿宋" w:hAnsi="仿宋" w:eastAsia="仿宋"/>
          <w:sz w:val="24"/>
          <w:szCs w:val="24"/>
        </w:rPr>
        <w:t>符合国家及行业现行有关规范标准合格。</w:t>
      </w:r>
    </w:p>
    <w:p>
      <w:pPr>
        <w:spacing w:line="560" w:lineRule="exact"/>
        <w:rPr>
          <w:rFonts w:ascii="仿宋" w:hAnsi="仿宋" w:eastAsia="仿宋"/>
          <w:b/>
          <w:bCs/>
          <w:sz w:val="24"/>
          <w:szCs w:val="24"/>
        </w:rPr>
      </w:pPr>
      <w:r>
        <w:rPr>
          <w:rFonts w:hint="eastAsia" w:ascii="仿宋" w:hAnsi="仿宋" w:eastAsia="仿宋"/>
          <w:b/>
          <w:bCs/>
          <w:sz w:val="24"/>
          <w:szCs w:val="24"/>
        </w:rPr>
        <w:t>二、技术及商务要求：</w:t>
      </w:r>
    </w:p>
    <w:p>
      <w:pPr>
        <w:spacing w:line="360" w:lineRule="auto"/>
        <w:ind w:firstLine="480" w:firstLineChars="200"/>
        <w:rPr>
          <w:rFonts w:hint="eastAsia" w:ascii="仿宋" w:hAnsi="仿宋" w:eastAsia="仿宋"/>
          <w:color w:val="000000"/>
          <w:sz w:val="24"/>
        </w:rPr>
      </w:pPr>
      <w:r>
        <w:rPr>
          <w:rFonts w:hint="eastAsia" w:ascii="仿宋" w:hAnsi="仿宋" w:eastAsia="仿宋"/>
          <w:color w:val="000000"/>
          <w:sz w:val="24"/>
        </w:rPr>
        <w:t>（1）技术要求</w:t>
      </w:r>
    </w:p>
    <w:p>
      <w:pPr>
        <w:spacing w:line="360" w:lineRule="auto"/>
        <w:ind w:firstLine="480" w:firstLineChars="200"/>
        <w:rPr>
          <w:rFonts w:hint="eastAsia" w:ascii="仿宋" w:hAnsi="仿宋" w:eastAsia="仿宋"/>
          <w:color w:val="000000"/>
          <w:sz w:val="24"/>
        </w:rPr>
      </w:pPr>
      <w:r>
        <w:rPr>
          <w:rFonts w:hint="eastAsia" w:ascii="仿宋" w:hAnsi="仿宋" w:eastAsia="仿宋"/>
          <w:color w:val="000000"/>
          <w:sz w:val="24"/>
        </w:rPr>
        <w:t>一、运营管理目标</w:t>
      </w:r>
    </w:p>
    <w:p>
      <w:pPr>
        <w:spacing w:line="360" w:lineRule="auto"/>
        <w:ind w:firstLine="480" w:firstLineChars="200"/>
        <w:rPr>
          <w:rFonts w:hint="eastAsia" w:ascii="仿宋" w:hAnsi="仿宋" w:eastAsia="仿宋"/>
          <w:color w:val="000000"/>
          <w:sz w:val="24"/>
        </w:rPr>
      </w:pPr>
      <w:r>
        <w:rPr>
          <w:rFonts w:hint="eastAsia" w:ascii="仿宋" w:hAnsi="仿宋" w:eastAsia="仿宋"/>
          <w:color w:val="000000"/>
          <w:sz w:val="24"/>
        </w:rPr>
        <w:t>负责临高县农村饮水安全工程设备设施保养维护、用户管理、药剂投加、水塔清洗、末梢水水质监测等，保证农村饮水安全工程设施运行正常，出水水质符合《生活饮用水卫生标准》（GB5749-2022）中农村供水水质宽限值的规定。</w:t>
      </w:r>
    </w:p>
    <w:p>
      <w:pPr>
        <w:spacing w:line="360" w:lineRule="auto"/>
        <w:ind w:firstLine="480" w:firstLineChars="200"/>
        <w:rPr>
          <w:rFonts w:hint="eastAsia" w:ascii="仿宋" w:hAnsi="仿宋" w:eastAsia="仿宋"/>
          <w:color w:val="000000"/>
          <w:sz w:val="24"/>
        </w:rPr>
      </w:pPr>
      <w:r>
        <w:rPr>
          <w:rFonts w:hint="eastAsia" w:ascii="仿宋" w:hAnsi="仿宋" w:eastAsia="仿宋"/>
          <w:color w:val="000000"/>
          <w:sz w:val="24"/>
        </w:rPr>
        <w:t>二、运营服务标准</w:t>
      </w:r>
    </w:p>
    <w:p>
      <w:pPr>
        <w:spacing w:line="360" w:lineRule="auto"/>
        <w:ind w:firstLine="480" w:firstLineChars="200"/>
        <w:rPr>
          <w:rFonts w:hint="eastAsia" w:ascii="仿宋" w:hAnsi="仿宋" w:eastAsia="仿宋"/>
          <w:color w:val="000000"/>
          <w:sz w:val="24"/>
        </w:rPr>
      </w:pPr>
      <w:r>
        <w:rPr>
          <w:rFonts w:hint="eastAsia" w:ascii="仿宋" w:hAnsi="仿宋" w:eastAsia="仿宋"/>
          <w:color w:val="000000"/>
          <w:sz w:val="24"/>
        </w:rPr>
        <w:t>1、供水保障率达95%，无水不超过24小时。</w:t>
      </w:r>
    </w:p>
    <w:p>
      <w:pPr>
        <w:spacing w:line="360" w:lineRule="auto"/>
        <w:ind w:firstLine="480" w:firstLineChars="200"/>
        <w:rPr>
          <w:rFonts w:hint="eastAsia" w:ascii="仿宋" w:hAnsi="仿宋" w:eastAsia="仿宋"/>
          <w:color w:val="000000"/>
          <w:sz w:val="24"/>
        </w:rPr>
      </w:pPr>
      <w:r>
        <w:rPr>
          <w:rFonts w:hint="eastAsia" w:ascii="仿宋" w:hAnsi="仿宋" w:eastAsia="仿宋"/>
          <w:color w:val="000000"/>
          <w:sz w:val="24"/>
        </w:rPr>
        <w:t>2、供水水质合格，水质问题不超过24小时。</w:t>
      </w:r>
    </w:p>
    <w:p>
      <w:pPr>
        <w:spacing w:line="360" w:lineRule="auto"/>
        <w:ind w:firstLine="480" w:firstLineChars="200"/>
        <w:rPr>
          <w:rFonts w:hint="eastAsia" w:ascii="仿宋" w:hAnsi="仿宋" w:eastAsia="仿宋"/>
          <w:color w:val="000000"/>
          <w:sz w:val="24"/>
        </w:rPr>
      </w:pPr>
      <w:r>
        <w:rPr>
          <w:rFonts w:hint="eastAsia" w:ascii="仿宋" w:hAnsi="仿宋" w:eastAsia="仿宋"/>
          <w:color w:val="000000"/>
          <w:sz w:val="24"/>
        </w:rPr>
        <w:t>3、设备设施完好率达95%。</w:t>
      </w:r>
    </w:p>
    <w:p>
      <w:pPr>
        <w:spacing w:line="360" w:lineRule="auto"/>
        <w:ind w:firstLine="480" w:firstLineChars="200"/>
        <w:rPr>
          <w:rFonts w:hint="eastAsia" w:ascii="仿宋" w:hAnsi="仿宋" w:eastAsia="仿宋"/>
          <w:color w:val="000000"/>
          <w:sz w:val="24"/>
        </w:rPr>
      </w:pPr>
      <w:r>
        <w:rPr>
          <w:rFonts w:hint="eastAsia" w:ascii="仿宋" w:hAnsi="仿宋" w:eastAsia="仿宋"/>
          <w:color w:val="000000"/>
          <w:sz w:val="24"/>
        </w:rPr>
        <w:t>4、受理客户售后服务问题在2小时内做出响应，售后服务及时率97%。</w:t>
      </w:r>
    </w:p>
    <w:p>
      <w:pPr>
        <w:spacing w:line="360" w:lineRule="auto"/>
        <w:ind w:firstLine="480" w:firstLineChars="200"/>
        <w:rPr>
          <w:rFonts w:hint="eastAsia" w:ascii="仿宋" w:hAnsi="仿宋" w:eastAsia="仿宋"/>
          <w:color w:val="000000"/>
          <w:sz w:val="24"/>
        </w:rPr>
      </w:pPr>
      <w:r>
        <w:rPr>
          <w:rFonts w:hint="eastAsia" w:ascii="仿宋" w:hAnsi="仿宋" w:eastAsia="仿宋"/>
          <w:color w:val="000000"/>
          <w:sz w:val="24"/>
        </w:rPr>
        <w:t>5、受理客户售后服务问题在2小时内做出响应，在5个工作日内处理，售后服务处理率99%。</w:t>
      </w:r>
    </w:p>
    <w:p>
      <w:pPr>
        <w:spacing w:line="360" w:lineRule="auto"/>
        <w:ind w:firstLine="480" w:firstLineChars="200"/>
        <w:rPr>
          <w:rFonts w:hint="eastAsia" w:ascii="仿宋" w:hAnsi="仿宋" w:eastAsia="仿宋"/>
          <w:color w:val="000000"/>
          <w:sz w:val="24"/>
        </w:rPr>
      </w:pPr>
      <w:r>
        <w:rPr>
          <w:rFonts w:hint="eastAsia" w:ascii="仿宋" w:hAnsi="仿宋" w:eastAsia="仿宋"/>
          <w:color w:val="000000"/>
          <w:sz w:val="24"/>
        </w:rPr>
        <w:t>6、技术性巡检每2个月不少于1次。</w:t>
      </w:r>
    </w:p>
    <w:p>
      <w:pPr>
        <w:spacing w:line="360" w:lineRule="auto"/>
        <w:ind w:firstLine="480" w:firstLineChars="200"/>
        <w:rPr>
          <w:rFonts w:hint="eastAsia" w:ascii="仿宋" w:hAnsi="仿宋" w:eastAsia="仿宋"/>
          <w:color w:val="000000"/>
          <w:sz w:val="24"/>
        </w:rPr>
      </w:pPr>
      <w:r>
        <w:rPr>
          <w:rFonts w:hint="eastAsia" w:ascii="仿宋" w:hAnsi="仿宋" w:eastAsia="仿宋"/>
          <w:color w:val="000000"/>
          <w:sz w:val="24"/>
        </w:rPr>
        <w:t>7、水塔水池清洗频次每年不少于2次。</w:t>
      </w:r>
    </w:p>
    <w:p>
      <w:pPr>
        <w:spacing w:line="360" w:lineRule="auto"/>
        <w:ind w:firstLine="480" w:firstLineChars="200"/>
        <w:rPr>
          <w:rFonts w:ascii="仿宋" w:hAnsi="仿宋" w:eastAsia="仿宋"/>
          <w:color w:val="000000"/>
          <w:sz w:val="24"/>
        </w:rPr>
      </w:pPr>
      <w:r>
        <w:rPr>
          <w:rFonts w:hint="eastAsia" w:ascii="仿宋" w:hAnsi="仿宋" w:eastAsia="仿宋"/>
          <w:color w:val="000000"/>
          <w:sz w:val="24"/>
        </w:rPr>
        <w:t>8、保持供水设施场所环境卫生整洁、干净。</w:t>
      </w:r>
    </w:p>
    <w:p>
      <w:pPr>
        <w:spacing w:line="360" w:lineRule="auto"/>
        <w:ind w:firstLine="480" w:firstLineChars="200"/>
        <w:rPr>
          <w:rFonts w:hint="eastAsia" w:ascii="仿宋" w:hAnsi="仿宋" w:eastAsia="仿宋"/>
          <w:color w:val="000000"/>
          <w:sz w:val="24"/>
        </w:rPr>
      </w:pPr>
      <w:r>
        <w:rPr>
          <w:rFonts w:hint="eastAsia" w:ascii="仿宋" w:hAnsi="仿宋" w:eastAsia="仿宋"/>
          <w:color w:val="000000"/>
          <w:sz w:val="24"/>
        </w:rPr>
        <w:t>（2）商务要求</w:t>
      </w:r>
    </w:p>
    <w:p>
      <w:pPr>
        <w:spacing w:line="360" w:lineRule="auto"/>
        <w:ind w:firstLine="480" w:firstLineChars="200"/>
        <w:rPr>
          <w:rFonts w:hint="eastAsia" w:ascii="仿宋" w:hAnsi="仿宋" w:eastAsia="仿宋"/>
          <w:color w:val="000000"/>
          <w:sz w:val="24"/>
        </w:rPr>
      </w:pPr>
      <w:r>
        <w:rPr>
          <w:rFonts w:hint="eastAsia" w:ascii="仿宋" w:hAnsi="仿宋" w:eastAsia="仿宋"/>
          <w:color w:val="000000"/>
          <w:sz w:val="24"/>
        </w:rPr>
        <w:t>一、服务期限：自合同签订之日起12个月</w:t>
      </w:r>
    </w:p>
    <w:p>
      <w:pPr>
        <w:spacing w:line="360" w:lineRule="auto"/>
        <w:ind w:firstLine="480" w:firstLineChars="200"/>
        <w:rPr>
          <w:rFonts w:hint="eastAsia" w:ascii="仿宋" w:hAnsi="仿宋" w:eastAsia="仿宋"/>
          <w:color w:val="000000"/>
          <w:sz w:val="24"/>
        </w:rPr>
      </w:pPr>
      <w:r>
        <w:rPr>
          <w:rFonts w:hint="eastAsia" w:ascii="仿宋" w:hAnsi="仿宋" w:eastAsia="仿宋"/>
          <w:color w:val="000000"/>
          <w:sz w:val="24"/>
        </w:rPr>
        <w:t>二、服务地点：采购人指定地点</w:t>
      </w:r>
    </w:p>
    <w:p>
      <w:pPr>
        <w:spacing w:line="360" w:lineRule="auto"/>
        <w:ind w:firstLine="480" w:firstLineChars="200"/>
        <w:rPr>
          <w:rFonts w:hint="eastAsia" w:ascii="仿宋" w:hAnsi="仿宋" w:eastAsia="仿宋"/>
          <w:color w:val="000000"/>
          <w:sz w:val="24"/>
        </w:rPr>
      </w:pPr>
      <w:r>
        <w:rPr>
          <w:rFonts w:hint="eastAsia" w:ascii="仿宋" w:hAnsi="仿宋" w:eastAsia="仿宋"/>
          <w:color w:val="000000"/>
          <w:sz w:val="24"/>
        </w:rPr>
        <w:t>三、运营管理范围和主要内容</w:t>
      </w:r>
    </w:p>
    <w:p>
      <w:pPr>
        <w:spacing w:line="360" w:lineRule="auto"/>
        <w:ind w:firstLine="480" w:firstLineChars="200"/>
        <w:rPr>
          <w:rFonts w:hint="eastAsia" w:ascii="仿宋" w:hAnsi="仿宋" w:eastAsia="仿宋"/>
          <w:color w:val="000000"/>
          <w:sz w:val="24"/>
        </w:rPr>
      </w:pPr>
      <w:r>
        <w:rPr>
          <w:rFonts w:hint="eastAsia" w:ascii="仿宋" w:hAnsi="仿宋" w:eastAsia="仿宋"/>
          <w:color w:val="000000"/>
          <w:sz w:val="24"/>
        </w:rPr>
        <w:t xml:space="preserve">   1、建立系统的管理体系</w:t>
      </w:r>
    </w:p>
    <w:p>
      <w:pPr>
        <w:spacing w:line="360" w:lineRule="auto"/>
        <w:ind w:firstLine="480" w:firstLineChars="200"/>
        <w:rPr>
          <w:rFonts w:hint="eastAsia" w:ascii="仿宋" w:hAnsi="仿宋" w:eastAsia="仿宋"/>
          <w:color w:val="000000"/>
          <w:sz w:val="24"/>
        </w:rPr>
      </w:pPr>
      <w:r>
        <w:rPr>
          <w:rFonts w:hint="eastAsia" w:ascii="仿宋" w:hAnsi="仿宋" w:eastAsia="仿宋"/>
          <w:color w:val="000000"/>
          <w:sz w:val="24"/>
        </w:rPr>
        <w:t>全县农村饮水安全工程运行维护管理，按照“政府主导、企业参与，统筹管理、分级管控”的原则，并以运营单位为全县农村饮水安全工程运行维护管理工作的主体，负责建立专业运维团队，制定运行维护管理日常工作制度，建立台账，规范档案管理，负责供水设备和配水管网的检修维护，指导和管理村级组织、水管员按职责开展日常运行维护工作。各乡镇人民政府、各村级组织负责协助运营单位落实运行维护管理队伍，根据运营单位制定的维护手册、操作规程和工作制度，做好农村饮水安全工程的日常运行、抄表收费、用户管理、站区卫生、巡查检查等工作，定期向运营单位报告运行维护情况，接受指导和工作安排。县水务局负责全县农村饮水安全工程运行维护管理工作的监督、指导和考核等工作，确保农村饮水安全工程运行规范、有序、高效。建立和完善管理制度，明确管理责任，执行考核奖罚机制，保障工程正常运行，确保农村饮水安全。</w:t>
      </w:r>
    </w:p>
    <w:p>
      <w:pPr>
        <w:spacing w:line="360" w:lineRule="auto"/>
        <w:ind w:firstLine="480" w:firstLineChars="200"/>
        <w:rPr>
          <w:rFonts w:hint="eastAsia" w:ascii="仿宋" w:hAnsi="仿宋" w:eastAsia="仿宋"/>
          <w:color w:val="000000"/>
          <w:sz w:val="24"/>
        </w:rPr>
      </w:pPr>
      <w:r>
        <w:rPr>
          <w:rFonts w:hint="eastAsia" w:ascii="仿宋" w:hAnsi="仿宋" w:eastAsia="仿宋"/>
          <w:color w:val="000000"/>
          <w:sz w:val="24"/>
        </w:rPr>
        <w:t>2、经营模式</w:t>
      </w:r>
    </w:p>
    <w:p>
      <w:pPr>
        <w:spacing w:line="360" w:lineRule="auto"/>
        <w:ind w:firstLine="480" w:firstLineChars="200"/>
        <w:rPr>
          <w:rFonts w:hint="eastAsia" w:ascii="仿宋" w:hAnsi="仿宋" w:eastAsia="仿宋"/>
          <w:color w:val="000000"/>
          <w:sz w:val="24"/>
        </w:rPr>
      </w:pPr>
      <w:r>
        <w:rPr>
          <w:rFonts w:hint="eastAsia" w:ascii="仿宋" w:hAnsi="仿宋" w:eastAsia="仿宋"/>
          <w:color w:val="000000"/>
          <w:sz w:val="24"/>
        </w:rPr>
        <w:t>本次运营管理模式采取自负盈亏，但当项目出现大整改、新扩建、管网更新等费用时，由运营单位做计划上报临高县水务局报批，协商解决。</w:t>
      </w:r>
    </w:p>
    <w:p>
      <w:pPr>
        <w:spacing w:line="360" w:lineRule="auto"/>
        <w:ind w:firstLine="480" w:firstLineChars="200"/>
        <w:rPr>
          <w:rFonts w:hint="eastAsia" w:ascii="仿宋" w:hAnsi="仿宋" w:eastAsia="仿宋"/>
          <w:color w:val="000000"/>
          <w:sz w:val="24"/>
        </w:rPr>
      </w:pPr>
      <w:r>
        <w:rPr>
          <w:rFonts w:hint="eastAsia" w:ascii="仿宋" w:hAnsi="仿宋" w:eastAsia="仿宋"/>
          <w:color w:val="000000"/>
          <w:sz w:val="24"/>
        </w:rPr>
        <w:t>3、组建专业的管理团队及区域化管理</w:t>
      </w:r>
    </w:p>
    <w:p>
      <w:pPr>
        <w:spacing w:line="360" w:lineRule="auto"/>
        <w:ind w:firstLine="480" w:firstLineChars="200"/>
        <w:rPr>
          <w:rFonts w:hint="eastAsia" w:ascii="仿宋" w:hAnsi="仿宋" w:eastAsia="仿宋"/>
          <w:color w:val="000000"/>
          <w:sz w:val="24"/>
        </w:rPr>
      </w:pPr>
      <w:r>
        <w:rPr>
          <w:rFonts w:hint="eastAsia" w:ascii="仿宋" w:hAnsi="仿宋" w:eastAsia="仿宋"/>
          <w:color w:val="000000"/>
          <w:sz w:val="24"/>
        </w:rPr>
        <w:t>根据临高县农村饮水工程点多面广的特点250宗农村集中饮水站518个自然村由运营单位分2个区域管理，每个区域有巡检和抢修小组，巡检小组负责指导、监管农饮水管理员开展相关日常工作，确保农饮水站供水保障，同时负责农饮水管理员的培训和水质化验及日常维护管理工作，对全县250宗农村饮水安全工程518个自然村每2个月技术性维护巡查全覆盖一次。抢修小组负责所属区域水塔的清洗、应急保障供水、管网的应急抢修。运营单位人员人工成本由运营单位承担，农饮水水管员收益保持现状。</w:t>
      </w:r>
    </w:p>
    <w:p>
      <w:pPr>
        <w:spacing w:line="360" w:lineRule="auto"/>
        <w:ind w:firstLine="480" w:firstLineChars="200"/>
        <w:rPr>
          <w:rFonts w:hint="eastAsia" w:ascii="仿宋" w:hAnsi="仿宋" w:eastAsia="仿宋"/>
          <w:color w:val="000000"/>
          <w:sz w:val="24"/>
        </w:rPr>
      </w:pPr>
      <w:r>
        <w:rPr>
          <w:rFonts w:hint="eastAsia" w:ascii="仿宋" w:hAnsi="仿宋" w:eastAsia="仿宋"/>
          <w:color w:val="000000"/>
          <w:sz w:val="24"/>
        </w:rPr>
        <w:t>4、增设农饮水服务热线电话</w:t>
      </w:r>
    </w:p>
    <w:p>
      <w:pPr>
        <w:spacing w:line="360" w:lineRule="auto"/>
        <w:ind w:firstLine="480" w:firstLineChars="200"/>
        <w:rPr>
          <w:rFonts w:hint="eastAsia" w:ascii="仿宋" w:hAnsi="仿宋" w:eastAsia="仿宋"/>
          <w:color w:val="000000"/>
          <w:sz w:val="24"/>
        </w:rPr>
      </w:pPr>
      <w:r>
        <w:rPr>
          <w:rFonts w:hint="eastAsia" w:ascii="仿宋" w:hAnsi="仿宋" w:eastAsia="仿宋"/>
          <w:color w:val="000000"/>
          <w:sz w:val="24"/>
        </w:rPr>
        <w:t>提供农饮水业务咨询、业务受理、应急抢修、应急供水及投等专业服务。</w:t>
      </w:r>
    </w:p>
    <w:p>
      <w:pPr>
        <w:spacing w:line="360" w:lineRule="auto"/>
        <w:ind w:firstLine="480" w:firstLineChars="200"/>
        <w:rPr>
          <w:rFonts w:hint="eastAsia" w:ascii="仿宋" w:hAnsi="仿宋" w:eastAsia="仿宋"/>
          <w:color w:val="000000"/>
          <w:sz w:val="24"/>
        </w:rPr>
      </w:pPr>
      <w:r>
        <w:rPr>
          <w:rFonts w:hint="eastAsia" w:ascii="仿宋" w:hAnsi="仿宋" w:eastAsia="仿宋"/>
          <w:color w:val="000000"/>
          <w:sz w:val="24"/>
        </w:rPr>
        <w:t>5、农饮水水管员系统化管理</w:t>
      </w:r>
    </w:p>
    <w:p>
      <w:pPr>
        <w:spacing w:line="360" w:lineRule="auto"/>
        <w:ind w:firstLine="480" w:firstLineChars="200"/>
        <w:rPr>
          <w:rFonts w:hint="eastAsia" w:ascii="仿宋" w:hAnsi="仿宋" w:eastAsia="仿宋"/>
          <w:color w:val="000000"/>
          <w:sz w:val="24"/>
        </w:rPr>
      </w:pPr>
      <w:r>
        <w:rPr>
          <w:rFonts w:hint="eastAsia" w:ascii="仿宋" w:hAnsi="仿宋" w:eastAsia="仿宋"/>
          <w:color w:val="000000"/>
          <w:sz w:val="24"/>
        </w:rPr>
        <w:t>收集全套250宗农饮水管理员基本信息表，进行统一管理；明确日常管理工作，定期进行业务知识培训及工作绩效考核。考核方式由区域运管小组、村委会及村民代表进行评价组成考核结果，考核结果不符合岗位要求的人员，由村委会考虑建议调岗或辞退。</w:t>
      </w:r>
    </w:p>
    <w:p>
      <w:pPr>
        <w:spacing w:line="360" w:lineRule="auto"/>
        <w:ind w:firstLine="480" w:firstLineChars="200"/>
        <w:rPr>
          <w:rFonts w:hint="eastAsia" w:ascii="仿宋" w:hAnsi="仿宋" w:eastAsia="仿宋"/>
          <w:color w:val="000000"/>
          <w:sz w:val="24"/>
        </w:rPr>
      </w:pPr>
      <w:r>
        <w:rPr>
          <w:rFonts w:hint="eastAsia" w:ascii="仿宋" w:hAnsi="仿宋" w:eastAsia="仿宋"/>
          <w:color w:val="000000"/>
          <w:sz w:val="24"/>
        </w:rPr>
        <w:t>6、培训方式及计划</w:t>
      </w:r>
    </w:p>
    <w:p>
      <w:pPr>
        <w:spacing w:line="360" w:lineRule="auto"/>
        <w:ind w:firstLine="480" w:firstLineChars="200"/>
        <w:rPr>
          <w:rFonts w:hint="eastAsia" w:ascii="仿宋" w:hAnsi="仿宋" w:eastAsia="仿宋"/>
          <w:color w:val="000000"/>
          <w:sz w:val="24"/>
        </w:rPr>
      </w:pPr>
      <w:r>
        <w:rPr>
          <w:rFonts w:hint="eastAsia" w:ascii="仿宋" w:hAnsi="仿宋" w:eastAsia="仿宋"/>
          <w:color w:val="000000"/>
          <w:sz w:val="24"/>
        </w:rPr>
        <w:t>现场实操加集中培训，现场实操每季度进行1次，集中培训每年进行1次以上。</w:t>
      </w:r>
    </w:p>
    <w:p>
      <w:pPr>
        <w:spacing w:line="560" w:lineRule="exact"/>
        <w:rPr>
          <w:rFonts w:hint="eastAsia" w:ascii="仿宋" w:hAnsi="仿宋" w:eastAsia="仿宋"/>
          <w:b/>
          <w:bCs/>
          <w:sz w:val="24"/>
        </w:rPr>
      </w:pPr>
      <w:r>
        <w:rPr>
          <w:rFonts w:hint="eastAsia" w:ascii="仿宋" w:hAnsi="仿宋" w:eastAsia="仿宋"/>
          <w:b/>
          <w:bCs/>
          <w:sz w:val="24"/>
        </w:rPr>
        <w:t>三、付款方式</w:t>
      </w:r>
    </w:p>
    <w:p>
      <w:pPr>
        <w:spacing w:line="360" w:lineRule="auto"/>
        <w:ind w:firstLine="480" w:firstLineChars="200"/>
        <w:rPr>
          <w:rFonts w:hint="eastAsia" w:ascii="仿宋" w:hAnsi="仿宋" w:eastAsia="仿宋"/>
          <w:color w:val="000000"/>
          <w:sz w:val="24"/>
        </w:rPr>
      </w:pPr>
      <w:r>
        <w:rPr>
          <w:rFonts w:hint="eastAsia" w:ascii="仿宋" w:hAnsi="仿宋" w:eastAsia="仿宋"/>
          <w:color w:val="000000"/>
          <w:sz w:val="24"/>
        </w:rPr>
        <w:t>合同运营费用付款周期为每个季度（三个月）支付一次，一年的合同期共需支付4次，具体方式如下：</w:t>
      </w:r>
    </w:p>
    <w:p>
      <w:pPr>
        <w:spacing w:line="360" w:lineRule="auto"/>
        <w:ind w:firstLine="480" w:firstLineChars="200"/>
        <w:rPr>
          <w:rFonts w:hint="eastAsia" w:ascii="仿宋" w:hAnsi="仿宋" w:eastAsia="仿宋"/>
          <w:color w:val="000000"/>
          <w:sz w:val="24"/>
        </w:rPr>
      </w:pPr>
      <w:r>
        <w:rPr>
          <w:rFonts w:hint="eastAsia" w:ascii="仿宋" w:hAnsi="仿宋" w:eastAsia="仿宋"/>
          <w:color w:val="000000"/>
          <w:sz w:val="24"/>
        </w:rPr>
        <w:t>1、第一季度到第三季度每个季度按照合同总价的20%支付，即每个季度期满后的下个月由甲方向乙方支付上一个季度运营费用：即人民币伍拾叁万壹仟玖佰肆拾圆整（53.194万）；</w:t>
      </w:r>
    </w:p>
    <w:p>
      <w:pPr>
        <w:spacing w:line="360" w:lineRule="auto"/>
        <w:ind w:firstLine="480" w:firstLineChars="200"/>
        <w:rPr>
          <w:rFonts w:hint="eastAsia" w:ascii="仿宋" w:hAnsi="仿宋" w:eastAsia="仿宋"/>
          <w:color w:val="000000"/>
          <w:sz w:val="24"/>
        </w:rPr>
      </w:pPr>
      <w:r>
        <w:rPr>
          <w:rFonts w:hint="eastAsia" w:ascii="仿宋" w:hAnsi="仿宋" w:eastAsia="仿宋"/>
          <w:color w:val="000000"/>
          <w:sz w:val="24"/>
        </w:rPr>
        <w:t>2、第四季度运营费用根据项目年度考核得分核算后由甲方一次性支付剩余费用（剩余费用=项目年度考核结算费用-前三季度已支付费用）；</w:t>
      </w:r>
    </w:p>
    <w:p>
      <w:pPr>
        <w:spacing w:line="360" w:lineRule="auto"/>
        <w:ind w:firstLine="480" w:firstLineChars="200"/>
        <w:rPr>
          <w:rFonts w:hint="eastAsia" w:ascii="仿宋" w:hAnsi="仿宋" w:eastAsia="仿宋"/>
          <w:color w:val="000000"/>
          <w:sz w:val="24"/>
        </w:rPr>
      </w:pPr>
      <w:r>
        <w:rPr>
          <w:rFonts w:hint="eastAsia" w:ascii="仿宋" w:hAnsi="仿宋" w:eastAsia="仿宋"/>
          <w:color w:val="000000"/>
          <w:sz w:val="24"/>
        </w:rPr>
        <w:t>3、乙方应在每个季度期满后的下个月初开具相应额度的增值税发票给甲方，甲方在收到发票后5个工作日内给乙方办理相应的支付手续。</w:t>
      </w:r>
    </w:p>
    <w:p>
      <w:pPr>
        <w:spacing w:line="560" w:lineRule="exact"/>
        <w:rPr>
          <w:rFonts w:ascii="仿宋" w:hAnsi="仿宋" w:eastAsia="仿宋"/>
          <w:b/>
          <w:sz w:val="24"/>
        </w:rPr>
      </w:pPr>
      <w:r>
        <w:rPr>
          <w:rFonts w:hint="eastAsia" w:ascii="仿宋" w:hAnsi="仿宋" w:eastAsia="仿宋"/>
          <w:b/>
          <w:bCs/>
          <w:sz w:val="24"/>
          <w:szCs w:val="24"/>
        </w:rPr>
        <w:t>四、</w:t>
      </w:r>
      <w:r>
        <w:rPr>
          <w:rFonts w:hint="eastAsia" w:ascii="仿宋" w:hAnsi="仿宋" w:eastAsia="仿宋"/>
          <w:b/>
          <w:sz w:val="24"/>
        </w:rPr>
        <w:t>考核标准和方法：</w:t>
      </w:r>
    </w:p>
    <w:p>
      <w:pPr>
        <w:spacing w:line="360" w:lineRule="auto"/>
        <w:ind w:firstLine="480" w:firstLineChars="200"/>
        <w:rPr>
          <w:rFonts w:ascii="仿宋" w:hAnsi="仿宋" w:eastAsia="仿宋"/>
          <w:color w:val="000000"/>
          <w:sz w:val="24"/>
        </w:rPr>
      </w:pPr>
      <w:r>
        <w:rPr>
          <w:rFonts w:hint="eastAsia" w:ascii="仿宋" w:hAnsi="仿宋" w:eastAsia="仿宋"/>
          <w:color w:val="000000"/>
          <w:sz w:val="24"/>
        </w:rPr>
        <w:t>项目考核分两种考核：水质达标考核和管理水平考核。</w:t>
      </w:r>
    </w:p>
    <w:p>
      <w:pPr>
        <w:spacing w:line="360" w:lineRule="auto"/>
        <w:ind w:firstLine="480" w:firstLineChars="200"/>
        <w:rPr>
          <w:rFonts w:ascii="仿宋" w:hAnsi="仿宋" w:eastAsia="仿宋"/>
          <w:color w:val="000000"/>
          <w:sz w:val="24"/>
        </w:rPr>
      </w:pPr>
      <w:r>
        <w:rPr>
          <w:rFonts w:hint="eastAsia" w:ascii="仿宋" w:hAnsi="仿宋" w:eastAsia="仿宋"/>
          <w:color w:val="000000"/>
          <w:sz w:val="24"/>
        </w:rPr>
        <w:t>1、水质达标考核：乙方自检的合格率90%以上、临高县卫健委对临高县农村饮水安全（丰枯期）监测水质合格率80%以上、临高县生态环境局监测水源达到Ⅲ类以上。</w:t>
      </w:r>
    </w:p>
    <w:p>
      <w:pPr>
        <w:spacing w:line="360" w:lineRule="auto"/>
        <w:ind w:firstLine="480" w:firstLineChars="200"/>
        <w:rPr>
          <w:rFonts w:ascii="仿宋" w:hAnsi="仿宋" w:eastAsia="仿宋"/>
          <w:color w:val="000000"/>
          <w:sz w:val="24"/>
        </w:rPr>
      </w:pPr>
      <w:r>
        <w:rPr>
          <w:rFonts w:hint="eastAsia" w:ascii="仿宋" w:hAnsi="仿宋" w:eastAsia="仿宋"/>
          <w:color w:val="000000"/>
          <w:sz w:val="24"/>
        </w:rPr>
        <w:t>2、管理水平考核年终一次，年度运营费用根据《年度考核表》得分进行核算，考核得分低于80分，按运营合同总价的80%保底结算，大于等于80分但小于90分，按运营合同总价的90%进行结算，大于等于90分，按运营合同总价100%进行结算。如省级考核该项目管理达到优秀标准，可以获得相应奖励。</w:t>
      </w:r>
    </w:p>
    <w:p>
      <w:pPr>
        <w:pStyle w:val="5"/>
        <w:ind w:firstLine="3840" w:firstLineChars="1200"/>
        <w:rPr>
          <w:rFonts w:ascii="仿宋" w:hAnsi="仿宋" w:eastAsia="仿宋"/>
        </w:rPr>
      </w:pPr>
      <w:r>
        <w:rPr>
          <w:rFonts w:hint="eastAsia" w:ascii="仿宋" w:hAnsi="仿宋" w:eastAsia="仿宋" w:cs="仿宋"/>
          <w:sz w:val="32"/>
          <w:szCs w:val="32"/>
        </w:rPr>
        <w:t>年度考核表</w:t>
      </w:r>
    </w:p>
    <w:tbl>
      <w:tblPr>
        <w:tblStyle w:val="3"/>
        <w:tblW w:w="5004" w:type="pct"/>
        <w:tblInd w:w="113" w:type="dxa"/>
        <w:tblLayout w:type="fixed"/>
        <w:tblCellMar>
          <w:top w:w="0" w:type="dxa"/>
          <w:left w:w="108" w:type="dxa"/>
          <w:bottom w:w="0" w:type="dxa"/>
          <w:right w:w="108" w:type="dxa"/>
        </w:tblCellMar>
      </w:tblPr>
      <w:tblGrid>
        <w:gridCol w:w="411"/>
        <w:gridCol w:w="985"/>
        <w:gridCol w:w="1254"/>
        <w:gridCol w:w="681"/>
        <w:gridCol w:w="5199"/>
      </w:tblGrid>
      <w:tr>
        <w:tblPrEx>
          <w:tblCellMar>
            <w:top w:w="0" w:type="dxa"/>
            <w:left w:w="108" w:type="dxa"/>
            <w:bottom w:w="0" w:type="dxa"/>
            <w:right w:w="108" w:type="dxa"/>
          </w:tblCellMar>
        </w:tblPrEx>
        <w:trPr>
          <w:trHeight w:val="555" w:hRule="atLeast"/>
        </w:trPr>
        <w:tc>
          <w:tcPr>
            <w:tcW w:w="24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序号</w:t>
            </w:r>
          </w:p>
        </w:tc>
        <w:tc>
          <w:tcPr>
            <w:tcW w:w="577" w:type="pct"/>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项目名称</w:t>
            </w:r>
          </w:p>
        </w:tc>
        <w:tc>
          <w:tcPr>
            <w:tcW w:w="734" w:type="pct"/>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考核内容</w:t>
            </w:r>
          </w:p>
        </w:tc>
        <w:tc>
          <w:tcPr>
            <w:tcW w:w="399" w:type="pct"/>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分值</w:t>
            </w:r>
          </w:p>
        </w:tc>
        <w:tc>
          <w:tcPr>
            <w:tcW w:w="3047" w:type="pct"/>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评分标准</w:t>
            </w:r>
          </w:p>
        </w:tc>
      </w:tr>
      <w:tr>
        <w:tblPrEx>
          <w:tblCellMar>
            <w:top w:w="0" w:type="dxa"/>
            <w:left w:w="108" w:type="dxa"/>
            <w:bottom w:w="0" w:type="dxa"/>
            <w:right w:w="108" w:type="dxa"/>
          </w:tblCellMar>
        </w:tblPrEx>
        <w:trPr>
          <w:trHeight w:val="570" w:hRule="atLeast"/>
        </w:trPr>
        <w:tc>
          <w:tcPr>
            <w:tcW w:w="240" w:type="pct"/>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w:t>
            </w:r>
          </w:p>
        </w:tc>
        <w:tc>
          <w:tcPr>
            <w:tcW w:w="577" w:type="pct"/>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现场管理（4）</w:t>
            </w:r>
          </w:p>
        </w:tc>
        <w:tc>
          <w:tcPr>
            <w:tcW w:w="734" w:type="pct"/>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上墙制度</w:t>
            </w:r>
          </w:p>
        </w:tc>
        <w:tc>
          <w:tcPr>
            <w:tcW w:w="399" w:type="pct"/>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w:t>
            </w:r>
          </w:p>
        </w:tc>
        <w:tc>
          <w:tcPr>
            <w:tcW w:w="3047" w:type="pct"/>
            <w:tcBorders>
              <w:top w:val="nil"/>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1、规章制度上墙不齐全，每项扣0.5分。</w:t>
            </w:r>
            <w:r>
              <w:rPr>
                <w:rFonts w:hint="eastAsia" w:ascii="仿宋" w:hAnsi="仿宋" w:eastAsia="仿宋" w:cs="宋体"/>
                <w:color w:val="000000"/>
                <w:kern w:val="0"/>
                <w:szCs w:val="21"/>
              </w:rPr>
              <w:br w:type="textWrapping"/>
            </w:r>
            <w:r>
              <w:rPr>
                <w:rFonts w:hint="eastAsia" w:ascii="仿宋" w:hAnsi="仿宋" w:eastAsia="仿宋" w:cs="宋体"/>
                <w:color w:val="000000"/>
                <w:kern w:val="0"/>
                <w:szCs w:val="21"/>
              </w:rPr>
              <w:t>2、操作规程上墙不齐全，每项扣0.5分。</w:t>
            </w:r>
          </w:p>
        </w:tc>
      </w:tr>
      <w:tr>
        <w:tblPrEx>
          <w:tblCellMar>
            <w:top w:w="0" w:type="dxa"/>
            <w:left w:w="108" w:type="dxa"/>
            <w:bottom w:w="0" w:type="dxa"/>
            <w:right w:w="108" w:type="dxa"/>
          </w:tblCellMar>
        </w:tblPrEx>
        <w:trPr>
          <w:trHeight w:val="570" w:hRule="atLeast"/>
        </w:trPr>
        <w:tc>
          <w:tcPr>
            <w:tcW w:w="240"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Cs w:val="21"/>
              </w:rPr>
            </w:pPr>
          </w:p>
        </w:tc>
        <w:tc>
          <w:tcPr>
            <w:tcW w:w="577"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Cs w:val="21"/>
              </w:rPr>
            </w:pPr>
          </w:p>
        </w:tc>
        <w:tc>
          <w:tcPr>
            <w:tcW w:w="734" w:type="pct"/>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现场标识</w:t>
            </w:r>
          </w:p>
        </w:tc>
        <w:tc>
          <w:tcPr>
            <w:tcW w:w="399" w:type="pct"/>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w:t>
            </w:r>
          </w:p>
        </w:tc>
        <w:tc>
          <w:tcPr>
            <w:tcW w:w="3047" w:type="pct"/>
            <w:tcBorders>
              <w:top w:val="nil"/>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现场设备设施及配套电气标识不齐全，每项扣0.5分。</w:t>
            </w:r>
          </w:p>
        </w:tc>
      </w:tr>
      <w:tr>
        <w:tblPrEx>
          <w:tblCellMar>
            <w:top w:w="0" w:type="dxa"/>
            <w:left w:w="108" w:type="dxa"/>
            <w:bottom w:w="0" w:type="dxa"/>
            <w:right w:w="108" w:type="dxa"/>
          </w:tblCellMar>
        </w:tblPrEx>
        <w:trPr>
          <w:trHeight w:val="570" w:hRule="atLeast"/>
        </w:trPr>
        <w:tc>
          <w:tcPr>
            <w:tcW w:w="240" w:type="pct"/>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w:t>
            </w:r>
          </w:p>
        </w:tc>
        <w:tc>
          <w:tcPr>
            <w:tcW w:w="577" w:type="pct"/>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日常维护（28）</w:t>
            </w:r>
          </w:p>
        </w:tc>
        <w:tc>
          <w:tcPr>
            <w:tcW w:w="734" w:type="pct"/>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技能培训</w:t>
            </w:r>
          </w:p>
        </w:tc>
        <w:tc>
          <w:tcPr>
            <w:tcW w:w="399" w:type="pct"/>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5</w:t>
            </w:r>
          </w:p>
        </w:tc>
        <w:tc>
          <w:tcPr>
            <w:tcW w:w="3047" w:type="pct"/>
            <w:tcBorders>
              <w:top w:val="nil"/>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每年对水管员进行供水操作技能和供水工艺常识培训不少于1次，抽检一次不合格扣2.5分。</w:t>
            </w:r>
          </w:p>
        </w:tc>
      </w:tr>
      <w:tr>
        <w:tblPrEx>
          <w:tblCellMar>
            <w:top w:w="0" w:type="dxa"/>
            <w:left w:w="108" w:type="dxa"/>
            <w:bottom w:w="0" w:type="dxa"/>
            <w:right w:w="108" w:type="dxa"/>
          </w:tblCellMar>
        </w:tblPrEx>
        <w:trPr>
          <w:trHeight w:val="570" w:hRule="atLeast"/>
        </w:trPr>
        <w:tc>
          <w:tcPr>
            <w:tcW w:w="240" w:type="pct"/>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仿宋" w:hAnsi="仿宋" w:eastAsia="仿宋" w:cs="宋体"/>
                <w:color w:val="000000"/>
                <w:kern w:val="0"/>
                <w:szCs w:val="21"/>
              </w:rPr>
            </w:pPr>
          </w:p>
        </w:tc>
        <w:tc>
          <w:tcPr>
            <w:tcW w:w="577" w:type="pct"/>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仿宋" w:hAnsi="仿宋" w:eastAsia="仿宋" w:cs="宋体"/>
                <w:color w:val="000000"/>
                <w:kern w:val="0"/>
                <w:szCs w:val="21"/>
              </w:rPr>
            </w:pPr>
          </w:p>
        </w:tc>
        <w:tc>
          <w:tcPr>
            <w:tcW w:w="734" w:type="pct"/>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日常巡检</w:t>
            </w:r>
          </w:p>
        </w:tc>
        <w:tc>
          <w:tcPr>
            <w:tcW w:w="399" w:type="pct"/>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8</w:t>
            </w:r>
          </w:p>
        </w:tc>
        <w:tc>
          <w:tcPr>
            <w:tcW w:w="3047" w:type="pct"/>
            <w:tcBorders>
              <w:top w:val="nil"/>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日常巡检和定期检查记录、月报不全，每项扣2分。</w:t>
            </w:r>
          </w:p>
        </w:tc>
      </w:tr>
      <w:tr>
        <w:tblPrEx>
          <w:tblCellMar>
            <w:top w:w="0" w:type="dxa"/>
            <w:left w:w="108" w:type="dxa"/>
            <w:bottom w:w="0" w:type="dxa"/>
            <w:right w:w="108" w:type="dxa"/>
          </w:tblCellMar>
        </w:tblPrEx>
        <w:trPr>
          <w:trHeight w:val="570" w:hRule="atLeast"/>
        </w:trPr>
        <w:tc>
          <w:tcPr>
            <w:tcW w:w="240" w:type="pct"/>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仿宋" w:hAnsi="仿宋" w:eastAsia="仿宋" w:cs="宋体"/>
                <w:color w:val="000000"/>
                <w:kern w:val="0"/>
                <w:szCs w:val="21"/>
              </w:rPr>
            </w:pPr>
          </w:p>
        </w:tc>
        <w:tc>
          <w:tcPr>
            <w:tcW w:w="577" w:type="pct"/>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仿宋" w:hAnsi="仿宋" w:eastAsia="仿宋" w:cs="宋体"/>
                <w:color w:val="000000"/>
                <w:kern w:val="0"/>
                <w:szCs w:val="21"/>
              </w:rPr>
            </w:pPr>
          </w:p>
        </w:tc>
        <w:tc>
          <w:tcPr>
            <w:tcW w:w="734" w:type="pct"/>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水塔清洁</w:t>
            </w:r>
          </w:p>
        </w:tc>
        <w:tc>
          <w:tcPr>
            <w:tcW w:w="399" w:type="pct"/>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8</w:t>
            </w:r>
          </w:p>
        </w:tc>
        <w:tc>
          <w:tcPr>
            <w:tcW w:w="3047" w:type="pct"/>
            <w:tcBorders>
              <w:top w:val="nil"/>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出厂水浊度不达标，每次扣2分。</w:t>
            </w:r>
          </w:p>
        </w:tc>
      </w:tr>
      <w:tr>
        <w:tblPrEx>
          <w:tblCellMar>
            <w:top w:w="0" w:type="dxa"/>
            <w:left w:w="108" w:type="dxa"/>
            <w:bottom w:w="0" w:type="dxa"/>
            <w:right w:w="108" w:type="dxa"/>
          </w:tblCellMar>
        </w:tblPrEx>
        <w:trPr>
          <w:trHeight w:val="570" w:hRule="atLeast"/>
        </w:trPr>
        <w:tc>
          <w:tcPr>
            <w:tcW w:w="240" w:type="pct"/>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仿宋" w:hAnsi="仿宋" w:eastAsia="仿宋" w:cs="宋体"/>
                <w:color w:val="000000"/>
                <w:kern w:val="0"/>
                <w:szCs w:val="21"/>
              </w:rPr>
            </w:pPr>
          </w:p>
        </w:tc>
        <w:tc>
          <w:tcPr>
            <w:tcW w:w="577" w:type="pct"/>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仿宋" w:hAnsi="仿宋" w:eastAsia="仿宋" w:cs="宋体"/>
                <w:color w:val="000000"/>
                <w:kern w:val="0"/>
                <w:szCs w:val="21"/>
              </w:rPr>
            </w:pPr>
          </w:p>
        </w:tc>
        <w:tc>
          <w:tcPr>
            <w:tcW w:w="734" w:type="pct"/>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环境卫生</w:t>
            </w:r>
          </w:p>
        </w:tc>
        <w:tc>
          <w:tcPr>
            <w:tcW w:w="399" w:type="pct"/>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6</w:t>
            </w:r>
          </w:p>
        </w:tc>
        <w:tc>
          <w:tcPr>
            <w:tcW w:w="3047" w:type="pct"/>
            <w:tcBorders>
              <w:top w:val="nil"/>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供水工程围墙围护范围内无杂草、垃圾堆放，每宗有杂草、垃圾扣2分。</w:t>
            </w:r>
          </w:p>
        </w:tc>
      </w:tr>
      <w:tr>
        <w:tblPrEx>
          <w:tblCellMar>
            <w:top w:w="0" w:type="dxa"/>
            <w:left w:w="108" w:type="dxa"/>
            <w:bottom w:w="0" w:type="dxa"/>
            <w:right w:w="108" w:type="dxa"/>
          </w:tblCellMar>
        </w:tblPrEx>
        <w:trPr>
          <w:trHeight w:val="570" w:hRule="atLeast"/>
        </w:trPr>
        <w:tc>
          <w:tcPr>
            <w:tcW w:w="240" w:type="pct"/>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仿宋" w:hAnsi="仿宋" w:eastAsia="仿宋" w:cs="宋体"/>
                <w:color w:val="000000"/>
                <w:kern w:val="0"/>
                <w:szCs w:val="21"/>
              </w:rPr>
            </w:pPr>
          </w:p>
        </w:tc>
        <w:tc>
          <w:tcPr>
            <w:tcW w:w="577" w:type="pct"/>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仿宋" w:hAnsi="仿宋" w:eastAsia="仿宋" w:cs="宋体"/>
                <w:color w:val="000000"/>
                <w:kern w:val="0"/>
                <w:szCs w:val="21"/>
              </w:rPr>
            </w:pPr>
          </w:p>
        </w:tc>
        <w:tc>
          <w:tcPr>
            <w:tcW w:w="734" w:type="pct"/>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有明显的标牌，明确该水源作为饮用水源</w:t>
            </w:r>
          </w:p>
        </w:tc>
        <w:tc>
          <w:tcPr>
            <w:tcW w:w="399" w:type="pct"/>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w:t>
            </w:r>
          </w:p>
        </w:tc>
        <w:tc>
          <w:tcPr>
            <w:tcW w:w="3047" w:type="pct"/>
            <w:tcBorders>
              <w:top w:val="nil"/>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标识牌不完整，每处扣1分。</w:t>
            </w:r>
          </w:p>
        </w:tc>
      </w:tr>
      <w:tr>
        <w:tblPrEx>
          <w:tblCellMar>
            <w:top w:w="0" w:type="dxa"/>
            <w:left w:w="108" w:type="dxa"/>
            <w:bottom w:w="0" w:type="dxa"/>
            <w:right w:w="108" w:type="dxa"/>
          </w:tblCellMar>
        </w:tblPrEx>
        <w:trPr>
          <w:trHeight w:val="570" w:hRule="atLeast"/>
        </w:trPr>
        <w:tc>
          <w:tcPr>
            <w:tcW w:w="240" w:type="pct"/>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w:t>
            </w:r>
          </w:p>
        </w:tc>
        <w:tc>
          <w:tcPr>
            <w:tcW w:w="577" w:type="pct"/>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安全管理（24）</w:t>
            </w:r>
          </w:p>
        </w:tc>
        <w:tc>
          <w:tcPr>
            <w:tcW w:w="734" w:type="pct"/>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安全管理制度</w:t>
            </w:r>
          </w:p>
        </w:tc>
        <w:tc>
          <w:tcPr>
            <w:tcW w:w="399" w:type="pct"/>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w:t>
            </w:r>
          </w:p>
        </w:tc>
        <w:tc>
          <w:tcPr>
            <w:tcW w:w="3047" w:type="pct"/>
            <w:tcBorders>
              <w:top w:val="nil"/>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有健全的各级安全管理机构，否则扣1分；有健全的安全规章制度，否则扣1分。</w:t>
            </w:r>
          </w:p>
        </w:tc>
      </w:tr>
      <w:tr>
        <w:tblPrEx>
          <w:tblCellMar>
            <w:top w:w="0" w:type="dxa"/>
            <w:left w:w="108" w:type="dxa"/>
            <w:bottom w:w="0" w:type="dxa"/>
            <w:right w:w="108" w:type="dxa"/>
          </w:tblCellMar>
        </w:tblPrEx>
        <w:trPr>
          <w:trHeight w:val="570" w:hRule="atLeast"/>
        </w:trPr>
        <w:tc>
          <w:tcPr>
            <w:tcW w:w="240"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Cs w:val="21"/>
              </w:rPr>
            </w:pPr>
          </w:p>
        </w:tc>
        <w:tc>
          <w:tcPr>
            <w:tcW w:w="577"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Cs w:val="21"/>
              </w:rPr>
            </w:pPr>
          </w:p>
        </w:tc>
        <w:tc>
          <w:tcPr>
            <w:tcW w:w="734" w:type="pct"/>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安全规程</w:t>
            </w:r>
          </w:p>
        </w:tc>
        <w:tc>
          <w:tcPr>
            <w:tcW w:w="399" w:type="pct"/>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w:t>
            </w:r>
          </w:p>
        </w:tc>
        <w:tc>
          <w:tcPr>
            <w:tcW w:w="3047" w:type="pct"/>
            <w:tcBorders>
              <w:top w:val="nil"/>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操作规程不齐全，扣1分；审批手续不严格，扣1分。</w:t>
            </w:r>
          </w:p>
        </w:tc>
      </w:tr>
      <w:tr>
        <w:tblPrEx>
          <w:tblCellMar>
            <w:top w:w="0" w:type="dxa"/>
            <w:left w:w="108" w:type="dxa"/>
            <w:bottom w:w="0" w:type="dxa"/>
            <w:right w:w="108" w:type="dxa"/>
          </w:tblCellMar>
        </w:tblPrEx>
        <w:trPr>
          <w:trHeight w:val="570" w:hRule="atLeast"/>
        </w:trPr>
        <w:tc>
          <w:tcPr>
            <w:tcW w:w="240"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Cs w:val="21"/>
              </w:rPr>
            </w:pPr>
          </w:p>
        </w:tc>
        <w:tc>
          <w:tcPr>
            <w:tcW w:w="577"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Cs w:val="21"/>
              </w:rPr>
            </w:pPr>
          </w:p>
        </w:tc>
        <w:tc>
          <w:tcPr>
            <w:tcW w:w="734" w:type="pct"/>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安全事故</w:t>
            </w:r>
          </w:p>
        </w:tc>
        <w:tc>
          <w:tcPr>
            <w:tcW w:w="399" w:type="pct"/>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10</w:t>
            </w:r>
          </w:p>
        </w:tc>
        <w:tc>
          <w:tcPr>
            <w:tcW w:w="3047" w:type="pct"/>
            <w:tcBorders>
              <w:top w:val="nil"/>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有安全事故发生扣10分。</w:t>
            </w:r>
          </w:p>
        </w:tc>
      </w:tr>
      <w:tr>
        <w:tblPrEx>
          <w:tblCellMar>
            <w:top w:w="0" w:type="dxa"/>
            <w:left w:w="108" w:type="dxa"/>
            <w:bottom w:w="0" w:type="dxa"/>
            <w:right w:w="108" w:type="dxa"/>
          </w:tblCellMar>
        </w:tblPrEx>
        <w:trPr>
          <w:trHeight w:val="570" w:hRule="atLeast"/>
        </w:trPr>
        <w:tc>
          <w:tcPr>
            <w:tcW w:w="240"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Cs w:val="21"/>
              </w:rPr>
            </w:pPr>
          </w:p>
        </w:tc>
        <w:tc>
          <w:tcPr>
            <w:tcW w:w="577"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Cs w:val="21"/>
              </w:rPr>
            </w:pPr>
          </w:p>
        </w:tc>
        <w:tc>
          <w:tcPr>
            <w:tcW w:w="734" w:type="pct"/>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安全防护</w:t>
            </w:r>
          </w:p>
        </w:tc>
        <w:tc>
          <w:tcPr>
            <w:tcW w:w="399" w:type="pct"/>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10</w:t>
            </w:r>
          </w:p>
        </w:tc>
        <w:tc>
          <w:tcPr>
            <w:tcW w:w="3047" w:type="pct"/>
            <w:tcBorders>
              <w:top w:val="nil"/>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工作人员工作现场操作不当或不佩戴必需的安全保护措施，每次扣5分。</w:t>
            </w:r>
          </w:p>
        </w:tc>
      </w:tr>
      <w:tr>
        <w:tblPrEx>
          <w:tblCellMar>
            <w:top w:w="0" w:type="dxa"/>
            <w:left w:w="108" w:type="dxa"/>
            <w:bottom w:w="0" w:type="dxa"/>
            <w:right w:w="108" w:type="dxa"/>
          </w:tblCellMar>
        </w:tblPrEx>
        <w:trPr>
          <w:trHeight w:val="570" w:hRule="atLeast"/>
        </w:trPr>
        <w:tc>
          <w:tcPr>
            <w:tcW w:w="240"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Cs w:val="21"/>
              </w:rPr>
            </w:pPr>
          </w:p>
        </w:tc>
        <w:tc>
          <w:tcPr>
            <w:tcW w:w="577"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Cs w:val="21"/>
              </w:rPr>
            </w:pPr>
          </w:p>
        </w:tc>
        <w:tc>
          <w:tcPr>
            <w:tcW w:w="734" w:type="pct"/>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安全培训</w:t>
            </w:r>
          </w:p>
        </w:tc>
        <w:tc>
          <w:tcPr>
            <w:tcW w:w="399" w:type="pct"/>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w:t>
            </w:r>
          </w:p>
        </w:tc>
        <w:tc>
          <w:tcPr>
            <w:tcW w:w="3047" w:type="pct"/>
            <w:tcBorders>
              <w:top w:val="nil"/>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安全教育、培训每季度一次，未按计划组织培训每次扣1分。</w:t>
            </w:r>
          </w:p>
        </w:tc>
      </w:tr>
      <w:tr>
        <w:tblPrEx>
          <w:tblCellMar>
            <w:top w:w="0" w:type="dxa"/>
            <w:left w:w="108" w:type="dxa"/>
            <w:bottom w:w="0" w:type="dxa"/>
            <w:right w:w="108" w:type="dxa"/>
          </w:tblCellMar>
        </w:tblPrEx>
        <w:trPr>
          <w:trHeight w:val="570" w:hRule="atLeast"/>
        </w:trPr>
        <w:tc>
          <w:tcPr>
            <w:tcW w:w="240" w:type="pct"/>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4</w:t>
            </w:r>
          </w:p>
        </w:tc>
        <w:tc>
          <w:tcPr>
            <w:tcW w:w="577" w:type="pct"/>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档案管理（10）</w:t>
            </w:r>
          </w:p>
        </w:tc>
        <w:tc>
          <w:tcPr>
            <w:tcW w:w="734" w:type="pct"/>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运维记录</w:t>
            </w:r>
          </w:p>
        </w:tc>
        <w:tc>
          <w:tcPr>
            <w:tcW w:w="399" w:type="pct"/>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5</w:t>
            </w:r>
          </w:p>
        </w:tc>
        <w:tc>
          <w:tcPr>
            <w:tcW w:w="3047" w:type="pct"/>
            <w:tcBorders>
              <w:top w:val="nil"/>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运行台账、维修台账、加药记录等未及时填报每次扣1分。</w:t>
            </w:r>
          </w:p>
        </w:tc>
      </w:tr>
      <w:tr>
        <w:tblPrEx>
          <w:tblCellMar>
            <w:top w:w="0" w:type="dxa"/>
            <w:left w:w="108" w:type="dxa"/>
            <w:bottom w:w="0" w:type="dxa"/>
            <w:right w:w="108" w:type="dxa"/>
          </w:tblCellMar>
        </w:tblPrEx>
        <w:trPr>
          <w:trHeight w:val="570" w:hRule="atLeast"/>
        </w:trPr>
        <w:tc>
          <w:tcPr>
            <w:tcW w:w="240"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Cs w:val="21"/>
              </w:rPr>
            </w:pPr>
          </w:p>
        </w:tc>
        <w:tc>
          <w:tcPr>
            <w:tcW w:w="577" w:type="pct"/>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仿宋" w:hAnsi="仿宋" w:eastAsia="仿宋" w:cs="宋体"/>
                <w:color w:val="000000"/>
                <w:kern w:val="0"/>
                <w:szCs w:val="21"/>
              </w:rPr>
            </w:pPr>
          </w:p>
        </w:tc>
        <w:tc>
          <w:tcPr>
            <w:tcW w:w="734" w:type="pct"/>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应急维修记录</w:t>
            </w:r>
          </w:p>
        </w:tc>
        <w:tc>
          <w:tcPr>
            <w:tcW w:w="399" w:type="pct"/>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5</w:t>
            </w:r>
          </w:p>
        </w:tc>
        <w:tc>
          <w:tcPr>
            <w:tcW w:w="3047" w:type="pct"/>
            <w:tcBorders>
              <w:top w:val="nil"/>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处理应急维修记录不齐全、分类建档不规范，一次扣1分。</w:t>
            </w:r>
          </w:p>
        </w:tc>
      </w:tr>
      <w:tr>
        <w:tblPrEx>
          <w:tblCellMar>
            <w:top w:w="0" w:type="dxa"/>
            <w:left w:w="108" w:type="dxa"/>
            <w:bottom w:w="0" w:type="dxa"/>
            <w:right w:w="108" w:type="dxa"/>
          </w:tblCellMar>
        </w:tblPrEx>
        <w:trPr>
          <w:trHeight w:val="570" w:hRule="atLeast"/>
        </w:trPr>
        <w:tc>
          <w:tcPr>
            <w:tcW w:w="240" w:type="pct"/>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5</w:t>
            </w:r>
          </w:p>
        </w:tc>
        <w:tc>
          <w:tcPr>
            <w:tcW w:w="577" w:type="pct"/>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服务质量（34）</w:t>
            </w:r>
          </w:p>
        </w:tc>
        <w:tc>
          <w:tcPr>
            <w:tcW w:w="734" w:type="pct"/>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设备完好率</w:t>
            </w:r>
          </w:p>
        </w:tc>
        <w:tc>
          <w:tcPr>
            <w:tcW w:w="399" w:type="pct"/>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5</w:t>
            </w:r>
          </w:p>
        </w:tc>
        <w:tc>
          <w:tcPr>
            <w:tcW w:w="3047" w:type="pct"/>
            <w:tcBorders>
              <w:top w:val="nil"/>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设备完好率达到95%以上，每下降1%扣1分。</w:t>
            </w:r>
          </w:p>
        </w:tc>
      </w:tr>
      <w:tr>
        <w:tblPrEx>
          <w:tblCellMar>
            <w:top w:w="0" w:type="dxa"/>
            <w:left w:w="108" w:type="dxa"/>
            <w:bottom w:w="0" w:type="dxa"/>
            <w:right w:w="108" w:type="dxa"/>
          </w:tblCellMar>
        </w:tblPrEx>
        <w:trPr>
          <w:trHeight w:val="570" w:hRule="atLeast"/>
        </w:trPr>
        <w:tc>
          <w:tcPr>
            <w:tcW w:w="240"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Cs w:val="21"/>
              </w:rPr>
            </w:pPr>
          </w:p>
        </w:tc>
        <w:tc>
          <w:tcPr>
            <w:tcW w:w="577"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Cs w:val="21"/>
              </w:rPr>
            </w:pPr>
          </w:p>
        </w:tc>
        <w:tc>
          <w:tcPr>
            <w:tcW w:w="734" w:type="pct"/>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供水保障率</w:t>
            </w:r>
          </w:p>
        </w:tc>
        <w:tc>
          <w:tcPr>
            <w:tcW w:w="399" w:type="pct"/>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5</w:t>
            </w:r>
          </w:p>
        </w:tc>
        <w:tc>
          <w:tcPr>
            <w:tcW w:w="3047" w:type="pct"/>
            <w:tcBorders>
              <w:top w:val="nil"/>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供水保障率达95%以上，停水时间不超过24小时，出现未达标情况一次扣1分。</w:t>
            </w:r>
          </w:p>
        </w:tc>
      </w:tr>
      <w:tr>
        <w:tblPrEx>
          <w:tblCellMar>
            <w:top w:w="0" w:type="dxa"/>
            <w:left w:w="108" w:type="dxa"/>
            <w:bottom w:w="0" w:type="dxa"/>
            <w:right w:w="108" w:type="dxa"/>
          </w:tblCellMar>
        </w:tblPrEx>
        <w:trPr>
          <w:trHeight w:val="570" w:hRule="atLeast"/>
        </w:trPr>
        <w:tc>
          <w:tcPr>
            <w:tcW w:w="240"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Cs w:val="21"/>
              </w:rPr>
            </w:pPr>
          </w:p>
        </w:tc>
        <w:tc>
          <w:tcPr>
            <w:tcW w:w="577"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Cs w:val="21"/>
              </w:rPr>
            </w:pPr>
          </w:p>
        </w:tc>
        <w:tc>
          <w:tcPr>
            <w:tcW w:w="734" w:type="pct"/>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应急维修处理</w:t>
            </w:r>
          </w:p>
        </w:tc>
        <w:tc>
          <w:tcPr>
            <w:tcW w:w="399" w:type="pct"/>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6</w:t>
            </w:r>
          </w:p>
        </w:tc>
        <w:tc>
          <w:tcPr>
            <w:tcW w:w="3047" w:type="pct"/>
            <w:tcBorders>
              <w:top w:val="nil"/>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发现供水设备设施损坏或水质异常等事故，在接到反馈信息后2小时做出相应，24小时内组织处理。一宗不及时处理扣3分。</w:t>
            </w:r>
          </w:p>
        </w:tc>
      </w:tr>
      <w:tr>
        <w:tblPrEx>
          <w:tblCellMar>
            <w:top w:w="0" w:type="dxa"/>
            <w:left w:w="108" w:type="dxa"/>
            <w:bottom w:w="0" w:type="dxa"/>
            <w:right w:w="108" w:type="dxa"/>
          </w:tblCellMar>
        </w:tblPrEx>
        <w:trPr>
          <w:trHeight w:val="570" w:hRule="atLeast"/>
        </w:trPr>
        <w:tc>
          <w:tcPr>
            <w:tcW w:w="240"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Cs w:val="21"/>
              </w:rPr>
            </w:pPr>
          </w:p>
        </w:tc>
        <w:tc>
          <w:tcPr>
            <w:tcW w:w="577"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Cs w:val="21"/>
              </w:rPr>
            </w:pPr>
          </w:p>
        </w:tc>
        <w:tc>
          <w:tcPr>
            <w:tcW w:w="734" w:type="pct"/>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水质合格率</w:t>
            </w:r>
          </w:p>
        </w:tc>
        <w:tc>
          <w:tcPr>
            <w:tcW w:w="399" w:type="pct"/>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6</w:t>
            </w:r>
          </w:p>
        </w:tc>
        <w:tc>
          <w:tcPr>
            <w:tcW w:w="3047" w:type="pct"/>
            <w:tcBorders>
              <w:top w:val="nil"/>
              <w:left w:val="nil"/>
              <w:bottom w:val="single" w:color="auto" w:sz="4" w:space="0"/>
              <w:right w:val="single" w:color="auto" w:sz="4" w:space="0"/>
            </w:tcBorders>
            <w:shd w:val="clear" w:color="auto" w:fill="auto"/>
            <w:noWrap w:val="0"/>
            <w:vAlign w:val="center"/>
          </w:tcPr>
          <w:p>
            <w:pPr>
              <w:widowControl/>
              <w:spacing w:after="240"/>
              <w:jc w:val="left"/>
              <w:rPr>
                <w:rFonts w:ascii="仿宋" w:hAnsi="仿宋" w:eastAsia="仿宋" w:cs="宋体"/>
                <w:color w:val="000000"/>
                <w:kern w:val="0"/>
                <w:szCs w:val="21"/>
              </w:rPr>
            </w:pPr>
            <w:r>
              <w:rPr>
                <w:rFonts w:hint="eastAsia" w:ascii="仿宋" w:hAnsi="仿宋" w:eastAsia="仿宋" w:cs="宋体"/>
                <w:color w:val="000000"/>
                <w:kern w:val="0"/>
                <w:szCs w:val="21"/>
              </w:rPr>
              <w:t>卫生部门监测水质合格率达到省级要求标准的80%以上，检查中未达标扣6分。</w:t>
            </w:r>
          </w:p>
        </w:tc>
      </w:tr>
      <w:tr>
        <w:tblPrEx>
          <w:tblCellMar>
            <w:top w:w="0" w:type="dxa"/>
            <w:left w:w="108" w:type="dxa"/>
            <w:bottom w:w="0" w:type="dxa"/>
            <w:right w:w="108" w:type="dxa"/>
          </w:tblCellMar>
        </w:tblPrEx>
        <w:trPr>
          <w:trHeight w:val="570" w:hRule="atLeast"/>
        </w:trPr>
        <w:tc>
          <w:tcPr>
            <w:tcW w:w="240"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Cs w:val="21"/>
              </w:rPr>
            </w:pPr>
          </w:p>
        </w:tc>
        <w:tc>
          <w:tcPr>
            <w:tcW w:w="577"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Cs w:val="21"/>
              </w:rPr>
            </w:pPr>
          </w:p>
        </w:tc>
        <w:tc>
          <w:tcPr>
            <w:tcW w:w="734" w:type="pct"/>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水源保护</w:t>
            </w:r>
          </w:p>
        </w:tc>
        <w:tc>
          <w:tcPr>
            <w:tcW w:w="399" w:type="pct"/>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6</w:t>
            </w:r>
          </w:p>
        </w:tc>
        <w:tc>
          <w:tcPr>
            <w:tcW w:w="3047" w:type="pct"/>
            <w:tcBorders>
              <w:top w:val="nil"/>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按照水源地划定范围，做好水源地保护工作，源水水质达标率为90%。环保部门检查未达标扣6分。</w:t>
            </w:r>
          </w:p>
        </w:tc>
      </w:tr>
      <w:tr>
        <w:tblPrEx>
          <w:tblCellMar>
            <w:top w:w="0" w:type="dxa"/>
            <w:left w:w="108" w:type="dxa"/>
            <w:bottom w:w="0" w:type="dxa"/>
            <w:right w:w="108" w:type="dxa"/>
          </w:tblCellMar>
        </w:tblPrEx>
        <w:trPr>
          <w:trHeight w:val="570" w:hRule="atLeast"/>
        </w:trPr>
        <w:tc>
          <w:tcPr>
            <w:tcW w:w="240"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Cs w:val="21"/>
              </w:rPr>
            </w:pPr>
          </w:p>
        </w:tc>
        <w:tc>
          <w:tcPr>
            <w:tcW w:w="577"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Cs w:val="21"/>
              </w:rPr>
            </w:pPr>
          </w:p>
        </w:tc>
        <w:tc>
          <w:tcPr>
            <w:tcW w:w="734" w:type="pct"/>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群众满意度</w:t>
            </w:r>
          </w:p>
        </w:tc>
        <w:tc>
          <w:tcPr>
            <w:tcW w:w="399" w:type="pct"/>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6</w:t>
            </w:r>
          </w:p>
        </w:tc>
        <w:tc>
          <w:tcPr>
            <w:tcW w:w="3047" w:type="pct"/>
            <w:tcBorders>
              <w:top w:val="nil"/>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每次电话抽查6个服务点，有不满意每个点扣1分。</w:t>
            </w:r>
          </w:p>
        </w:tc>
      </w:tr>
      <w:tr>
        <w:tblPrEx>
          <w:tblCellMar>
            <w:top w:w="0" w:type="dxa"/>
            <w:left w:w="108" w:type="dxa"/>
            <w:bottom w:w="0" w:type="dxa"/>
            <w:right w:w="108" w:type="dxa"/>
          </w:tblCellMar>
        </w:tblPrEx>
        <w:trPr>
          <w:trHeight w:val="495" w:hRule="atLeast"/>
        </w:trPr>
        <w:tc>
          <w:tcPr>
            <w:tcW w:w="1552"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合计</w:t>
            </w:r>
          </w:p>
        </w:tc>
        <w:tc>
          <w:tcPr>
            <w:tcW w:w="39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100</w:t>
            </w:r>
          </w:p>
        </w:tc>
        <w:tc>
          <w:tcPr>
            <w:tcW w:w="3047"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bl>
    <w:p>
      <w:pPr>
        <w:spacing w:line="560" w:lineRule="exact"/>
        <w:rPr>
          <w:rFonts w:hint="eastAsia" w:ascii="仿宋" w:hAnsi="仿宋" w:eastAsia="仿宋"/>
          <w:b/>
          <w:sz w:val="24"/>
        </w:rPr>
      </w:pPr>
    </w:p>
    <w:p>
      <w:pPr>
        <w:spacing w:line="560" w:lineRule="exact"/>
        <w:rPr>
          <w:rFonts w:hint="eastAsia" w:ascii="仿宋" w:hAnsi="仿宋" w:eastAsia="仿宋"/>
          <w:color w:val="000000"/>
          <w:sz w:val="24"/>
        </w:rPr>
      </w:pPr>
      <w:r>
        <w:rPr>
          <w:rFonts w:hint="eastAsia" w:ascii="仿宋" w:hAnsi="仿宋" w:eastAsia="仿宋"/>
          <w:b/>
          <w:bCs/>
          <w:sz w:val="24"/>
          <w:szCs w:val="24"/>
        </w:rPr>
        <w:t>五、</w:t>
      </w:r>
      <w:r>
        <w:rPr>
          <w:rFonts w:hint="eastAsia" w:ascii="仿宋" w:hAnsi="仿宋" w:eastAsia="仿宋"/>
          <w:b/>
          <w:sz w:val="24"/>
        </w:rPr>
        <w:t>其他要求</w:t>
      </w:r>
    </w:p>
    <w:p>
      <w:pPr>
        <w:spacing w:line="360" w:lineRule="auto"/>
        <w:ind w:firstLine="480" w:firstLineChars="200"/>
        <w:rPr>
          <w:rFonts w:ascii="仿宋" w:hAnsi="仿宋" w:eastAsia="仿宋"/>
          <w:color w:val="000000"/>
          <w:sz w:val="24"/>
        </w:rPr>
      </w:pPr>
      <w:r>
        <w:rPr>
          <w:rFonts w:hint="eastAsia" w:ascii="仿宋" w:hAnsi="仿宋" w:eastAsia="仿宋"/>
          <w:color w:val="000000"/>
          <w:sz w:val="24"/>
        </w:rPr>
        <w:t>1、供应商必须响应谈判文件中提出的全部技术规格与要求。如果对其中某些条款不响应时，应在响应文件中逐条列出。</w:t>
      </w:r>
    </w:p>
    <w:p>
      <w:pPr>
        <w:spacing w:line="360" w:lineRule="auto"/>
        <w:ind w:firstLine="480"/>
        <w:rPr>
          <w:rFonts w:hint="eastAsia" w:ascii="仿宋" w:hAnsi="仿宋" w:eastAsia="仿宋"/>
          <w:color w:val="000000"/>
          <w:sz w:val="24"/>
        </w:rPr>
      </w:pPr>
      <w:r>
        <w:rPr>
          <w:rFonts w:ascii="仿宋" w:hAnsi="仿宋" w:eastAsia="仿宋"/>
          <w:color w:val="000000"/>
          <w:sz w:val="24"/>
        </w:rPr>
        <w:t>2</w:t>
      </w:r>
      <w:r>
        <w:rPr>
          <w:rFonts w:hint="eastAsia" w:ascii="仿宋" w:hAnsi="仿宋" w:eastAsia="仿宋"/>
          <w:color w:val="000000"/>
          <w:sz w:val="24"/>
        </w:rPr>
        <w:t>、凡涉及谈判文件的补充说明和修改，均以采购代理机构在媒体上发布的公告为准。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wZDNiZDM0N2YwYzFiNWRmMGI3MGUyM2IyNGVlNDYifQ=="/>
  </w:docVars>
  <w:rsids>
    <w:rsidRoot w:val="6380614B"/>
    <w:rsid w:val="638061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b/>
      <w:bCs/>
      <w:sz w:val="32"/>
      <w:szCs w:val="32"/>
    </w:rPr>
  </w:style>
  <w:style w:type="paragraph" w:customStyle="1" w:styleId="5">
    <w:name w:val="Default"/>
    <w:autoRedefine/>
    <w:qFormat/>
    <w:uiPriority w:val="99"/>
    <w:pPr>
      <w:widowControl w:val="0"/>
      <w:autoSpaceDE w:val="0"/>
      <w:autoSpaceDN w:val="0"/>
      <w:adjustRightInd w:val="0"/>
    </w:pPr>
    <w:rPr>
      <w:rFonts w:ascii="黑体" w:hAnsi="Calibri" w:eastAsia="宋体" w:cs="宋体"/>
      <w:color w:val="000000"/>
      <w:sz w:val="24"/>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2024-01-03T07:27:00Z</dcterms:created>
  <dc:creator>52Hertz</dc:creator>
  <cp:lastModifiedBy>52Hertz</cp:lastModifiedBy>
  <dcterms:modified xsi:type="dcterms:W3CDTF">2024-01-03T07:27:33Z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5AF6D4571AEF4DD2833E5BD3E0BE56FB_11</vt:lpwstr>
  </property>
</Properties>
</file>