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color w:val="auto"/>
          <w:highlight w:val="none"/>
        </w:rPr>
      </w:pPr>
    </w:p>
    <w:p>
      <w:pPr>
        <w:pStyle w:val="2"/>
        <w:spacing w:line="360" w:lineRule="auto"/>
        <w:jc w:val="center"/>
        <w:rPr>
          <w:rFonts w:ascii="宋体" w:hAnsi="宋体" w:eastAsia="宋体" w:cs="宋体"/>
          <w:color w:val="auto"/>
          <w:highlight w:val="none"/>
        </w:rPr>
      </w:pPr>
      <w:r>
        <w:rPr>
          <w:rFonts w:hint="eastAsia" w:ascii="宋体" w:hAnsi="宋体" w:eastAsia="宋体" w:cs="宋体"/>
          <w:color w:val="auto"/>
          <w:sz w:val="52"/>
          <w:szCs w:val="52"/>
          <w:highlight w:val="none"/>
        </w:rPr>
        <w:t>海口市桥梁和隧道设施养护项目监理（2024-2025年度）</w:t>
      </w: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8"/>
        <w:rPr>
          <w:color w:val="auto"/>
          <w:highlight w:val="none"/>
        </w:rPr>
      </w:pPr>
    </w:p>
    <w:p>
      <w:pPr>
        <w:pStyle w:val="11"/>
        <w:spacing w:line="360" w:lineRule="auto"/>
        <w:jc w:val="center"/>
        <w:outlineLvl w:val="0"/>
        <w:rPr>
          <w:rFonts w:asciiTheme="minorEastAsia" w:hAnsiTheme="minorEastAsia" w:eastAsiaTheme="minorEastAsia" w:cstheme="minorEastAsia"/>
          <w:b/>
          <w:color w:val="auto"/>
          <w:sz w:val="52"/>
          <w:szCs w:val="52"/>
          <w:highlight w:val="none"/>
        </w:rPr>
      </w:pPr>
      <w:bookmarkStart w:id="0" w:name="_Toc246826091"/>
      <w:bookmarkStart w:id="1" w:name="_Toc245887524"/>
      <w:bookmarkStart w:id="2" w:name="_Toc245888257"/>
      <w:bookmarkStart w:id="3" w:name="_Toc246825786"/>
      <w:r>
        <w:rPr>
          <w:rFonts w:hint="eastAsia" w:asciiTheme="minorEastAsia" w:hAnsiTheme="minorEastAsia" w:eastAsiaTheme="minorEastAsia" w:cstheme="minorEastAsia"/>
          <w:b/>
          <w:color w:val="auto"/>
          <w:sz w:val="52"/>
          <w:szCs w:val="52"/>
          <w:highlight w:val="none"/>
        </w:rPr>
        <w:t>采  购  文  件</w:t>
      </w: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p>
    <w:p>
      <w:pPr>
        <w:pStyle w:val="11"/>
        <w:spacing w:line="360" w:lineRule="auto"/>
        <w:jc w:val="left"/>
        <w:outlineLvl w:val="0"/>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项目编号：</w:t>
      </w:r>
      <w:bookmarkEnd w:id="0"/>
      <w:bookmarkEnd w:id="1"/>
      <w:bookmarkEnd w:id="2"/>
      <w:bookmarkEnd w:id="3"/>
      <w:bookmarkStart w:id="4" w:name="_Toc246826092"/>
      <w:bookmarkStart w:id="5" w:name="_Toc245888258"/>
      <w:bookmarkStart w:id="6" w:name="_Toc246825787"/>
      <w:bookmarkStart w:id="7" w:name="_Toc245887525"/>
      <w:r>
        <w:rPr>
          <w:rFonts w:hint="eastAsia" w:asciiTheme="minorEastAsia" w:hAnsiTheme="minorEastAsia" w:eastAsiaTheme="minorEastAsia" w:cstheme="minorEastAsia"/>
          <w:b/>
          <w:color w:val="auto"/>
          <w:sz w:val="28"/>
          <w:szCs w:val="28"/>
          <w:highlight w:val="none"/>
        </w:rPr>
        <w:t xml:space="preserve">HNZS2023-090     </w:t>
      </w:r>
      <w:bookmarkEnd w:id="4"/>
      <w:bookmarkEnd w:id="5"/>
      <w:bookmarkEnd w:id="6"/>
      <w:bookmarkEnd w:id="7"/>
      <w:bookmarkStart w:id="8" w:name="_Toc246825789"/>
      <w:bookmarkStart w:id="9" w:name="_Toc245887527"/>
      <w:bookmarkStart w:id="10" w:name="_Toc245888260"/>
      <w:bookmarkStart w:id="11" w:name="_Toc246826094"/>
    </w:p>
    <w:p>
      <w:pPr>
        <w:pStyle w:val="11"/>
        <w:spacing w:line="360" w:lineRule="auto"/>
        <w:jc w:val="left"/>
        <w:outlineLvl w:val="0"/>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采 购 人：</w:t>
      </w:r>
      <w:bookmarkEnd w:id="8"/>
      <w:bookmarkEnd w:id="9"/>
      <w:bookmarkEnd w:id="10"/>
      <w:bookmarkEnd w:id="11"/>
      <w:r>
        <w:rPr>
          <w:rFonts w:hint="eastAsia" w:asciiTheme="minorEastAsia" w:hAnsiTheme="minorEastAsia" w:eastAsiaTheme="minorEastAsia" w:cstheme="minorEastAsia"/>
          <w:b/>
          <w:color w:val="auto"/>
          <w:sz w:val="28"/>
          <w:szCs w:val="28"/>
          <w:highlight w:val="none"/>
        </w:rPr>
        <w:t xml:space="preserve">海口市市政管理局 </w:t>
      </w:r>
    </w:p>
    <w:p>
      <w:pPr>
        <w:pStyle w:val="11"/>
        <w:adjustRightInd w:val="0"/>
        <w:snapToGrid w:val="0"/>
        <w:spacing w:line="360" w:lineRule="auto"/>
        <w:outlineLvl w:val="0"/>
        <w:rPr>
          <w:rFonts w:asciiTheme="minorEastAsia" w:hAnsiTheme="minorEastAsia" w:eastAsiaTheme="minorEastAsia" w:cstheme="minorEastAsia"/>
          <w:b/>
          <w:color w:val="auto"/>
          <w:spacing w:val="40"/>
          <w:sz w:val="28"/>
          <w:szCs w:val="28"/>
          <w:highlight w:val="none"/>
        </w:rPr>
      </w:pPr>
      <w:r>
        <w:rPr>
          <w:rFonts w:hint="eastAsia" w:asciiTheme="minorEastAsia" w:hAnsiTheme="minorEastAsia" w:eastAsiaTheme="minorEastAsia" w:cstheme="minorEastAsia"/>
          <w:b/>
          <w:color w:val="auto"/>
          <w:spacing w:val="40"/>
          <w:sz w:val="28"/>
          <w:szCs w:val="28"/>
          <w:highlight w:val="none"/>
        </w:rPr>
        <w:t>采购代理机构：海南中顺项目管理有限公司</w:t>
      </w:r>
    </w:p>
    <w:p>
      <w:pPr>
        <w:pStyle w:val="8"/>
        <w:rPr>
          <w:color w:val="auto"/>
          <w:highlight w:val="none"/>
        </w:rPr>
      </w:pPr>
    </w:p>
    <w:p>
      <w:pPr>
        <w:pStyle w:val="11"/>
        <w:adjustRightInd w:val="0"/>
        <w:snapToGrid w:val="0"/>
        <w:spacing w:line="360" w:lineRule="auto"/>
        <w:jc w:val="center"/>
        <w:outlineLvl w:val="0"/>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pacing w:val="40"/>
          <w:sz w:val="28"/>
          <w:szCs w:val="28"/>
          <w:highlight w:val="none"/>
        </w:rPr>
        <w:t>2023 年 12 月</w:t>
      </w:r>
    </w:p>
    <w:p>
      <w:pPr>
        <w:pStyle w:val="11"/>
        <w:spacing w:line="360" w:lineRule="auto"/>
        <w:jc w:val="center"/>
        <w:outlineLvl w:val="0"/>
        <w:rPr>
          <w:rStyle w:val="27"/>
          <w:rFonts w:hAnsi="宋体" w:cs="宋体"/>
          <w:b/>
          <w:color w:val="auto"/>
          <w:szCs w:val="21"/>
          <w:highlight w:val="none"/>
        </w:rPr>
        <w:sectPr>
          <w:headerReference r:id="rId5"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p>
      <w:pPr>
        <w:rPr>
          <w:rStyle w:val="27"/>
          <w:rFonts w:ascii="宋体" w:hAnsi="宋体" w:cs="宋体"/>
          <w:b/>
          <w:color w:val="auto"/>
          <w:szCs w:val="21"/>
          <w:highlight w:val="none"/>
        </w:rPr>
      </w:pPr>
    </w:p>
    <w:p>
      <w:pPr>
        <w:pStyle w:val="11"/>
        <w:spacing w:line="360" w:lineRule="auto"/>
        <w:jc w:val="center"/>
        <w:outlineLvl w:val="0"/>
        <w:rPr>
          <w:rStyle w:val="27"/>
          <w:rFonts w:hAnsi="宋体" w:cs="宋体"/>
          <w:b/>
          <w:color w:val="auto"/>
          <w:sz w:val="24"/>
          <w:szCs w:val="24"/>
          <w:highlight w:val="none"/>
        </w:rPr>
      </w:pPr>
      <w:r>
        <w:rPr>
          <w:rStyle w:val="27"/>
          <w:rFonts w:hint="eastAsia" w:hAnsi="宋体" w:cs="宋体"/>
          <w:b/>
          <w:color w:val="auto"/>
          <w:sz w:val="24"/>
          <w:szCs w:val="24"/>
          <w:highlight w:val="none"/>
        </w:rPr>
        <w:t>目  录</w:t>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rFonts w:hint="eastAsia" w:ascii="宋体" w:hAnsi="宋体" w:cs="宋体"/>
          <w:b/>
          <w:color w:val="auto"/>
          <w:sz w:val="24"/>
          <w:highlight w:val="none"/>
        </w:rPr>
        <w:fldChar w:fldCharType="begin"/>
      </w:r>
      <w:r>
        <w:rPr>
          <w:rFonts w:hint="eastAsia" w:ascii="宋体" w:hAnsi="宋体" w:cs="宋体"/>
          <w:b/>
          <w:color w:val="auto"/>
          <w:sz w:val="24"/>
          <w:highlight w:val="none"/>
        </w:rPr>
        <w:instrText xml:space="preserve"> TOC \o "1-3" \h \z \u </w:instrText>
      </w:r>
      <w:r>
        <w:rPr>
          <w:rFonts w:hint="eastAsia" w:ascii="宋体" w:hAnsi="宋体" w:cs="宋体"/>
          <w:b/>
          <w:color w:val="auto"/>
          <w:sz w:val="24"/>
          <w:highlight w:val="none"/>
        </w:rPr>
        <w:fldChar w:fldCharType="separate"/>
      </w: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"_Toc246826096#_Toc246826096" </w:instrText>
      </w:r>
      <w:r>
        <w:rPr>
          <w:color w:val="auto"/>
          <w:highlight w:val="none"/>
        </w:rPr>
        <w:fldChar w:fldCharType="separate"/>
      </w:r>
      <w:r>
        <w:rPr>
          <w:rFonts w:hint="eastAsia" w:ascii="宋体" w:hAnsi="宋体" w:cs="宋体"/>
          <w:b/>
          <w:color w:val="auto"/>
          <w:sz w:val="24"/>
          <w:highlight w:val="none"/>
        </w:rPr>
        <w:t>第一章  投标邀请……………………………………………………</w:t>
      </w:r>
      <w:r>
        <w:rPr>
          <w:rFonts w:hint="eastAsia" w:ascii="宋体" w:hAnsi="宋体" w:cs="宋体"/>
          <w:b/>
          <w:color w:val="auto"/>
          <w:sz w:val="24"/>
          <w:highlight w:val="none"/>
        </w:rPr>
        <w:fldChar w:fldCharType="end"/>
      </w:r>
      <w:r>
        <w:rPr>
          <w:rFonts w:hint="eastAsia" w:ascii="宋体" w:hAnsi="宋体" w:cs="宋体"/>
          <w:b/>
          <w:color w:val="auto"/>
          <w:sz w:val="24"/>
          <w:highlight w:val="none"/>
        </w:rPr>
        <w:t>……3-5</w:t>
      </w: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"_Toc246826105#_Toc246826105" </w:instrText>
      </w:r>
      <w:r>
        <w:rPr>
          <w:color w:val="auto"/>
          <w:highlight w:val="none"/>
        </w:rPr>
        <w:fldChar w:fldCharType="separate"/>
      </w:r>
      <w:r>
        <w:rPr>
          <w:rFonts w:hint="eastAsia" w:ascii="宋体" w:hAnsi="宋体" w:cs="宋体"/>
          <w:b/>
          <w:color w:val="auto"/>
          <w:sz w:val="24"/>
          <w:highlight w:val="none"/>
        </w:rPr>
        <w:t>第二章  采购需求……………………………………………………</w:t>
      </w:r>
      <w:r>
        <w:rPr>
          <w:rFonts w:hint="eastAsia" w:ascii="宋体" w:hAnsi="宋体" w:cs="宋体"/>
          <w:b/>
          <w:color w:val="auto"/>
          <w:sz w:val="24"/>
          <w:highlight w:val="none"/>
        </w:rPr>
        <w:fldChar w:fldCharType="end"/>
      </w:r>
      <w:r>
        <w:rPr>
          <w:rFonts w:hint="eastAsia" w:ascii="宋体" w:hAnsi="宋体" w:cs="宋体"/>
          <w:b/>
          <w:color w:val="auto"/>
          <w:sz w:val="24"/>
          <w:highlight w:val="none"/>
        </w:rPr>
        <w:t>……6-16</w:t>
      </w: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"_Toc246826118#_Toc246826118" </w:instrText>
      </w:r>
      <w:r>
        <w:rPr>
          <w:color w:val="auto"/>
          <w:highlight w:val="none"/>
        </w:rPr>
        <w:fldChar w:fldCharType="separate"/>
      </w:r>
      <w:r>
        <w:rPr>
          <w:rFonts w:hint="eastAsia" w:ascii="宋体" w:hAnsi="宋体" w:cs="宋体"/>
          <w:b/>
          <w:color w:val="auto"/>
          <w:sz w:val="24"/>
          <w:highlight w:val="none"/>
        </w:rPr>
        <w:t>第三章  投标人须知………………………………………</w:t>
      </w:r>
      <w:r>
        <w:rPr>
          <w:rFonts w:hint="eastAsia" w:ascii="宋体" w:hAnsi="宋体" w:cs="宋体"/>
          <w:b/>
          <w:color w:val="auto"/>
          <w:sz w:val="24"/>
          <w:highlight w:val="none"/>
        </w:rPr>
        <w:fldChar w:fldCharType="end"/>
      </w:r>
      <w:r>
        <w:rPr>
          <w:rFonts w:hint="eastAsia" w:ascii="宋体" w:hAnsi="宋体" w:cs="宋体"/>
          <w:b/>
          <w:color w:val="auto"/>
          <w:sz w:val="24"/>
          <w:highlight w:val="none"/>
        </w:rPr>
        <w:t>………………</w:t>
      </w:r>
      <w:r>
        <w:rPr>
          <w:rFonts w:hint="eastAsia" w:ascii="宋体" w:hAnsi="宋体" w:cs="宋体"/>
          <w:b/>
          <w:color w:val="auto"/>
          <w:sz w:val="24"/>
          <w:highlight w:val="none"/>
        </w:rPr>
        <w:fldChar w:fldCharType="end"/>
      </w:r>
      <w:r>
        <w:rPr>
          <w:rFonts w:hint="eastAsia" w:ascii="宋体" w:hAnsi="宋体" w:cs="宋体"/>
          <w:b/>
          <w:color w:val="auto"/>
          <w:sz w:val="24"/>
          <w:highlight w:val="none"/>
        </w:rPr>
        <w:t>17-32</w:t>
      </w: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"_Toc246826115#_Toc246826115" </w:instrText>
      </w:r>
      <w:r>
        <w:rPr>
          <w:color w:val="auto"/>
          <w:highlight w:val="none"/>
        </w:rPr>
        <w:fldChar w:fldCharType="separate"/>
      </w:r>
      <w:r>
        <w:rPr>
          <w:rFonts w:hint="eastAsia" w:ascii="宋体" w:hAnsi="宋体" w:cs="宋体"/>
          <w:b/>
          <w:color w:val="auto"/>
          <w:sz w:val="24"/>
          <w:highlight w:val="none"/>
        </w:rPr>
        <w:t>第四章  评审标准……………………………………</w:t>
      </w:r>
      <w:r>
        <w:rPr>
          <w:rFonts w:hint="eastAsia" w:ascii="宋体" w:hAnsi="宋体" w:cs="宋体"/>
          <w:b/>
          <w:color w:val="auto"/>
          <w:sz w:val="24"/>
          <w:highlight w:val="none"/>
        </w:rPr>
        <w:fldChar w:fldCharType="end"/>
      </w:r>
      <w:r>
        <w:rPr>
          <w:rFonts w:hint="eastAsia" w:ascii="宋体" w:hAnsi="宋体" w:cs="宋体"/>
          <w:b/>
          <w:color w:val="auto"/>
          <w:sz w:val="24"/>
          <w:highlight w:val="none"/>
        </w:rPr>
        <w:t>……………………33-38</w:t>
      </w: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"_Toc246826104#_Toc246826104" </w:instrText>
      </w:r>
      <w:r>
        <w:rPr>
          <w:color w:val="auto"/>
          <w:highlight w:val="none"/>
        </w:rPr>
        <w:fldChar w:fldCharType="separate"/>
      </w:r>
      <w:r>
        <w:rPr>
          <w:rFonts w:hint="eastAsia" w:ascii="宋体" w:hAnsi="宋体" w:cs="宋体"/>
          <w:b/>
          <w:color w:val="auto"/>
          <w:sz w:val="24"/>
          <w:highlight w:val="none"/>
        </w:rPr>
        <w:t>第五章  政府采购合同格式………………………………………………</w:t>
      </w:r>
      <w:r>
        <w:rPr>
          <w:rFonts w:hint="eastAsia" w:ascii="宋体" w:hAnsi="宋体" w:cs="宋体"/>
          <w:b/>
          <w:color w:val="auto"/>
          <w:sz w:val="24"/>
          <w:highlight w:val="none"/>
        </w:rPr>
        <w:fldChar w:fldCharType="end"/>
      </w:r>
      <w:r>
        <w:rPr>
          <w:rFonts w:hint="eastAsia" w:ascii="宋体" w:hAnsi="宋体" w:cs="宋体"/>
          <w:b/>
          <w:color w:val="auto"/>
          <w:sz w:val="24"/>
          <w:highlight w:val="none"/>
        </w:rPr>
        <w:t>39-40</w:t>
      </w:r>
    </w:p>
    <w:p>
      <w:pPr>
        <w:spacing w:line="360" w:lineRule="auto"/>
        <w:rPr>
          <w:rFonts w:ascii="宋体" w:hAnsi="宋体" w:cs="宋体"/>
          <w:b/>
          <w:color w:val="auto"/>
          <w:sz w:val="24"/>
          <w:highlight w:val="none"/>
        </w:rPr>
      </w:pPr>
      <w:r>
        <w:rPr>
          <w:color w:val="auto"/>
          <w:highlight w:val="none"/>
        </w:rPr>
        <w:fldChar w:fldCharType="begin"/>
      </w:r>
      <w:r>
        <w:rPr>
          <w:color w:val="auto"/>
          <w:highlight w:val="none"/>
        </w:rPr>
        <w:instrText xml:space="preserve"> HYPERLINK "file:///D:\\外网\\20090911\\界面资料091011\\界面资料\\部门资料\\采购文件范本1104\\招标文件范本\\印刷版本\\政府采购招标文件印刷.doc" \l "_Toc246826118#_Toc246826118" </w:instrText>
      </w:r>
      <w:r>
        <w:rPr>
          <w:color w:val="auto"/>
          <w:highlight w:val="none"/>
        </w:rPr>
        <w:fldChar w:fldCharType="separate"/>
      </w:r>
      <w:r>
        <w:rPr>
          <w:rFonts w:hint="eastAsia" w:ascii="宋体" w:hAnsi="宋体" w:cs="宋体"/>
          <w:b/>
          <w:color w:val="auto"/>
          <w:sz w:val="24"/>
          <w:highlight w:val="none"/>
        </w:rPr>
        <w:t>第六章  响应文件格式及附件……………………………………………</w:t>
      </w:r>
      <w:r>
        <w:rPr>
          <w:rFonts w:hint="eastAsia" w:ascii="宋体" w:hAnsi="宋体" w:cs="宋体"/>
          <w:b/>
          <w:color w:val="auto"/>
          <w:sz w:val="24"/>
          <w:highlight w:val="none"/>
        </w:rPr>
        <w:fldChar w:fldCharType="end"/>
      </w:r>
      <w:r>
        <w:rPr>
          <w:rFonts w:hint="eastAsia" w:ascii="宋体" w:hAnsi="宋体" w:cs="宋体"/>
          <w:b/>
          <w:color w:val="auto"/>
          <w:sz w:val="24"/>
          <w:highlight w:val="none"/>
        </w:rPr>
        <w:t>41-49</w:t>
      </w:r>
    </w:p>
    <w:p>
      <w:pPr>
        <w:spacing w:line="360" w:lineRule="auto"/>
        <w:rPr>
          <w:rFonts w:ascii="宋体" w:hAnsi="宋体" w:cs="宋体"/>
          <w:b/>
          <w:color w:val="auto"/>
          <w:sz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rPr>
          <w:color w:val="auto"/>
          <w:highlight w:val="none"/>
        </w:rPr>
      </w:pPr>
    </w:p>
    <w:p>
      <w:pPr>
        <w:rPr>
          <w:color w:val="auto"/>
          <w:highlight w:val="none"/>
        </w:rPr>
      </w:pPr>
    </w:p>
    <w:p>
      <w:pPr>
        <w:pStyle w:val="6"/>
        <w:rPr>
          <w:color w:val="auto"/>
          <w:highlight w:val="none"/>
        </w:rPr>
      </w:pPr>
    </w:p>
    <w:p>
      <w:pPr>
        <w:rPr>
          <w:color w:val="auto"/>
          <w:highlight w:val="none"/>
        </w:rPr>
      </w:pPr>
    </w:p>
    <w:p>
      <w:pPr>
        <w:rPr>
          <w:color w:val="auto"/>
          <w:highlight w:val="none"/>
        </w:rPr>
      </w:pPr>
    </w:p>
    <w:p>
      <w:pPr>
        <w:pStyle w:val="11"/>
        <w:adjustRightInd w:val="0"/>
        <w:snapToGrid w:val="0"/>
        <w:spacing w:line="360" w:lineRule="auto"/>
        <w:jc w:val="center"/>
        <w:outlineLvl w:val="0"/>
        <w:rPr>
          <w:rFonts w:asciiTheme="minorEastAsia" w:hAnsiTheme="minorEastAsia" w:eastAsiaTheme="minorEastAsia" w:cstheme="minorEastAsia"/>
          <w:b/>
          <w:color w:val="auto"/>
          <w:szCs w:val="21"/>
          <w:highlight w:val="none"/>
        </w:rPr>
      </w:pPr>
    </w:p>
    <w:p>
      <w:pPr>
        <w:pStyle w:val="11"/>
        <w:adjustRightInd w:val="0"/>
        <w:snapToGrid w:val="0"/>
        <w:spacing w:line="360" w:lineRule="auto"/>
        <w:jc w:val="center"/>
        <w:outlineLvl w:val="0"/>
        <w:rPr>
          <w:rFonts w:asciiTheme="minorEastAsia" w:hAnsiTheme="minorEastAsia" w:eastAsiaTheme="minorEastAsia" w:cstheme="minorEastAsia"/>
          <w:b/>
          <w:color w:val="auto"/>
          <w:szCs w:val="21"/>
          <w:highlight w:val="none"/>
        </w:rPr>
      </w:pPr>
    </w:p>
    <w:p>
      <w:pPr>
        <w:pStyle w:val="11"/>
        <w:adjustRightInd w:val="0"/>
        <w:snapToGrid w:val="0"/>
        <w:spacing w:line="360" w:lineRule="auto"/>
        <w:jc w:val="center"/>
        <w:outlineLvl w:val="0"/>
        <w:rPr>
          <w:rFonts w:asciiTheme="minorEastAsia" w:hAnsiTheme="minorEastAsia" w:eastAsiaTheme="minorEastAsia" w:cstheme="minorEastAsia"/>
          <w:b/>
          <w:color w:val="auto"/>
          <w:szCs w:val="21"/>
          <w:highlight w:val="none"/>
        </w:rPr>
        <w:sectPr>
          <w:headerReference r:id="rId8" w:type="first"/>
          <w:footerReference r:id="rId10" w:type="first"/>
          <w:footerReference r:id="rId9" w:type="default"/>
          <w:pgSz w:w="11906" w:h="16838"/>
          <w:pgMar w:top="1440" w:right="1800" w:bottom="1440" w:left="1800" w:header="851" w:footer="992" w:gutter="0"/>
          <w:pgNumType w:start="1"/>
          <w:cols w:space="425" w:num="1"/>
          <w:docGrid w:type="lines" w:linePitch="312" w:charSpace="0"/>
        </w:sectPr>
      </w:pPr>
    </w:p>
    <w:p>
      <w:pPr>
        <w:pStyle w:val="11"/>
        <w:adjustRightInd w:val="0"/>
        <w:snapToGrid w:val="0"/>
        <w:spacing w:line="360" w:lineRule="auto"/>
        <w:jc w:val="center"/>
        <w:outlineLvl w:val="0"/>
        <w:rPr>
          <w:rFonts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
          <w:color w:val="auto"/>
          <w:sz w:val="24"/>
          <w:szCs w:val="24"/>
          <w:highlight w:val="none"/>
        </w:rPr>
        <w:t>第一章  投标邀请</w:t>
      </w:r>
    </w:p>
    <w:p>
      <w:pPr>
        <w:adjustRightInd w:val="0"/>
        <w:snapToGrid w:val="0"/>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一、项目基本情况</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 xml:space="preserve">项目编号：HNZS2023-090    </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项目名称：海口市桥梁和隧道设施养护项目监理（2024-2025年度）</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预算金额：总预算：￥2322200.00元。</w:t>
      </w:r>
    </w:p>
    <w:p>
      <w:pPr>
        <w:pStyle w:val="11"/>
        <w:adjustRightInd w:val="0"/>
        <w:snapToGrid w:val="0"/>
        <w:spacing w:line="400" w:lineRule="exact"/>
        <w:ind w:firstLine="1890" w:firstLineChars="900"/>
        <w:jc w:val="left"/>
        <w:outlineLvl w:val="0"/>
        <w:rPr>
          <w:rFonts w:hAnsi="宋体" w:cs="宋体"/>
          <w:bCs/>
          <w:color w:val="auto"/>
          <w:szCs w:val="21"/>
          <w:highlight w:val="none"/>
        </w:rPr>
      </w:pPr>
      <w:r>
        <w:rPr>
          <w:rFonts w:hint="eastAsia" w:hAnsi="宋体" w:cs="宋体"/>
          <w:bCs/>
          <w:color w:val="auto"/>
          <w:szCs w:val="21"/>
          <w:highlight w:val="none"/>
        </w:rPr>
        <w:t>（超出预算金额的投标，按无效投标处理。）</w:t>
      </w:r>
    </w:p>
    <w:p>
      <w:pPr>
        <w:pStyle w:val="11"/>
        <w:adjustRightInd w:val="0"/>
        <w:snapToGrid w:val="0"/>
        <w:spacing w:line="400" w:lineRule="exact"/>
        <w:ind w:firstLine="420" w:firstLineChars="200"/>
        <w:jc w:val="left"/>
        <w:outlineLvl w:val="0"/>
        <w:rPr>
          <w:rFonts w:hAnsi="宋体" w:cs="宋体"/>
          <w:bCs/>
          <w:color w:val="auto"/>
          <w:szCs w:val="21"/>
          <w:highlight w:val="none"/>
        </w:rPr>
      </w:pPr>
      <w:r>
        <w:rPr>
          <w:rFonts w:hint="eastAsia" w:hAnsi="宋体" w:cs="宋体"/>
          <w:color w:val="auto"/>
          <w:kern w:val="28"/>
          <w:szCs w:val="21"/>
          <w:highlight w:val="none"/>
        </w:rPr>
        <w:t xml:space="preserve">    </w:t>
      </w:r>
      <w:r>
        <w:rPr>
          <w:rFonts w:hint="eastAsia" w:hAnsi="宋体" w:cs="宋体"/>
          <w:bCs/>
          <w:color w:val="auto"/>
          <w:szCs w:val="21"/>
          <w:highlight w:val="none"/>
        </w:rPr>
        <w:t>最高限价：￥2322200.00元。</w:t>
      </w:r>
    </w:p>
    <w:p>
      <w:pPr>
        <w:pStyle w:val="11"/>
        <w:adjustRightInd w:val="0"/>
        <w:snapToGrid w:val="0"/>
        <w:spacing w:line="400" w:lineRule="exact"/>
        <w:ind w:firstLine="1890" w:firstLineChars="900"/>
        <w:jc w:val="left"/>
        <w:outlineLvl w:val="0"/>
        <w:rPr>
          <w:rFonts w:hAnsi="宋体" w:cs="宋体"/>
          <w:bCs/>
          <w:color w:val="auto"/>
          <w:szCs w:val="21"/>
          <w:highlight w:val="none"/>
        </w:rPr>
      </w:pPr>
      <w:r>
        <w:rPr>
          <w:rFonts w:hint="eastAsia" w:hAnsi="宋体" w:cs="宋体"/>
          <w:bCs/>
          <w:color w:val="auto"/>
          <w:szCs w:val="21"/>
          <w:highlight w:val="none"/>
        </w:rPr>
        <w:t>（超出最高限价的投标，按无效投标处理。）</w:t>
      </w:r>
    </w:p>
    <w:p>
      <w:pPr>
        <w:pStyle w:val="11"/>
        <w:adjustRightInd w:val="0"/>
        <w:snapToGrid w:val="0"/>
        <w:spacing w:line="400" w:lineRule="exact"/>
        <w:ind w:firstLine="420" w:firstLineChars="200"/>
        <w:jc w:val="left"/>
        <w:outlineLvl w:val="0"/>
        <w:rPr>
          <w:rFonts w:hAnsi="宋体" w:cs="宋体"/>
          <w:bCs/>
          <w:color w:val="auto"/>
          <w:szCs w:val="21"/>
          <w:highlight w:val="none"/>
        </w:rPr>
      </w:pPr>
      <w:r>
        <w:rPr>
          <w:rFonts w:hint="eastAsia" w:hAnsi="宋体" w:cs="宋体"/>
          <w:bCs/>
          <w:color w:val="auto"/>
          <w:szCs w:val="21"/>
          <w:highlight w:val="none"/>
        </w:rPr>
        <w:t xml:space="preserve">    本项目是否专门面向中小企业采购：否。</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采购方式：公开招标</w:t>
      </w:r>
    </w:p>
    <w:p>
      <w:pPr>
        <w:spacing w:line="400" w:lineRule="exact"/>
        <w:ind w:right="-197" w:rightChars="-94" w:firstLine="840" w:firstLineChars="400"/>
        <w:rPr>
          <w:rFonts w:ascii="宋体" w:hAnsi="宋体" w:cs="宋体"/>
          <w:bCs/>
          <w:color w:val="auto"/>
          <w:szCs w:val="21"/>
          <w:highlight w:val="none"/>
        </w:rPr>
      </w:pPr>
      <w:bookmarkStart w:id="12" w:name="_Toc35393622"/>
      <w:bookmarkStart w:id="13" w:name="_Toc28359080"/>
      <w:bookmarkStart w:id="14" w:name="_Toc35393791"/>
      <w:bookmarkStart w:id="15" w:name="_Toc28359003"/>
      <w:r>
        <w:rPr>
          <w:rFonts w:hint="eastAsia" w:ascii="宋体" w:hAnsi="宋体" w:cs="宋体"/>
          <w:bCs/>
          <w:color w:val="auto"/>
          <w:szCs w:val="21"/>
          <w:highlight w:val="none"/>
        </w:rPr>
        <w:t>合同履行期限：2024年1月1日至2025年12月31日（完成合同约定的所有服务内容后）。</w:t>
      </w:r>
    </w:p>
    <w:p>
      <w:pPr>
        <w:pStyle w:val="11"/>
        <w:adjustRightInd w:val="0"/>
        <w:snapToGrid w:val="0"/>
        <w:spacing w:line="400" w:lineRule="exact"/>
        <w:ind w:firstLine="420" w:firstLineChars="200"/>
        <w:jc w:val="left"/>
        <w:outlineLvl w:val="0"/>
        <w:rPr>
          <w:rFonts w:hAnsi="宋体" w:cs="宋体"/>
          <w:bCs/>
          <w:color w:val="auto"/>
          <w:szCs w:val="21"/>
          <w:highlight w:val="none"/>
        </w:rPr>
      </w:pPr>
      <w:r>
        <w:rPr>
          <w:rFonts w:hint="eastAsia" w:hAnsi="宋体" w:cs="宋体"/>
          <w:bCs/>
          <w:color w:val="auto"/>
          <w:szCs w:val="21"/>
          <w:highlight w:val="none"/>
        </w:rPr>
        <w:t xml:space="preserve">    服务期：2024年1月1日至2025年12月31日（完成合同约定的所有服务内容后）。</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服务地点：海口市。</w:t>
      </w:r>
    </w:p>
    <w:p>
      <w:pPr>
        <w:pStyle w:val="11"/>
        <w:adjustRightInd w:val="0"/>
        <w:spacing w:line="360" w:lineRule="auto"/>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付款条件、方式：采购人与中标单位协商。</w:t>
      </w:r>
    </w:p>
    <w:p>
      <w:pPr>
        <w:pStyle w:val="11"/>
        <w:adjustRightInd w:val="0"/>
        <w:spacing w:line="360" w:lineRule="auto"/>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采购需求（数量、简要技术要求）：</w:t>
      </w:r>
    </w:p>
    <w:tbl>
      <w:tblPr>
        <w:tblStyle w:val="20"/>
        <w:tblW w:w="10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2"/>
        <w:gridCol w:w="1553"/>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noWrap/>
          </w:tcPr>
          <w:p>
            <w:pPr>
              <w:pStyle w:val="11"/>
              <w:spacing w:line="400" w:lineRule="exact"/>
              <w:jc w:val="center"/>
              <w:outlineLvl w:val="0"/>
              <w:rPr>
                <w:rFonts w:hAnsi="宋体"/>
                <w:bCs/>
                <w:color w:val="auto"/>
                <w:kern w:val="0"/>
                <w:szCs w:val="21"/>
                <w:highlight w:val="none"/>
              </w:rPr>
            </w:pPr>
            <w:r>
              <w:rPr>
                <w:rFonts w:hint="eastAsia" w:hAnsi="宋体"/>
                <w:bCs/>
                <w:color w:val="auto"/>
                <w:szCs w:val="21"/>
                <w:highlight w:val="none"/>
              </w:rPr>
              <w:t>采购内容</w:t>
            </w:r>
          </w:p>
        </w:tc>
        <w:tc>
          <w:tcPr>
            <w:tcW w:w="1553" w:type="dxa"/>
            <w:noWrap/>
          </w:tcPr>
          <w:p>
            <w:pPr>
              <w:pStyle w:val="11"/>
              <w:spacing w:line="400" w:lineRule="exact"/>
              <w:jc w:val="center"/>
              <w:outlineLvl w:val="0"/>
              <w:rPr>
                <w:rFonts w:hAnsi="宋体"/>
                <w:bCs/>
                <w:color w:val="auto"/>
                <w:kern w:val="0"/>
                <w:szCs w:val="21"/>
                <w:highlight w:val="none"/>
              </w:rPr>
            </w:pPr>
            <w:r>
              <w:rPr>
                <w:rFonts w:hint="eastAsia" w:hAnsi="宋体"/>
                <w:bCs/>
                <w:color w:val="auto"/>
                <w:szCs w:val="21"/>
                <w:highlight w:val="none"/>
              </w:rPr>
              <w:t>数量/单位</w:t>
            </w:r>
          </w:p>
        </w:tc>
        <w:tc>
          <w:tcPr>
            <w:tcW w:w="3595" w:type="dxa"/>
            <w:noWrap/>
          </w:tcPr>
          <w:p>
            <w:pPr>
              <w:pStyle w:val="11"/>
              <w:spacing w:line="400" w:lineRule="exact"/>
              <w:jc w:val="center"/>
              <w:outlineLvl w:val="0"/>
              <w:rPr>
                <w:rFonts w:hAnsi="宋体"/>
                <w:bCs/>
                <w:color w:val="auto"/>
                <w:kern w:val="0"/>
                <w:szCs w:val="21"/>
                <w:highlight w:val="none"/>
              </w:rPr>
            </w:pPr>
            <w:r>
              <w:rPr>
                <w:rFonts w:hint="eastAsia" w:hAnsi="宋体"/>
                <w:bCs/>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2" w:type="dxa"/>
            <w:noWrap/>
          </w:tcPr>
          <w:p>
            <w:pPr>
              <w:adjustRightInd w:val="0"/>
              <w:snapToGrid w:val="0"/>
              <w:spacing w:line="400" w:lineRule="exact"/>
              <w:rPr>
                <w:rFonts w:ascii="宋体" w:hAnsi="宋体"/>
                <w:bCs/>
                <w:color w:val="auto"/>
                <w:kern w:val="0"/>
                <w:szCs w:val="21"/>
                <w:highlight w:val="none"/>
              </w:rPr>
            </w:pPr>
            <w:r>
              <w:rPr>
                <w:rFonts w:hint="eastAsia" w:ascii="宋体" w:hAnsi="宋体" w:cs="宋体"/>
                <w:bCs/>
                <w:color w:val="auto"/>
                <w:szCs w:val="21"/>
                <w:highlight w:val="none"/>
              </w:rPr>
              <w:t>海口市桥梁和隧道设施养护项目监理（2024-2025年度）</w:t>
            </w:r>
          </w:p>
        </w:tc>
        <w:tc>
          <w:tcPr>
            <w:tcW w:w="1553" w:type="dxa"/>
            <w:noWrap/>
          </w:tcPr>
          <w:p>
            <w:pPr>
              <w:spacing w:line="400" w:lineRule="exact"/>
              <w:jc w:val="center"/>
              <w:rPr>
                <w:rFonts w:ascii="宋体" w:hAnsi="宋体"/>
                <w:bCs/>
                <w:color w:val="auto"/>
                <w:kern w:val="0"/>
                <w:szCs w:val="21"/>
                <w:highlight w:val="none"/>
              </w:rPr>
            </w:pPr>
            <w:r>
              <w:rPr>
                <w:rFonts w:hint="eastAsia" w:ascii="宋体" w:hAnsi="宋体"/>
                <w:bCs/>
                <w:color w:val="auto"/>
                <w:kern w:val="0"/>
                <w:szCs w:val="21"/>
                <w:highlight w:val="none"/>
              </w:rPr>
              <w:t>1家</w:t>
            </w:r>
          </w:p>
        </w:tc>
        <w:tc>
          <w:tcPr>
            <w:tcW w:w="3595" w:type="dxa"/>
            <w:noWrap/>
          </w:tcPr>
          <w:p>
            <w:pPr>
              <w:spacing w:line="400" w:lineRule="exact"/>
              <w:jc w:val="center"/>
              <w:rPr>
                <w:rFonts w:ascii="宋体" w:hAnsi="宋体"/>
                <w:bCs/>
                <w:color w:val="auto"/>
                <w:kern w:val="0"/>
                <w:szCs w:val="21"/>
                <w:highlight w:val="none"/>
              </w:rPr>
            </w:pPr>
            <w:r>
              <w:rPr>
                <w:rFonts w:hint="eastAsia" w:ascii="宋体" w:hAnsi="宋体" w:cs="宋体"/>
                <w:bCs/>
                <w:color w:val="auto"/>
                <w:szCs w:val="21"/>
                <w:highlight w:val="none"/>
              </w:rPr>
              <w:t>详细需求详见第二章《采购需求》。</w:t>
            </w:r>
          </w:p>
        </w:tc>
      </w:tr>
    </w:tbl>
    <w:p>
      <w:pPr>
        <w:pStyle w:val="11"/>
        <w:adjustRightInd w:val="0"/>
        <w:spacing w:line="360" w:lineRule="auto"/>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资金来源：财政资金</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 xml:space="preserve">    </w:t>
      </w:r>
      <w:r>
        <w:rPr>
          <w:rFonts w:hint="eastAsia" w:hAnsi="宋体" w:cs="宋体"/>
          <w:bCs/>
          <w:color w:val="auto"/>
          <w:szCs w:val="21"/>
          <w:highlight w:val="none"/>
        </w:rPr>
        <w:t>项目概况：项目为2024、 2025年度全市163座已接管桥梁、 海秀快速路（ 一期）、海秀快速路（二期） 、文明东越江隧道日常维修养护工程以及预计新增接管的46座桥梁（新增桥梁最终以实际发生为准）。总投资为 174562029.40元。</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二、投标人的资格要求：</w:t>
      </w:r>
      <w:bookmarkEnd w:id="12"/>
      <w:bookmarkEnd w:id="13"/>
      <w:bookmarkEnd w:id="14"/>
      <w:bookmarkEnd w:id="15"/>
    </w:p>
    <w:p>
      <w:pPr>
        <w:pStyle w:val="11"/>
        <w:adjustRightInd w:val="0"/>
        <w:snapToGrid w:val="0"/>
        <w:spacing w:line="400" w:lineRule="exact"/>
        <w:ind w:firstLine="840" w:firstLineChars="400"/>
        <w:jc w:val="left"/>
        <w:outlineLvl w:val="0"/>
        <w:rPr>
          <w:rFonts w:hAnsi="宋体" w:cs="宋体"/>
          <w:bCs/>
          <w:color w:val="auto"/>
          <w:szCs w:val="21"/>
          <w:highlight w:val="none"/>
        </w:rPr>
      </w:pPr>
      <w:bookmarkStart w:id="16" w:name="_Toc28359004"/>
      <w:bookmarkStart w:id="17" w:name="_Toc28359081"/>
      <w:bookmarkStart w:id="18" w:name="_Toc35393623"/>
      <w:bookmarkStart w:id="19" w:name="_Toc35393792"/>
      <w:r>
        <w:rPr>
          <w:rFonts w:hint="eastAsia" w:hAnsi="宋体" w:cs="宋体"/>
          <w:bCs/>
          <w:color w:val="auto"/>
          <w:szCs w:val="21"/>
          <w:highlight w:val="none"/>
        </w:rPr>
        <w:t>1.满足《中华人民共和国政府采购法》第二十二条规定（提供投标人资格承诺函，格式详见采购文件）；</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2.落实政府采购政策需满足的资格要求：无；</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3.本项目的特定资格要求：</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3.1.投标人须是在中华人民共和国境内注册的法人或其他组织，能独立承担民事责任（①若为企业法人：提供有效的“统一社会信用代码营业执照”；未换证的提供有效的“营业执照、税务登记证、组织机构代码证”；②若为事业法人：提供“统一社会信用代码法人登记证书”；未换证的提交“事业法人登记证书、组织机构代码证”；③若为其他组织：提供“对应主管部门颁发的准许执业证明文件或营业执照”。）；</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3.2.具有良好的商业信誉和健全的财务会计制度【提供投标人资格承诺函或2022年度经审计财务报告或2023年1月至今任意一个月的公司财务报表（资产负债表、利润表），投标人资格承诺函格式详见采购文件】；</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3.3.具有依法缴纳税收和社会保障资金的良好记录（提供投标人资格承诺函或2023年1月至今任意1个月依法缴纳税收和社会保障资金记录凭证，零纳税须提供税务部门盖章的纳税申报表，依法免税或不需要缴纳社保的投标人，提供相应文件证明其依法免税或不需要缴纳社保），投标人资格承诺函格式详见采购文件；</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3.4.参加政府采购活动前三年内，没有环保类行政处罚记录（提供声明函，格式详见采购文件）；</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3.5.投标人具备建设行政主管部门核发的市政公用工程监理甲级（或以上）资质。（根据《住房和城乡建设部关于印发建设工程企业资质管理制度改革方案的通知（[建市〔2020〕94号]）的规定已换发新证取得相应资质证书的提供新资质证书）（提供资质证书清晰扫描件并加盖单位章）。</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3.6.投标人拟派项目团队：</w:t>
      </w:r>
      <w:r>
        <w:rPr>
          <w:rFonts w:hAnsi="宋体" w:cs="宋体"/>
          <w:bCs/>
          <w:color w:val="auto"/>
          <w:sz w:val="24"/>
          <w:szCs w:val="24"/>
          <w:highlight w:val="none"/>
        </w:rPr>
        <w:t>①</w:t>
      </w:r>
      <w:r>
        <w:rPr>
          <w:rFonts w:hint="eastAsia" w:hAnsi="宋体" w:cs="宋体"/>
          <w:bCs/>
          <w:color w:val="auto"/>
          <w:szCs w:val="21"/>
          <w:highlight w:val="none"/>
        </w:rPr>
        <w:t>总监理工程师需具本单位注册市政公用工程专业国家注册监理工程师资格；最多可以在海南省内同时担任不超过1个其他在施工程项目的总监理工程师；（提供总监承诺函（格式自拟））；</w:t>
      </w:r>
      <w:r>
        <w:rPr>
          <w:rFonts w:hAnsi="宋体" w:cs="宋体"/>
          <w:bCs/>
          <w:color w:val="auto"/>
          <w:sz w:val="24"/>
          <w:szCs w:val="24"/>
          <w:highlight w:val="none"/>
        </w:rPr>
        <w:t>②</w:t>
      </w:r>
      <w:r>
        <w:rPr>
          <w:rFonts w:hint="eastAsia" w:hAnsi="宋体" w:cs="宋体"/>
          <w:bCs/>
          <w:color w:val="auto"/>
          <w:szCs w:val="21"/>
          <w:highlight w:val="none"/>
        </w:rPr>
        <w:t>专业监理工程师3人：具有工程类注册执业资格或具有中级或以上专业技术职称；</w:t>
      </w:r>
      <w:r>
        <w:rPr>
          <w:rFonts w:hAnsi="宋体" w:cs="宋体"/>
          <w:bCs/>
          <w:color w:val="auto"/>
          <w:sz w:val="24"/>
          <w:szCs w:val="24"/>
          <w:highlight w:val="none"/>
        </w:rPr>
        <w:t>③</w:t>
      </w:r>
      <w:r>
        <w:rPr>
          <w:rFonts w:hint="eastAsia" w:hAnsi="宋体" w:cs="宋体"/>
          <w:bCs/>
          <w:color w:val="auto"/>
          <w:szCs w:val="21"/>
          <w:highlight w:val="none"/>
        </w:rPr>
        <w:t>监理员3人：具有中专（含）以上学历，并经监理业务培训。（以上人员需提供上述相应证书复印件加盖公章和2023年01月至今任意1个月的社保缴纳凭证复印件加盖公章或网上打印的有加盖社保管理单位（或税务机构）电子印章的社保清单复印件加盖公章。）</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3.7.投标人须具备《海南省建筑企业诚信档案手册》。</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3.8.本项目不接受联合体投标。</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三、</w:t>
      </w:r>
      <w:bookmarkEnd w:id="16"/>
      <w:bookmarkEnd w:id="17"/>
      <w:bookmarkEnd w:id="18"/>
      <w:bookmarkEnd w:id="19"/>
      <w:r>
        <w:rPr>
          <w:rFonts w:hint="eastAsia" w:hAnsi="宋体" w:cs="宋体"/>
          <w:b/>
          <w:color w:val="auto"/>
          <w:szCs w:val="21"/>
          <w:highlight w:val="none"/>
        </w:rPr>
        <w:t>获取招标文件</w:t>
      </w:r>
    </w:p>
    <w:p>
      <w:pPr>
        <w:pStyle w:val="11"/>
        <w:adjustRightInd w:val="0"/>
        <w:snapToGrid w:val="0"/>
        <w:spacing w:line="400" w:lineRule="exact"/>
        <w:ind w:firstLine="840" w:firstLineChars="400"/>
        <w:jc w:val="left"/>
        <w:outlineLvl w:val="0"/>
        <w:rPr>
          <w:rFonts w:hAnsi="宋体" w:cs="宋体"/>
          <w:bCs/>
          <w:color w:val="auto"/>
          <w:szCs w:val="21"/>
          <w:highlight w:val="none"/>
        </w:rPr>
      </w:pPr>
      <w:bookmarkStart w:id="20" w:name="_Toc28359085"/>
      <w:bookmarkStart w:id="21" w:name="_Toc35393796"/>
      <w:bookmarkStart w:id="22" w:name="_Toc28359008"/>
      <w:bookmarkStart w:id="23" w:name="_Toc35393627"/>
      <w:r>
        <w:rPr>
          <w:rFonts w:hint="eastAsia" w:hAnsi="宋体" w:cs="宋体"/>
          <w:bCs/>
          <w:color w:val="auto"/>
          <w:szCs w:val="21"/>
          <w:highlight w:val="none"/>
        </w:rPr>
        <w:t>时间：2023 年</w:t>
      </w:r>
      <w:r>
        <w:rPr>
          <w:rFonts w:hint="eastAsia" w:hAnsi="宋体" w:cs="宋体"/>
          <w:bCs/>
          <w:color w:val="auto"/>
          <w:szCs w:val="21"/>
          <w:highlight w:val="none"/>
          <w:lang w:val="en-US" w:eastAsia="zh-CN"/>
        </w:rPr>
        <w:t>12</w:t>
      </w:r>
      <w:r>
        <w:rPr>
          <w:rFonts w:hint="eastAsia" w:hAnsi="宋体" w:cs="宋体"/>
          <w:bCs/>
          <w:color w:val="auto"/>
          <w:szCs w:val="21"/>
          <w:highlight w:val="none"/>
        </w:rPr>
        <w:t>月</w:t>
      </w:r>
      <w:r>
        <w:rPr>
          <w:rFonts w:hint="eastAsia" w:hAnsi="宋体" w:cs="宋体"/>
          <w:bCs/>
          <w:color w:val="auto"/>
          <w:szCs w:val="21"/>
          <w:highlight w:val="none"/>
          <w:lang w:val="en-US" w:eastAsia="zh-CN"/>
        </w:rPr>
        <w:t>01</w:t>
      </w:r>
      <w:r>
        <w:rPr>
          <w:rFonts w:hint="eastAsia" w:hAnsi="宋体" w:cs="宋体"/>
          <w:bCs/>
          <w:color w:val="auto"/>
          <w:szCs w:val="21"/>
          <w:highlight w:val="none"/>
        </w:rPr>
        <w:t>日 00：00 至 2023 年</w:t>
      </w:r>
      <w:r>
        <w:rPr>
          <w:rFonts w:hint="eastAsia" w:hAnsi="宋体" w:cs="宋体"/>
          <w:bCs/>
          <w:color w:val="auto"/>
          <w:szCs w:val="21"/>
          <w:highlight w:val="none"/>
          <w:lang w:val="en-US" w:eastAsia="zh-CN"/>
        </w:rPr>
        <w:t>12</w:t>
      </w:r>
      <w:r>
        <w:rPr>
          <w:rFonts w:hint="eastAsia" w:hAnsi="宋体" w:cs="宋体"/>
          <w:bCs/>
          <w:color w:val="auto"/>
          <w:szCs w:val="21"/>
          <w:highlight w:val="none"/>
        </w:rPr>
        <w:t>月</w:t>
      </w:r>
      <w:r>
        <w:rPr>
          <w:rFonts w:hint="eastAsia" w:hAnsi="宋体" w:cs="宋体"/>
          <w:bCs/>
          <w:color w:val="auto"/>
          <w:szCs w:val="21"/>
          <w:highlight w:val="none"/>
          <w:lang w:val="en-US" w:eastAsia="zh-CN"/>
        </w:rPr>
        <w:t>08</w:t>
      </w:r>
      <w:r>
        <w:rPr>
          <w:rFonts w:hint="eastAsia" w:hAnsi="宋体" w:cs="宋体"/>
          <w:bCs/>
          <w:color w:val="auto"/>
          <w:szCs w:val="21"/>
          <w:highlight w:val="none"/>
        </w:rPr>
        <w:t>日 24:00（北京时间，法定节假日除外）；</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地点：海南政府采购网(www.ccgp-hainan.gov.cn)-海南省政府采购电子化交易管理系统（新）。</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方式：网上下载</w:t>
      </w:r>
    </w:p>
    <w:p>
      <w:pPr>
        <w:pStyle w:val="11"/>
        <w:adjustRightInd w:val="0"/>
        <w:snapToGrid w:val="0"/>
        <w:spacing w:line="400" w:lineRule="exact"/>
        <w:ind w:firstLine="840" w:firstLineChars="400"/>
        <w:jc w:val="left"/>
        <w:outlineLvl w:val="0"/>
        <w:rPr>
          <w:rFonts w:hAnsi="宋体" w:cs="宋体"/>
          <w:bCs/>
          <w:color w:val="auto"/>
          <w:szCs w:val="21"/>
          <w:highlight w:val="none"/>
        </w:rPr>
      </w:pPr>
      <w:r>
        <w:rPr>
          <w:rFonts w:hint="eastAsia" w:hAnsi="宋体" w:cs="宋体"/>
          <w:bCs/>
          <w:color w:val="auto"/>
          <w:szCs w:val="21"/>
          <w:highlight w:val="none"/>
        </w:rPr>
        <w:t>售价：0 元/套</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四、提交投标文件截止时间、开标时间和地点</w:t>
      </w:r>
    </w:p>
    <w:p>
      <w:pPr>
        <w:adjustRightInd w:val="0"/>
        <w:snapToGrid w:val="0"/>
        <w:spacing w:line="400" w:lineRule="exact"/>
        <w:ind w:firstLine="840" w:firstLineChars="400"/>
        <w:rPr>
          <w:rFonts w:ascii="宋体" w:hAnsi="宋体" w:cs="宋体"/>
          <w:bCs/>
          <w:color w:val="auto"/>
          <w:szCs w:val="21"/>
          <w:highlight w:val="none"/>
        </w:rPr>
      </w:pPr>
      <w:bookmarkStart w:id="24" w:name="_Toc35393794"/>
      <w:bookmarkStart w:id="25" w:name="_Toc28359084"/>
      <w:bookmarkStart w:id="26" w:name="_Toc28359007"/>
      <w:bookmarkStart w:id="27" w:name="_Toc35393625"/>
      <w:r>
        <w:rPr>
          <w:rFonts w:hint="eastAsia" w:ascii="宋体" w:hAnsi="宋体" w:cs="宋体"/>
          <w:bCs/>
          <w:color w:val="auto"/>
          <w:szCs w:val="21"/>
          <w:highlight w:val="none"/>
        </w:rPr>
        <w:t>提交投标文件截止时间：2023年</w:t>
      </w:r>
      <w:r>
        <w:rPr>
          <w:rFonts w:hint="eastAsia" w:ascii="宋体" w:hAnsi="宋体" w:cs="宋体"/>
          <w:bCs/>
          <w:color w:val="auto"/>
          <w:szCs w:val="21"/>
          <w:highlight w:val="none"/>
          <w:lang w:val="en-US" w:eastAsia="zh-CN"/>
        </w:rPr>
        <w:t>12</w:t>
      </w:r>
      <w:r>
        <w:rPr>
          <w:rFonts w:hint="eastAsia" w:ascii="宋体" w:hAnsi="宋体" w:cs="宋体"/>
          <w:bCs/>
          <w:color w:val="auto"/>
          <w:szCs w:val="21"/>
          <w:highlight w:val="none"/>
          <w:lang w:val="zh-CN"/>
        </w:rPr>
        <w:t>月</w:t>
      </w:r>
      <w:r>
        <w:rPr>
          <w:rFonts w:hint="eastAsia" w:ascii="宋体" w:hAnsi="宋体" w:cs="宋体"/>
          <w:bCs/>
          <w:color w:val="auto"/>
          <w:szCs w:val="21"/>
          <w:highlight w:val="none"/>
          <w:lang w:val="en-US" w:eastAsia="zh-CN"/>
        </w:rPr>
        <w:t>22</w:t>
      </w:r>
      <w:r>
        <w:rPr>
          <w:rFonts w:hint="eastAsia" w:ascii="宋体" w:hAnsi="宋体" w:cs="宋体"/>
          <w:bCs/>
          <w:color w:val="auto"/>
          <w:szCs w:val="21"/>
          <w:highlight w:val="none"/>
        </w:rPr>
        <w:t xml:space="preserve">日  </w:t>
      </w:r>
      <w:r>
        <w:rPr>
          <w:rFonts w:hint="eastAsia" w:ascii="宋体" w:hAnsi="宋体" w:cs="宋体"/>
          <w:bCs/>
          <w:color w:val="auto"/>
          <w:szCs w:val="21"/>
          <w:highlight w:val="none"/>
          <w:lang w:val="en-US" w:eastAsia="zh-CN"/>
        </w:rPr>
        <w:t>14</w:t>
      </w:r>
      <w:r>
        <w:rPr>
          <w:rFonts w:hint="eastAsia" w:ascii="宋体" w:hAnsi="宋体" w:cs="宋体"/>
          <w:bCs/>
          <w:color w:val="auto"/>
          <w:szCs w:val="21"/>
          <w:highlight w:val="none"/>
        </w:rPr>
        <w:t>点</w:t>
      </w:r>
      <w:r>
        <w:rPr>
          <w:rFonts w:hint="eastAsia" w:ascii="宋体" w:hAnsi="宋体" w:cs="宋体"/>
          <w:bCs/>
          <w:color w:val="auto"/>
          <w:szCs w:val="21"/>
          <w:highlight w:val="none"/>
          <w:lang w:val="en-US" w:eastAsia="zh-CN"/>
        </w:rPr>
        <w:t>30</w:t>
      </w:r>
      <w:r>
        <w:rPr>
          <w:rFonts w:hint="eastAsia" w:ascii="宋体" w:hAnsi="宋体" w:cs="宋体"/>
          <w:bCs/>
          <w:color w:val="auto"/>
          <w:szCs w:val="21"/>
          <w:highlight w:val="none"/>
        </w:rPr>
        <w:t>分（北京时间）；</w:t>
      </w:r>
    </w:p>
    <w:p>
      <w:pPr>
        <w:adjustRightInd w:val="0"/>
        <w:snapToGrid w:val="0"/>
        <w:spacing w:line="400" w:lineRule="exact"/>
        <w:ind w:firstLine="840" w:firstLineChars="400"/>
        <w:rPr>
          <w:rFonts w:ascii="宋体" w:hAnsi="宋体" w:cs="宋体"/>
          <w:bCs/>
          <w:color w:val="auto"/>
          <w:szCs w:val="21"/>
          <w:highlight w:val="none"/>
        </w:rPr>
      </w:pPr>
      <w:r>
        <w:rPr>
          <w:rFonts w:hint="eastAsia" w:ascii="宋体" w:hAnsi="宋体" w:cs="宋体"/>
          <w:bCs/>
          <w:color w:val="auto"/>
          <w:szCs w:val="21"/>
          <w:highlight w:val="none"/>
        </w:rPr>
        <w:t>地点：海口市美兰区蓝天路51号京航大酒店5楼电子评标室</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rPr>
        <w:t>，如有变动另行通知。</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 xml:space="preserve">  </w:t>
      </w:r>
      <w:r>
        <w:rPr>
          <w:rFonts w:hint="eastAsia" w:hAnsi="宋体" w:cs="宋体"/>
          <w:bCs/>
          <w:color w:val="auto"/>
          <w:szCs w:val="21"/>
          <w:highlight w:val="none"/>
        </w:rPr>
        <w:t xml:space="preserve">  开标时间：2023年</w:t>
      </w:r>
      <w:r>
        <w:rPr>
          <w:rFonts w:hint="eastAsia" w:hAnsi="宋体" w:cs="宋体"/>
          <w:bCs/>
          <w:color w:val="auto"/>
          <w:szCs w:val="21"/>
          <w:highlight w:val="none"/>
          <w:lang w:val="en-US" w:eastAsia="zh-CN"/>
        </w:rPr>
        <w:t>12</w:t>
      </w:r>
      <w:r>
        <w:rPr>
          <w:rFonts w:hint="eastAsia" w:hAnsi="宋体" w:cs="宋体"/>
          <w:bCs/>
          <w:color w:val="auto"/>
          <w:szCs w:val="21"/>
          <w:highlight w:val="none"/>
        </w:rPr>
        <w:t>月</w:t>
      </w:r>
      <w:r>
        <w:rPr>
          <w:rFonts w:hint="eastAsia" w:hAnsi="宋体" w:cs="宋体"/>
          <w:bCs/>
          <w:color w:val="auto"/>
          <w:szCs w:val="21"/>
          <w:highlight w:val="none"/>
          <w:lang w:val="en-US" w:eastAsia="zh-CN"/>
        </w:rPr>
        <w:t>22</w:t>
      </w:r>
      <w:r>
        <w:rPr>
          <w:rFonts w:hint="eastAsia" w:hAnsi="宋体" w:cs="宋体"/>
          <w:bCs/>
          <w:color w:val="auto"/>
          <w:szCs w:val="21"/>
          <w:highlight w:val="none"/>
        </w:rPr>
        <w:t xml:space="preserve">日  </w:t>
      </w:r>
      <w:r>
        <w:rPr>
          <w:rFonts w:hint="eastAsia" w:hAnsi="宋体" w:cs="宋体"/>
          <w:bCs/>
          <w:color w:val="auto"/>
          <w:szCs w:val="21"/>
          <w:highlight w:val="none"/>
          <w:lang w:val="en-US" w:eastAsia="zh-CN"/>
        </w:rPr>
        <w:t>14</w:t>
      </w:r>
      <w:r>
        <w:rPr>
          <w:rFonts w:hint="eastAsia" w:hAnsi="宋体" w:cs="宋体"/>
          <w:bCs/>
          <w:color w:val="auto"/>
          <w:szCs w:val="21"/>
          <w:highlight w:val="none"/>
        </w:rPr>
        <w:t>点</w:t>
      </w:r>
      <w:r>
        <w:rPr>
          <w:rFonts w:hint="eastAsia" w:hAnsi="宋体" w:cs="宋体"/>
          <w:bCs/>
          <w:color w:val="auto"/>
          <w:szCs w:val="21"/>
          <w:highlight w:val="none"/>
          <w:lang w:val="en-US" w:eastAsia="zh-CN"/>
        </w:rPr>
        <w:t>30</w:t>
      </w:r>
      <w:r>
        <w:rPr>
          <w:rFonts w:hint="eastAsia" w:hAnsi="宋体" w:cs="宋体"/>
          <w:bCs/>
          <w:color w:val="auto"/>
          <w:szCs w:val="21"/>
          <w:highlight w:val="none"/>
        </w:rPr>
        <w:t>分（北京时间）；</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 xml:space="preserve">    </w:t>
      </w:r>
      <w:r>
        <w:rPr>
          <w:rFonts w:hint="eastAsia" w:hAnsi="宋体" w:cs="宋体"/>
          <w:bCs/>
          <w:color w:val="auto"/>
          <w:szCs w:val="21"/>
          <w:highlight w:val="none"/>
        </w:rPr>
        <w:t>开标地点：海口市美兰区蓝天路51号京航大酒店5楼电子评标室</w:t>
      </w:r>
      <w:r>
        <w:rPr>
          <w:rFonts w:hint="eastAsia" w:hAnsi="宋体" w:cs="宋体"/>
          <w:bCs/>
          <w:color w:val="auto"/>
          <w:szCs w:val="21"/>
          <w:highlight w:val="none"/>
          <w:lang w:val="en-US" w:eastAsia="zh-CN"/>
        </w:rPr>
        <w:t>二</w:t>
      </w:r>
      <w:r>
        <w:rPr>
          <w:rFonts w:hint="eastAsia" w:hAnsi="宋体" w:cs="宋体"/>
          <w:bCs/>
          <w:color w:val="auto"/>
          <w:szCs w:val="21"/>
          <w:highlight w:val="none"/>
        </w:rPr>
        <w:t>，如有变动另行通知。</w:t>
      </w:r>
    </w:p>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五、其他补充事宜</w:t>
      </w:r>
    </w:p>
    <w:p>
      <w:pPr>
        <w:adjustRightInd w:val="0"/>
        <w:snapToGrid w:val="0"/>
        <w:spacing w:line="400" w:lineRule="exact"/>
        <w:ind w:firstLine="840" w:firstLineChars="400"/>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公告发布媒介：《海南省政府采购网》</w:t>
      </w:r>
      <w:r>
        <w:rPr>
          <w:rFonts w:hint="eastAsia" w:ascii="宋体" w:hAnsi="宋体" w:cs="宋体"/>
          <w:bCs/>
          <w:color w:val="auto"/>
          <w:szCs w:val="21"/>
          <w:highlight w:val="none"/>
          <w:lang w:eastAsia="zh-CN"/>
        </w:rPr>
        <w:t>、《</w:t>
      </w:r>
      <w:r>
        <w:rPr>
          <w:rFonts w:hint="eastAsia" w:ascii="宋体" w:hAnsi="宋体" w:cs="宋体"/>
          <w:color w:val="auto"/>
          <w:szCs w:val="21"/>
          <w:highlight w:val="none"/>
        </w:rPr>
        <w:t>全国公共资源交易平台（海南省·海口市）</w:t>
      </w:r>
      <w:r>
        <w:rPr>
          <w:rFonts w:hint="eastAsia" w:ascii="宋体" w:hAnsi="宋体" w:cs="宋体"/>
          <w:bCs/>
          <w:color w:val="auto"/>
          <w:szCs w:val="21"/>
          <w:highlight w:val="none"/>
          <w:lang w:eastAsia="zh-CN"/>
        </w:rPr>
        <w:t>》</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1、有关本项目采购文件的补遗、澄清及变更信息以上述网站公告为准，采购代理机构不再另行通知，采购文件与更正公告的内容相互矛盾时，以最后发出的更正公告内容为准。</w:t>
      </w:r>
    </w:p>
    <w:p>
      <w:pPr>
        <w:adjustRightInd w:val="0"/>
        <w:snapToGrid w:val="0"/>
        <w:spacing w:line="400" w:lineRule="exact"/>
        <w:ind w:firstLine="840" w:firstLineChars="400"/>
        <w:jc w:val="left"/>
        <w:rPr>
          <w:rFonts w:ascii="宋体" w:hAnsi="宋体" w:cs="宋体"/>
          <w:bCs/>
          <w:color w:val="auto"/>
          <w:szCs w:val="21"/>
          <w:highlight w:val="none"/>
          <w:lang w:val="en-GB"/>
        </w:rPr>
      </w:pPr>
      <w:r>
        <w:rPr>
          <w:rFonts w:hint="eastAsia" w:ascii="宋体" w:hAnsi="宋体" w:cs="宋体"/>
          <w:bCs/>
          <w:color w:val="auto"/>
          <w:szCs w:val="21"/>
          <w:highlight w:val="none"/>
        </w:rPr>
        <w:t>2、</w:t>
      </w:r>
      <w:r>
        <w:rPr>
          <w:rFonts w:hint="eastAsia" w:ascii="宋体" w:hAnsi="宋体" w:cs="宋体"/>
          <w:bCs/>
          <w:color w:val="auto"/>
          <w:szCs w:val="21"/>
          <w:highlight w:val="none"/>
          <w:lang w:val="en-GB"/>
        </w:rPr>
        <w:t>海南省政府采购网注册：供应商须在海南省政府采购网(https://www.ccgp-hainan.gov.cn/zhuzhan/)中的海南省政府采购电子化交易管理系统进行注册。</w:t>
      </w:r>
    </w:p>
    <w:p>
      <w:pPr>
        <w:adjustRightInd w:val="0"/>
        <w:snapToGrid w:val="0"/>
        <w:spacing w:line="400" w:lineRule="exact"/>
        <w:ind w:firstLine="840" w:firstLineChars="400"/>
        <w:jc w:val="left"/>
        <w:rPr>
          <w:rFonts w:ascii="宋体" w:hAnsi="宋体" w:cs="宋体"/>
          <w:bCs/>
          <w:color w:val="auto"/>
          <w:szCs w:val="21"/>
          <w:highlight w:val="none"/>
          <w:lang w:val="en-GB"/>
        </w:rPr>
      </w:pPr>
      <w:r>
        <w:rPr>
          <w:rFonts w:hint="eastAsia" w:ascii="宋体" w:hAnsi="宋体" w:cs="宋体"/>
          <w:bCs/>
          <w:color w:val="auto"/>
          <w:szCs w:val="21"/>
          <w:highlight w:val="none"/>
          <w:lang w:val="en-GB"/>
        </w:rPr>
        <w:t>注意：供应商制作投标文件、签到等需选择key签章，海南CA数字证书办理所需材料及地址如下：（1）CA数字证书所需材料：登录海南省数字证书认证中心网站（网址：http://www.hndca.com/CA/） “服务支持”中的“海南省电子招投标用户办理数字证书业务指南”下载。（可在线办理，也可现场办理） （2）CA 数字证书现场办理地址：海南省海口市美兰区大英山东三路2号海南数据谷二号营地2层212室。数字证书咨询电话：0898-66668096、0898-66664947，电子签章咨询电话：0898-6520320</w:t>
      </w:r>
      <w:r>
        <w:rPr>
          <w:rFonts w:hint="eastAsia" w:ascii="宋体" w:hAnsi="宋体" w:cs="宋体"/>
          <w:bCs/>
          <w:color w:val="auto"/>
          <w:szCs w:val="21"/>
          <w:highlight w:val="none"/>
        </w:rPr>
        <w:t>7</w:t>
      </w:r>
      <w:r>
        <w:rPr>
          <w:rFonts w:hint="eastAsia" w:ascii="宋体" w:hAnsi="宋体" w:cs="宋体"/>
          <w:bCs/>
          <w:color w:val="auto"/>
          <w:szCs w:val="21"/>
          <w:highlight w:val="none"/>
          <w:lang w:val="en-GB"/>
        </w:rPr>
        <w:t>）。已注册备案通过的供应商不需要再重新备案；已办理过海南CA锁数字证书进行招投标的用户，可直接使用，无须再办理。</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3、获取采购文件方式：登录海南政府采购网(www.ccgp-hainan.gov.cn)-海南省政府采购电子化交易管理系统(新)交易平台进行报名并下载电子版采购文件及其他文件。 </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4、本项目为全流程电子化操作项目：供应商必须使用最新版本的电子投标书编制工具制作电子版投标文件并使用CA数字证书（含手机CA）的电子印章进行签章，且使用CA数字证书（含手机CA）进行加密后在提交投标文件截止时间前上传加密的电子投标文件至交易系统，未经加密和逾期递交的电子投标文件，将被交易平台拒收。（投标文件制作工具是配合政府采购交易系统制作投标文件的工具。投标人/供应商使用该工具打开从系统下载的招投标文件包【为wtbwj格式】，离线编辑完成的投标文件各组成部分导入pdf格式签章，最终生成加密的投标文件【为wenc格式】）。电子投标书编制工具、投标工具使用手册及供应商使用手册等均可在海南省政府采购电子化交易管理系统（http://218.77.183.212:8199/u/loginu/）-帮助中心下载。 </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5、本项目采用远程开标，投标人无需委派授权代表参加现场开标，若需要到现场开标，请投标人自行携带电脑。开标时投标人使用个人电脑登入海南政府采购网(www.ccgp-hainan.gov.cn)-海南省政府采购电子化交易管理系统(新)(实体CA数字证书或移动CA数字证书，必须是生成投标文件时使用的数字认证锁) 进行远程解密。在开标前，投标人应利用参与开标的电脑提前登入开标系统进行电脑配置环境检测，并按提示设置电脑环境。注：建议在开标截止时间前60分钟进入系统远程在线签到，如投标人未按时在线签到，此投标将被交易平台拒绝。</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6、有关本项目文件的补遗、澄清及变更信息以上述网站公告与下载为准，文件与更正公告的内容相互矛盾时，以最后发出的更正公告内容为准。采购文件有更正的必须重新下载更正后的采购文件数据包编制电子投标文件，否则开标过程会解密失败。</w:t>
      </w:r>
    </w:p>
    <w:p>
      <w:pPr>
        <w:adjustRightInd w:val="0"/>
        <w:snapToGrid w:val="0"/>
        <w:spacing w:line="400" w:lineRule="exact"/>
        <w:ind w:firstLine="840" w:firstLineChars="400"/>
        <w:jc w:val="left"/>
        <w:rPr>
          <w:rFonts w:ascii="宋体" w:hAnsi="宋体" w:cs="宋体"/>
          <w:bCs/>
          <w:color w:val="auto"/>
          <w:szCs w:val="21"/>
          <w:highlight w:val="none"/>
        </w:rPr>
      </w:pPr>
      <w:r>
        <w:rPr>
          <w:rFonts w:hint="eastAsia" w:ascii="宋体" w:hAnsi="宋体" w:cs="宋体"/>
          <w:bCs/>
          <w:color w:val="auto"/>
          <w:szCs w:val="21"/>
          <w:highlight w:val="none"/>
        </w:rPr>
        <w:t>注意事项：本项目采用全流程电子化操作，供应商应详细阅读海南省政府采购网的通知《海南省财政厅关于进一步推进政府采购全流程电子化的通知》，下载查看操作手册，在使用交易系统遇到问题可致电技术支持：0898-68546705。</w:t>
      </w:r>
    </w:p>
    <w:bookmarkEnd w:id="24"/>
    <w:bookmarkEnd w:id="25"/>
    <w:bookmarkEnd w:id="26"/>
    <w:bookmarkEnd w:id="27"/>
    <w:p>
      <w:pPr>
        <w:pStyle w:val="11"/>
        <w:adjustRightInd w:val="0"/>
        <w:snapToGrid w:val="0"/>
        <w:spacing w:line="400" w:lineRule="exact"/>
        <w:ind w:firstLine="422" w:firstLineChars="200"/>
        <w:jc w:val="left"/>
        <w:outlineLvl w:val="0"/>
        <w:rPr>
          <w:rFonts w:hAnsi="宋体" w:cs="宋体"/>
          <w:b/>
          <w:color w:val="auto"/>
          <w:szCs w:val="21"/>
          <w:highlight w:val="none"/>
        </w:rPr>
      </w:pPr>
      <w:r>
        <w:rPr>
          <w:rFonts w:hint="eastAsia" w:hAnsi="宋体" w:cs="宋体"/>
          <w:b/>
          <w:color w:val="auto"/>
          <w:szCs w:val="21"/>
          <w:highlight w:val="none"/>
        </w:rPr>
        <w:t>六、对本次招标提出询问，请按以下方式联系</w:t>
      </w:r>
      <w:bookmarkEnd w:id="20"/>
      <w:bookmarkEnd w:id="21"/>
      <w:bookmarkEnd w:id="22"/>
      <w:bookmarkEnd w:id="23"/>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1.采购人信息：</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名称：海口市市政管理局</w:t>
      </w:r>
    </w:p>
    <w:p>
      <w:pPr>
        <w:snapToGrid w:val="0"/>
        <w:spacing w:line="400" w:lineRule="exact"/>
        <w:ind w:left="1050" w:leftChars="200" w:hanging="630" w:hangingChars="300"/>
        <w:rPr>
          <w:rFonts w:ascii="宋体" w:hAnsi="宋体" w:cs="宋体"/>
          <w:bCs/>
          <w:color w:val="auto"/>
          <w:szCs w:val="21"/>
          <w:highlight w:val="none"/>
        </w:rPr>
      </w:pPr>
      <w:r>
        <w:rPr>
          <w:rFonts w:hint="eastAsia" w:ascii="宋体" w:hAnsi="宋体" w:cs="宋体"/>
          <w:bCs/>
          <w:color w:val="auto"/>
          <w:szCs w:val="21"/>
          <w:highlight w:val="none"/>
        </w:rPr>
        <w:t>地址：海口市市政府第二办公区16号南楼5楼</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联系人：范先生</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联系方式：</w:t>
      </w:r>
      <w:bookmarkStart w:id="28" w:name="_Toc28359086"/>
      <w:bookmarkStart w:id="29" w:name="_Toc28359009"/>
      <w:r>
        <w:rPr>
          <w:rFonts w:hint="eastAsia" w:ascii="宋体" w:hAnsi="宋体" w:cs="宋体"/>
          <w:bCs/>
          <w:color w:val="auto"/>
          <w:szCs w:val="21"/>
          <w:highlight w:val="none"/>
        </w:rPr>
        <w:t xml:space="preserve">0898-68723926 </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2、采购代理机构信息</w:t>
      </w:r>
      <w:bookmarkEnd w:id="28"/>
      <w:bookmarkEnd w:id="29"/>
      <w:r>
        <w:rPr>
          <w:rFonts w:hint="eastAsia" w:ascii="宋体" w:hAnsi="宋体" w:cs="宋体"/>
          <w:bCs/>
          <w:color w:val="auto"/>
          <w:szCs w:val="21"/>
          <w:highlight w:val="none"/>
        </w:rPr>
        <w:t>：</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名称：海南中顺项目管理有限公司 </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地址：海南省海口市美兰区海府街道蓝天路名门广场北区C座1006房</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联系方式：</w:t>
      </w:r>
      <w:bookmarkStart w:id="30" w:name="_Toc28359087"/>
      <w:bookmarkStart w:id="31" w:name="_Toc28359010"/>
      <w:r>
        <w:rPr>
          <w:rFonts w:hint="eastAsia" w:ascii="宋体" w:hAnsi="宋体" w:cs="宋体"/>
          <w:bCs/>
          <w:color w:val="auto"/>
          <w:szCs w:val="21"/>
          <w:highlight w:val="none"/>
        </w:rPr>
        <w:t>0898-68602509</w:t>
      </w:r>
    </w:p>
    <w:p>
      <w:pPr>
        <w:numPr>
          <w:ilvl w:val="0"/>
          <w:numId w:val="1"/>
        </w:num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项目联系方式</w:t>
      </w:r>
      <w:bookmarkEnd w:id="30"/>
      <w:bookmarkEnd w:id="31"/>
      <w:r>
        <w:rPr>
          <w:rFonts w:hint="eastAsia" w:ascii="宋体" w:hAnsi="宋体" w:cs="宋体"/>
          <w:bCs/>
          <w:color w:val="auto"/>
          <w:szCs w:val="21"/>
          <w:highlight w:val="none"/>
        </w:rPr>
        <w:t>：</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项目联系人：陈工     </w:t>
      </w:r>
    </w:p>
    <w:p>
      <w:pPr>
        <w:snapToGrid w:val="0"/>
        <w:spacing w:line="400" w:lineRule="exact"/>
        <w:ind w:firstLine="420" w:firstLineChars="200"/>
        <w:jc w:val="left"/>
        <w:rPr>
          <w:color w:val="auto"/>
          <w:highlight w:val="none"/>
        </w:rPr>
      </w:pPr>
      <w:r>
        <w:rPr>
          <w:rFonts w:hint="eastAsia" w:ascii="宋体" w:hAnsi="宋体" w:cs="宋体"/>
          <w:bCs/>
          <w:color w:val="auto"/>
          <w:szCs w:val="21"/>
          <w:highlight w:val="none"/>
        </w:rPr>
        <w:t>电话：0898-68602509</w:t>
      </w:r>
    </w:p>
    <w:p>
      <w:pPr>
        <w:adjustRightInd w:val="0"/>
        <w:snapToGrid w:val="0"/>
        <w:spacing w:line="360" w:lineRule="auto"/>
        <w:jc w:val="center"/>
        <w:rPr>
          <w:rFonts w:ascii="宋体" w:hAnsi="宋体" w:cs="宋体"/>
          <w:b/>
          <w:color w:val="auto"/>
          <w:szCs w:val="21"/>
          <w:highlight w:val="none"/>
        </w:rPr>
      </w:pPr>
    </w:p>
    <w:p>
      <w:pPr>
        <w:adjustRightInd w:val="0"/>
        <w:snapToGrid w:val="0"/>
        <w:spacing w:line="360" w:lineRule="auto"/>
        <w:jc w:val="center"/>
        <w:rPr>
          <w:rFonts w:ascii="宋体" w:hAnsi="宋体" w:cs="宋体"/>
          <w:b/>
          <w:color w:val="auto"/>
          <w:szCs w:val="21"/>
          <w:highlight w:val="none"/>
        </w:rPr>
      </w:pPr>
    </w:p>
    <w:p>
      <w:pPr>
        <w:adjustRightInd w:val="0"/>
        <w:snapToGrid w:val="0"/>
        <w:spacing w:line="360" w:lineRule="auto"/>
        <w:jc w:val="center"/>
        <w:rPr>
          <w:rFonts w:ascii="宋体" w:hAnsi="宋体" w:cs="宋体"/>
          <w:b/>
          <w:color w:val="auto"/>
          <w:szCs w:val="21"/>
          <w:highlight w:val="none"/>
        </w:rPr>
      </w:pPr>
    </w:p>
    <w:p>
      <w:pPr>
        <w:adjustRightInd w:val="0"/>
        <w:snapToGrid w:val="0"/>
        <w:spacing w:line="360" w:lineRule="auto"/>
        <w:jc w:val="center"/>
        <w:rPr>
          <w:rFonts w:ascii="宋体" w:hAnsi="宋体" w:cs="宋体"/>
          <w:b/>
          <w:color w:val="auto"/>
          <w:szCs w:val="21"/>
          <w:highlight w:val="none"/>
        </w:rPr>
      </w:pPr>
    </w:p>
    <w:p>
      <w:pPr>
        <w:adjustRightInd w:val="0"/>
        <w:snapToGrid w:val="0"/>
        <w:spacing w:line="360" w:lineRule="auto"/>
        <w:jc w:val="center"/>
        <w:rPr>
          <w:rFonts w:ascii="宋体" w:hAnsi="宋体" w:cs="宋体"/>
          <w:b/>
          <w:color w:val="auto"/>
          <w:szCs w:val="21"/>
          <w:highlight w:val="none"/>
        </w:rPr>
      </w:pPr>
    </w:p>
    <w:p>
      <w:pPr>
        <w:adjustRightInd w:val="0"/>
        <w:snapToGrid w:val="0"/>
        <w:spacing w:line="360" w:lineRule="auto"/>
        <w:rPr>
          <w:rFonts w:ascii="宋体" w:hAnsi="宋体" w:cs="宋体"/>
          <w:b/>
          <w:color w:val="auto"/>
          <w:szCs w:val="21"/>
          <w:highlight w:val="none"/>
        </w:rPr>
      </w:pPr>
    </w:p>
    <w:p>
      <w:pPr>
        <w:adjustRightInd w:val="0"/>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第二章  采购需求</w:t>
      </w:r>
    </w:p>
    <w:p>
      <w:pPr>
        <w:spacing w:line="480" w:lineRule="auto"/>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一、项目基本情况</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1.项目名称：</w:t>
      </w:r>
      <w:r>
        <w:rPr>
          <w:rFonts w:hint="eastAsia" w:ascii="宋体" w:hAnsi="宋体" w:cs="宋体"/>
          <w:color w:val="auto"/>
          <w:szCs w:val="21"/>
          <w:highlight w:val="none"/>
        </w:rPr>
        <w:t>海口市桥梁和隧道设施养护项目监理（2024-2025年度）</w:t>
      </w:r>
    </w:p>
    <w:p>
      <w:pPr>
        <w:spacing w:line="480" w:lineRule="auto"/>
        <w:ind w:firstLine="207" w:firstLineChars="98"/>
        <w:rPr>
          <w:rFonts w:ascii="宋体" w:hAnsi="宋体" w:cs="宋体"/>
          <w:color w:val="auto"/>
          <w:szCs w:val="21"/>
          <w:highlight w:val="none"/>
        </w:rPr>
      </w:pPr>
      <w:r>
        <w:rPr>
          <w:rFonts w:hint="eastAsia" w:ascii="宋体" w:hAnsi="宋体" w:cs="宋体"/>
          <w:b/>
          <w:bCs/>
          <w:color w:val="auto"/>
          <w:szCs w:val="21"/>
          <w:highlight w:val="none"/>
        </w:rPr>
        <w:t>2.项目编号：</w:t>
      </w:r>
      <w:r>
        <w:rPr>
          <w:rFonts w:hint="eastAsia" w:ascii="宋体" w:hAnsi="宋体" w:cs="宋体"/>
          <w:color w:val="auto"/>
          <w:szCs w:val="21"/>
          <w:highlight w:val="none"/>
        </w:rPr>
        <w:t xml:space="preserve">HNZS2023-090  </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3.采购方式：</w:t>
      </w:r>
      <w:r>
        <w:rPr>
          <w:rFonts w:hint="eastAsia" w:ascii="宋体" w:hAnsi="宋体" w:cs="宋体"/>
          <w:color w:val="auto"/>
          <w:szCs w:val="21"/>
          <w:highlight w:val="none"/>
        </w:rPr>
        <w:t>公开招标</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4.采购预算：</w:t>
      </w:r>
      <w:r>
        <w:rPr>
          <w:rFonts w:hint="eastAsia" w:ascii="宋体" w:hAnsi="宋体" w:cs="宋体"/>
          <w:color w:val="auto"/>
          <w:szCs w:val="21"/>
          <w:highlight w:val="none"/>
        </w:rPr>
        <w:t>总预算：￥2322200.00元。</w:t>
      </w:r>
    </w:p>
    <w:p>
      <w:pPr>
        <w:spacing w:line="480" w:lineRule="auto"/>
        <w:ind w:firstLine="632" w:firstLineChars="300"/>
        <w:rPr>
          <w:rFonts w:ascii="宋体" w:hAnsi="宋体" w:cs="宋体"/>
          <w:b/>
          <w:bCs/>
          <w:color w:val="auto"/>
          <w:szCs w:val="21"/>
          <w:highlight w:val="none"/>
        </w:rPr>
      </w:pPr>
      <w:r>
        <w:rPr>
          <w:rFonts w:hint="eastAsia" w:ascii="宋体" w:hAnsi="宋体" w:cs="宋体"/>
          <w:b/>
          <w:bCs/>
          <w:color w:val="auto"/>
          <w:szCs w:val="21"/>
          <w:highlight w:val="none"/>
        </w:rPr>
        <w:t>（注：超出采购预算的投标，按无效投标处理。）</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5.最高限价：</w:t>
      </w:r>
      <w:r>
        <w:rPr>
          <w:rFonts w:hint="eastAsia" w:ascii="宋体" w:hAnsi="宋体" w:cs="宋体"/>
          <w:color w:val="auto"/>
          <w:szCs w:val="21"/>
          <w:highlight w:val="none"/>
        </w:rPr>
        <w:t>￥2322200.00元。</w:t>
      </w:r>
    </w:p>
    <w:p>
      <w:pPr>
        <w:spacing w:line="480" w:lineRule="auto"/>
        <w:ind w:firstLine="628" w:firstLineChars="298"/>
        <w:rPr>
          <w:rFonts w:ascii="宋体" w:hAnsi="宋体" w:cs="宋体"/>
          <w:b/>
          <w:bCs/>
          <w:color w:val="auto"/>
          <w:szCs w:val="21"/>
          <w:highlight w:val="none"/>
        </w:rPr>
      </w:pPr>
      <w:r>
        <w:rPr>
          <w:rFonts w:hint="eastAsia" w:ascii="宋体" w:hAnsi="宋体" w:cs="宋体"/>
          <w:b/>
          <w:bCs/>
          <w:color w:val="auto"/>
          <w:szCs w:val="21"/>
          <w:highlight w:val="none"/>
        </w:rPr>
        <w:t>（注：超出最高限价的投标，按无效投标处理。）</w:t>
      </w:r>
    </w:p>
    <w:p>
      <w:pPr>
        <w:pStyle w:val="11"/>
        <w:adjustRightInd w:val="0"/>
        <w:snapToGrid w:val="0"/>
        <w:spacing w:line="480" w:lineRule="auto"/>
        <w:ind w:firstLine="211" w:firstLineChars="100"/>
        <w:jc w:val="left"/>
        <w:outlineLvl w:val="0"/>
        <w:rPr>
          <w:rFonts w:hAnsi="宋体" w:cs="宋体"/>
          <w:b/>
          <w:bCs/>
          <w:color w:val="auto"/>
          <w:szCs w:val="21"/>
          <w:highlight w:val="none"/>
        </w:rPr>
      </w:pPr>
      <w:r>
        <w:rPr>
          <w:rFonts w:hint="eastAsia" w:hAnsi="宋体" w:cs="宋体"/>
          <w:b/>
          <w:bCs/>
          <w:color w:val="auto"/>
          <w:szCs w:val="21"/>
          <w:highlight w:val="none"/>
        </w:rPr>
        <w:t>6.采购需求一览表：</w:t>
      </w:r>
    </w:p>
    <w:tbl>
      <w:tblPr>
        <w:tblStyle w:val="20"/>
        <w:tblW w:w="915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085"/>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年度</w:t>
            </w:r>
          </w:p>
        </w:tc>
        <w:tc>
          <w:tcPr>
            <w:tcW w:w="2085"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最高限价</w:t>
            </w:r>
          </w:p>
        </w:tc>
        <w:tc>
          <w:tcPr>
            <w:tcW w:w="5040"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noWrap/>
            <w:vAlign w:val="center"/>
          </w:tcPr>
          <w:p>
            <w:pPr>
              <w:spacing w:line="480" w:lineRule="auto"/>
              <w:jc w:val="center"/>
              <w:rPr>
                <w:rFonts w:ascii="宋体" w:hAnsi="宋体" w:cs="宋体"/>
                <w:color w:val="auto"/>
                <w:szCs w:val="21"/>
                <w:highlight w:val="none"/>
              </w:rPr>
            </w:pPr>
            <w:r>
              <w:rPr>
                <w:rFonts w:hint="eastAsia" w:ascii="宋体" w:hAnsi="宋体" w:cs="宋体"/>
                <w:color w:val="auto"/>
                <w:szCs w:val="21"/>
                <w:highlight w:val="none"/>
              </w:rPr>
              <w:t>2024年度</w:t>
            </w:r>
          </w:p>
        </w:tc>
        <w:tc>
          <w:tcPr>
            <w:tcW w:w="2085" w:type="dxa"/>
            <w:noWrap/>
            <w:vAlign w:val="center"/>
          </w:tcPr>
          <w:p>
            <w:pPr>
              <w:spacing w:line="480" w:lineRule="auto"/>
              <w:rPr>
                <w:rFonts w:ascii="宋体" w:hAnsi="宋体" w:cs="宋体"/>
                <w:color w:val="auto"/>
                <w:szCs w:val="21"/>
                <w:highlight w:val="none"/>
              </w:rPr>
            </w:pPr>
            <w:r>
              <w:rPr>
                <w:rFonts w:hint="eastAsia" w:ascii="宋体" w:hAnsi="宋体" w:cs="宋体"/>
                <w:color w:val="auto"/>
                <w:szCs w:val="21"/>
                <w:highlight w:val="none"/>
              </w:rPr>
              <w:t>￥1147455.00元</w:t>
            </w:r>
          </w:p>
        </w:tc>
        <w:tc>
          <w:tcPr>
            <w:tcW w:w="5040" w:type="dxa"/>
            <w:noWrap/>
            <w:vAlign w:val="center"/>
          </w:tcPr>
          <w:p>
            <w:pPr>
              <w:spacing w:line="48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分项报价，报价不超过2024年度最高限价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noWrap/>
            <w:vAlign w:val="center"/>
          </w:tcPr>
          <w:p>
            <w:pPr>
              <w:spacing w:line="480" w:lineRule="auto"/>
              <w:jc w:val="center"/>
              <w:rPr>
                <w:rFonts w:ascii="宋体" w:hAnsi="宋体" w:cs="宋体"/>
                <w:color w:val="auto"/>
                <w:szCs w:val="21"/>
                <w:highlight w:val="none"/>
              </w:rPr>
            </w:pPr>
            <w:r>
              <w:rPr>
                <w:rFonts w:hint="eastAsia" w:ascii="宋体" w:hAnsi="宋体" w:cs="宋体"/>
                <w:color w:val="auto"/>
                <w:szCs w:val="21"/>
                <w:highlight w:val="none"/>
              </w:rPr>
              <w:t>2025年度</w:t>
            </w:r>
          </w:p>
        </w:tc>
        <w:tc>
          <w:tcPr>
            <w:tcW w:w="2085" w:type="dxa"/>
            <w:noWrap/>
            <w:vAlign w:val="center"/>
          </w:tcPr>
          <w:p>
            <w:pPr>
              <w:spacing w:line="480" w:lineRule="auto"/>
              <w:rPr>
                <w:rFonts w:ascii="宋体" w:hAnsi="宋体" w:cs="宋体"/>
                <w:color w:val="auto"/>
                <w:szCs w:val="21"/>
                <w:highlight w:val="none"/>
              </w:rPr>
            </w:pPr>
            <w:r>
              <w:rPr>
                <w:rFonts w:hint="eastAsia" w:ascii="宋体" w:hAnsi="宋体" w:cs="宋体"/>
                <w:color w:val="auto"/>
                <w:szCs w:val="21"/>
                <w:highlight w:val="none"/>
              </w:rPr>
              <w:t>￥1174745.00元</w:t>
            </w:r>
          </w:p>
        </w:tc>
        <w:tc>
          <w:tcPr>
            <w:tcW w:w="5040" w:type="dxa"/>
            <w:noWrap/>
            <w:vAlign w:val="center"/>
          </w:tcPr>
          <w:p>
            <w:pPr>
              <w:spacing w:line="48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分项报价，报价不超过2025年度最高限价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025" w:type="dxa"/>
            <w:noWrap/>
            <w:vAlign w:val="center"/>
          </w:tcPr>
          <w:p>
            <w:pPr>
              <w:spacing w:line="480" w:lineRule="auto"/>
              <w:jc w:val="center"/>
              <w:rPr>
                <w:rFonts w:ascii="宋体" w:hAnsi="宋体" w:cs="宋体"/>
                <w:color w:val="auto"/>
                <w:szCs w:val="21"/>
                <w:highlight w:val="none"/>
              </w:rPr>
            </w:pPr>
            <w:r>
              <w:rPr>
                <w:rFonts w:hint="eastAsia" w:ascii="宋体" w:hAnsi="宋体" w:cs="宋体"/>
                <w:color w:val="auto"/>
                <w:szCs w:val="21"/>
                <w:highlight w:val="none"/>
              </w:rPr>
              <w:t>备注</w:t>
            </w:r>
          </w:p>
        </w:tc>
        <w:tc>
          <w:tcPr>
            <w:tcW w:w="7125" w:type="dxa"/>
            <w:gridSpan w:val="2"/>
            <w:noWrap/>
            <w:vAlign w:val="center"/>
          </w:tcPr>
          <w:p>
            <w:pPr>
              <w:spacing w:line="480" w:lineRule="auto"/>
              <w:ind w:firstLine="205" w:firstLineChars="98"/>
              <w:jc w:val="center"/>
              <w:rPr>
                <w:rFonts w:ascii="宋体" w:hAnsi="宋体" w:cs="宋体"/>
                <w:color w:val="auto"/>
                <w:szCs w:val="21"/>
                <w:highlight w:val="none"/>
              </w:rPr>
            </w:pPr>
            <w:r>
              <w:rPr>
                <w:rFonts w:hint="eastAsia" w:ascii="宋体" w:hAnsi="宋体" w:cs="宋体"/>
                <w:color w:val="auto"/>
                <w:szCs w:val="21"/>
                <w:highlight w:val="none"/>
              </w:rPr>
              <w:t>按年度结算。</w:t>
            </w:r>
          </w:p>
        </w:tc>
      </w:tr>
    </w:tbl>
    <w:p>
      <w:pPr>
        <w:spacing w:line="480" w:lineRule="auto"/>
        <w:ind w:firstLine="211" w:firstLineChars="100"/>
        <w:rPr>
          <w:rFonts w:ascii="宋体" w:hAnsi="宋体" w:cs="宋体"/>
          <w:b/>
          <w:bCs/>
          <w:color w:val="auto"/>
          <w:szCs w:val="21"/>
          <w:highlight w:val="none"/>
        </w:rPr>
      </w:pPr>
      <w:r>
        <w:rPr>
          <w:rFonts w:hint="eastAsia" w:ascii="宋体" w:hAnsi="宋体" w:cs="宋体"/>
          <w:b/>
          <w:bCs/>
          <w:color w:val="auto"/>
          <w:szCs w:val="21"/>
          <w:highlight w:val="none"/>
        </w:rPr>
        <w:t>7.服务期：</w:t>
      </w:r>
      <w:r>
        <w:rPr>
          <w:rFonts w:hint="eastAsia" w:ascii="宋体" w:hAnsi="宋体" w:cs="宋体"/>
          <w:color w:val="auto"/>
          <w:szCs w:val="21"/>
          <w:highlight w:val="none"/>
        </w:rPr>
        <w:t>2024年1月1日至2025年12月31日（完成合同约定的所有服务内容后）。</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8.合同履行期限：</w:t>
      </w:r>
      <w:r>
        <w:rPr>
          <w:rFonts w:hint="eastAsia" w:ascii="宋体" w:hAnsi="宋体" w:cs="宋体"/>
          <w:color w:val="auto"/>
          <w:szCs w:val="21"/>
          <w:highlight w:val="none"/>
        </w:rPr>
        <w:t>2024年1月1日至2025年12月31日（完成合同约定的所有服务内容后）。</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9.服务地点：</w:t>
      </w:r>
      <w:r>
        <w:rPr>
          <w:rFonts w:hint="eastAsia" w:ascii="宋体" w:hAnsi="宋体" w:cs="宋体"/>
          <w:color w:val="auto"/>
          <w:szCs w:val="21"/>
          <w:highlight w:val="none"/>
        </w:rPr>
        <w:t>海口市。</w:t>
      </w:r>
    </w:p>
    <w:p>
      <w:pPr>
        <w:spacing w:line="480" w:lineRule="auto"/>
        <w:ind w:firstLine="207" w:firstLineChars="98"/>
        <w:rPr>
          <w:rFonts w:ascii="宋体" w:hAnsi="宋体" w:cs="宋体"/>
          <w:b/>
          <w:bCs/>
          <w:color w:val="auto"/>
          <w:szCs w:val="21"/>
          <w:highlight w:val="none"/>
        </w:rPr>
      </w:pPr>
      <w:r>
        <w:rPr>
          <w:rFonts w:hint="eastAsia" w:ascii="宋体" w:hAnsi="宋体" w:cs="宋体"/>
          <w:b/>
          <w:bCs/>
          <w:color w:val="auto"/>
          <w:szCs w:val="21"/>
          <w:highlight w:val="none"/>
        </w:rPr>
        <w:t>10.付款条件、方式：采购人与中标单位协商。</w:t>
      </w:r>
    </w:p>
    <w:p>
      <w:pPr>
        <w:spacing w:line="500" w:lineRule="exact"/>
        <w:ind w:firstLine="207" w:firstLineChars="98"/>
        <w:rPr>
          <w:rFonts w:ascii="宋体" w:hAnsi="宋体" w:cs="宋体"/>
          <w:color w:val="auto"/>
          <w:szCs w:val="21"/>
          <w:highlight w:val="none"/>
        </w:rPr>
      </w:pPr>
      <w:r>
        <w:rPr>
          <w:rFonts w:hint="eastAsia" w:ascii="宋体" w:hAnsi="宋体" w:cs="宋体"/>
          <w:b/>
          <w:bCs/>
          <w:color w:val="auto"/>
          <w:szCs w:val="21"/>
          <w:highlight w:val="none"/>
        </w:rPr>
        <w:t>11.服务范围：</w:t>
      </w:r>
      <w:r>
        <w:rPr>
          <w:rFonts w:hint="eastAsia" w:ascii="宋体" w:hAnsi="宋体" w:cs="宋体"/>
          <w:color w:val="auto"/>
          <w:szCs w:val="21"/>
          <w:highlight w:val="none"/>
        </w:rPr>
        <w:t>施工准备阶段、施工阶段及缺陷责任期、保修阶段全过程监理服务，具体以双方签订的合同为准。</w:t>
      </w:r>
    </w:p>
    <w:p>
      <w:pPr>
        <w:pStyle w:val="11"/>
        <w:adjustRightInd w:val="0"/>
        <w:snapToGrid w:val="0"/>
        <w:spacing w:line="500" w:lineRule="exact"/>
        <w:ind w:firstLine="211" w:firstLineChars="100"/>
        <w:jc w:val="left"/>
        <w:outlineLvl w:val="0"/>
        <w:rPr>
          <w:rFonts w:hAnsi="宋体" w:cs="宋体"/>
          <w:bCs/>
          <w:color w:val="auto"/>
          <w:szCs w:val="21"/>
          <w:highlight w:val="none"/>
        </w:rPr>
      </w:pPr>
      <w:r>
        <w:rPr>
          <w:rFonts w:hint="eastAsia" w:hAnsi="宋体" w:cs="宋体"/>
          <w:b/>
          <w:bCs/>
          <w:color w:val="auto"/>
          <w:szCs w:val="21"/>
          <w:highlight w:val="none"/>
        </w:rPr>
        <w:t>12.项目概况：</w:t>
      </w:r>
      <w:r>
        <w:rPr>
          <w:rFonts w:hint="eastAsia" w:hAnsi="宋体" w:cs="宋体"/>
          <w:color w:val="auto"/>
          <w:szCs w:val="21"/>
          <w:highlight w:val="none"/>
        </w:rPr>
        <w:t xml:space="preserve">项目为2024、 2025年度全市163座已接管桥梁、 海秀快速路（一期）、海秀快速路（二期） 、文明东越江隧道日常维修养护工程以及预计新增接管的46座桥梁（新增桥梁最终以实际发生为准）。总投资为 </w:t>
      </w:r>
      <w:r>
        <w:rPr>
          <w:rFonts w:hint="eastAsia" w:hAnsi="宋体" w:cs="宋体"/>
          <w:bCs/>
          <w:color w:val="auto"/>
          <w:szCs w:val="21"/>
          <w:highlight w:val="none"/>
        </w:rPr>
        <w:t>174562029.40元。</w:t>
      </w:r>
    </w:p>
    <w:p>
      <w:pPr>
        <w:pStyle w:val="19"/>
        <w:ind w:left="0" w:leftChars="0" w:firstLine="0" w:firstLineChars="0"/>
        <w:rPr>
          <w:rFonts w:ascii="宋体" w:hAnsi="宋体" w:eastAsia="宋体" w:cs="宋体"/>
          <w:b/>
          <w:color w:val="auto"/>
          <w:highlight w:val="none"/>
        </w:rPr>
      </w:pPr>
    </w:p>
    <w:p>
      <w:pPr>
        <w:pStyle w:val="19"/>
        <w:ind w:left="0" w:leftChars="0" w:firstLine="0" w:firstLineChars="0"/>
        <w:rPr>
          <w:rFonts w:ascii="宋体" w:hAnsi="宋体" w:eastAsia="宋体" w:cs="宋体"/>
          <w:b/>
          <w:color w:val="auto"/>
          <w:highlight w:val="none"/>
        </w:rPr>
      </w:pPr>
    </w:p>
    <w:p>
      <w:pPr>
        <w:pStyle w:val="19"/>
        <w:ind w:left="0" w:leftChars="0" w:firstLine="0" w:firstLineChars="0"/>
        <w:rPr>
          <w:rFonts w:ascii="宋体" w:hAnsi="宋体" w:eastAsia="宋体" w:cs="宋体"/>
          <w:b/>
          <w:color w:val="auto"/>
          <w:highlight w:val="none"/>
        </w:rPr>
      </w:pPr>
    </w:p>
    <w:p>
      <w:pPr>
        <w:pStyle w:val="19"/>
        <w:ind w:left="0" w:leftChars="0" w:firstLine="0" w:firstLineChars="0"/>
        <w:rPr>
          <w:rFonts w:ascii="宋体" w:hAnsi="宋体" w:eastAsia="宋体" w:cs="宋体"/>
          <w:b/>
          <w:color w:val="auto"/>
          <w:highlight w:val="none"/>
        </w:rPr>
      </w:pPr>
      <w:r>
        <w:rPr>
          <w:rFonts w:hint="eastAsia" w:ascii="宋体" w:hAnsi="宋体" w:eastAsia="宋体" w:cs="宋体"/>
          <w:b/>
          <w:color w:val="auto"/>
          <w:highlight w:val="none"/>
        </w:rPr>
        <w:t>附件：</w:t>
      </w:r>
    </w:p>
    <w:p>
      <w:pPr>
        <w:pStyle w:val="19"/>
        <w:ind w:left="0" w:leftChars="0" w:firstLine="0" w:firstLineChars="0"/>
        <w:rPr>
          <w:rFonts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（一）桥梁和隧道明细表</w:t>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表1各区桥隧数量表</w:t>
      </w:r>
    </w:p>
    <w:tbl>
      <w:tblPr>
        <w:tblStyle w:val="20"/>
        <w:tblW w:w="4999" w:type="pct"/>
        <w:tblInd w:w="0" w:type="dxa"/>
        <w:tblLayout w:type="autofit"/>
        <w:tblCellMar>
          <w:top w:w="0" w:type="dxa"/>
          <w:left w:w="108" w:type="dxa"/>
          <w:bottom w:w="0" w:type="dxa"/>
          <w:right w:w="108" w:type="dxa"/>
        </w:tblCellMar>
      </w:tblPr>
      <w:tblGrid>
        <w:gridCol w:w="2154"/>
        <w:gridCol w:w="3883"/>
        <w:gridCol w:w="4643"/>
      </w:tblGrid>
      <w:tr>
        <w:trPr>
          <w:trHeight w:val="539" w:hRule="atLeast"/>
          <w:tblHeader/>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81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项目名称</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数量</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一</w:t>
            </w:r>
          </w:p>
        </w:tc>
        <w:tc>
          <w:tcPr>
            <w:tcW w:w="1817"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已接管部分</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166座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817" w:type="pct"/>
            <w:tcBorders>
              <w:top w:val="nil"/>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美兰区</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56座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817" w:type="pct"/>
            <w:tcBorders>
              <w:top w:val="nil"/>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龙华区</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33座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817" w:type="pct"/>
            <w:tcBorders>
              <w:top w:val="nil"/>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秀英区</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33座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817" w:type="pct"/>
            <w:tcBorders>
              <w:top w:val="nil"/>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琼山区</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跨区域</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立交桥</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景观桥</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高架桥</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隧道</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二</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拟接管桥</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46座</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2024年预计接管</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36</w:t>
            </w:r>
          </w:p>
        </w:tc>
      </w:tr>
      <w:tr>
        <w:tblPrEx>
          <w:tblCellMar>
            <w:top w:w="0" w:type="dxa"/>
            <w:left w:w="108" w:type="dxa"/>
            <w:bottom w:w="0" w:type="dxa"/>
            <w:right w:w="108" w:type="dxa"/>
          </w:tblCellMar>
        </w:tblPrEx>
        <w:trPr>
          <w:trHeight w:val="539" w:hRule="atLeast"/>
        </w:trPr>
        <w:tc>
          <w:tcPr>
            <w:tcW w:w="100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81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2025年预计接管</w:t>
            </w:r>
          </w:p>
        </w:tc>
        <w:tc>
          <w:tcPr>
            <w:tcW w:w="2173"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r>
    </w:tbl>
    <w:p>
      <w:pPr>
        <w:pStyle w:val="4"/>
        <w:spacing w:before="0" w:after="0" w:line="360" w:lineRule="auto"/>
        <w:ind w:firstLine="482" w:firstLineChars="200"/>
        <w:rPr>
          <w:rStyle w:val="29"/>
          <w:rFonts w:ascii="宋体" w:hAnsi="宋体" w:cs="宋体"/>
          <w:b w:val="0"/>
          <w:color w:val="auto"/>
          <w:sz w:val="24"/>
          <w:szCs w:val="24"/>
          <w:highlight w:val="none"/>
        </w:rPr>
      </w:pPr>
      <w:bookmarkStart w:id="32" w:name="_Toc19810"/>
      <w:bookmarkStart w:id="33" w:name="_Toc26176"/>
      <w:bookmarkStart w:id="34" w:name="_Toc121044505"/>
      <w:bookmarkStart w:id="35" w:name="_Toc1142"/>
      <w:bookmarkStart w:id="36" w:name="_Toc27627"/>
      <w:r>
        <w:rPr>
          <w:rFonts w:hint="eastAsia" w:ascii="宋体" w:hAnsi="宋体" w:cs="宋体"/>
          <w:color w:val="auto"/>
          <w:sz w:val="24"/>
          <w:highlight w:val="none"/>
        </w:rPr>
        <w:t>1、美兰区</w:t>
      </w:r>
      <w:bookmarkEnd w:id="32"/>
      <w:bookmarkEnd w:id="33"/>
      <w:bookmarkEnd w:id="34"/>
      <w:bookmarkEnd w:id="35"/>
      <w:bookmarkEnd w:id="36"/>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美兰区共有桥隧56座，区内桥隧名称及所在位置见下表：</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drawing>
          <wp:inline distT="0" distB="0" distL="114300" distR="114300">
            <wp:extent cx="5275580" cy="2416810"/>
            <wp:effectExtent l="0" t="0" r="1270" b="2540"/>
            <wp:docPr id="9" name="图片 1" descr="0a1fd707eb5c27af53c700239528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0a1fd707eb5c27af53c700239528f9c"/>
                    <pic:cNvPicPr>
                      <a:picLocks noChangeAspect="1"/>
                    </pic:cNvPicPr>
                  </pic:nvPicPr>
                  <pic:blipFill>
                    <a:blip r:embed="rId13"/>
                    <a:stretch>
                      <a:fillRect/>
                    </a:stretch>
                  </pic:blipFill>
                  <pic:spPr>
                    <a:xfrm>
                      <a:off x="0" y="0"/>
                      <a:ext cx="5275580" cy="2416810"/>
                    </a:xfrm>
                    <a:prstGeom prst="rect">
                      <a:avLst/>
                    </a:prstGeom>
                    <a:noFill/>
                    <a:ln>
                      <a:noFill/>
                    </a:ln>
                  </pic:spPr>
                </pic:pic>
              </a:graphicData>
            </a:graphic>
          </wp:inline>
        </w:drawing>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图1美兰区桥隧分布图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桥隧情况详见下表：</w:t>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表2美兰区桥隧情况</w:t>
      </w:r>
    </w:p>
    <w:tbl>
      <w:tblPr>
        <w:tblStyle w:val="20"/>
        <w:tblW w:w="4999" w:type="pct"/>
        <w:tblInd w:w="0" w:type="dxa"/>
        <w:tblLayout w:type="autofit"/>
        <w:tblCellMar>
          <w:top w:w="0" w:type="dxa"/>
          <w:left w:w="108" w:type="dxa"/>
          <w:bottom w:w="0" w:type="dxa"/>
          <w:right w:w="108" w:type="dxa"/>
        </w:tblCellMar>
      </w:tblPr>
      <w:tblGrid>
        <w:gridCol w:w="908"/>
        <w:gridCol w:w="3183"/>
        <w:gridCol w:w="4442"/>
        <w:gridCol w:w="2147"/>
      </w:tblGrid>
      <w:tr>
        <w:tblPrEx>
          <w:tblCellMar>
            <w:top w:w="0" w:type="dxa"/>
            <w:left w:w="108" w:type="dxa"/>
            <w:bottom w:w="0" w:type="dxa"/>
            <w:right w:w="108" w:type="dxa"/>
          </w:tblCellMar>
        </w:tblPrEx>
        <w:trPr>
          <w:trHeight w:val="539" w:hRule="atLeast"/>
          <w:tblHeader/>
        </w:trPr>
        <w:tc>
          <w:tcPr>
            <w:tcW w:w="42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所在位置</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490" w:type="pct"/>
            <w:tcBorders>
              <w:top w:val="nil"/>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世纪大桥</w:t>
            </w:r>
          </w:p>
        </w:tc>
        <w:tc>
          <w:tcPr>
            <w:tcW w:w="2079" w:type="pct"/>
            <w:tcBorders>
              <w:top w:val="nil"/>
              <w:left w:val="single" w:color="000000" w:sz="4" w:space="0"/>
              <w:bottom w:val="single" w:color="000000" w:sz="4" w:space="0"/>
              <w:right w:val="nil"/>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海甸河入海口(连接海甸五西路和滨海大道)</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东风桥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文明东路海润酒店东侧20米与美舍河交汇处</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甸昆桥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五西路与甸昆路交叉口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美舍河一号桥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就业局门口东侧</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和平桥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和平北路跨海甸河</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美舍河大桥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白龙南路与美舍河交汇处</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美舍河三桥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海府一横路群下村路口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海甸五路东桥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海甸五西路（海昌路西侧）</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新埠1号桥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新埠岛开发区北侧</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白沙一桥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和平桥东侧100米海甸河南岸</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11</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新埠大桥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南渡江上（长堤路与白龙北路交叉口）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12</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白沙桥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新埠大桥南侧桥头</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13</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宾园天桥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海口宾馆前</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14</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彩虹天桥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大同路与海秀路交叉处</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15</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大英天桥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海秀路乐普生商厦门口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16</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东湖天桥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海秀东路农垦医院前</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17</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海府路省政府旁</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18</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和平天桥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海府路与和平路南路交叉</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19</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南航天桥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蓝天路与南航路丁字路口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人民天桥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人民大道（海甸二东路口）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21</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四中天桥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北龙南路（四中门口北侧）</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22</w:t>
            </w:r>
          </w:p>
        </w:tc>
        <w:tc>
          <w:tcPr>
            <w:tcW w:w="14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文明天桥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和平南路与北路交汇处</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23</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灵山镇桥（南渡江中桥2）</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新大洲大道与海榆大道交接口</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24</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白驹大道二桥（中桥K7+300）</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海文高速（用南村旁）</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城市快速路网</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白驹大道三桥（中桥K5+800）</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海文高速（冯昌村口旁）</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城市快速路网</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26</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横沟内河桥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新埠岛豪生大酒店旁</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27</w:t>
            </w:r>
          </w:p>
        </w:tc>
        <w:tc>
          <w:tcPr>
            <w:tcW w:w="1490"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鸭尾溪桥</w:t>
            </w:r>
          </w:p>
        </w:tc>
        <w:tc>
          <w:tcPr>
            <w:tcW w:w="2079"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海甸岛环岛路（海新大桥旁）</w:t>
            </w:r>
          </w:p>
        </w:tc>
        <w:tc>
          <w:tcPr>
            <w:tcW w:w="1005" w:type="pct"/>
            <w:tcBorders>
              <w:top w:val="single" w:color="000000" w:sz="4" w:space="0"/>
              <w:left w:val="single" w:color="000000" w:sz="4" w:space="0"/>
              <w:bottom w:val="nil"/>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28</w:t>
            </w:r>
          </w:p>
        </w:tc>
        <w:tc>
          <w:tcPr>
            <w:tcW w:w="1490"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海新大桥</w:t>
            </w:r>
          </w:p>
        </w:tc>
        <w:tc>
          <w:tcPr>
            <w:tcW w:w="2079" w:type="pct"/>
            <w:tcBorders>
              <w:top w:val="single" w:color="000000" w:sz="4" w:space="0"/>
              <w:left w:val="single" w:color="000000" w:sz="4" w:space="0"/>
              <w:bottom w:val="nil"/>
              <w:right w:val="nil"/>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海甸五东路（燕泰国际大酒店北侧）</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29</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海大北门天桥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海南大学北门旁边</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30</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白驹大道4号桥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白驹大道K9+060</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城市快速路网</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31</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白驹大道5号桥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白驹大道K9+421</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城市快速路网</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32</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灵桂大道一桥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白驹大道K9+300，灵桂大道上</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33</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海彤路桥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海彤路上</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城市次干路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34</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新东大桥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连接江东大道</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35</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江东大道潭览河二桥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江东大道</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36</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江东大道潭览河三桥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江东大道</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37</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新埠岛3号路桥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新埠岛三号路上，拟建桥梁中心桩号为K0+953.650</w:t>
            </w:r>
          </w:p>
        </w:tc>
        <w:tc>
          <w:tcPr>
            <w:tcW w:w="100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38</w:t>
            </w:r>
          </w:p>
        </w:tc>
        <w:tc>
          <w:tcPr>
            <w:tcW w:w="1490"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碧海大道桥</w:t>
            </w:r>
          </w:p>
        </w:tc>
        <w:tc>
          <w:tcPr>
            <w:tcW w:w="2079"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位于碧海大道分支上，半岛蓝湾对面</w:t>
            </w:r>
          </w:p>
        </w:tc>
        <w:tc>
          <w:tcPr>
            <w:tcW w:w="1005" w:type="pct"/>
            <w:tcBorders>
              <w:top w:val="single" w:color="000000" w:sz="4" w:space="0"/>
              <w:left w:val="single" w:color="000000" w:sz="4" w:space="0"/>
              <w:bottom w:val="nil"/>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11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39</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椰海大道c路桥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位于海口市江东片区，南起琼山大道与白驹大道交叉口，北至东海岸皇冠大酒店。</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86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40</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寰岛试验学校一桥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江东新区，桥梁中心桩号为K0+350处与振家溪相交</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86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41</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寰岛试验学校二桥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江东新区，桥梁中心桩号为K0+465.85处</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86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42</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规划一桥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海口市椰海大道延长线（琼山大道至白驹大道）k0+771.43-k0+856.97</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86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43</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规划二桥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海口市椰海大道延长线（琼山大道至白驹大道）k1+702.3-k1+916.7</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86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44</w:t>
            </w:r>
          </w:p>
        </w:tc>
        <w:tc>
          <w:tcPr>
            <w:tcW w:w="1490"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规划三桥</w:t>
            </w:r>
          </w:p>
        </w:tc>
        <w:tc>
          <w:tcPr>
            <w:tcW w:w="2079"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海口市椰海大道延长线（琼山大道至白驹大道）k2+344.33-k2+429.87</w:t>
            </w:r>
          </w:p>
        </w:tc>
        <w:tc>
          <w:tcPr>
            <w:tcW w:w="1005"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45</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海警一支队人行天桥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海口市美兰区碧海大道</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46</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文明东潭览河三桥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海口文明东路南渡江东岸东横二路</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47</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白驹大道迈雅河桥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白驹大道延长线中心桩号K0+885</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48</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白驹大道南岳溪桥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白驹大道延长线中心桩号K3+316</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49</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白驹大道道孟桥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白驹大道延长线中心桩号K4+953</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50</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白驹大道道芙连通河桥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白驹大道延长线中心桩号K7+036</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51</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白驹大道人行通道一桥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白驹大道东延长线K4+660</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52</w:t>
            </w:r>
          </w:p>
        </w:tc>
        <w:tc>
          <w:tcPr>
            <w:tcW w:w="14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白驹大道人行通道二桥</w:t>
            </w:r>
          </w:p>
        </w:tc>
        <w:tc>
          <w:tcPr>
            <w:tcW w:w="207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白驹大道东延长线K5+640</w:t>
            </w:r>
          </w:p>
        </w:tc>
        <w:tc>
          <w:tcPr>
            <w:tcW w:w="100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40" w:hRule="atLeast"/>
        </w:trPr>
        <w:tc>
          <w:tcPr>
            <w:tcW w:w="425" w:type="pct"/>
            <w:tcBorders>
              <w:top w:val="nil"/>
              <w:left w:val="single" w:color="000000" w:sz="4" w:space="0"/>
              <w:bottom w:val="single" w:color="auto"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53</w:t>
            </w:r>
          </w:p>
        </w:tc>
        <w:tc>
          <w:tcPr>
            <w:tcW w:w="1490" w:type="pct"/>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翠岛桥</w:t>
            </w:r>
          </w:p>
        </w:tc>
        <w:tc>
          <w:tcPr>
            <w:tcW w:w="2079" w:type="pct"/>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海甸岛四东路东端</w:t>
            </w:r>
          </w:p>
        </w:tc>
        <w:tc>
          <w:tcPr>
            <w:tcW w:w="1005" w:type="pct"/>
            <w:tcBorders>
              <w:top w:val="single" w:color="000000"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城市次干路</w:t>
            </w:r>
          </w:p>
        </w:tc>
      </w:tr>
      <w:tr>
        <w:tblPrEx>
          <w:tblCellMar>
            <w:top w:w="0" w:type="dxa"/>
            <w:left w:w="108" w:type="dxa"/>
            <w:bottom w:w="0" w:type="dxa"/>
            <w:right w:w="108" w:type="dxa"/>
          </w:tblCellMar>
        </w:tblPrEx>
        <w:trPr>
          <w:trHeight w:val="132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54</w:t>
            </w:r>
          </w:p>
        </w:tc>
        <w:tc>
          <w:tcPr>
            <w:tcW w:w="149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江东新区起步区路网项目（一期）增项工程（10座地下连通道结构体）</w:t>
            </w:r>
          </w:p>
        </w:tc>
        <w:tc>
          <w:tcPr>
            <w:tcW w:w="2079" w:type="pct"/>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江东新区</w:t>
            </w:r>
          </w:p>
        </w:tc>
        <w:tc>
          <w:tcPr>
            <w:tcW w:w="100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39" w:hRule="atLeast"/>
        </w:trPr>
        <w:tc>
          <w:tcPr>
            <w:tcW w:w="425" w:type="pct"/>
            <w:tcBorders>
              <w:top w:val="single" w:color="auto" w:sz="4" w:space="0"/>
              <w:left w:val="single" w:color="000000" w:sz="4" w:space="0"/>
              <w:bottom w:val="single" w:color="auto"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55</w:t>
            </w:r>
          </w:p>
        </w:tc>
        <w:tc>
          <w:tcPr>
            <w:tcW w:w="1490" w:type="pct"/>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顺达路桥</w:t>
            </w:r>
          </w:p>
        </w:tc>
        <w:tc>
          <w:tcPr>
            <w:tcW w:w="2079" w:type="pct"/>
            <w:tcBorders>
              <w:top w:val="single" w:color="auto" w:sz="4" w:space="0"/>
              <w:left w:val="single" w:color="000000" w:sz="4" w:space="0"/>
              <w:bottom w:val="single" w:color="auto"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桂江大道上跨芙蓉河</w:t>
            </w:r>
          </w:p>
        </w:tc>
        <w:tc>
          <w:tcPr>
            <w:tcW w:w="1005" w:type="pct"/>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39" w:hRule="atLeast"/>
        </w:trPr>
        <w:tc>
          <w:tcPr>
            <w:tcW w:w="425" w:type="pct"/>
            <w:tcBorders>
              <w:top w:val="single" w:color="auto" w:sz="4" w:space="0"/>
              <w:left w:val="single" w:color="000000" w:sz="4" w:space="0"/>
              <w:bottom w:val="single" w:color="auto"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bookmarkStart w:id="37" w:name="_Toc20201"/>
            <w:bookmarkStart w:id="38" w:name="_Toc117255725"/>
            <w:bookmarkStart w:id="39" w:name="_Toc29388"/>
            <w:bookmarkStart w:id="40" w:name="_Toc6577"/>
            <w:r>
              <w:rPr>
                <w:rFonts w:hint="eastAsia" w:ascii="宋体" w:hAnsi="宋体" w:cs="宋体"/>
                <w:bCs/>
                <w:color w:val="auto"/>
                <w:kern w:val="0"/>
                <w:sz w:val="24"/>
                <w:highlight w:val="none"/>
              </w:rPr>
              <w:t>56</w:t>
            </w:r>
          </w:p>
        </w:tc>
        <w:tc>
          <w:tcPr>
            <w:tcW w:w="1490" w:type="pct"/>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白驹大道道芙连通河桥通道</w:t>
            </w:r>
          </w:p>
        </w:tc>
        <w:tc>
          <w:tcPr>
            <w:tcW w:w="2079" w:type="pct"/>
            <w:tcBorders>
              <w:top w:val="single" w:color="auto" w:sz="4" w:space="0"/>
              <w:left w:val="single" w:color="000000" w:sz="4" w:space="0"/>
              <w:bottom w:val="single" w:color="auto"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w:t>
            </w:r>
          </w:p>
        </w:tc>
        <w:tc>
          <w:tcPr>
            <w:tcW w:w="1005" w:type="pct"/>
            <w:tcBorders>
              <w:top w:val="single" w:color="auto" w:sz="4" w:space="0"/>
              <w:left w:val="single" w:color="000000" w:sz="4" w:space="0"/>
              <w:bottom w:val="single" w:color="auto"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pStyle w:val="4"/>
        <w:spacing w:before="0" w:after="0" w:line="360" w:lineRule="auto"/>
        <w:ind w:firstLine="482" w:firstLineChars="200"/>
        <w:rPr>
          <w:rFonts w:ascii="宋体" w:hAnsi="宋体" w:cs="宋体"/>
          <w:color w:val="auto"/>
          <w:sz w:val="24"/>
          <w:highlight w:val="none"/>
        </w:rPr>
      </w:pPr>
      <w:bookmarkStart w:id="41" w:name="_Toc29051"/>
      <w:bookmarkStart w:id="42" w:name="_Toc30831"/>
      <w:bookmarkStart w:id="43" w:name="_Toc28750"/>
      <w:bookmarkStart w:id="44" w:name="_Toc121044506"/>
      <w:r>
        <w:rPr>
          <w:rFonts w:hint="eastAsia" w:ascii="宋体" w:hAnsi="宋体" w:cs="宋体"/>
          <w:color w:val="auto"/>
          <w:sz w:val="24"/>
          <w:highlight w:val="none"/>
        </w:rPr>
        <w:t>2、龙华区</w:t>
      </w:r>
      <w:bookmarkEnd w:id="37"/>
      <w:bookmarkEnd w:id="38"/>
      <w:bookmarkEnd w:id="39"/>
      <w:bookmarkEnd w:id="40"/>
      <w:bookmarkEnd w:id="41"/>
      <w:bookmarkEnd w:id="42"/>
      <w:bookmarkEnd w:id="43"/>
      <w:bookmarkEnd w:id="44"/>
    </w:p>
    <w:p>
      <w:pPr>
        <w:spacing w:line="360" w:lineRule="auto"/>
        <w:ind w:firstLine="480" w:firstLineChars="200"/>
        <w:rPr>
          <w:rFonts w:ascii="仿宋_GB2312" w:hAnsi="仿宋_GB2312" w:eastAsia="仿宋_GB2312" w:cs="仿宋_GB2312"/>
          <w:color w:val="auto"/>
          <w:sz w:val="24"/>
          <w:highlight w:val="none"/>
        </w:rPr>
      </w:pPr>
      <w:r>
        <w:rPr>
          <w:rFonts w:hint="eastAsia" w:ascii="宋体" w:hAnsi="宋体" w:cs="宋体"/>
          <w:color w:val="auto"/>
          <w:sz w:val="24"/>
          <w:highlight w:val="none"/>
        </w:rPr>
        <w:t>龙华区共有桥隧33座，区内桥隧名称及所在位置见下表：</w:t>
      </w:r>
    </w:p>
    <w:p>
      <w:pPr>
        <w:pStyle w:val="19"/>
        <w:spacing w:line="360" w:lineRule="auto"/>
        <w:ind w:firstLine="0" w:firstLineChars="0"/>
        <w:jc w:val="center"/>
        <w:rPr>
          <w:rFonts w:hAnsi="仿宋_GB2312" w:cs="仿宋_GB2312"/>
          <w:color w:val="auto"/>
          <w:sz w:val="24"/>
          <w:szCs w:val="24"/>
          <w:highlight w:val="none"/>
        </w:rPr>
      </w:pPr>
      <w:r>
        <w:rPr>
          <w:rFonts w:hint="eastAsia" w:hAnsi="仿宋_GB2312" w:cs="仿宋_GB2312"/>
          <w:color w:val="auto"/>
          <w:sz w:val="24"/>
          <w:szCs w:val="24"/>
          <w:highlight w:val="none"/>
        </w:rPr>
        <w:drawing>
          <wp:inline distT="0" distB="0" distL="114300" distR="114300">
            <wp:extent cx="5271135" cy="3018790"/>
            <wp:effectExtent l="0" t="0" r="5715" b="10160"/>
            <wp:docPr id="5" name="图片 2" descr="044980e38cdd1955cec124feb3e0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044980e38cdd1955cec124feb3e0c52"/>
                    <pic:cNvPicPr>
                      <a:picLocks noChangeAspect="1"/>
                    </pic:cNvPicPr>
                  </pic:nvPicPr>
                  <pic:blipFill>
                    <a:blip r:embed="rId14"/>
                    <a:stretch>
                      <a:fillRect/>
                    </a:stretch>
                  </pic:blipFill>
                  <pic:spPr>
                    <a:xfrm>
                      <a:off x="0" y="0"/>
                      <a:ext cx="5271135" cy="3018790"/>
                    </a:xfrm>
                    <a:prstGeom prst="rect">
                      <a:avLst/>
                    </a:prstGeom>
                    <a:noFill/>
                    <a:ln>
                      <a:noFill/>
                    </a:ln>
                  </pic:spPr>
                </pic:pic>
              </a:graphicData>
            </a:graphic>
          </wp:inline>
        </w:drawing>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图2龙华区桥隧分布图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桥隧情况详见下表：</w:t>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表3龙华区桥隧情况</w:t>
      </w:r>
    </w:p>
    <w:tbl>
      <w:tblPr>
        <w:tblStyle w:val="20"/>
        <w:tblW w:w="4999" w:type="pct"/>
        <w:tblInd w:w="0" w:type="dxa"/>
        <w:tblLayout w:type="autofit"/>
        <w:tblCellMar>
          <w:top w:w="0" w:type="dxa"/>
          <w:left w:w="108" w:type="dxa"/>
          <w:bottom w:w="0" w:type="dxa"/>
          <w:right w:w="108" w:type="dxa"/>
        </w:tblCellMar>
      </w:tblPr>
      <w:tblGrid>
        <w:gridCol w:w="983"/>
        <w:gridCol w:w="3060"/>
        <w:gridCol w:w="4058"/>
        <w:gridCol w:w="2579"/>
      </w:tblGrid>
      <w:tr>
        <w:tblPrEx>
          <w:tblCellMar>
            <w:top w:w="0" w:type="dxa"/>
            <w:left w:w="108" w:type="dxa"/>
            <w:bottom w:w="0" w:type="dxa"/>
            <w:right w:w="108" w:type="dxa"/>
          </w:tblCellMar>
        </w:tblPrEx>
        <w:trPr>
          <w:trHeight w:val="577" w:hRule="atLeast"/>
          <w:tblHeader/>
        </w:trPr>
        <w:tc>
          <w:tcPr>
            <w:tcW w:w="46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所在位置</w:t>
            </w:r>
          </w:p>
        </w:tc>
        <w:tc>
          <w:tcPr>
            <w:tcW w:w="120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侨中隧道</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侨中路</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龙昆南美舍河桥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龙昆南延长线（火车东站旁）</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侨中路桥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侨中路延长线</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红棉桥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海口市外滩滨水地区</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市政府桥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市政府北侧门口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新天地商城桥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南沙路（东侧路口处，老马家西侧）</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人民桥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人民路跨海甸河</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大同桥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大同路与大同一横路交叉口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咖啡厂老桥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咖啡厂北门口与玉河路交叉口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老南大桥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海秀路跨龙昆沟</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11</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万带桥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大同南路供电公司门前</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12</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义龙西路桥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龙昆北路（义龙西路横跨龙昆沟）</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13</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响水桥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金牛路跨西崩潭（南庄酒店对面）</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14</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金牛湖桥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海口市粮油储备仓库门口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15</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咖啡厂新桥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滨河路与玉河路交叉口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16</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龙昆北路桥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龙昆北路（跨大同沟）</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17</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滨海九孔桥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龙昆沟出海口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18</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罐头厂桥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龙昆北路（龙华路穿龙昆沟）</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19</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bookmarkStart w:id="45" w:name="_Hlk118279030"/>
            <w:r>
              <w:rPr>
                <w:rFonts w:hint="eastAsia" w:ascii="宋体" w:hAnsi="宋体" w:cs="宋体"/>
                <w:bCs/>
                <w:color w:val="auto"/>
                <w:kern w:val="0"/>
                <w:sz w:val="24"/>
                <w:highlight w:val="none"/>
              </w:rPr>
              <w:t>龙华菜市场桥</w:t>
            </w:r>
            <w:bookmarkEnd w:id="45"/>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龙华路（玉河天桥下面）</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玉沙村桥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滨海大道（海关旁边）</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21</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华厦天桥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大同路（人民公园旁）</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22</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龙华天桥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 xml:space="preserve">太阳城大酒店西侧约50M </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23</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海秀中路（侨中大门西侧）</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24</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万国天桥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万国商场前</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万绿园天桥</w:t>
            </w:r>
          </w:p>
        </w:tc>
        <w:tc>
          <w:tcPr>
            <w:tcW w:w="1899"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滨海大道万绿园门口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26</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新港天桥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滨海大道（新港路口）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27</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一中天桥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东方广场西北侧20M</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28</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友谊天桥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九小西侧</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29</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玉河天桥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龙华路龙华菜市场旁</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30</w:t>
            </w:r>
          </w:p>
        </w:tc>
        <w:tc>
          <w:tcPr>
            <w:tcW w:w="1432"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侨中隧道天桥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华侨中学西侧</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31</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红棉一桥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杜鹃路与滨海大道交接口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32</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快速路桥下海垦天桥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海秀路至海垦路</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00" w:hRule="atLeast"/>
        </w:trPr>
        <w:tc>
          <w:tcPr>
            <w:tcW w:w="46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33</w:t>
            </w:r>
          </w:p>
        </w:tc>
        <w:tc>
          <w:tcPr>
            <w:tcW w:w="1432"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民声桥</w:t>
            </w:r>
          </w:p>
        </w:tc>
        <w:tc>
          <w:tcPr>
            <w:tcW w:w="1899"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民声路与杜鹃路交叉口</w:t>
            </w:r>
          </w:p>
        </w:tc>
        <w:tc>
          <w:tcPr>
            <w:tcW w:w="120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bl>
    <w:p>
      <w:pPr>
        <w:pStyle w:val="4"/>
        <w:spacing w:before="0" w:after="0" w:line="360" w:lineRule="auto"/>
        <w:ind w:firstLine="482" w:firstLineChars="200"/>
        <w:rPr>
          <w:rFonts w:ascii="宋体" w:hAnsi="宋体" w:cs="宋体"/>
          <w:color w:val="auto"/>
          <w:sz w:val="24"/>
          <w:highlight w:val="none"/>
        </w:rPr>
      </w:pPr>
      <w:bookmarkStart w:id="46" w:name="_Toc6432"/>
      <w:bookmarkStart w:id="47" w:name="_Toc12462"/>
      <w:bookmarkStart w:id="48" w:name="_Toc26237"/>
      <w:bookmarkStart w:id="49" w:name="_Toc117255726"/>
      <w:bookmarkStart w:id="50" w:name="_Toc12069"/>
      <w:bookmarkStart w:id="51" w:name="_Toc121044507"/>
      <w:bookmarkStart w:id="52" w:name="_Toc32218"/>
      <w:bookmarkStart w:id="53" w:name="_Toc26695"/>
      <w:r>
        <w:rPr>
          <w:rFonts w:hint="eastAsia" w:ascii="宋体" w:hAnsi="宋体" w:cs="宋体"/>
          <w:color w:val="auto"/>
          <w:sz w:val="24"/>
          <w:highlight w:val="none"/>
        </w:rPr>
        <w:t>3、秀英区</w:t>
      </w:r>
      <w:bookmarkEnd w:id="46"/>
      <w:bookmarkEnd w:id="47"/>
      <w:bookmarkEnd w:id="48"/>
      <w:bookmarkEnd w:id="49"/>
      <w:bookmarkEnd w:id="50"/>
      <w:bookmarkEnd w:id="51"/>
      <w:bookmarkEnd w:id="52"/>
      <w:bookmarkEnd w:id="53"/>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秀英区共有桥隧33座，区内桥隧名称及所在位置见下表：</w:t>
      </w:r>
    </w:p>
    <w:p>
      <w:pPr>
        <w:pStyle w:val="19"/>
        <w:spacing w:line="360" w:lineRule="auto"/>
        <w:ind w:firstLine="0" w:firstLineChars="0"/>
        <w:jc w:val="center"/>
        <w:rPr>
          <w:rFonts w:hAnsi="仿宋_GB2312" w:cs="仿宋_GB2312"/>
          <w:color w:val="auto"/>
          <w:sz w:val="24"/>
          <w:szCs w:val="24"/>
          <w:highlight w:val="none"/>
        </w:rPr>
      </w:pPr>
      <w:r>
        <w:rPr>
          <w:rFonts w:hint="eastAsia" w:hAnsi="仿宋_GB2312" w:cs="仿宋_GB2312"/>
          <w:color w:val="auto"/>
          <w:sz w:val="24"/>
          <w:szCs w:val="24"/>
          <w:highlight w:val="none"/>
        </w:rPr>
        <w:drawing>
          <wp:inline distT="0" distB="0" distL="114300" distR="114300">
            <wp:extent cx="5272405" cy="3095625"/>
            <wp:effectExtent l="0" t="0" r="4445" b="9525"/>
            <wp:docPr id="8" name="图片 3" descr="f4b9f4eaad85e43ba21f2b65700f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f4b9f4eaad85e43ba21f2b65700f8c0"/>
                    <pic:cNvPicPr>
                      <a:picLocks noChangeAspect="1"/>
                    </pic:cNvPicPr>
                  </pic:nvPicPr>
                  <pic:blipFill>
                    <a:blip r:embed="rId15"/>
                    <a:stretch>
                      <a:fillRect/>
                    </a:stretch>
                  </pic:blipFill>
                  <pic:spPr>
                    <a:xfrm>
                      <a:off x="0" y="0"/>
                      <a:ext cx="5272405" cy="3095625"/>
                    </a:xfrm>
                    <a:prstGeom prst="rect">
                      <a:avLst/>
                    </a:prstGeom>
                    <a:noFill/>
                    <a:ln>
                      <a:noFill/>
                    </a:ln>
                  </pic:spPr>
                </pic:pic>
              </a:graphicData>
            </a:graphic>
          </wp:inline>
        </w:drawing>
      </w:r>
    </w:p>
    <w:p>
      <w:pPr>
        <w:pStyle w:val="19"/>
        <w:spacing w:line="360" w:lineRule="auto"/>
        <w:ind w:firstLine="0" w:firstLineChars="0"/>
        <w:jc w:val="center"/>
        <w:rPr>
          <w:rFonts w:hAnsi="仿宋_GB2312" w:cs="仿宋_GB2312"/>
          <w:b/>
          <w:color w:val="auto"/>
          <w:sz w:val="24"/>
          <w:szCs w:val="24"/>
          <w:highlight w:val="none"/>
        </w:rPr>
      </w:pPr>
      <w:r>
        <w:rPr>
          <w:rFonts w:hint="eastAsia" w:hAnsi="仿宋_GB2312" w:cs="仿宋_GB2312"/>
          <w:b/>
          <w:color w:val="auto"/>
          <w:sz w:val="24"/>
          <w:szCs w:val="24"/>
          <w:highlight w:val="none"/>
        </w:rPr>
        <w:t>图3秀英区桥隧分布图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桥隧情况详见下表：</w:t>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表4秀英区桥隧情况</w:t>
      </w:r>
    </w:p>
    <w:tbl>
      <w:tblPr>
        <w:tblStyle w:val="20"/>
        <w:tblW w:w="4999" w:type="pct"/>
        <w:tblInd w:w="0" w:type="dxa"/>
        <w:tblLayout w:type="autofit"/>
        <w:tblCellMar>
          <w:top w:w="0" w:type="dxa"/>
          <w:left w:w="108" w:type="dxa"/>
          <w:bottom w:w="0" w:type="dxa"/>
          <w:right w:w="108" w:type="dxa"/>
        </w:tblCellMar>
      </w:tblPr>
      <w:tblGrid>
        <w:gridCol w:w="855"/>
        <w:gridCol w:w="4236"/>
        <w:gridCol w:w="3666"/>
        <w:gridCol w:w="1923"/>
      </w:tblGrid>
      <w:tr>
        <w:tblPrEx>
          <w:tblCellMar>
            <w:top w:w="0" w:type="dxa"/>
            <w:left w:w="108" w:type="dxa"/>
            <w:bottom w:w="0" w:type="dxa"/>
            <w:right w:w="108" w:type="dxa"/>
          </w:tblCellMar>
        </w:tblPrEx>
        <w:trPr>
          <w:trHeight w:val="561" w:hRule="atLeast"/>
          <w:tblHeader/>
        </w:trPr>
        <w:tc>
          <w:tcPr>
            <w:tcW w:w="48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所在位置</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40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国际会展中心通道</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市政府行政中心旁</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滨海西路粤海铁路跨线桥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滨海西路跨海铁路桥</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滨海西粤海铁路跨线天桥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滨海西路跨海铁路桥</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五源河桥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黄金海岸西侧80米</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双拥天桥</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滨海大道与双拥路口</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苍英村一号桥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丘海立交桥附近</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苍英村二号桥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丘海立交桥附近</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苍英村三号桥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丘海立交桥附近</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砖厂桥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G224（金鹿公园旁）</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后海桥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G225（长流镇林场旁）</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11</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海盛桥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G225（楚新花园旁）</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62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12</w:t>
            </w:r>
          </w:p>
        </w:tc>
        <w:tc>
          <w:tcPr>
            <w:tcW w:w="1726" w:type="pct"/>
            <w:tcBorders>
              <w:top w:val="single" w:color="000000" w:sz="4" w:space="0"/>
              <w:left w:val="single" w:color="000000" w:sz="4" w:space="0"/>
              <w:bottom w:val="nil"/>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永万东路桥</w:t>
            </w:r>
          </w:p>
        </w:tc>
        <w:tc>
          <w:tcPr>
            <w:tcW w:w="1801" w:type="pct"/>
            <w:tcBorders>
              <w:top w:val="single" w:color="000000" w:sz="4" w:space="0"/>
              <w:left w:val="single" w:color="000000" w:sz="4" w:space="0"/>
              <w:bottom w:val="nil"/>
              <w:right w:val="nil"/>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海口市永万东路（南海大道-货运大道段）</w:t>
            </w:r>
          </w:p>
        </w:tc>
        <w:tc>
          <w:tcPr>
            <w:tcW w:w="985" w:type="pct"/>
            <w:tcBorders>
              <w:top w:val="single" w:color="000000" w:sz="4" w:space="0"/>
              <w:left w:val="single" w:color="000000" w:sz="4" w:space="0"/>
              <w:bottom w:val="nil"/>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13</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向荣路桥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海口市秀英区向荣路跨越秀英沟段</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56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14</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文锦路桥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海口市文锦路（向荣安置小区东侧规划路上）</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城市次干路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15</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货运大道一桥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永万中与货运大道交叉口西边，750m处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16</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货运大道二桥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永万中与货运大道交叉口西边，1100m处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17</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货运大道三号涵洞桥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货运大道K3+693.750处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18</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货运大道四号涵洞桥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货运大道K3+750处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19</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货运大道五号涵洞桥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货运大道K5+460处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货运大道六号涵洞桥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货运大道K5+590处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21</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货运大道七号涵洞桥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货运大道K5+990处</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22</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绿色长廊五源河桥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长彤路上</w:t>
            </w:r>
          </w:p>
        </w:tc>
        <w:tc>
          <w:tcPr>
            <w:tcW w:w="985"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23</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S81（k3+400）白水塘中桥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S81线路上，k3+400</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24</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S81（k4+482）白水塘二桥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S81线路上，k4+482</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S81（k4+778）白水塘三桥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S81线路上，k4+778</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26</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S81（k4+868）白水塘四桥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S81线路上，k4+868</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27</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快速路桥下秀英天桥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海秀路至秀英大道</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28</w:t>
            </w:r>
          </w:p>
        </w:tc>
        <w:tc>
          <w:tcPr>
            <w:tcW w:w="172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快速路桥下华润天桥</w:t>
            </w:r>
          </w:p>
        </w:tc>
        <w:tc>
          <w:tcPr>
            <w:tcW w:w="180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海秀路至秀英大道</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29</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长流十号路桥</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长流十号路</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bookmarkStart w:id="54" w:name="_Toc117255727"/>
            <w:bookmarkStart w:id="55" w:name="_Toc2150"/>
            <w:bookmarkStart w:id="56" w:name="_Toc465"/>
            <w:r>
              <w:rPr>
                <w:rFonts w:hint="eastAsia" w:ascii="宋体" w:hAnsi="宋体" w:cs="宋体"/>
                <w:bCs/>
                <w:color w:val="auto"/>
                <w:kern w:val="0"/>
                <w:sz w:val="24"/>
                <w:highlight w:val="none"/>
              </w:rPr>
              <w:t>30</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G15沈海高速公路海口段（照明设施）</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滨海大道与粤海大道交叉路口北</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31</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荣山河桥</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秀英区</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32</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排涝河桥</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秀英区</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40" w:hRule="atLeast"/>
        </w:trPr>
        <w:tc>
          <w:tcPr>
            <w:tcW w:w="48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33</w:t>
            </w:r>
          </w:p>
        </w:tc>
        <w:tc>
          <w:tcPr>
            <w:tcW w:w="1726"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那卜河桥</w:t>
            </w:r>
          </w:p>
        </w:tc>
        <w:tc>
          <w:tcPr>
            <w:tcW w:w="1801"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秀英区</w:t>
            </w:r>
          </w:p>
        </w:tc>
        <w:tc>
          <w:tcPr>
            <w:tcW w:w="985"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pStyle w:val="4"/>
        <w:spacing w:before="0" w:after="0" w:line="360" w:lineRule="auto"/>
        <w:ind w:firstLine="482" w:firstLineChars="200"/>
        <w:rPr>
          <w:rFonts w:ascii="宋体" w:hAnsi="宋体" w:cs="宋体"/>
          <w:color w:val="auto"/>
          <w:sz w:val="24"/>
          <w:highlight w:val="none"/>
        </w:rPr>
      </w:pPr>
      <w:bookmarkStart w:id="57" w:name="_Toc7319"/>
      <w:bookmarkStart w:id="58" w:name="_Toc121044508"/>
      <w:bookmarkStart w:id="59" w:name="_Toc5062"/>
      <w:bookmarkStart w:id="60" w:name="_Toc23268"/>
      <w:bookmarkStart w:id="61" w:name="_Toc29413"/>
      <w:r>
        <w:rPr>
          <w:rFonts w:hint="eastAsia" w:ascii="宋体" w:hAnsi="宋体" w:cs="宋体"/>
          <w:color w:val="auto"/>
          <w:sz w:val="24"/>
          <w:highlight w:val="none"/>
        </w:rPr>
        <w:t>4、琼山区</w:t>
      </w:r>
      <w:bookmarkEnd w:id="54"/>
      <w:bookmarkEnd w:id="55"/>
      <w:bookmarkEnd w:id="56"/>
      <w:bookmarkEnd w:id="57"/>
      <w:bookmarkEnd w:id="58"/>
      <w:bookmarkEnd w:id="59"/>
      <w:bookmarkEnd w:id="60"/>
      <w:bookmarkEnd w:id="61"/>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琼山区共有桥隧25座，区内桥隧名称及所在位置见下表：</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drawing>
          <wp:inline distT="0" distB="0" distL="114300" distR="114300">
            <wp:extent cx="5270500" cy="3271520"/>
            <wp:effectExtent l="0" t="0" r="6350" b="5080"/>
            <wp:docPr id="4" name="图片 4" descr="346a626f0107515247b3c5af4f71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6a626f0107515247b3c5af4f71aa0"/>
                    <pic:cNvPicPr>
                      <a:picLocks noChangeAspect="1"/>
                    </pic:cNvPicPr>
                  </pic:nvPicPr>
                  <pic:blipFill>
                    <a:blip r:embed="rId16"/>
                    <a:stretch>
                      <a:fillRect/>
                    </a:stretch>
                  </pic:blipFill>
                  <pic:spPr>
                    <a:xfrm>
                      <a:off x="0" y="0"/>
                      <a:ext cx="5270500" cy="3271520"/>
                    </a:xfrm>
                    <a:prstGeom prst="rect">
                      <a:avLst/>
                    </a:prstGeom>
                    <a:noFill/>
                    <a:ln>
                      <a:noFill/>
                    </a:ln>
                  </pic:spPr>
                </pic:pic>
              </a:graphicData>
            </a:graphic>
          </wp:inline>
        </w:drawing>
      </w:r>
    </w:p>
    <w:p>
      <w:pPr>
        <w:pStyle w:val="19"/>
        <w:spacing w:line="360" w:lineRule="auto"/>
        <w:ind w:firstLine="0" w:firstLineChars="0"/>
        <w:jc w:val="center"/>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图4琼山区桥隧分布图</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桥隧情况详见下表：</w:t>
      </w:r>
    </w:p>
    <w:p>
      <w:pPr>
        <w:pStyle w:val="69"/>
        <w:spacing w:line="360" w:lineRule="auto"/>
        <w:ind w:firstLine="0" w:firstLineChars="0"/>
        <w:jc w:val="center"/>
        <w:rPr>
          <w:rFonts w:ascii="仿宋_GB2312" w:hAnsi="仿宋_GB2312" w:eastAsia="仿宋_GB2312" w:cs="仿宋_GB2312"/>
          <w:b/>
          <w:bCs/>
          <w:color w:val="auto"/>
          <w:sz w:val="24"/>
          <w:highlight w:val="none"/>
        </w:rPr>
      </w:pPr>
      <w:r>
        <w:rPr>
          <w:rFonts w:hint="eastAsia" w:ascii="宋体" w:hAnsi="宋体" w:cs="宋体"/>
          <w:b/>
          <w:bCs/>
          <w:color w:val="auto"/>
          <w:sz w:val="24"/>
          <w:highlight w:val="none"/>
        </w:rPr>
        <w:t>表5琼山区桥隧情况</w:t>
      </w:r>
    </w:p>
    <w:tbl>
      <w:tblPr>
        <w:tblStyle w:val="20"/>
        <w:tblW w:w="4998" w:type="pct"/>
        <w:tblInd w:w="0" w:type="dxa"/>
        <w:tblLayout w:type="autofit"/>
        <w:tblCellMar>
          <w:top w:w="0" w:type="dxa"/>
          <w:left w:w="108" w:type="dxa"/>
          <w:bottom w:w="0" w:type="dxa"/>
          <w:right w:w="108" w:type="dxa"/>
        </w:tblCellMar>
      </w:tblPr>
      <w:tblGrid>
        <w:gridCol w:w="955"/>
        <w:gridCol w:w="2688"/>
        <w:gridCol w:w="4493"/>
        <w:gridCol w:w="2542"/>
      </w:tblGrid>
      <w:tr>
        <w:tblPrEx>
          <w:tblCellMar>
            <w:top w:w="0" w:type="dxa"/>
            <w:left w:w="108" w:type="dxa"/>
            <w:bottom w:w="0" w:type="dxa"/>
            <w:right w:w="108" w:type="dxa"/>
          </w:tblCellMar>
        </w:tblPrEx>
        <w:trPr>
          <w:trHeight w:val="499" w:hRule="atLeast"/>
          <w:tblHeader/>
        </w:trPr>
        <w:tc>
          <w:tcPr>
            <w:tcW w:w="447"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所在位置</w:t>
            </w:r>
          </w:p>
        </w:tc>
        <w:tc>
          <w:tcPr>
            <w:tcW w:w="11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海瑞大桥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东货运大道跨南渡江下游</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面前坡涵桥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龙昆南路(南大立交桥南引桥南端东侧1KM处)</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凤翔桥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凤翔路跨美舍河（海南省司法厅旁）</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流芳桥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流芳路跨美舍河（五公祠西北侧）</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水电桥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凤翔路（中山南桥上游，大和乐酒店后侧）</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冼马桥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冼马桥路62号南侧</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新桥路桥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新桥路（海南省干部疗养院前）</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个钱渡桥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滨江西路（海瑞大桥西岸南侧1千米处）</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响水河桥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琼州大道（府灵路K2+850年处）</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斜板桥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琼州大道（南渡江大桥与响水河之间）</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11</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中山南桥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中山南路（鸿泰宾馆北侧）</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次干道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12</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国兴东美舍河桥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国兴大道跨美舍河桥</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13</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明珠天桥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琼州大道明珠商厦旁</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14</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文庄天桥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琼州大道（文庄路口）</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15</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海师天桥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海南师范大学校门90米</w:t>
            </w:r>
          </w:p>
        </w:tc>
        <w:tc>
          <w:tcPr>
            <w:tcW w:w="11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16</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道客村天桥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龙昆南路春源购物广场对面</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17</w:t>
            </w:r>
          </w:p>
        </w:tc>
        <w:tc>
          <w:tcPr>
            <w:tcW w:w="1258"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面前坡天桥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乔海阳光大厦门前</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18</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琼州大桥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海文高速公路（横跨南渡江）</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19</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高登桥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高登东路与琼州大道交接口</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南渡江大桥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新大洲大道横跨南渡江</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21</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货运大道美舍河</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椰海大道丁村小学旁</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22</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府那通道桥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椰海大道丁村小学旁</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23</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红城湖美舍河桥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红城湖延长线，五公祠南边</w:t>
            </w:r>
          </w:p>
        </w:tc>
        <w:tc>
          <w:tcPr>
            <w:tcW w:w="119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24</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S81（k1+250）跨椰海大道桥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S81线路上，横跨椰海大道k1+250</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480" w:hRule="atLeast"/>
        </w:trPr>
        <w:tc>
          <w:tcPr>
            <w:tcW w:w="447"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w:t>
            </w:r>
          </w:p>
        </w:tc>
        <w:tc>
          <w:tcPr>
            <w:tcW w:w="125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滨江天桥</w:t>
            </w:r>
          </w:p>
        </w:tc>
        <w:tc>
          <w:tcPr>
            <w:tcW w:w="210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美祥路与滨海路交接处</w:t>
            </w:r>
          </w:p>
        </w:tc>
        <w:tc>
          <w:tcPr>
            <w:tcW w:w="119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城市主干路</w:t>
            </w:r>
          </w:p>
        </w:tc>
      </w:tr>
    </w:tbl>
    <w:p>
      <w:pPr>
        <w:pStyle w:val="4"/>
        <w:spacing w:before="0" w:after="0" w:line="360" w:lineRule="auto"/>
        <w:ind w:firstLine="482" w:firstLineChars="200"/>
        <w:rPr>
          <w:rStyle w:val="29"/>
          <w:rFonts w:ascii="宋体" w:hAnsi="宋体" w:cs="宋体"/>
          <w:b w:val="0"/>
          <w:color w:val="auto"/>
          <w:sz w:val="24"/>
          <w:szCs w:val="24"/>
          <w:highlight w:val="none"/>
        </w:rPr>
      </w:pPr>
      <w:bookmarkStart w:id="62" w:name="_Toc117255728"/>
      <w:bookmarkStart w:id="63" w:name="_Toc30953"/>
      <w:bookmarkStart w:id="64" w:name="_Toc10091"/>
      <w:bookmarkStart w:id="65" w:name="_Toc23714"/>
      <w:bookmarkStart w:id="66" w:name="_Toc11096"/>
      <w:bookmarkStart w:id="67" w:name="_Toc121044509"/>
      <w:bookmarkStart w:id="68" w:name="_Toc7767"/>
      <w:bookmarkStart w:id="69" w:name="_Toc22021"/>
      <w:r>
        <w:rPr>
          <w:rFonts w:hint="eastAsia" w:ascii="宋体" w:hAnsi="宋体" w:cs="宋体"/>
          <w:color w:val="auto"/>
          <w:sz w:val="24"/>
          <w:highlight w:val="none"/>
        </w:rPr>
        <w:t>5、跨</w:t>
      </w:r>
      <w:bookmarkEnd w:id="62"/>
      <w:bookmarkEnd w:id="63"/>
      <w:bookmarkEnd w:id="64"/>
      <w:r>
        <w:rPr>
          <w:rFonts w:hint="eastAsia" w:ascii="宋体" w:hAnsi="宋体" w:cs="宋体"/>
          <w:color w:val="auto"/>
          <w:sz w:val="24"/>
          <w:highlight w:val="none"/>
        </w:rPr>
        <w:t>区域</w:t>
      </w:r>
      <w:bookmarkEnd w:id="65"/>
      <w:bookmarkEnd w:id="66"/>
      <w:bookmarkEnd w:id="67"/>
      <w:bookmarkEnd w:id="68"/>
      <w:bookmarkEnd w:id="69"/>
    </w:p>
    <w:p>
      <w:pPr>
        <w:pStyle w:val="69"/>
        <w:spacing w:line="360" w:lineRule="auto"/>
        <w:ind w:firstLine="0" w:firstLineChars="0"/>
        <w:jc w:val="center"/>
        <w:rPr>
          <w:rFonts w:ascii="仿宋_GB2312" w:hAnsi="仿宋_GB2312" w:eastAsia="仿宋_GB2312" w:cs="仿宋_GB2312"/>
          <w:b/>
          <w:bCs/>
          <w:color w:val="auto"/>
          <w:sz w:val="24"/>
          <w:highlight w:val="none"/>
        </w:rPr>
      </w:pPr>
      <w:r>
        <w:rPr>
          <w:rFonts w:hint="eastAsia" w:ascii="宋体" w:hAnsi="宋体" w:cs="宋体"/>
          <w:b/>
          <w:bCs/>
          <w:color w:val="auto"/>
          <w:sz w:val="24"/>
          <w:highlight w:val="none"/>
        </w:rPr>
        <w:t>表6跨区分布桥梁情况</w:t>
      </w:r>
    </w:p>
    <w:tbl>
      <w:tblPr>
        <w:tblStyle w:val="20"/>
        <w:tblW w:w="4999" w:type="pct"/>
        <w:tblInd w:w="0" w:type="dxa"/>
        <w:tblLayout w:type="autofit"/>
        <w:tblCellMar>
          <w:top w:w="0" w:type="dxa"/>
          <w:left w:w="108" w:type="dxa"/>
          <w:bottom w:w="0" w:type="dxa"/>
          <w:right w:w="108" w:type="dxa"/>
        </w:tblCellMar>
      </w:tblPr>
      <w:tblGrid>
        <w:gridCol w:w="970"/>
        <w:gridCol w:w="3406"/>
        <w:gridCol w:w="3739"/>
        <w:gridCol w:w="2565"/>
      </w:tblGrid>
      <w:tr>
        <w:tblPrEx>
          <w:tblCellMar>
            <w:top w:w="0" w:type="dxa"/>
            <w:left w:w="108" w:type="dxa"/>
            <w:bottom w:w="0" w:type="dxa"/>
            <w:right w:w="108" w:type="dxa"/>
          </w:tblCellMar>
        </w:tblPrEx>
        <w:trPr>
          <w:trHeight w:val="470" w:hRule="atLeast"/>
          <w:tblHeader/>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1594"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c>
          <w:tcPr>
            <w:tcW w:w="175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所在位置</w:t>
            </w:r>
          </w:p>
        </w:tc>
        <w:tc>
          <w:tcPr>
            <w:tcW w:w="120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5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S81（k2+060）跨线桥</w:t>
            </w:r>
          </w:p>
        </w:tc>
        <w:tc>
          <w:tcPr>
            <w:tcW w:w="175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S81线路上，k2+060处</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5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S81（k2+281）通道桥</w:t>
            </w:r>
          </w:p>
        </w:tc>
        <w:tc>
          <w:tcPr>
            <w:tcW w:w="175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S81线路上，k2+281</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59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S81（k3+502）跨线天桥</w:t>
            </w:r>
          </w:p>
        </w:tc>
        <w:tc>
          <w:tcPr>
            <w:tcW w:w="175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S81线路上，k3+502</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pStyle w:val="4"/>
        <w:spacing w:before="0" w:after="0" w:line="360" w:lineRule="auto"/>
        <w:ind w:firstLine="482" w:firstLineChars="200"/>
        <w:rPr>
          <w:rFonts w:ascii="宋体" w:hAnsi="宋体" w:cs="宋体"/>
          <w:color w:val="auto"/>
          <w:sz w:val="24"/>
          <w:highlight w:val="none"/>
        </w:rPr>
      </w:pPr>
      <w:bookmarkStart w:id="70" w:name="_Toc121044510"/>
      <w:bookmarkStart w:id="71" w:name="_Toc5723"/>
      <w:bookmarkStart w:id="72" w:name="_Toc20244"/>
      <w:bookmarkStart w:id="73" w:name="_Toc21678"/>
      <w:bookmarkStart w:id="74" w:name="_Toc9188"/>
      <w:bookmarkStart w:id="75" w:name="_Toc117255729"/>
      <w:bookmarkStart w:id="76" w:name="_Toc13338"/>
      <w:bookmarkStart w:id="77" w:name="_Toc9678"/>
      <w:r>
        <w:rPr>
          <w:rFonts w:hint="eastAsia" w:ascii="宋体" w:hAnsi="宋体" w:cs="宋体"/>
          <w:color w:val="auto"/>
          <w:sz w:val="24"/>
          <w:highlight w:val="none"/>
        </w:rPr>
        <w:t>6、立交桥</w:t>
      </w:r>
      <w:bookmarkEnd w:id="70"/>
      <w:bookmarkEnd w:id="71"/>
      <w:bookmarkEnd w:id="72"/>
      <w:bookmarkEnd w:id="73"/>
      <w:bookmarkEnd w:id="74"/>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表7立交桥桥梁情况</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004"/>
        <w:gridCol w:w="4717"/>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序号</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桥隧名称</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所在位置</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南大立交桥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龙昆南路与龙昆北路交汇处</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滨海大道与龙昆北交叉口</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海瑞立交桥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丘海大道海瑞墓门口</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疏港大道与海秀路处</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龙昆南延长线与绕城高速连接处</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丘海大道与绕城高速连接处</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海府路与国兴大道交叉口</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桂林洋立交桥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白驹大道K9+300</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1406"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S81那梅立交桥</w:t>
            </w:r>
          </w:p>
        </w:tc>
        <w:tc>
          <w:tcPr>
            <w:tcW w:w="2208" w:type="pct"/>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新大州大道上，横跨凤翔路（K0+520）</w:t>
            </w:r>
          </w:p>
        </w:tc>
        <w:tc>
          <w:tcPr>
            <w:tcW w:w="97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pStyle w:val="4"/>
        <w:spacing w:before="0" w:after="0" w:line="360" w:lineRule="auto"/>
        <w:ind w:firstLine="482" w:firstLineChars="200"/>
        <w:rPr>
          <w:rFonts w:ascii="宋体" w:hAnsi="宋体" w:cs="宋体"/>
          <w:color w:val="auto"/>
          <w:sz w:val="24"/>
          <w:highlight w:val="none"/>
        </w:rPr>
      </w:pPr>
      <w:bookmarkStart w:id="78" w:name="_Toc18158"/>
      <w:bookmarkStart w:id="79" w:name="_Toc17256"/>
      <w:bookmarkStart w:id="80" w:name="_Toc15073"/>
      <w:bookmarkStart w:id="81" w:name="_Toc121044511"/>
      <w:bookmarkStart w:id="82" w:name="_Toc6871"/>
      <w:r>
        <w:rPr>
          <w:rFonts w:hint="eastAsia" w:ascii="宋体" w:hAnsi="宋体" w:cs="宋体"/>
          <w:color w:val="auto"/>
          <w:sz w:val="24"/>
          <w:highlight w:val="none"/>
        </w:rPr>
        <w:t>7、景观桥</w:t>
      </w:r>
      <w:bookmarkEnd w:id="78"/>
      <w:bookmarkEnd w:id="79"/>
      <w:bookmarkEnd w:id="80"/>
      <w:bookmarkEnd w:id="81"/>
      <w:bookmarkEnd w:id="82"/>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表8景观桥桥梁情况</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004"/>
        <w:gridCol w:w="4718"/>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序号</w:t>
            </w:r>
          </w:p>
        </w:tc>
        <w:tc>
          <w:tcPr>
            <w:tcW w:w="140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桥隧名称</w:t>
            </w:r>
          </w:p>
        </w:tc>
        <w:tc>
          <w:tcPr>
            <w:tcW w:w="2208"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所在位置</w:t>
            </w:r>
          </w:p>
        </w:tc>
        <w:tc>
          <w:tcPr>
            <w:tcW w:w="975"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40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香泉桥景观桥</w:t>
            </w:r>
          </w:p>
        </w:tc>
        <w:tc>
          <w:tcPr>
            <w:tcW w:w="2208"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新华南路东西湖连接处</w:t>
            </w:r>
          </w:p>
        </w:tc>
        <w:tc>
          <w:tcPr>
            <w:tcW w:w="975"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40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杜鹃桥</w:t>
            </w:r>
          </w:p>
        </w:tc>
        <w:tc>
          <w:tcPr>
            <w:tcW w:w="2208"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海口市外滩滨水地区</w:t>
            </w:r>
          </w:p>
        </w:tc>
        <w:tc>
          <w:tcPr>
            <w:tcW w:w="975"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140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绿园桥</w:t>
            </w:r>
          </w:p>
        </w:tc>
        <w:tc>
          <w:tcPr>
            <w:tcW w:w="2208"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万绿园内湖出海口</w:t>
            </w:r>
          </w:p>
        </w:tc>
        <w:tc>
          <w:tcPr>
            <w:tcW w:w="975"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40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龙珠桥</w:t>
            </w:r>
          </w:p>
        </w:tc>
        <w:tc>
          <w:tcPr>
            <w:tcW w:w="2208"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龙昆沟出海口</w:t>
            </w:r>
          </w:p>
        </w:tc>
        <w:tc>
          <w:tcPr>
            <w:tcW w:w="975"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支路</w:t>
            </w:r>
          </w:p>
        </w:tc>
      </w:tr>
    </w:tbl>
    <w:p>
      <w:pPr>
        <w:pStyle w:val="4"/>
        <w:spacing w:before="0" w:after="0" w:line="360" w:lineRule="auto"/>
        <w:ind w:firstLine="482" w:firstLineChars="200"/>
        <w:rPr>
          <w:rFonts w:ascii="宋体" w:hAnsi="宋体" w:cs="宋体"/>
          <w:color w:val="auto"/>
          <w:sz w:val="24"/>
          <w:highlight w:val="none"/>
        </w:rPr>
      </w:pPr>
      <w:bookmarkStart w:id="83" w:name="_Toc30924"/>
      <w:bookmarkStart w:id="84" w:name="_Toc11106"/>
      <w:bookmarkStart w:id="85" w:name="_Toc4928"/>
      <w:bookmarkStart w:id="86" w:name="_Toc31252"/>
      <w:bookmarkStart w:id="87" w:name="_Toc121044512"/>
      <w:r>
        <w:rPr>
          <w:rFonts w:hint="eastAsia" w:ascii="宋体" w:hAnsi="宋体" w:cs="宋体"/>
          <w:color w:val="auto"/>
          <w:sz w:val="24"/>
          <w:highlight w:val="none"/>
        </w:rPr>
        <w:t>8、高架桥</w:t>
      </w:r>
      <w:bookmarkEnd w:id="83"/>
      <w:bookmarkEnd w:id="84"/>
      <w:bookmarkEnd w:id="85"/>
      <w:bookmarkEnd w:id="86"/>
      <w:bookmarkEnd w:id="87"/>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表9高架桥桥梁情况</w:t>
      </w:r>
    </w:p>
    <w:tbl>
      <w:tblPr>
        <w:tblStyle w:val="20"/>
        <w:tblW w:w="4999" w:type="pct"/>
        <w:tblInd w:w="0" w:type="dxa"/>
        <w:tblLayout w:type="autofit"/>
        <w:tblCellMar>
          <w:top w:w="0" w:type="dxa"/>
          <w:left w:w="108" w:type="dxa"/>
          <w:bottom w:w="0" w:type="dxa"/>
          <w:right w:w="108" w:type="dxa"/>
        </w:tblCellMar>
      </w:tblPr>
      <w:tblGrid>
        <w:gridCol w:w="970"/>
        <w:gridCol w:w="3613"/>
        <w:gridCol w:w="3532"/>
        <w:gridCol w:w="2565"/>
      </w:tblGrid>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序号</w:t>
            </w:r>
          </w:p>
        </w:tc>
        <w:tc>
          <w:tcPr>
            <w:tcW w:w="169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桥隧名称</w:t>
            </w:r>
          </w:p>
        </w:tc>
        <w:tc>
          <w:tcPr>
            <w:tcW w:w="1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所在位置</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所在道路等级</w:t>
            </w:r>
          </w:p>
        </w:tc>
      </w:tr>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69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海秀快速路</w:t>
            </w:r>
          </w:p>
        </w:tc>
        <w:tc>
          <w:tcPr>
            <w:tcW w:w="1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国兴大道至秀英火车站</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r>
        <w:tblPrEx>
          <w:tblCellMar>
            <w:top w:w="0" w:type="dxa"/>
            <w:left w:w="108" w:type="dxa"/>
            <w:bottom w:w="0" w:type="dxa"/>
            <w:right w:w="108" w:type="dxa"/>
          </w:tblCellMar>
        </w:tblPrEx>
        <w:trPr>
          <w:trHeight w:val="600" w:hRule="atLeast"/>
        </w:trPr>
        <w:tc>
          <w:tcPr>
            <w:tcW w:w="4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169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海秀高架桥二期</w:t>
            </w:r>
          </w:p>
        </w:tc>
        <w:tc>
          <w:tcPr>
            <w:tcW w:w="1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秀英区</w:t>
            </w:r>
          </w:p>
        </w:tc>
        <w:tc>
          <w:tcPr>
            <w:tcW w:w="1200" w:type="pct"/>
            <w:tcBorders>
              <w:top w:val="single" w:color="000000" w:sz="4" w:space="0"/>
              <w:left w:val="single" w:color="000000" w:sz="4" w:space="0"/>
              <w:bottom w:val="single" w:color="000000" w:sz="4" w:space="0"/>
              <w:right w:val="single" w:color="000000" w:sz="4" w:space="0"/>
            </w:tcBorders>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ind w:firstLine="482" w:firstLineChars="200"/>
        <w:rPr>
          <w:rFonts w:ascii="仿宋_GB2312" w:hAnsi="仿宋_GB2312" w:eastAsia="仿宋_GB2312" w:cs="仿宋_GB2312"/>
          <w:color w:val="auto"/>
          <w:sz w:val="24"/>
          <w:highlight w:val="none"/>
        </w:rPr>
      </w:pPr>
      <w:bookmarkStart w:id="88" w:name="_Toc27845"/>
      <w:bookmarkStart w:id="89" w:name="_Toc121044513"/>
      <w:bookmarkStart w:id="90" w:name="_Toc26704"/>
      <w:bookmarkStart w:id="91" w:name="_Toc30218"/>
      <w:bookmarkStart w:id="92" w:name="_Toc1266"/>
      <w:r>
        <w:rPr>
          <w:rFonts w:hint="eastAsia" w:ascii="宋体" w:hAnsi="宋体" w:cs="宋体"/>
          <w:b/>
          <w:color w:val="auto"/>
          <w:sz w:val="24"/>
          <w:highlight w:val="none"/>
        </w:rPr>
        <w:t>9、通道</w:t>
      </w:r>
      <w:bookmarkEnd w:id="88"/>
      <w:bookmarkEnd w:id="89"/>
      <w:bookmarkEnd w:id="90"/>
      <w:bookmarkEnd w:id="91"/>
      <w:bookmarkEnd w:id="92"/>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表10通道情况</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3883"/>
        <w:gridCol w:w="3496"/>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序号</w:t>
            </w:r>
          </w:p>
        </w:tc>
        <w:tc>
          <w:tcPr>
            <w:tcW w:w="1817"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桥隧名称</w:t>
            </w:r>
          </w:p>
        </w:tc>
        <w:tc>
          <w:tcPr>
            <w:tcW w:w="163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所在位置</w:t>
            </w:r>
          </w:p>
        </w:tc>
        <w:tc>
          <w:tcPr>
            <w:tcW w:w="113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
                <w:color w:val="auto"/>
                <w:kern w:val="0"/>
                <w:sz w:val="24"/>
                <w:highlight w:val="none"/>
              </w:rPr>
              <w:t>所在道路等级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09"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1817"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文明东越江通道</w:t>
            </w:r>
          </w:p>
        </w:tc>
        <w:tc>
          <w:tcPr>
            <w:tcW w:w="163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文明东路</w:t>
            </w:r>
          </w:p>
        </w:tc>
        <w:tc>
          <w:tcPr>
            <w:tcW w:w="1136" w:type="pct"/>
            <w:noWrap/>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主干路</w:t>
            </w:r>
          </w:p>
        </w:tc>
      </w:tr>
    </w:tbl>
    <w:p>
      <w:pPr>
        <w:pStyle w:val="4"/>
        <w:spacing w:before="0" w:after="0" w:line="360" w:lineRule="auto"/>
        <w:ind w:firstLine="482" w:firstLineChars="200"/>
        <w:rPr>
          <w:rFonts w:ascii="宋体" w:hAnsi="宋体" w:cs="宋体"/>
          <w:color w:val="auto"/>
          <w:sz w:val="24"/>
          <w:highlight w:val="none"/>
        </w:rPr>
      </w:pPr>
      <w:bookmarkStart w:id="93" w:name="_Toc18471"/>
      <w:bookmarkStart w:id="94" w:name="_Toc9100"/>
      <w:bookmarkStart w:id="95" w:name="_Toc121044514"/>
      <w:bookmarkStart w:id="96" w:name="_Toc24215"/>
      <w:bookmarkStart w:id="97" w:name="_Toc9234"/>
      <w:r>
        <w:rPr>
          <w:rFonts w:hint="eastAsia" w:ascii="宋体" w:hAnsi="宋体" w:cs="宋体"/>
          <w:color w:val="auto"/>
          <w:sz w:val="24"/>
          <w:highlight w:val="none"/>
        </w:rPr>
        <w:t>10、拟接管部分</w:t>
      </w:r>
      <w:bookmarkEnd w:id="75"/>
      <w:bookmarkEnd w:id="76"/>
      <w:bookmarkEnd w:id="77"/>
      <w:bookmarkEnd w:id="93"/>
      <w:bookmarkEnd w:id="94"/>
      <w:bookmarkEnd w:id="95"/>
      <w:bookmarkEnd w:id="96"/>
      <w:bookmarkEnd w:id="97"/>
    </w:p>
    <w:p>
      <w:pPr>
        <w:pStyle w:val="69"/>
        <w:spacing w:line="360" w:lineRule="auto"/>
        <w:ind w:firstLine="480"/>
        <w:rPr>
          <w:rFonts w:ascii="宋体" w:hAnsi="宋体" w:cs="宋体"/>
          <w:color w:val="auto"/>
          <w:sz w:val="24"/>
          <w:highlight w:val="none"/>
        </w:rPr>
      </w:pPr>
      <w:r>
        <w:rPr>
          <w:rFonts w:hint="eastAsia" w:ascii="宋体" w:hAnsi="宋体" w:cs="宋体"/>
          <w:color w:val="auto"/>
          <w:sz w:val="24"/>
          <w:highlight w:val="none"/>
        </w:rPr>
        <w:t>预计需纳入养护范围的桥隧共有46座，对于预计可能纳入养护范围的桥隧，以实际纳入桥隧数量、单价（参照同类型桥隧，确定平均单价）、接管时间（以市政局正式的接管通知为准）及考核情况进行付费。详见下表：</w:t>
      </w:r>
    </w:p>
    <w:p>
      <w:pPr>
        <w:pStyle w:val="69"/>
        <w:spacing w:line="360" w:lineRule="auto"/>
        <w:ind w:firstLine="0" w:firstLineChars="0"/>
        <w:jc w:val="center"/>
        <w:rPr>
          <w:rFonts w:ascii="宋体" w:hAnsi="宋体" w:cs="宋体"/>
          <w:b/>
          <w:bCs/>
          <w:color w:val="auto"/>
          <w:sz w:val="24"/>
          <w:highlight w:val="none"/>
        </w:rPr>
      </w:pPr>
      <w:r>
        <w:rPr>
          <w:rFonts w:hint="eastAsia" w:ascii="宋体" w:hAnsi="宋体" w:cs="宋体"/>
          <w:b/>
          <w:bCs/>
          <w:color w:val="auto"/>
          <w:sz w:val="24"/>
          <w:highlight w:val="none"/>
        </w:rPr>
        <w:t>表11预计接管的桥隧名称</w:t>
      </w:r>
    </w:p>
    <w:tbl>
      <w:tblPr>
        <w:tblStyle w:val="20"/>
        <w:tblW w:w="4999" w:type="pct"/>
        <w:tblInd w:w="0" w:type="dxa"/>
        <w:tblLayout w:type="autofit"/>
        <w:tblCellMar>
          <w:top w:w="0" w:type="dxa"/>
          <w:left w:w="108" w:type="dxa"/>
          <w:bottom w:w="0" w:type="dxa"/>
          <w:right w:w="108" w:type="dxa"/>
        </w:tblCellMar>
      </w:tblPr>
      <w:tblGrid>
        <w:gridCol w:w="1957"/>
        <w:gridCol w:w="8723"/>
      </w:tblGrid>
      <w:tr>
        <w:tblPrEx>
          <w:tblCellMar>
            <w:top w:w="0" w:type="dxa"/>
            <w:left w:w="108" w:type="dxa"/>
            <w:bottom w:w="0" w:type="dxa"/>
            <w:right w:w="108" w:type="dxa"/>
          </w:tblCellMar>
        </w:tblPrEx>
        <w:trPr>
          <w:trHeight w:val="403" w:hRule="atLeast"/>
          <w:tblHeader/>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序号</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桥隧名称</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环球一号路桥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长影二路乐园水渠箱梁桥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3</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长影一路乐园水渠箱梁桥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K4+660人行通道</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5</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K5+640人行通道</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6</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中心景观河II 2号桥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7</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博养河一号桥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中心景观河II 6号桥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9</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中心景观河II 3号桥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10</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白龙南通道</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11</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博养河3号箱涵</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12</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博养河2号箱涵</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13</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中心景观河Ⅰ1号箱涵</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14</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滨江路天桥（海府一横路）</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15</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滨江路天桥（凤翔东路）</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16</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中心景观河II 1号桥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17</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美云西一路桥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18</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美云西二路桥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19</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椰博路南桥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20</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白沙坊棚改天桥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21</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中丹路铝合金天桥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22</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滨江帝景铝合金天桥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23</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翡翠水城铝合金天桥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24</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南海大道铝合金天桥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25</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长新桥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26</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江东哈罗学校桥</w:t>
            </w:r>
          </w:p>
        </w:tc>
      </w:tr>
      <w:tr>
        <w:tblPrEx>
          <w:tblCellMar>
            <w:top w:w="0" w:type="dxa"/>
            <w:left w:w="108" w:type="dxa"/>
            <w:bottom w:w="0" w:type="dxa"/>
            <w:right w:w="108" w:type="dxa"/>
          </w:tblCellMar>
        </w:tblPrEx>
        <w:trPr>
          <w:trHeight w:val="375" w:hRule="atLeast"/>
        </w:trPr>
        <w:tc>
          <w:tcPr>
            <w:tcW w:w="916"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27</w:t>
            </w:r>
          </w:p>
        </w:tc>
        <w:tc>
          <w:tcPr>
            <w:tcW w:w="408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剩余20座桥梁待定，以实际为准</w:t>
            </w:r>
          </w:p>
        </w:tc>
      </w:tr>
    </w:tbl>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pStyle w:val="2"/>
        <w:rPr>
          <w:rFonts w:asciiTheme="minorEastAsia" w:hAnsiTheme="minorEastAsia" w:eastAsiaTheme="minorEastAsia" w:cstheme="minorEastAsia"/>
          <w:color w:val="auto"/>
          <w:sz w:val="21"/>
          <w:szCs w:val="21"/>
          <w:highlight w:val="none"/>
        </w:rPr>
      </w:pPr>
    </w:p>
    <w:p>
      <w:pP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第三章  投标人须知</w:t>
      </w:r>
    </w:p>
    <w:p>
      <w:pPr>
        <w:adjustRightInd w:val="0"/>
        <w:snapToGrid w:val="0"/>
        <w:spacing w:before="120" w:after="240"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投标人须知前附表</w:t>
      </w:r>
    </w:p>
    <w:p>
      <w:pPr>
        <w:spacing w:line="360" w:lineRule="auto"/>
        <w:ind w:firstLine="482"/>
        <w:rPr>
          <w:color w:val="auto"/>
          <w:szCs w:val="21"/>
          <w:highlight w:val="none"/>
        </w:rPr>
      </w:pPr>
      <w:r>
        <w:rPr>
          <w:rFonts w:hint="eastAsia" w:ascii="宋体" w:hAnsi="宋体" w:cs="宋体"/>
          <w:bCs/>
          <w:color w:val="auto"/>
          <w:szCs w:val="21"/>
          <w:highlight w:val="none"/>
        </w:rPr>
        <w:t>“供应商须知前附表”用于进一步明确正文中的未尽事宜，根据项目的具体特点和实际需要编制和填写，如有与本章正文内容不一致的，以本表的内容为准。</w:t>
      </w:r>
    </w:p>
    <w:tbl>
      <w:tblPr>
        <w:tblStyle w:val="20"/>
        <w:tblW w:w="1047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6"/>
        <w:gridCol w:w="3073"/>
        <w:gridCol w:w="65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blHeader/>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
                <w:color w:val="auto"/>
                <w:sz w:val="21"/>
                <w:szCs w:val="21"/>
                <w:highlight w:val="none"/>
                <w:lang w:val="zh-CN"/>
              </w:rPr>
            </w:pPr>
            <w:bookmarkStart w:id="98" w:name="_Toc246826106"/>
            <w:r>
              <w:rPr>
                <w:rFonts w:hint="eastAsia" w:asciiTheme="minorEastAsia" w:hAnsiTheme="minorEastAsia" w:eastAsiaTheme="minorEastAsia" w:cstheme="minorEastAsia"/>
                <w:b/>
                <w:color w:val="auto"/>
                <w:sz w:val="21"/>
                <w:szCs w:val="21"/>
                <w:highlight w:val="none"/>
                <w:lang w:val="zh-CN"/>
              </w:rPr>
              <w:t xml:space="preserve">序号 </w:t>
            </w:r>
          </w:p>
        </w:tc>
        <w:tc>
          <w:tcPr>
            <w:tcW w:w="3073" w:type="dxa"/>
            <w:tcBorders>
              <w:tl2br w:val="nil"/>
              <w:tr2bl w:val="nil"/>
            </w:tcBorders>
            <w:vAlign w:val="center"/>
          </w:tcPr>
          <w:p>
            <w:pPr>
              <w:pStyle w:val="34"/>
              <w:snapToGrid w:val="0"/>
              <w:spacing w:line="360" w:lineRule="auto"/>
              <w:jc w:val="center"/>
              <w:rPr>
                <w:rFonts w:asciiTheme="minorEastAsia" w:hAnsiTheme="minorEastAsia" w:eastAsiaTheme="minorEastAsia" w:cstheme="minorEastAsia"/>
                <w:b/>
                <w:color w:val="auto"/>
                <w:sz w:val="21"/>
                <w:szCs w:val="21"/>
                <w:highlight w:val="none"/>
                <w:lang w:val="zh-CN"/>
              </w:rPr>
            </w:pPr>
            <w:r>
              <w:rPr>
                <w:rFonts w:hint="eastAsia" w:asciiTheme="minorEastAsia" w:hAnsiTheme="minorEastAsia" w:eastAsiaTheme="minorEastAsia" w:cstheme="minorEastAsia"/>
                <w:b/>
                <w:color w:val="auto"/>
                <w:sz w:val="21"/>
                <w:szCs w:val="21"/>
                <w:highlight w:val="none"/>
                <w:lang w:val="zh-CN"/>
              </w:rPr>
              <w:t xml:space="preserve">条款名称 </w:t>
            </w:r>
          </w:p>
        </w:tc>
        <w:tc>
          <w:tcPr>
            <w:tcW w:w="6591" w:type="dxa"/>
            <w:tcBorders>
              <w:tl2br w:val="nil"/>
              <w:tr2bl w:val="nil"/>
            </w:tcBorders>
            <w:vAlign w:val="center"/>
          </w:tcPr>
          <w:p>
            <w:pPr>
              <w:pStyle w:val="34"/>
              <w:snapToGrid w:val="0"/>
              <w:spacing w:line="360" w:lineRule="auto"/>
              <w:jc w:val="center"/>
              <w:rPr>
                <w:rFonts w:asciiTheme="minorEastAsia" w:hAnsiTheme="minorEastAsia" w:eastAsiaTheme="minorEastAsia" w:cstheme="minorEastAsia"/>
                <w:b/>
                <w:color w:val="auto"/>
                <w:sz w:val="21"/>
                <w:szCs w:val="21"/>
                <w:highlight w:val="none"/>
                <w:lang w:val="zh-CN"/>
              </w:rPr>
            </w:pPr>
            <w:r>
              <w:rPr>
                <w:rFonts w:hint="eastAsia" w:asciiTheme="minorEastAsia" w:hAnsiTheme="minorEastAsia" w:eastAsiaTheme="minorEastAsia" w:cstheme="minorEastAsia"/>
                <w:b/>
                <w:color w:val="auto"/>
                <w:sz w:val="21"/>
                <w:szCs w:val="21"/>
                <w:highlight w:val="none"/>
                <w:lang w:val="zh-CN"/>
              </w:rPr>
              <w:t>说明和要求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1</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采购人</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海口市市政管理局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采购代理机构</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海南中顺项目管理有限公司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3</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投标人资格要求</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详见第一章【投标邀请】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4</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组织现场考察或者召开答</w:t>
            </w:r>
          </w:p>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疑会</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不组织</w:t>
            </w:r>
          </w:p>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组织，时间：</w:t>
            </w:r>
            <w:r>
              <w:rPr>
                <w:rFonts w:hint="eastAsia" w:asciiTheme="minorEastAsia" w:hAnsiTheme="minorEastAsia" w:eastAsiaTheme="minorEastAsia" w:cstheme="minorEastAsia"/>
                <w:bCs/>
                <w:color w:val="auto"/>
                <w:szCs w:val="21"/>
                <w:highlight w:val="none"/>
                <w:u w:val="single"/>
              </w:rPr>
              <w:t xml:space="preserve">     </w:t>
            </w:r>
            <w:r>
              <w:rPr>
                <w:rFonts w:hint="eastAsia" w:asciiTheme="minorEastAsia" w:hAnsiTheme="minorEastAsia" w:eastAsiaTheme="minorEastAsia" w:cstheme="minorEastAsia"/>
                <w:bCs/>
                <w:color w:val="auto"/>
                <w:szCs w:val="21"/>
                <w:highlight w:val="none"/>
              </w:rPr>
              <w:t>地点：</w:t>
            </w:r>
            <w:r>
              <w:rPr>
                <w:rFonts w:hint="eastAsia" w:asciiTheme="minorEastAsia" w:hAnsiTheme="minorEastAsia" w:eastAsiaTheme="minorEastAsia" w:cstheme="minorEastAsia"/>
                <w:bCs/>
                <w:color w:val="auto"/>
                <w:szCs w:val="21"/>
                <w:highlight w:val="none"/>
                <w:u w:val="single"/>
              </w:rPr>
              <w:t xml:space="preserve">      </w:t>
            </w:r>
            <w:r>
              <w:rPr>
                <w:rFonts w:hint="eastAsia" w:asciiTheme="minorEastAsia" w:hAnsiTheme="minorEastAsia" w:eastAsiaTheme="minorEastAsia" w:cstheme="minorEastAsia"/>
                <w:bCs/>
                <w:color w:val="auto"/>
                <w:szCs w:val="21"/>
                <w:highlight w:val="none"/>
              </w:rPr>
              <w:t>联系人：</w:t>
            </w:r>
            <w:r>
              <w:rPr>
                <w:rFonts w:hint="eastAsia" w:asciiTheme="minorEastAsia" w:hAnsiTheme="minorEastAsia" w:eastAsiaTheme="minorEastAsia" w:cstheme="minorEastAsia"/>
                <w:bCs/>
                <w:color w:val="auto"/>
                <w:szCs w:val="21"/>
                <w:highlight w:val="none"/>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5</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提交投标文件截止时间</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详见第一章【投标邀请】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6</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指定的发布媒体</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详见第一章【投标邀请】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7</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投标报价的规定</w:t>
            </w:r>
          </w:p>
        </w:tc>
        <w:tc>
          <w:tcPr>
            <w:tcW w:w="6591" w:type="dxa"/>
            <w:tcBorders>
              <w:tl2br w:val="nil"/>
              <w:tr2bl w:val="nil"/>
            </w:tcBorders>
            <w:vAlign w:val="center"/>
          </w:tcPr>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只允许提交一个报价，不接受备选方案，评标委员会认为投标人的报价明显低于其他通过符合性审查投标人的报价，有可能影响产品质量或者不能诚信履约的， 应当要求其在评标现场合理的时间内提供书面说明，必要时提交相关证明材料；投标人不能证明其报价合理性的，评标委员会应当将其作为无效投标处理。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8</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采购预算、最高限价</w:t>
            </w:r>
          </w:p>
        </w:tc>
        <w:tc>
          <w:tcPr>
            <w:tcW w:w="6591" w:type="dxa"/>
            <w:tcBorders>
              <w:tl2br w:val="nil"/>
              <w:tr2bl w:val="nil"/>
            </w:tcBorders>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预算金额：￥2322200.00元。</w:t>
            </w:r>
          </w:p>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（超出预算金额的投标，按无效投标处理。）</w:t>
            </w:r>
          </w:p>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最高限价：￥2322200.00元。</w:t>
            </w:r>
          </w:p>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（超出最高限价的投标，按无效投标处理。）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7" w:hRule="exac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9</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合同履</w:t>
            </w:r>
            <w:r>
              <w:rPr>
                <w:rFonts w:hint="eastAsia" w:asciiTheme="minorEastAsia" w:hAnsiTheme="minorEastAsia" w:eastAsiaTheme="minorEastAsia" w:cstheme="minorEastAsia"/>
                <w:bCs/>
                <w:color w:val="auto"/>
                <w:kern w:val="0"/>
                <w:szCs w:val="21"/>
                <w:highlight w:val="none"/>
              </w:rPr>
              <w:t>行</w:t>
            </w:r>
            <w:r>
              <w:rPr>
                <w:rFonts w:hint="eastAsia" w:asciiTheme="minorEastAsia" w:hAnsiTheme="minorEastAsia" w:eastAsiaTheme="minorEastAsia" w:cstheme="minorEastAsia"/>
                <w:bCs/>
                <w:color w:val="auto"/>
                <w:kern w:val="0"/>
                <w:szCs w:val="21"/>
                <w:highlight w:val="none"/>
                <w:lang w:val="zh-CN"/>
              </w:rPr>
              <w:t>期限、服务期</w:t>
            </w:r>
          </w:p>
        </w:tc>
        <w:tc>
          <w:tcPr>
            <w:tcW w:w="6591" w:type="dxa"/>
            <w:tcBorders>
              <w:tl2br w:val="nil"/>
              <w:tr2bl w:val="nil"/>
            </w:tcBorders>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服务期：2024年1月1日至2025年12月31日（完成合同约定的所有服务内容后）。</w:t>
            </w:r>
          </w:p>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合同履行期限：2024年1月1日至2025年12月31日（完成合同约定的所有服务内容后）。</w:t>
            </w:r>
          </w:p>
          <w:p>
            <w:pPr>
              <w:adjustRightInd w:val="0"/>
              <w:snapToGrid w:val="0"/>
              <w:spacing w:line="360" w:lineRule="auto"/>
              <w:rPr>
                <w:rFonts w:asciiTheme="minorEastAsia" w:hAnsiTheme="minorEastAsia" w:eastAsiaTheme="minorEastAsia" w:cstheme="minorEastAsia"/>
                <w:bCs/>
                <w:color w:val="auto"/>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10</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lang w:val="zh-CN"/>
              </w:rPr>
              <w:t>投标有效期</w:t>
            </w:r>
          </w:p>
        </w:tc>
        <w:tc>
          <w:tcPr>
            <w:tcW w:w="6591" w:type="dxa"/>
            <w:tcBorders>
              <w:tl2br w:val="nil"/>
              <w:tr2bl w:val="nil"/>
            </w:tcBorders>
            <w:vAlign w:val="center"/>
          </w:tcPr>
          <w:p>
            <w:pPr>
              <w:adjustRightInd w:val="0"/>
              <w:snapToGrid w:val="0"/>
              <w:ind w:left="105" w:leftChars="50"/>
              <w:rPr>
                <w:rFonts w:asciiTheme="minorEastAsia" w:hAnsiTheme="minorEastAsia" w:eastAsiaTheme="minorEastAsia" w:cstheme="minorEastAsia"/>
                <w:bCs/>
                <w:color w:val="auto"/>
                <w:szCs w:val="21"/>
                <w:highlight w:val="none"/>
              </w:rPr>
            </w:pPr>
            <w:r>
              <w:rPr>
                <w:rFonts w:asciiTheme="minorEastAsia" w:hAnsiTheme="minorEastAsia" w:eastAsiaTheme="minorEastAsia" w:cstheme="minorEastAsia"/>
                <w:bCs/>
                <w:color w:val="auto"/>
                <w:szCs w:val="21"/>
                <w:highlight w:val="none"/>
              </w:rPr>
              <w:t>自投标文件递交截止之日起 60 天内有效。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806" w:type="dxa"/>
            <w:tcBorders>
              <w:tl2br w:val="nil"/>
              <w:tr2bl w:val="nil"/>
            </w:tcBorders>
            <w:vAlign w:val="center"/>
          </w:tcPr>
          <w:p>
            <w:pPr>
              <w:pStyle w:val="34"/>
              <w:snapToGrid w:val="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11</w:t>
            </w:r>
          </w:p>
        </w:tc>
        <w:tc>
          <w:tcPr>
            <w:tcW w:w="3073" w:type="dxa"/>
            <w:tcBorders>
              <w:tl2br w:val="nil"/>
              <w:tr2bl w:val="nil"/>
            </w:tcBorders>
            <w:vAlign w:val="center"/>
          </w:tcPr>
          <w:p>
            <w:pPr>
              <w:adjustRightInd w:val="0"/>
              <w:snapToGrid w:val="0"/>
              <w:ind w:left="105" w:leftChars="50"/>
              <w:jc w:val="center"/>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kern w:val="0"/>
                <w:szCs w:val="21"/>
                <w:highlight w:val="none"/>
              </w:rPr>
              <w:t>投标</w:t>
            </w:r>
            <w:r>
              <w:rPr>
                <w:rFonts w:hint="eastAsia" w:asciiTheme="minorEastAsia" w:hAnsiTheme="minorEastAsia" w:eastAsiaTheme="minorEastAsia" w:cstheme="minorEastAsia"/>
                <w:bCs/>
                <w:color w:val="auto"/>
                <w:kern w:val="0"/>
                <w:szCs w:val="21"/>
                <w:highlight w:val="none"/>
                <w:lang w:val="zh-CN"/>
              </w:rPr>
              <w:t>文件的密封及递交</w:t>
            </w:r>
          </w:p>
        </w:tc>
        <w:tc>
          <w:tcPr>
            <w:tcW w:w="6591" w:type="dxa"/>
            <w:tcBorders>
              <w:tl2br w:val="nil"/>
              <w:tr2bl w:val="nil"/>
            </w:tcBorders>
            <w:vAlign w:val="center"/>
          </w:tcPr>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1、密封要求：投标人需使用CA锁对电子投标文件进行加密。</w:t>
            </w:r>
          </w:p>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电子投标文件的递交：投标人需要使用文件编制工具，离线编制投标文件后，并将加密后的标书在交易平台指定位置上传，递交成功后，平台即时向投标人发出递交回执通知。递交时间以递交回执通知载明的传输完成时间为准。注：未经加密和开标截止时间后递交的电子标书，将被交易平台拒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12</w:t>
            </w:r>
          </w:p>
        </w:tc>
        <w:tc>
          <w:tcPr>
            <w:tcW w:w="3073" w:type="dxa"/>
            <w:tcBorders>
              <w:tl2br w:val="nil"/>
              <w:tr2bl w:val="nil"/>
            </w:tcBorders>
            <w:vAlign w:val="center"/>
          </w:tcPr>
          <w:p>
            <w:pPr>
              <w:adjustRightInd w:val="0"/>
              <w:snapToGrid w:val="0"/>
              <w:spacing w:line="360" w:lineRule="auto"/>
              <w:ind w:left="105" w:leftChars="50"/>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投标保证金</w:t>
            </w:r>
          </w:p>
        </w:tc>
        <w:tc>
          <w:tcPr>
            <w:tcW w:w="6591" w:type="dxa"/>
            <w:tcBorders>
              <w:tl2br w:val="nil"/>
              <w:tr2bl w:val="nil"/>
            </w:tcBorders>
            <w:vAlign w:val="center"/>
          </w:tcPr>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Cs/>
                <w:color w:val="auto"/>
                <w:szCs w:val="21"/>
                <w:highlight w:val="none"/>
                <w:lang w:val="zh-CN"/>
              </w:rPr>
              <w:t>不要求提供</w:t>
            </w:r>
          </w:p>
          <w:p>
            <w:pPr>
              <w:adjustRightInd w:val="0"/>
              <w:snapToGrid w:val="0"/>
              <w:spacing w:line="360" w:lineRule="auto"/>
              <w:ind w:left="105" w:leftChars="5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Cs/>
                <w:color w:val="auto"/>
                <w:szCs w:val="21"/>
                <w:highlight w:val="none"/>
                <w:lang w:val="zh-CN"/>
              </w:rPr>
              <w:t>要求提供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13</w:t>
            </w:r>
          </w:p>
        </w:tc>
        <w:tc>
          <w:tcPr>
            <w:tcW w:w="3073" w:type="dxa"/>
            <w:tcBorders>
              <w:tl2br w:val="nil"/>
              <w:tr2bl w:val="nil"/>
            </w:tcBorders>
            <w:vAlign w:val="center"/>
          </w:tcPr>
          <w:p>
            <w:pPr>
              <w:pStyle w:val="34"/>
              <w:snapToGrid w:val="0"/>
              <w:spacing w:line="360" w:lineRule="auto"/>
              <w:ind w:left="105" w:leftChars="50"/>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联合体投标</w:t>
            </w:r>
          </w:p>
        </w:tc>
        <w:tc>
          <w:tcPr>
            <w:tcW w:w="6591" w:type="dxa"/>
            <w:tcBorders>
              <w:tl2br w:val="nil"/>
              <w:tr2bl w:val="nil"/>
            </w:tcBorders>
            <w:vAlign w:val="center"/>
          </w:tcPr>
          <w:p>
            <w:pPr>
              <w:adjustRightInd w:val="0"/>
              <w:snapToGrid w:val="0"/>
              <w:spacing w:line="360" w:lineRule="auto"/>
              <w:ind w:left="105" w:leftChars="50"/>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szCs w:val="21"/>
                <w:highlight w:val="none"/>
              </w:rPr>
              <w:t xml:space="preserve">☑ </w:t>
            </w:r>
            <w:r>
              <w:rPr>
                <w:rFonts w:hint="eastAsia" w:asciiTheme="minorEastAsia" w:hAnsiTheme="minorEastAsia" w:eastAsiaTheme="minorEastAsia" w:cstheme="minorEastAsia"/>
                <w:bCs/>
                <w:color w:val="auto"/>
                <w:kern w:val="0"/>
                <w:szCs w:val="21"/>
                <w:highlight w:val="none"/>
                <w:lang w:val="zh-CN"/>
              </w:rPr>
              <w:t>不接受</w:t>
            </w:r>
          </w:p>
          <w:p>
            <w:pPr>
              <w:adjustRightInd w:val="0"/>
              <w:snapToGrid w:val="0"/>
              <w:spacing w:line="360" w:lineRule="auto"/>
              <w:ind w:left="105" w:leftChars="50"/>
              <w:rPr>
                <w:rFonts w:asciiTheme="minorEastAsia" w:hAnsiTheme="minorEastAsia" w:eastAsiaTheme="minorEastAsia" w:cstheme="minorEastAsia"/>
                <w:bCs/>
                <w:color w:val="auto"/>
                <w:kern w:val="0"/>
                <w:szCs w:val="21"/>
                <w:highlight w:val="none"/>
                <w:lang w:val="zh-CN"/>
              </w:rPr>
            </w:pPr>
            <w:r>
              <w:rPr>
                <w:rFonts w:hint="eastAsia" w:asciiTheme="minorEastAsia" w:hAnsiTheme="minorEastAsia" w:eastAsiaTheme="minorEastAsia" w:cstheme="minorEastAsia"/>
                <w:bCs/>
                <w:color w:val="auto"/>
                <w:szCs w:val="21"/>
                <w:highlight w:val="none"/>
                <w:lang w:val="zh-CN"/>
              </w:rPr>
              <w:t xml:space="preserve">□ </w:t>
            </w:r>
            <w:r>
              <w:rPr>
                <w:rFonts w:hint="eastAsia" w:asciiTheme="minorEastAsia" w:hAnsiTheme="minorEastAsia" w:eastAsiaTheme="minorEastAsia" w:cstheme="minorEastAsia"/>
                <w:bCs/>
                <w:color w:val="auto"/>
                <w:kern w:val="0"/>
                <w:szCs w:val="21"/>
                <w:highlight w:val="none"/>
                <w:lang w:val="zh-CN"/>
              </w:rPr>
              <w:t>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14</w:t>
            </w:r>
          </w:p>
        </w:tc>
        <w:tc>
          <w:tcPr>
            <w:tcW w:w="3073" w:type="dxa"/>
            <w:tcBorders>
              <w:tl2br w:val="nil"/>
              <w:tr2bl w:val="nil"/>
            </w:tcBorders>
            <w:vAlign w:val="center"/>
          </w:tcPr>
          <w:p>
            <w:pPr>
              <w:adjustRightInd w:val="0"/>
              <w:snapToGrid w:val="0"/>
              <w:spacing w:line="360" w:lineRule="auto"/>
              <w:ind w:left="105" w:leftChars="50"/>
              <w:jc w:val="center"/>
              <w:rPr>
                <w:rFonts w:asciiTheme="minorEastAsia" w:hAnsiTheme="minorEastAsia" w:eastAsiaTheme="minorEastAsia" w:cstheme="minorEastAsia"/>
                <w:bCs/>
                <w:color w:val="auto"/>
                <w:szCs w:val="21"/>
                <w:highlight w:val="none"/>
              </w:rPr>
            </w:pPr>
            <w:r>
              <w:rPr>
                <w:rFonts w:hint="eastAsia"/>
                <w:bCs/>
                <w:color w:val="auto"/>
                <w:highlight w:val="none"/>
              </w:rPr>
              <w:t>开标地点</w:t>
            </w:r>
          </w:p>
        </w:tc>
        <w:tc>
          <w:tcPr>
            <w:tcW w:w="6591" w:type="dxa"/>
            <w:tcBorders>
              <w:tl2br w:val="nil"/>
              <w:tr2bl w:val="nil"/>
            </w:tcBorders>
            <w:vAlign w:val="center"/>
          </w:tcPr>
          <w:p>
            <w:pPr>
              <w:adjustRightInd w:val="0"/>
              <w:snapToGrid w:val="0"/>
              <w:spacing w:line="360" w:lineRule="auto"/>
              <w:ind w:left="105" w:leftChars="50"/>
              <w:rPr>
                <w:rFonts w:asciiTheme="minorEastAsia" w:hAnsiTheme="minorEastAsia" w:eastAsiaTheme="minorEastAsia" w:cstheme="minorEastAsia"/>
                <w:bCs/>
                <w:color w:val="auto"/>
                <w:szCs w:val="21"/>
                <w:highlight w:val="none"/>
                <w:lang w:val="zh-CN"/>
              </w:rPr>
            </w:pPr>
            <w:r>
              <w:rPr>
                <w:rFonts w:hint="eastAsia" w:asciiTheme="minorEastAsia" w:hAnsiTheme="minorEastAsia" w:eastAsiaTheme="minorEastAsia" w:cstheme="minorEastAsia"/>
                <w:bCs/>
                <w:color w:val="auto"/>
                <w:szCs w:val="21"/>
                <w:highlight w:val="none"/>
              </w:rPr>
              <w:t>详见第一章【投标邀请】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15</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是否接受进口产品投标</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 不接受</w:t>
            </w:r>
          </w:p>
          <w:p>
            <w:pPr>
              <w:adjustRightInd w:val="0"/>
              <w:snapToGrid w:val="0"/>
              <w:spacing w:line="360" w:lineRule="auto"/>
              <w:ind w:left="105" w:leftChars="50"/>
              <w:rPr>
                <w:bCs/>
                <w:color w:val="auto"/>
                <w:highlight w:val="none"/>
              </w:rPr>
            </w:pPr>
            <w:r>
              <w:rPr>
                <w:rFonts w:hint="eastAsia"/>
                <w:bCs/>
                <w:color w:val="auto"/>
                <w:highlight w:val="none"/>
              </w:rPr>
              <w:t>□ 接受，详见第二章【采购需求】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16</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是否有样品或演示</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 无</w:t>
            </w:r>
          </w:p>
          <w:p>
            <w:pPr>
              <w:adjustRightInd w:val="0"/>
              <w:snapToGrid w:val="0"/>
              <w:spacing w:line="360" w:lineRule="auto"/>
              <w:ind w:left="105" w:leftChars="50"/>
              <w:rPr>
                <w:bCs/>
                <w:color w:val="auto"/>
                <w:highlight w:val="none"/>
              </w:rPr>
            </w:pPr>
            <w:r>
              <w:rPr>
                <w:rFonts w:hint="eastAsia"/>
                <w:bCs/>
                <w:color w:val="auto"/>
                <w:highlight w:val="none"/>
              </w:rPr>
              <w:t>□ 有，详见第二章【采购需求】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17</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评标办法</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综合评分法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18</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接收质疑函的联系部门、联系电话和通讯地址</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接收质疑函的联系部门：项目部</w:t>
            </w:r>
          </w:p>
          <w:p>
            <w:pPr>
              <w:adjustRightInd w:val="0"/>
              <w:snapToGrid w:val="0"/>
              <w:spacing w:line="360" w:lineRule="auto"/>
              <w:ind w:left="105" w:leftChars="50"/>
              <w:rPr>
                <w:bCs/>
                <w:color w:val="auto"/>
                <w:highlight w:val="none"/>
              </w:rPr>
            </w:pPr>
            <w:r>
              <w:rPr>
                <w:rFonts w:hint="eastAsia"/>
                <w:bCs/>
                <w:color w:val="auto"/>
                <w:highlight w:val="none"/>
              </w:rPr>
              <w:t>联系电话：0898-68602509</w:t>
            </w:r>
          </w:p>
          <w:p>
            <w:pPr>
              <w:adjustRightInd w:val="0"/>
              <w:snapToGrid w:val="0"/>
              <w:spacing w:line="360" w:lineRule="auto"/>
              <w:ind w:left="105" w:leftChars="50"/>
              <w:rPr>
                <w:bCs/>
                <w:color w:val="auto"/>
                <w:highlight w:val="none"/>
              </w:rPr>
            </w:pPr>
            <w:r>
              <w:rPr>
                <w:rFonts w:hint="eastAsia"/>
                <w:bCs/>
                <w:color w:val="auto"/>
                <w:highlight w:val="none"/>
              </w:rPr>
              <w:t>地址：海南省海口市美兰区海府街道蓝天路名门广场北区C座1006房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19</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确定中标人的方式</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采购人应当按照相关法律法规要求，在评标报告确定的中标候选人名单中按顺序确定中标人。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20</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履约保证金</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sym w:font="Wingdings 2" w:char="00A3"/>
            </w:r>
            <w:r>
              <w:rPr>
                <w:rFonts w:hint="eastAsia"/>
                <w:bCs/>
                <w:color w:val="auto"/>
                <w:highlight w:val="none"/>
              </w:rPr>
              <w:t xml:space="preserve"> 不要求提供 </w:t>
            </w:r>
          </w:p>
          <w:p>
            <w:pPr>
              <w:adjustRightInd w:val="0"/>
              <w:snapToGrid w:val="0"/>
              <w:spacing w:line="360" w:lineRule="auto"/>
              <w:ind w:left="105" w:leftChars="50"/>
              <w:rPr>
                <w:bCs/>
                <w:color w:val="auto"/>
                <w:highlight w:val="none"/>
              </w:rPr>
            </w:pPr>
            <w:r>
              <w:rPr>
                <w:rFonts w:hint="eastAsia"/>
                <w:bCs/>
                <w:color w:val="auto"/>
                <w:highlight w:val="none"/>
              </w:rPr>
              <w:t>☑ 要求提供，履约保证金的金额为：</w:t>
            </w:r>
            <w:r>
              <w:rPr>
                <w:rFonts w:hint="eastAsia"/>
                <w:bCs/>
                <w:color w:val="auto"/>
                <w:highlight w:val="none"/>
                <w:u w:val="single"/>
              </w:rPr>
              <w:t>中标金额的5 %</w:t>
            </w:r>
            <w:r>
              <w:rPr>
                <w:rFonts w:hint="eastAsia"/>
                <w:bCs/>
                <w:color w:val="auto"/>
                <w:highlight w:val="none"/>
              </w:rPr>
              <w:t>；</w:t>
            </w:r>
          </w:p>
          <w:p>
            <w:pPr>
              <w:adjustRightInd w:val="0"/>
              <w:snapToGrid w:val="0"/>
              <w:spacing w:line="360" w:lineRule="auto"/>
              <w:ind w:left="105" w:leftChars="50"/>
              <w:rPr>
                <w:bCs/>
                <w:color w:val="auto"/>
                <w:highlight w:val="none"/>
              </w:rPr>
            </w:pPr>
            <w:r>
              <w:rPr>
                <w:rFonts w:hint="eastAsia"/>
                <w:bCs/>
                <w:color w:val="auto"/>
                <w:highlight w:val="none"/>
              </w:rPr>
              <w:t>履约保证金形式：支票、汇票、本票或者金融机构、担保机构出具的保函等非现金形式。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21</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招标服务费</w:t>
            </w:r>
          </w:p>
        </w:tc>
        <w:tc>
          <w:tcPr>
            <w:tcW w:w="6591" w:type="dxa"/>
            <w:tcBorders>
              <w:tl2br w:val="nil"/>
              <w:tr2bl w:val="nil"/>
            </w:tcBorders>
            <w:vAlign w:val="center"/>
          </w:tcPr>
          <w:p>
            <w:pPr>
              <w:adjustRightInd w:val="0"/>
              <w:snapToGrid w:val="0"/>
              <w:spacing w:line="360" w:lineRule="auto"/>
              <w:ind w:left="105" w:leftChars="50"/>
              <w:rPr>
                <w:bCs/>
                <w:color w:val="auto"/>
                <w:highlight w:val="none"/>
              </w:rPr>
            </w:pPr>
            <w:r>
              <w:rPr>
                <w:rFonts w:hint="eastAsia"/>
                <w:bCs/>
                <w:color w:val="auto"/>
                <w:highlight w:val="none"/>
              </w:rPr>
              <w:t>本项目招标服务费由中标人支付，按照琼价费管[2011]225号文计取，中标人须在领取中标通知书前缴纳招标服务费。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22</w:t>
            </w:r>
          </w:p>
        </w:tc>
        <w:tc>
          <w:tcPr>
            <w:tcW w:w="3073" w:type="dxa"/>
            <w:tcBorders>
              <w:tl2br w:val="nil"/>
              <w:tr2bl w:val="nil"/>
            </w:tcBorders>
            <w:vAlign w:val="center"/>
          </w:tcPr>
          <w:p>
            <w:pPr>
              <w:adjustRightInd w:val="0"/>
              <w:snapToGrid w:val="0"/>
              <w:spacing w:line="360" w:lineRule="auto"/>
              <w:ind w:left="105" w:leftChars="50"/>
              <w:jc w:val="center"/>
              <w:rPr>
                <w:bCs/>
                <w:color w:val="auto"/>
                <w:highlight w:val="none"/>
              </w:rPr>
            </w:pPr>
            <w:r>
              <w:rPr>
                <w:rFonts w:hint="eastAsia"/>
                <w:bCs/>
                <w:color w:val="auto"/>
                <w:highlight w:val="none"/>
              </w:rPr>
              <w:t>评标委员会的组成</w:t>
            </w:r>
          </w:p>
        </w:tc>
        <w:tc>
          <w:tcPr>
            <w:tcW w:w="6591" w:type="dxa"/>
            <w:tcBorders>
              <w:tl2br w:val="nil"/>
              <w:tr2bl w:val="nil"/>
            </w:tcBorders>
            <w:vAlign w:val="center"/>
          </w:tcPr>
          <w:p>
            <w:pPr>
              <w:adjustRightInd w:val="0"/>
              <w:snapToGrid w:val="0"/>
              <w:spacing w:line="360" w:lineRule="auto"/>
              <w:rPr>
                <w:bCs/>
                <w:color w:val="auto"/>
                <w:highlight w:val="none"/>
              </w:rPr>
            </w:pPr>
            <w:r>
              <w:rPr>
                <w:rFonts w:hint="eastAsia"/>
                <w:bCs/>
                <w:color w:val="auto"/>
                <w:highlight w:val="none"/>
              </w:rPr>
              <w:t>评审委员会构成 5 人，其中采购人代表 1人，专家 4人，评审专家从海南省综合评标专家库中随机抽取专家。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23</w:t>
            </w:r>
          </w:p>
        </w:tc>
        <w:tc>
          <w:tcPr>
            <w:tcW w:w="3073" w:type="dxa"/>
            <w:tcBorders>
              <w:tl2br w:val="nil"/>
              <w:tr2bl w:val="nil"/>
            </w:tcBorders>
            <w:vAlign w:val="center"/>
          </w:tcPr>
          <w:p>
            <w:pPr>
              <w:pStyle w:val="34"/>
              <w:snapToGrid w:val="0"/>
              <w:spacing w:line="360" w:lineRule="auto"/>
              <w:ind w:left="105" w:leftChars="50"/>
              <w:jc w:val="center"/>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政府采购政策</w:t>
            </w:r>
          </w:p>
        </w:tc>
        <w:tc>
          <w:tcPr>
            <w:tcW w:w="6591" w:type="dxa"/>
            <w:tcBorders>
              <w:tl2br w:val="nil"/>
              <w:tr2bl w:val="nil"/>
            </w:tcBorders>
            <w:vAlign w:val="center"/>
          </w:tcPr>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小型和微型企业、监狱企业及残疾人福利性单位：</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1.如果项目为货物采购则货物全部由小微企业生产并用</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小微企业商号或注册商标；如果项目为服务采购则服务全部由小微企业承接；如果项目为工程采购则工程全部由小微企业承接。投标报价给予价格扣除（项目属性为货物或服务的，按 10%给予扣除 ；项目属性为工程的，按 3%给予扣除 ），用扣除后的价格参加评审。符合上述规定的投标单位或企业参加本次政府采购活动，出具符合“《政府采购促进中小企业发展管理办法》（财库〔2020〕46 号）”规定的《中小企业声明函》，否则不得享受相关中小企业扶持政策。</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2.监狱企业：根据《财政部司法部关于政府采购支持监狱企业发展有关问题的通知》（财库[2014]68 号）文件规定，监狱企业参加政府采购活动时，应当提供由省级以上监狱管理局、戒毒管理局（含新疆生产建设兵团）出具的属于监狱企业的证明文件。 监狱企业视同小型、微型企业，享受预留份额、评审中价格扣除等政府采购促进中小企业发展的政府采购政策。</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3.残疾人福利性单位：根据《财政部 民政部 中国残疾人联合会关于促进残疾人就业政府采购政策的通知》（财库〔2017〕141 号）的规定，符合条件的残疾人福利性单位在参加政府采购活动时，须提供《残疾人福利性单位声明函》。残疾人福利性单位视同小型、微型企业，享受预留份额、评审中价格扣除等促进中小企业发展的政府采购政策。残疾人福利性单位属于小型、微型企业的，不重复享受政策。</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4.价格扣除幅度：本项目属性为服务，按10%给予扣除。投标人同时为符合上述规定的企业、监狱企业或残疾人福利性单位的，评审中只享受一次价格扣除，不重复进行价格扣除。</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5.节能、环保：根据《财政部发展改革委生态环境部市场监管总局关于调整优化节能产品、环境标志产品政府采购执行机制的通知&gt;(财库(2019)9 号)相关要求，依据品目清单和认证证书实施政府优先采购和强制采购。 </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注:对政府采购节能产品、 环境标志产品实施品目清单管理。财政部发展改革委、生态环境部等部门确定实施政府优先采购和强制采购的产品类别，以品目清单的形式发布并适时调整，可通过中国政府采购网 (http://wxw.ccgp.gov.cn/)查询、了解品目清单、认证机构和获证产品相关情况。（本项目不适用）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24</w:t>
            </w:r>
          </w:p>
        </w:tc>
        <w:tc>
          <w:tcPr>
            <w:tcW w:w="3073" w:type="dxa"/>
            <w:tcBorders>
              <w:tl2br w:val="nil"/>
              <w:tr2bl w:val="nil"/>
            </w:tcBorders>
            <w:vAlign w:val="center"/>
          </w:tcPr>
          <w:p>
            <w:pPr>
              <w:pStyle w:val="34"/>
              <w:snapToGrid w:val="0"/>
              <w:spacing w:line="360" w:lineRule="auto"/>
              <w:ind w:left="105" w:leftChars="50"/>
              <w:jc w:val="center"/>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采购标的对应的中小企业</w:t>
            </w:r>
          </w:p>
          <w:p>
            <w:pPr>
              <w:pStyle w:val="34"/>
              <w:snapToGrid w:val="0"/>
              <w:spacing w:line="360" w:lineRule="auto"/>
              <w:ind w:left="105" w:leftChars="50"/>
              <w:jc w:val="center"/>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划分标准所属行业</w:t>
            </w:r>
          </w:p>
        </w:tc>
        <w:tc>
          <w:tcPr>
            <w:tcW w:w="6591" w:type="dxa"/>
            <w:tcBorders>
              <w:tl2br w:val="nil"/>
              <w:tr2bl w:val="nil"/>
            </w:tcBorders>
            <w:vAlign w:val="center"/>
          </w:tcPr>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其他未列明行业；水利、环境和公共设施管理业具体标准详见附录—工信部联企业〔2011〕300号《中小企业划型标准规定》。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25</w:t>
            </w:r>
          </w:p>
        </w:tc>
        <w:tc>
          <w:tcPr>
            <w:tcW w:w="3073" w:type="dxa"/>
            <w:tcBorders>
              <w:tl2br w:val="nil"/>
              <w:tr2bl w:val="nil"/>
            </w:tcBorders>
            <w:vAlign w:val="center"/>
          </w:tcPr>
          <w:p>
            <w:pPr>
              <w:pStyle w:val="34"/>
              <w:snapToGrid w:val="0"/>
              <w:spacing w:line="360" w:lineRule="auto"/>
              <w:ind w:left="105" w:leftChars="50"/>
              <w:jc w:val="center"/>
              <w:rPr>
                <w:rFonts w:asciiTheme="minorEastAsia" w:hAnsiTheme="minorEastAsia" w:eastAsiaTheme="minorEastAsia" w:cstheme="minorEastAsia"/>
                <w:bCs/>
                <w:color w:val="auto"/>
                <w:sz w:val="21"/>
                <w:szCs w:val="21"/>
                <w:highlight w:val="none"/>
                <w:lang w:val="zh-CN"/>
              </w:rPr>
            </w:pPr>
            <w:r>
              <w:rPr>
                <w:rFonts w:hint="eastAsia" w:asciiTheme="minorEastAsia" w:hAnsiTheme="minorEastAsia" w:eastAsiaTheme="minorEastAsia" w:cstheme="minorEastAsia"/>
                <w:bCs/>
                <w:color w:val="auto"/>
                <w:sz w:val="21"/>
                <w:szCs w:val="21"/>
                <w:highlight w:val="none"/>
                <w:lang w:val="zh-CN"/>
              </w:rPr>
              <w:t>信用信息查询的查询渠道</w:t>
            </w:r>
          </w:p>
        </w:tc>
        <w:tc>
          <w:tcPr>
            <w:tcW w:w="6591" w:type="dxa"/>
            <w:tcBorders>
              <w:tl2br w:val="nil"/>
              <w:tr2bl w:val="nil"/>
            </w:tcBorders>
            <w:vAlign w:val="center"/>
          </w:tcPr>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信用中国（www.creditchina.gov.cn）、</w:t>
            </w:r>
          </w:p>
          <w:p>
            <w:pPr>
              <w:widowControl/>
              <w:tabs>
                <w:tab w:val="left" w:pos="425"/>
              </w:tabs>
              <w:spacing w:line="360" w:lineRule="auto"/>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中国政府采购网（www.ccgp.gov.cn）。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6" w:type="dxa"/>
            <w:tcBorders>
              <w:tl2br w:val="nil"/>
              <w:tr2bl w:val="nil"/>
            </w:tcBorders>
            <w:vAlign w:val="center"/>
          </w:tcPr>
          <w:p>
            <w:pPr>
              <w:pStyle w:val="34"/>
              <w:snapToGrid w:val="0"/>
              <w:spacing w:line="360" w:lineRule="auto"/>
              <w:ind w:left="9"/>
              <w:jc w:val="center"/>
              <w:rPr>
                <w:rFonts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26</w:t>
            </w:r>
          </w:p>
        </w:tc>
        <w:tc>
          <w:tcPr>
            <w:tcW w:w="3073" w:type="dxa"/>
            <w:tcBorders>
              <w:tl2br w:val="nil"/>
              <w:tr2bl w:val="nil"/>
            </w:tcBorders>
            <w:vAlign w:val="center"/>
          </w:tcPr>
          <w:p>
            <w:pPr>
              <w:pStyle w:val="34"/>
              <w:snapToGrid w:val="0"/>
              <w:spacing w:line="360" w:lineRule="auto"/>
              <w:ind w:left="105" w:leftChars="50"/>
              <w:jc w:val="center"/>
              <w:rPr>
                <w:rFonts w:asciiTheme="minorEastAsia" w:hAnsiTheme="minorEastAsia" w:eastAsiaTheme="minorEastAsia" w:cstheme="minorEastAsia"/>
                <w:bCs/>
                <w:color w:val="auto"/>
                <w:kern w:val="2"/>
                <w:sz w:val="21"/>
                <w:szCs w:val="21"/>
                <w:highlight w:val="none"/>
                <w:lang w:val="zh-CN" w:bidi="ar"/>
              </w:rPr>
            </w:pPr>
            <w:r>
              <w:rPr>
                <w:rFonts w:hint="eastAsia" w:asciiTheme="minorEastAsia" w:hAnsiTheme="minorEastAsia" w:eastAsiaTheme="minorEastAsia" w:cstheme="minorEastAsia"/>
                <w:bCs/>
                <w:color w:val="auto"/>
                <w:kern w:val="2"/>
                <w:sz w:val="21"/>
                <w:szCs w:val="21"/>
                <w:highlight w:val="none"/>
                <w:lang w:val="zh-CN" w:bidi="ar"/>
              </w:rPr>
              <w:t>签字或盖章要求</w:t>
            </w:r>
          </w:p>
        </w:tc>
        <w:tc>
          <w:tcPr>
            <w:tcW w:w="6591" w:type="dxa"/>
            <w:tcBorders>
              <w:tl2br w:val="nil"/>
              <w:tr2bl w:val="nil"/>
            </w:tcBorders>
            <w:vAlign w:val="center"/>
          </w:tcPr>
          <w:p>
            <w:pPr>
              <w:widowControl/>
              <w:tabs>
                <w:tab w:val="left" w:pos="425"/>
              </w:tabs>
              <w:spacing w:line="360" w:lineRule="auto"/>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1、投标文件格式中明示要求签字或盖章的应由投标人的法定代表人或其委托代理人签字或盖单位公章。由委托代理人签字的，投标文件中应附有法定代表人授权委托书。</w:t>
            </w:r>
          </w:p>
          <w:p>
            <w:pPr>
              <w:widowControl/>
              <w:tabs>
                <w:tab w:val="left" w:pos="425"/>
              </w:tabs>
              <w:spacing w:line="360" w:lineRule="auto"/>
              <w:jc w:val="left"/>
              <w:rPr>
                <w:rFonts w:asciiTheme="minorEastAsia" w:hAnsiTheme="minorEastAsia" w:eastAsiaTheme="minorEastAsia" w:cstheme="minorEastAsia"/>
                <w:bCs/>
                <w:color w:val="auto"/>
                <w:szCs w:val="21"/>
                <w:highlight w:val="none"/>
                <w:lang w:bidi="ar"/>
              </w:rPr>
            </w:pPr>
            <w:r>
              <w:rPr>
                <w:rFonts w:hint="eastAsia" w:asciiTheme="minorEastAsia" w:hAnsiTheme="minorEastAsia" w:eastAsiaTheme="minorEastAsia" w:cstheme="minorEastAsia"/>
                <w:bCs/>
                <w:color w:val="auto"/>
                <w:szCs w:val="21"/>
                <w:highlight w:val="none"/>
                <w:lang w:bidi="ar"/>
              </w:rPr>
              <w:t>2、投标文件应用不褪色的材料书写或打印，不得涂改和增删，如要修改错漏处，必须由法定代表人或授权代表人在修改处签字或盖公章。</w:t>
            </w:r>
          </w:p>
          <w:p>
            <w:pPr>
              <w:pStyle w:val="66"/>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lang w:bidi="ar"/>
              </w:rPr>
              <w:t>3、电子投标文件制作要求：电子标书的制作需按照交易平台的指引进行，必须使用从海南政府采购网(www.ccgp-hainan.gov.cn)-海南省政府采购电子化交易管理系统(新)平台下载的招标文件数据包，需要下载投标文件制作工具来打开,必须通过电子标书制作工具进行编制和加密,详情查看海南省政府采购电子化交易管理系统（http://218.77.183.212:8199/u/loginu/）-帮助中心下载</w:t>
            </w:r>
            <w:r>
              <w:rPr>
                <w:color w:val="auto"/>
                <w:highlight w:val="none"/>
              </w:rPr>
              <w:fldChar w:fldCharType="begin"/>
            </w:r>
            <w:r>
              <w:rPr>
                <w:color w:val="auto"/>
                <w:highlight w:val="none"/>
              </w:rPr>
              <w:instrText xml:space="preserve"> HYPERLINK "https://www.yuque.com/docs/share/c80d5a5f-3706-4f77-bf5c-1a9a5e988ed5?" \l " %E3%80%8A%E6%8A%95%E6%A0%87%E5%B7%A5%E5%85%B7%E4%BD%BF%E7%94%A8%E6%89%8B%E5%86%8C%E3%80%8B" \t "_blank" </w:instrText>
            </w:r>
            <w:r>
              <w:rPr>
                <w:color w:val="auto"/>
                <w:highlight w:val="none"/>
              </w:rPr>
              <w:fldChar w:fldCharType="separate"/>
            </w:r>
            <w:r>
              <w:rPr>
                <w:rFonts w:hint="eastAsia" w:asciiTheme="minorEastAsia" w:hAnsiTheme="minorEastAsia" w:eastAsiaTheme="minorEastAsia" w:cstheme="minorEastAsia"/>
                <w:bCs/>
                <w:color w:val="auto"/>
                <w:szCs w:val="21"/>
                <w:highlight w:val="none"/>
                <w:lang w:bidi="ar"/>
              </w:rPr>
              <w:t>《投标工具使用手册》</w:t>
            </w:r>
            <w:r>
              <w:rPr>
                <w:rFonts w:hint="eastAsia" w:asciiTheme="minorEastAsia" w:hAnsiTheme="minorEastAsia" w:eastAsiaTheme="minorEastAsia" w:cstheme="minorEastAsia"/>
                <w:bCs/>
                <w:color w:val="auto"/>
                <w:szCs w:val="21"/>
                <w:highlight w:val="none"/>
                <w:lang w:bidi="ar"/>
              </w:rPr>
              <w:fldChar w:fldCharType="end"/>
            </w:r>
            <w:r>
              <w:rPr>
                <w:rFonts w:hint="eastAsia" w:asciiTheme="minorEastAsia" w:hAnsiTheme="minorEastAsia" w:eastAsiaTheme="minorEastAsia" w:cstheme="minorEastAsia"/>
                <w:bCs/>
                <w:color w:val="auto"/>
                <w:szCs w:val="21"/>
                <w:highlight w:val="none"/>
                <w:lang w:bidi="ar"/>
              </w:rPr>
              <w:t>。采购文件有更正的必须重新下载更正后的采购文件数据包编制电子投标文件，否则开标过程会解密失败。</w:t>
            </w:r>
          </w:p>
          <w:p>
            <w:pPr>
              <w:pStyle w:val="66"/>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lang w:bidi="ar"/>
              </w:rPr>
              <w:t>4、投标人应详细阅读海南省政府采购网的通知《海南省财政厅关于进一步推进政府采购全流程电子化的通知》，下载查看政府采购电子化交易管理系统操作手册，在使用交易系统遇到问题可致电技术支持：0898-68546705。</w:t>
            </w:r>
          </w:p>
          <w:p>
            <w:pPr>
              <w:pStyle w:val="66"/>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lang w:bidi="ar"/>
              </w:rPr>
              <w:t>5、签字盖章要求：投标人必须使用最新版本的电子投标书编制工具制作电子版投标文件并使用CA数字证书（含手机CA）的电子印章进行签章，如有签名之处需按照要求签字，对于制造商授权书等，一些特殊形式的证明文件，仍需要手动签字或盖章后再扫描放入投标文件中，一并进行电子签章。若签字盖章要求与政府采购电子化交易管理系统操作手册存在不一致，以政府采购电子化交易管理系统操作手册为准。</w:t>
            </w:r>
          </w:p>
        </w:tc>
      </w:tr>
    </w:tbl>
    <w:p>
      <w:pPr>
        <w:rPr>
          <w:color w:val="auto"/>
          <w:highlight w:val="none"/>
        </w:rPr>
      </w:pPr>
    </w:p>
    <w:p>
      <w:pPr>
        <w:adjustRightInd w:val="0"/>
        <w:snapToGrid w:val="0"/>
        <w:spacing w:line="360" w:lineRule="auto"/>
        <w:ind w:firstLine="422" w:firstLineChars="200"/>
        <w:outlineLvl w:val="1"/>
        <w:rPr>
          <w:rFonts w:asciiTheme="minorEastAsia" w:hAnsiTheme="minorEastAsia" w:eastAsiaTheme="minorEastAsia" w:cstheme="minorEastAsia"/>
          <w:b/>
          <w:color w:val="auto"/>
          <w:kern w:val="0"/>
          <w:szCs w:val="21"/>
          <w:highlight w:val="none"/>
        </w:rPr>
      </w:pPr>
      <w:r>
        <w:rPr>
          <w:rFonts w:hint="eastAsia" w:asciiTheme="minorEastAsia" w:hAnsiTheme="minorEastAsia" w:eastAsiaTheme="minorEastAsia" w:cstheme="minorEastAsia"/>
          <w:b/>
          <w:color w:val="auto"/>
          <w:kern w:val="0"/>
          <w:szCs w:val="21"/>
          <w:highlight w:val="none"/>
        </w:rPr>
        <w:t>一、总则</w:t>
      </w:r>
      <w:bookmarkEnd w:id="98"/>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bookmarkStart w:id="99" w:name="_Toc246826115"/>
      <w:r>
        <w:rPr>
          <w:rFonts w:hint="eastAsia" w:asciiTheme="minorEastAsia" w:hAnsiTheme="minorEastAsia" w:eastAsiaTheme="minorEastAsia" w:cstheme="minorEastAsia"/>
          <w:bCs/>
          <w:color w:val="auto"/>
          <w:kern w:val="0"/>
          <w:szCs w:val="21"/>
          <w:highlight w:val="none"/>
        </w:rPr>
        <w:t>1、适用范围</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本采购文件仅适用于本次投标邀请中所述项目的采购。</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2、定义</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本采购文件中的下列术语应解释为：</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2.1“采购人”系指本项目的采购人</w:t>
      </w:r>
      <w:r>
        <w:rPr>
          <w:rFonts w:hint="eastAsia" w:asciiTheme="minorEastAsia" w:hAnsiTheme="minorEastAsia" w:eastAsiaTheme="minorEastAsia" w:cstheme="minorEastAsia"/>
          <w:b/>
          <w:color w:val="auto"/>
          <w:kern w:val="0"/>
          <w:szCs w:val="21"/>
          <w:highlight w:val="none"/>
          <w:u w:val="single"/>
        </w:rPr>
        <w:t>海口市市政管理局</w:t>
      </w:r>
      <w:r>
        <w:rPr>
          <w:rFonts w:hint="eastAsia" w:asciiTheme="minorEastAsia" w:hAnsiTheme="minorEastAsia" w:eastAsiaTheme="minorEastAsia" w:cstheme="minorEastAsia"/>
          <w:bCs/>
          <w:color w:val="auto"/>
          <w:kern w:val="0"/>
          <w:szCs w:val="21"/>
          <w:highlight w:val="none"/>
        </w:rPr>
        <w:t>，是依法开展政府采购活动的国家机关、事业单位和团体组织。在履行合同阶段称为甲方或买方。</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2.2“采购代理机构”系指组织本次采购活动的</w:t>
      </w:r>
      <w:r>
        <w:rPr>
          <w:rFonts w:hint="eastAsia" w:asciiTheme="minorEastAsia" w:hAnsiTheme="minorEastAsia" w:eastAsiaTheme="minorEastAsia" w:cstheme="minorEastAsia"/>
          <w:b/>
          <w:color w:val="auto"/>
          <w:kern w:val="0"/>
          <w:szCs w:val="21"/>
          <w:highlight w:val="none"/>
          <w:u w:val="single"/>
        </w:rPr>
        <w:t>海南中顺项目管理有限公司</w:t>
      </w:r>
      <w:r>
        <w:rPr>
          <w:rFonts w:hint="eastAsia" w:asciiTheme="minorEastAsia" w:hAnsiTheme="minorEastAsia" w:eastAsiaTheme="minorEastAsia" w:cstheme="minorEastAsia"/>
          <w:bCs/>
          <w:color w:val="auto"/>
          <w:kern w:val="0"/>
          <w:szCs w:val="21"/>
          <w:highlight w:val="none"/>
        </w:rPr>
        <w:t>。</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2.3“投标人”系指向采购人提供货物、工程或者服务的法人、其他组织或者自然人。法人的分支机构不得参加政府采购活动，但银行、保险、石油石化、电力、电信等特殊行业除外</w:t>
      </w:r>
      <w:r>
        <w:rPr>
          <w:rFonts w:hint="eastAsia" w:asciiTheme="minorEastAsia" w:hAnsiTheme="minorEastAsia" w:eastAsiaTheme="minorEastAsia" w:cstheme="minorEastAsia"/>
          <w:bCs/>
          <w:color w:val="auto"/>
          <w:szCs w:val="21"/>
          <w:highlight w:val="none"/>
          <w:lang w:val="zh-CN"/>
        </w:rPr>
        <w:t>。</w:t>
      </w:r>
      <w:r>
        <w:rPr>
          <w:rFonts w:hint="eastAsia" w:asciiTheme="minorEastAsia" w:hAnsiTheme="minorEastAsia" w:eastAsiaTheme="minorEastAsia" w:cstheme="minorEastAsia"/>
          <w:bCs/>
          <w:color w:val="auto"/>
          <w:kern w:val="0"/>
          <w:szCs w:val="21"/>
          <w:highlight w:val="none"/>
        </w:rPr>
        <w:t>在投标阶段称为供应商、投标人，在签订和履行合同阶段称为乙方、卖方或中标人（中标供应商）。</w:t>
      </w:r>
      <w:bookmarkStart w:id="100" w:name="_Toc267320062"/>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3、投标人</w:t>
      </w:r>
      <w:bookmarkEnd w:id="100"/>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3.1合格投标人条件：详见第一章【投标邀请】</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3.2投标人的风险</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3.2.1投标人没有按照采购文件的要求编制、签署、密封、标记、递交及修正投标文件的，或者投标文件没有对采购文件在各方面都做出实质性响应的，将导致投标无效。</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3.2.2投标人提交的投标文件内容有下列情形之一的，一经发现，视为无效投标，并依法上报政府采购监督管理部门处理</w:t>
      </w:r>
      <w:r>
        <w:rPr>
          <w:rFonts w:hint="eastAsia" w:asciiTheme="minorEastAsia" w:hAnsiTheme="minorEastAsia" w:eastAsiaTheme="minorEastAsia" w:cstheme="minorEastAsia"/>
          <w:bCs/>
          <w:color w:val="auto"/>
          <w:kern w:val="0"/>
          <w:szCs w:val="21"/>
          <w:highlight w:val="none"/>
        </w:rPr>
        <w:t>：</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（1）提供虚假的资料；</w:t>
      </w:r>
    </w:p>
    <w:p>
      <w:pPr>
        <w:adjustRightInd w:val="0"/>
        <w:snapToGrid w:val="0"/>
        <w:spacing w:line="360" w:lineRule="auto"/>
        <w:ind w:firstLine="420" w:firstLineChars="200"/>
        <w:rPr>
          <w:rFonts w:asciiTheme="minorEastAsia" w:hAnsiTheme="minorEastAsia" w:eastAsiaTheme="minorEastAsia" w:cstheme="minorEastAsia"/>
          <w:bCs/>
          <w:color w:val="auto"/>
          <w:kern w:val="0"/>
          <w:szCs w:val="21"/>
          <w:highlight w:val="none"/>
        </w:rPr>
      </w:pPr>
      <w:r>
        <w:rPr>
          <w:rFonts w:hint="eastAsia" w:asciiTheme="minorEastAsia" w:hAnsiTheme="minorEastAsia" w:eastAsiaTheme="minorEastAsia" w:cstheme="minorEastAsia"/>
          <w:bCs/>
          <w:color w:val="auto"/>
          <w:kern w:val="0"/>
          <w:szCs w:val="21"/>
          <w:highlight w:val="none"/>
        </w:rPr>
        <w:t>（2）在实质性方面失实；</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kern w:val="0"/>
          <w:szCs w:val="21"/>
          <w:highlight w:val="none"/>
        </w:rPr>
        <w:t>3.2.3</w:t>
      </w:r>
      <w:r>
        <w:rPr>
          <w:rFonts w:hint="eastAsia" w:asciiTheme="minorEastAsia" w:hAnsiTheme="minorEastAsia" w:eastAsiaTheme="minorEastAsia" w:cstheme="minorEastAsia"/>
          <w:bCs/>
          <w:color w:val="auto"/>
          <w:szCs w:val="21"/>
          <w:highlight w:val="none"/>
        </w:rPr>
        <w:t>供应商享受政策优惠条件但提供的证明（说明）文件或</w:t>
      </w:r>
      <w:r>
        <w:rPr>
          <w:rFonts w:hint="eastAsia"/>
          <w:color w:val="auto"/>
          <w:szCs w:val="21"/>
          <w:highlight w:val="none"/>
        </w:rPr>
        <w:t>承诺文件失实的，</w:t>
      </w:r>
      <w:r>
        <w:rPr>
          <w:rFonts w:hint="eastAsia" w:asciiTheme="minorEastAsia" w:hAnsiTheme="minorEastAsia" w:eastAsiaTheme="minorEastAsia" w:cstheme="minorEastAsia"/>
          <w:bCs/>
          <w:color w:val="auto"/>
          <w:szCs w:val="21"/>
          <w:highlight w:val="none"/>
        </w:rPr>
        <w:t>视同投标文件提供虚假资料论处。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4、投标费用</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4.1无论投标过程中的做法和结果如何，投标人自行承担所有与参加投标活动有关的全部费用；</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政策优惠条件及要求:根据财政部、工业和信息化部关于《政府采购促进中小企业发展管理办法》（财库〔2020〕46号）、《财政部、司法部关于政府采购支持监狱企业发展有关问题的通知》（财库〔2014〕68号）和《财政部、民政部、中国残疾人联合会关于促进残疾人就业政府采购政策的通知》（财库〔2017〕141号）的文件精神，以及政府关于强制采购节能产品、信息安全产品和优先采购环境标志产品的实施意见，相应的政府采购政策优惠条件及要求如下：</w:t>
      </w:r>
    </w:p>
    <w:p>
      <w:pPr>
        <w:pStyle w:val="7"/>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5.1关于符合上述规定的小微企业（供应商）参与投标</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w:t>
      </w:r>
      <w:r>
        <w:rPr>
          <w:rFonts w:hint="eastAsia" w:asciiTheme="minorEastAsia" w:hAnsiTheme="minorEastAsia" w:eastAsiaTheme="minorEastAsia" w:cstheme="minorEastAsia"/>
          <w:bCs/>
          <w:color w:val="auto"/>
          <w:szCs w:val="21"/>
          <w:highlight w:val="none"/>
          <w:lang w:val="en-US" w:eastAsia="zh-CN"/>
        </w:rPr>
        <w:t>1</w:t>
      </w:r>
      <w:r>
        <w:rPr>
          <w:rFonts w:hint="eastAsia" w:asciiTheme="minorEastAsia" w:hAnsiTheme="minorEastAsia" w:eastAsiaTheme="minorEastAsia" w:cstheme="minorEastAsia"/>
          <w:bCs/>
          <w:color w:val="auto"/>
          <w:szCs w:val="21"/>
          <w:highlight w:val="none"/>
        </w:rPr>
        <w:t>投标供应商为符合规定的小型或微型企业时，报价给予10%的价格扣除（工程3%），用扣除后的价格参与评审；</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w:t>
      </w:r>
      <w:r>
        <w:rPr>
          <w:rFonts w:hint="eastAsia" w:asciiTheme="minorEastAsia" w:hAnsiTheme="minorEastAsia" w:eastAsiaTheme="minorEastAsia" w:cstheme="minorEastAsia"/>
          <w:bCs/>
          <w:color w:val="auto"/>
          <w:szCs w:val="21"/>
          <w:highlight w:val="none"/>
          <w:lang w:val="en-US" w:eastAsia="zh-CN"/>
        </w:rPr>
        <w:t>2</w:t>
      </w:r>
      <w:r>
        <w:rPr>
          <w:rFonts w:hint="eastAsia" w:asciiTheme="minorEastAsia" w:hAnsiTheme="minorEastAsia" w:eastAsiaTheme="minorEastAsia" w:cstheme="minorEastAsia"/>
          <w:bCs/>
          <w:color w:val="auto"/>
          <w:szCs w:val="21"/>
          <w:highlight w:val="none"/>
        </w:rPr>
        <w:t>本条款中两种价格扣除优惠原则不同时使用。</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w:t>
      </w:r>
      <w:r>
        <w:rPr>
          <w:rFonts w:hint="eastAsia" w:asciiTheme="minorEastAsia" w:hAnsiTheme="minorEastAsia" w:eastAsiaTheme="minorEastAsia" w:cstheme="minorEastAsia"/>
          <w:bCs/>
          <w:color w:val="auto"/>
          <w:szCs w:val="21"/>
          <w:highlight w:val="none"/>
          <w:lang w:val="en-US" w:eastAsia="zh-CN"/>
        </w:rPr>
        <w:t>3</w:t>
      </w:r>
      <w:r>
        <w:rPr>
          <w:rFonts w:hint="eastAsia" w:asciiTheme="minorEastAsia" w:hAnsiTheme="minorEastAsia" w:eastAsiaTheme="minorEastAsia" w:cstheme="minorEastAsia"/>
          <w:bCs/>
          <w:color w:val="auto"/>
          <w:szCs w:val="21"/>
          <w:highlight w:val="none"/>
        </w:rPr>
        <w:t>投标供应商认为其为小型或微型企业的应提供合法有效的“中小企业声明函”（附件），并明确企业类型；投标供应商认为其为监狱企业须提供由省级以上监狱管理局、戒毒管理局（含新疆生产建设兵团）出具的属于监狱企业的证明文件(附件)；投标供应商认为其为符合条件的残疾人福利性单位在参加政府采购活动时，应当提供《残疾人福利性单位声明函》（附件），并对声明的真实性负责，否则评审时不能享受相应的价格扣除。</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w:t>
      </w:r>
      <w:r>
        <w:rPr>
          <w:rFonts w:hint="eastAsia" w:asciiTheme="minorEastAsia" w:hAnsiTheme="minorEastAsia" w:eastAsiaTheme="minorEastAsia" w:cstheme="minorEastAsia"/>
          <w:bCs/>
          <w:color w:val="auto"/>
          <w:szCs w:val="21"/>
          <w:highlight w:val="none"/>
          <w:lang w:val="en-US" w:eastAsia="zh-CN"/>
        </w:rPr>
        <w:t>4</w:t>
      </w:r>
      <w:r>
        <w:rPr>
          <w:rFonts w:hint="eastAsia" w:asciiTheme="minorEastAsia" w:hAnsiTheme="minorEastAsia" w:eastAsiaTheme="minorEastAsia" w:cstheme="minorEastAsia"/>
          <w:bCs/>
          <w:color w:val="auto"/>
          <w:szCs w:val="21"/>
          <w:highlight w:val="none"/>
        </w:rPr>
        <w:t>在货物采购项目中，供应商提供的货物既有小微企业制造货物，也有大中型企业制造货物的，不享受本办法规定的小微企业扶持政策。</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5.1.</w:t>
      </w:r>
      <w:r>
        <w:rPr>
          <w:rFonts w:hint="eastAsia" w:asciiTheme="minorEastAsia" w:hAnsiTheme="minorEastAsia" w:eastAsiaTheme="minorEastAsia" w:cstheme="minorEastAsia"/>
          <w:bCs/>
          <w:color w:val="auto"/>
          <w:szCs w:val="21"/>
          <w:highlight w:val="none"/>
          <w:lang w:val="en-US" w:eastAsia="zh-CN"/>
        </w:rPr>
        <w:t>5</w:t>
      </w:r>
      <w:r>
        <w:rPr>
          <w:rFonts w:hint="eastAsia" w:asciiTheme="minorEastAsia" w:hAnsiTheme="minorEastAsia" w:eastAsiaTheme="minorEastAsia" w:cstheme="minorEastAsia"/>
          <w:bCs/>
          <w:color w:val="auto"/>
          <w:szCs w:val="21"/>
          <w:highlight w:val="none"/>
        </w:rPr>
        <w:t>享受扶持政策获得政府采购合同的，小微企业不得将合同分包给大中型企业，中型企业不得将合同分包给大型企业。</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5.2 关于强制采购节能产品、信息安全产品和优先采购环境标志产品的要求。</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5.2.1节能产品是指列入财政部、国家发展和改革委员会制定的《节能产品政府采购清单》(中国政府采购网（ｈｔｔｐ：／／ｗｗｗ．ｃｃｇｐ．ｇｏｖ．ｃｎ／）等网站发布)，且经过认定的节能产品；信息安全产品是指列入国家质检总局、财政部、认监委《信息安全产品强制性认证目录》，并获得中国国家信息安全产品认证证书的产品；环境标志产品是指列入财政部、国家环保总局制定的《环境标志产品政府采购清单》(中国政府采购网（ｈｔｔｐ：／／ｗｗｗ．ｃｃｇｐ．ｇｏｖ．ｃｎ／）等网站发布)，且经过认证的环境标志产品。</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5.2.2提供的产品属于信息安全产品的，供应商应当选择经国家认证的信息安全产品投标，并提供有效的中国国家信息安全产品认证证书复印件。</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5.2.3提供的产品属于政府强制采购节能产品的，供应商应当选择《节能产品政府采购清单》中的产品投标，并提供有效的节能产品认证证书复印件。</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5.2.4 提供的产品属于优先采购环境标志产品的，供应商应当选择《环境标志产品政府采购清单》中的产品投标，并提供有效的环境标志产品认证证书复印件。</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6、注意事项</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6.1如果没有特别声明或要求，投标人被视为充分熟悉本采购项目所在地与履行合同有关的各种情况，包括自然环境、气候条件、劳动力及公用设施等，本采购文件不再对上述情况进行描述。</w:t>
      </w:r>
    </w:p>
    <w:p>
      <w:pPr>
        <w:adjustRightInd w:val="0"/>
        <w:snapToGrid w:val="0"/>
        <w:spacing w:line="360" w:lineRule="auto"/>
        <w:ind w:firstLine="422" w:firstLineChars="200"/>
        <w:rPr>
          <w:rFonts w:asciiTheme="minorEastAsia" w:hAnsiTheme="minorEastAsia" w:eastAsiaTheme="minorEastAsia" w:cstheme="minorEastAsia"/>
          <w:b/>
          <w:color w:val="auto"/>
          <w:szCs w:val="21"/>
          <w:highlight w:val="none"/>
        </w:rPr>
      </w:pPr>
      <w:bookmarkStart w:id="101" w:name="_Toc246826107"/>
      <w:r>
        <w:rPr>
          <w:rFonts w:hint="eastAsia" w:asciiTheme="minorEastAsia" w:hAnsiTheme="minorEastAsia" w:eastAsiaTheme="minorEastAsia" w:cstheme="minorEastAsia"/>
          <w:b/>
          <w:color w:val="auto"/>
          <w:szCs w:val="21"/>
          <w:highlight w:val="none"/>
        </w:rPr>
        <w:t>二、采购文件</w:t>
      </w:r>
      <w:bookmarkEnd w:id="101"/>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7、采购文件的组成</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采购文件用以阐明投标人准备投标文件所必须的信息，以及投标、开标、评标和签订合同等有关规定。采购文件以电子版形式下载，采购文件由下述章节组成：</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第一章 投标邀请</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第二章 采购需求</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第三章 供应商须知</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第四章 评标办法</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第五章 政府采购合同格式</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第六章 响应文件格式及附件</w:t>
      </w:r>
    </w:p>
    <w:p>
      <w:pPr>
        <w:ind w:firstLine="42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第七章 其他 </w:t>
      </w:r>
    </w:p>
    <w:p>
      <w:pPr>
        <w:spacing w:line="360" w:lineRule="auto"/>
        <w:ind w:firstLine="42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7.1投标人收到采购文件时，应检查页数和附件数量。投标人发现任何页数或附件数量的遗缺，任何数字或词汇模糊不清，任何词义含混不清，应告之采购代理机构补全或澄清。如果投标人不按上述提出要求而造成不良后果，采购人不承担责任。</w:t>
      </w:r>
    </w:p>
    <w:p>
      <w:pPr>
        <w:spacing w:line="360" w:lineRule="auto"/>
        <w:ind w:firstLine="420"/>
        <w:rPr>
          <w:rFonts w:eastAsiaTheme="minorEastAsia"/>
          <w:color w:val="auto"/>
          <w:highlight w:val="none"/>
        </w:rPr>
      </w:pPr>
      <w:r>
        <w:rPr>
          <w:rFonts w:hint="eastAsia" w:asciiTheme="minorEastAsia" w:hAnsiTheme="minorEastAsia" w:eastAsiaTheme="minorEastAsia" w:cstheme="minorEastAsia"/>
          <w:bCs/>
          <w:color w:val="auto"/>
          <w:szCs w:val="21"/>
          <w:highlight w:val="none"/>
        </w:rPr>
        <w:t xml:space="preserve"> 7.2采购人或者采购代理机构在【投标人须知前附表】规定的提交投标文件截止时间前对采购文件所作的澄清或者修改，构成采购文件的组成部分。</w:t>
      </w:r>
    </w:p>
    <w:p>
      <w:pPr>
        <w:tabs>
          <w:tab w:val="left" w:pos="720"/>
        </w:tabs>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02" w:name="_Toc183582211"/>
      <w:bookmarkStart w:id="103" w:name="_Toc183682348"/>
      <w:bookmarkStart w:id="104" w:name="_Toc217446040"/>
      <w:r>
        <w:rPr>
          <w:rFonts w:hint="eastAsia" w:asciiTheme="minorEastAsia" w:hAnsiTheme="minorEastAsia" w:eastAsiaTheme="minorEastAsia" w:cstheme="minorEastAsia"/>
          <w:bCs/>
          <w:color w:val="auto"/>
          <w:szCs w:val="21"/>
          <w:highlight w:val="none"/>
        </w:rPr>
        <w:t>7.3投标人对采购文件如有疑点，可询问，应按采购公告中载明的地址以书面形式（包括信函、电报或传真）通知到采购代理机构，否则视为认可采购文件的全部条款。</w:t>
      </w:r>
    </w:p>
    <w:p>
      <w:pPr>
        <w:tabs>
          <w:tab w:val="left" w:pos="720"/>
        </w:tabs>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8、采购文件的澄清</w:t>
      </w:r>
      <w:bookmarkEnd w:id="102"/>
      <w:bookmarkEnd w:id="103"/>
      <w:r>
        <w:rPr>
          <w:rFonts w:hint="eastAsia" w:asciiTheme="minorEastAsia" w:hAnsiTheme="minorEastAsia" w:eastAsiaTheme="minorEastAsia" w:cstheme="minorEastAsia"/>
          <w:bCs/>
          <w:color w:val="auto"/>
          <w:szCs w:val="21"/>
          <w:highlight w:val="none"/>
        </w:rPr>
        <w:t>和修改</w:t>
      </w:r>
      <w:bookmarkEnd w:id="104"/>
    </w:p>
    <w:p>
      <w:pPr>
        <w:tabs>
          <w:tab w:val="left" w:pos="720"/>
        </w:tabs>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8.1 在投标截止时间前，采购代理机构无论出于何种原因，可以对采购文件进行澄清或者修改。</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8.2</w:t>
      </w:r>
      <w:bookmarkStart w:id="105" w:name="_Toc430489120"/>
      <w:bookmarkStart w:id="106" w:name="_Toc415567498"/>
      <w:bookmarkStart w:id="107" w:name="_Toc430492127"/>
      <w:bookmarkStart w:id="108" w:name="_Toc430422414"/>
      <w:bookmarkStart w:id="109" w:name="_Toc430488645"/>
      <w:bookmarkStart w:id="110" w:name="_Toc430488852"/>
      <w:bookmarkStart w:id="111" w:name="_Toc430490613"/>
      <w:r>
        <w:rPr>
          <w:rFonts w:hint="eastAsia" w:asciiTheme="minorEastAsia" w:hAnsiTheme="minorEastAsia" w:eastAsiaTheme="minorEastAsia" w:cstheme="minorEastAsia"/>
          <w:bCs/>
          <w:color w:val="auto"/>
          <w:szCs w:val="21"/>
          <w:highlight w:val="none"/>
        </w:rPr>
        <w:t xml:space="preserve"> 采购文件的修改</w:t>
      </w:r>
      <w:bookmarkEnd w:id="105"/>
      <w:bookmarkEnd w:id="106"/>
      <w:bookmarkEnd w:id="107"/>
      <w:bookmarkEnd w:id="108"/>
      <w:bookmarkEnd w:id="109"/>
      <w:bookmarkEnd w:id="110"/>
      <w:bookmarkEnd w:id="111"/>
    </w:p>
    <w:p>
      <w:pPr>
        <w:pStyle w:val="11"/>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12" w:name="_Toc245887536"/>
      <w:bookmarkStart w:id="113" w:name="_Toc246826109"/>
      <w:bookmarkStart w:id="114" w:name="_Toc245888275"/>
      <w:bookmarkStart w:id="115" w:name="_Toc246825804"/>
      <w:r>
        <w:rPr>
          <w:rFonts w:hint="eastAsia" w:asciiTheme="minorEastAsia" w:hAnsiTheme="minorEastAsia" w:eastAsiaTheme="minorEastAsia" w:cstheme="minorEastAsia"/>
          <w:bCs/>
          <w:color w:val="auto"/>
          <w:szCs w:val="21"/>
          <w:highlight w:val="none"/>
        </w:rPr>
        <w:t>（1）在投标截止时间以前，采购代理机构可主动或依投标人要求澄清或质疑的问题对采购文件进行必要的补遗、澄清或修改；</w:t>
      </w:r>
      <w:bookmarkEnd w:id="112"/>
      <w:bookmarkEnd w:id="113"/>
      <w:bookmarkEnd w:id="114"/>
      <w:bookmarkEnd w:id="115"/>
      <w:bookmarkStart w:id="116" w:name="_Toc217446041"/>
      <w:bookmarkStart w:id="117" w:name="_Toc208848971"/>
    </w:p>
    <w:p>
      <w:pPr>
        <w:pStyle w:val="11"/>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补遗、澄清或修改内容可能影响投标文件编制的，采购代理机构须在投标截止时间15日前发布公告；不足15日的，采购代理机构应当顺延提交投标文件的截止时间和开标时间，在此情况下，采购当事人受投标截止期制约的所有权利和义务均应延长至新的截止日期；</w:t>
      </w:r>
    </w:p>
    <w:p>
      <w:pPr>
        <w:pStyle w:val="11"/>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（3）补遗、澄清或修改后的内容是采购文件的组成部分，并对潜在投标人具有约束力。有关</w:t>
      </w:r>
      <w:r>
        <w:rPr>
          <w:rFonts w:hint="eastAsia" w:asciiTheme="minorEastAsia" w:hAnsiTheme="minorEastAsia" w:eastAsiaTheme="minorEastAsia" w:cstheme="minorEastAsia"/>
          <w:bCs/>
          <w:color w:val="auto"/>
          <w:spacing w:val="-8"/>
          <w:szCs w:val="21"/>
          <w:highlight w:val="none"/>
        </w:rPr>
        <w:t>本项目采购文件的补遗、澄清及变更信息以第一章指定网站公告及下载内容为准，</w:t>
      </w:r>
      <w:r>
        <w:rPr>
          <w:rFonts w:hint="eastAsia" w:asciiTheme="minorEastAsia" w:hAnsiTheme="minorEastAsia" w:eastAsiaTheme="minorEastAsia" w:cstheme="minorEastAsia"/>
          <w:bCs/>
          <w:color w:val="auto"/>
          <w:szCs w:val="21"/>
          <w:highlight w:val="none"/>
        </w:rPr>
        <w:t>采购代理机构不再另行通知，潜在投标人须及时关注关于本项目采购信息的更新事项，否则自行承担由此产生的风险。采购文件与更正公告的内容相互矛盾时，以最后发出的更正公告为准。</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（4）通过电子招标投标交易平台下载采购文件的，应及时关注指定媒体。更正公告一经在指定媒体上发布后，将作为通知所有采购文件收受人的书面形式。</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9、其他</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9.1标前答疑会和</w:t>
      </w:r>
      <w:bookmarkEnd w:id="116"/>
      <w:bookmarkEnd w:id="117"/>
      <w:r>
        <w:rPr>
          <w:rFonts w:hint="eastAsia" w:asciiTheme="minorEastAsia" w:hAnsiTheme="minorEastAsia" w:eastAsiaTheme="minorEastAsia" w:cstheme="minorEastAsia"/>
          <w:bCs/>
          <w:color w:val="auto"/>
          <w:szCs w:val="21"/>
          <w:highlight w:val="none"/>
        </w:rPr>
        <w:t>现场考察</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9.1.1投标人须知前附表规定组织答疑会或/和现场考察的，采购人或/和采购代理机构按投标人须知前附表规定的时间、地点组织答疑会或/和投标人考察项目现场，投标人如不参加的，其风险由投标人自行承担，采购人或/和采购代理机构不承担任何责任。采购人或/和采购代理机构不组织现场考察的，投标人可以自行决定是否考察现场。</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9.1.2答疑会上，采购人或/和采购代理机构将解答供应商的疑问。会上所有的解答与说明仅供投标人编制投标文件时参考，采购人或/和采购代理机构不对投标人据此作出的判断和决策负责。</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9.1.3采购人或/和采购代理机构在考察现场中口头介绍的情况（如有），供投标人在编制投标文件时参考，采购人或/和采购代理机构不对投标人据此作出的判断和决策负责。</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9.1.4采购人或/和采购代理机构不单独或者分别组织只有1个投标人参加的现场考察及标前答疑会。</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9.1.5投标人自行承担参加答疑或现场考察所发生的一切费用。</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9.2述标和/或演示</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具体要求详见第二章“采购需求”和/或“投标人须知前附表”有关规定。</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bookmarkStart w:id="118" w:name="_Toc246826110"/>
      <w:r>
        <w:rPr>
          <w:rFonts w:hint="eastAsia" w:asciiTheme="minorEastAsia" w:hAnsiTheme="minorEastAsia" w:eastAsiaTheme="minorEastAsia" w:cstheme="minorEastAsia"/>
          <w:bCs/>
          <w:color w:val="auto"/>
          <w:szCs w:val="21"/>
          <w:highlight w:val="none"/>
        </w:rPr>
        <w:t>三、投标文件的编写</w:t>
      </w:r>
      <w:bookmarkEnd w:id="118"/>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 投标文件的编制要求：投标人应当根据采购文件的要求编制投标文件（包括签名和盖章），否则自行承担由此产生的风险。</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10.1投标人应当根据自己的商务能力、技术水平对采购文件提出的要求和条件逐条标明响应与否。如果因为投标文件填报的内容不详，或没有提供采购文件中所要求的全部资料及数据，则投标人自行承担由此产生的风险。</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10.2投标人提供的文件必须真实、充分、全面，并对投标文件所提供全部资料的真实性和合法性承担法律责任。</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10.3每一单项服务项目只允许有一个报价，否则将被视为无效投标。</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10.4只允许投标人有一个投标方案，否则将被视为无效投标。（采购文件允许有备选方案的除外）</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10.5 投标人根据采购文件载明的采购项目实际情况，拟在中标后将中标项目的非主体、非关键性工作交由他人完成的，应当在投标文件中载明。</w:t>
      </w:r>
    </w:p>
    <w:p>
      <w:pPr>
        <w:pStyle w:val="7"/>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10.6投标文件的正本、副本和电子版投标文件的数量应当符合采购文件的要求。</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10.7投标文件必须编页码，页码必须连续。</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10.8投标文件应装订牢固不可拆卸（如：胶订），如因装订不牢固导致的任何损失及风险由投标人承担。</w:t>
      </w:r>
    </w:p>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11. 投标文件语言、货物及计量单位</w:t>
      </w:r>
    </w:p>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11.1除采购文件中另有规定外，投标人提交的投标文件及其与采购人和采购代理机构所有来往文件均应使用中文，若有不同文本，以中文文本为准。非中文的投标文件内容应翻译成中文。</w:t>
      </w:r>
    </w:p>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11.2货币单位：本次采购项目的投标均以人民币报价，货币单位：元。</w:t>
      </w:r>
    </w:p>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11.3计量单位：除采购文件中另有规定外，投标人在投标文件中及其与采购人和采购代理机构所有往来文件中所使用的计量单位均应采用中华人民共和国法定计量单位。</w:t>
      </w:r>
      <w:bookmarkStart w:id="119" w:name="_Toc217446046"/>
    </w:p>
    <w:bookmarkEnd w:id="119"/>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投标文件的组成：由商务部分、技术部分、价格部分以及其他部分组成。所有证明材料、说明文件、投标要求详见“投标人须知前附表”的具体要求，投标人不提供或不按要求提供的则自行承担由此产生的风险。</w:t>
      </w:r>
    </w:p>
    <w:p>
      <w:pPr>
        <w:pStyle w:val="10"/>
        <w:adjustRightInd w:val="0"/>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12.1投标文件的商务部分</w:t>
      </w:r>
    </w:p>
    <w:p>
      <w:pPr>
        <w:pStyle w:val="10"/>
        <w:adjustRightInd w:val="0"/>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12.1.1 商务部分是证明投标人是合格的，并且在中标后有能力履行合同的证明文件，这些文件可以是但不限于文字资料、证书复印件和数据报表等。</w:t>
      </w:r>
    </w:p>
    <w:p>
      <w:pPr>
        <w:autoSpaceDE w:val="0"/>
        <w:autoSpaceDN w:val="0"/>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12.1.2 不满足商务部分实质性要求的将视为无效投标。</w:t>
      </w:r>
    </w:p>
    <w:p>
      <w:pPr>
        <w:autoSpaceDE w:val="0"/>
        <w:autoSpaceDN w:val="0"/>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12.2 投标文件的技术部分</w:t>
      </w:r>
    </w:p>
    <w:p>
      <w:pPr>
        <w:pStyle w:val="10"/>
        <w:adjustRightInd w:val="0"/>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技术部分是证明投标的技术（服务）标准以及配套/辅助服务标准是符合国家或/和行业的强制标准（包括但不限于经营许可或质量标准等），并符合采购文件要求的证明文件，这些文件可以是但不限于文字资料、图片和数据等。</w:t>
      </w:r>
    </w:p>
    <w:p>
      <w:pPr>
        <w:autoSpaceDE w:val="0"/>
        <w:autoSpaceDN w:val="0"/>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12.3 投标文件的价格部分 </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价格部分是投标人对投标服务以及配套所需设施设备等价格的构成所作的说明。该投标总价是投标人在可独立履行项目合同义务，通过准确核算，可满足预期实施效果、验收标准和符合自身合法利益的前提下所作出的综合性合理报价。对在采购文件和合同书中未有明确列述、市场剧变因素、应预见和不可预见的费用等均视为已完全考虑到并包括在投标报价之内；该投标总价不得高于预算金额或最高限价，且须是本项目服务期限内所有服务费用的总和，否则视为无效效投标。</w:t>
      </w:r>
    </w:p>
    <w:p>
      <w:pPr>
        <w:autoSpaceDE w:val="0"/>
        <w:autoSpaceDN w:val="0"/>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12.4 投标文件的其他部分</w:t>
      </w:r>
    </w:p>
    <w:p>
      <w:pPr>
        <w:autoSpaceDE w:val="0"/>
        <w:autoSpaceDN w:val="0"/>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其他部分由投标人根据编制投标文件需要提供的其他相关文件组成。</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13、投标有效期</w:t>
      </w:r>
    </w:p>
    <w:p>
      <w:pPr>
        <w:autoSpaceDE w:val="0"/>
        <w:autoSpaceDN w:val="0"/>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13.1 投标文件从“投标人须知前附表”所规定的投标截止期之后开始生效，在“投标人须知前附表”所规定的投标有效期期限内保持有效。有效期不足将导致其投标无效。</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13.2 特殊情况下采购代理机构可于投标有效期满之前书面要求投标人同意延长有效期，投标人应在采购代理机构规定的期限内以书面形式予以答复，投标人答复不明确或者逾期未答复的，均视为拒绝上述要求。投标人拒绝上述要求的，其投标保证金（如有）可按规定予以退还。对于接受该要求的投标人，既不要求也不允许其修改投标文件，但将要求其相应延长投标保证金有效期，有关退还和不予退还投标保证金的规定在投标有效期延长期内继续有效。同意投标有效期延长的，如提交的保证金为保函，应对保函做相应延长，投标人自行承担由此产生的费用；同意投标有效期延长的供应商不足三家的，予以废标。不同意延长投标有效期的，投标有效期满自动失效。</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14、投标保证金（本项目不要求提供）</w:t>
      </w:r>
    </w:p>
    <w:p>
      <w:pPr>
        <w:pStyle w:val="11"/>
        <w:tabs>
          <w:tab w:val="left" w:pos="8360"/>
        </w:tabs>
        <w:adjustRightInd w:val="0"/>
        <w:snapToGrid w:val="0"/>
        <w:spacing w:line="360" w:lineRule="auto"/>
        <w:ind w:firstLine="420" w:firstLineChars="200"/>
        <w:jc w:val="left"/>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14.1 如项目需交纳投标保证金，则投标保证金为投标文件的组成部分之一。</w:t>
      </w:r>
    </w:p>
    <w:p>
      <w:pPr>
        <w:adjustRightInd w:val="0"/>
        <w:snapToGrid w:val="0"/>
        <w:spacing w:line="360" w:lineRule="auto"/>
        <w:ind w:firstLine="420" w:firstLineChars="200"/>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14.2 投标人应在提交投标文件之前向采购代理机构交纳“投标人须知前附表”所规定的投标保证金。</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14.3 投标保证金用于保护本次采购活动免受投标人的行为而引起的风险。</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14.4 投标人未按采购文件要求提交投标保证金的，视为无效投标；项目免收投标保证金的除外。</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14.5 未中标供应商的投标保证金将在中标通知书发出后5个工作日内退还，中标供应商的投标保证金将在合同送达采购代理机构存档及公告后5个工作日内退还。</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14.6 投标保证金的有效期与投标有效期一致。</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14.7投标人交纳投标保证金的单位名称须与投标的单位名称一致，否则自行承担投标无效的风险。</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14.8 发生以下情况之一的，投标保证金将不予退还：</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（1）投标人在投标有效期内撤回已提交的投标文件的；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（2）投标人在投标文件中提供虚假材料的；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（3）除因不可抗力或采购文件认可的情形以外，中标供应商放弃中标资格的；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（4）投标人与采购人、其他投标人或者采购代理机构恶意串通的；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（5）中标供应商无正当理由不与采购人签订合同的；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（6）供应商有违反政府采购法律、法规和扰乱会场秩序行为的；</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（7）拒绝履行合同义务的；</w:t>
      </w:r>
    </w:p>
    <w:p>
      <w:pPr>
        <w:pStyle w:val="19"/>
        <w:ind w:left="0" w:leftChars="0"/>
        <w:rPr>
          <w:rFonts w:eastAsiaTheme="minorEastAsia"/>
          <w:color w:val="auto"/>
          <w:highlight w:val="none"/>
        </w:rPr>
      </w:pPr>
      <w:r>
        <w:rPr>
          <w:rFonts w:hint="eastAsia" w:asciiTheme="minorEastAsia" w:hAnsiTheme="minorEastAsia" w:eastAsiaTheme="minorEastAsia" w:cstheme="minorEastAsia"/>
          <w:color w:val="auto"/>
          <w:highlight w:val="none"/>
        </w:rPr>
        <w:t>（8）法律法规及采购文件规定的其他情形。</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上述不予退还投标保证金的情况给采购人或采购代理机构造成损失的，还要承担赔偿责任。</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15. 投标文件的格式及签署（详见投标人须知前附表）</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15.1投标人应按照采购文件第六章中提供的“响应文件格式及附件”编制投标文件，如自有格式并按其格式编制的投标文件，其内容必须包含“响应文件格式及附件”中所有的实质性内容并受其约束。</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15.2投标人须将投标文件的商务部分、技术部分和价格部分整合为一份投标文件，并制作详细目录、页码索引。</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15.3投标文件因字迹潦草或表达不清所引起的后果由投标人负责。</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bookmarkStart w:id="120" w:name="_Toc246826111"/>
      <w:r>
        <w:rPr>
          <w:rFonts w:hint="eastAsia" w:asciiTheme="minorEastAsia" w:hAnsiTheme="minorEastAsia" w:eastAsiaTheme="minorEastAsia" w:cstheme="minorEastAsia"/>
          <w:bCs/>
          <w:color w:val="auto"/>
          <w:szCs w:val="21"/>
          <w:highlight w:val="none"/>
        </w:rPr>
        <w:t>四、投标文件的提交</w:t>
      </w:r>
      <w:bookmarkEnd w:id="120"/>
      <w:r>
        <w:rPr>
          <w:rFonts w:hint="eastAsia" w:asciiTheme="minorEastAsia" w:hAnsiTheme="minorEastAsia" w:eastAsiaTheme="minorEastAsia" w:cstheme="minorEastAsia"/>
          <w:bCs/>
          <w:color w:val="auto"/>
          <w:szCs w:val="21"/>
          <w:highlight w:val="none"/>
        </w:rPr>
        <w:t>（详见投标人须知前附表）</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16.投标文件的密封和递交（详见投标人须知前附表）</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16.1逾期提交或者未按照采购文件要求密封的投标文件，将被系统平台拒收。</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bookmarkStart w:id="121" w:name="_Toc183682365"/>
      <w:bookmarkStart w:id="122" w:name="_Toc183582228"/>
      <w:bookmarkStart w:id="123" w:name="_Toc217446055"/>
      <w:r>
        <w:rPr>
          <w:rFonts w:hint="eastAsia" w:asciiTheme="minorEastAsia" w:hAnsiTheme="minorEastAsia" w:eastAsiaTheme="minorEastAsia" w:cstheme="minorEastAsia"/>
          <w:bCs/>
          <w:color w:val="auto"/>
          <w:szCs w:val="21"/>
          <w:highlight w:val="none"/>
        </w:rPr>
        <w:t>17.投标文件的修改和撤</w:t>
      </w:r>
      <w:bookmarkEnd w:id="121"/>
      <w:bookmarkEnd w:id="122"/>
      <w:r>
        <w:rPr>
          <w:rFonts w:hint="eastAsia" w:asciiTheme="minorEastAsia" w:hAnsiTheme="minorEastAsia" w:eastAsiaTheme="minorEastAsia" w:cstheme="minorEastAsia"/>
          <w:bCs/>
          <w:color w:val="auto"/>
          <w:szCs w:val="21"/>
          <w:highlight w:val="none"/>
        </w:rPr>
        <w:t>回</w:t>
      </w:r>
      <w:bookmarkEnd w:id="123"/>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24" w:name="_Toc246826112"/>
      <w:r>
        <w:rPr>
          <w:rFonts w:hint="eastAsia" w:asciiTheme="minorEastAsia" w:hAnsiTheme="minorEastAsia" w:eastAsiaTheme="minorEastAsia" w:cstheme="minorEastAsia"/>
          <w:bCs/>
          <w:color w:val="auto"/>
          <w:szCs w:val="21"/>
          <w:highlight w:val="none"/>
        </w:rPr>
        <w:t>17.l 投标人在提交投标文件后可对其进行修改或撤回，但必须使采购代理机构在投标截止时间前收到该修改的书面内容或撤回的书面通知。</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17.2 投标文件的修改文件应按采购文件规定签署，并按采购文件规定盖章及标记，还须注明“修改投标文件”和“开标前不得启封”字样。修改文件须在投标截止时间前送达规定的投标地点。上述补充或修改若涉及投标报价，必须注明“最终唯一报价”字样，否则将视为有选择的报价。</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17.3 投标人不得在投标截止时间以后修改或/和撤回投标文件。</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五、开标与评标</w:t>
      </w:r>
      <w:bookmarkEnd w:id="124"/>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18．开标</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18.1 在第一章/投标邀请所规定的开标时间和地点开标。开标由采购代理机构主持，采购人、投标人和有关方面代表参加。</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18.2资格审查：开标结束后，先对投标人的资格进行审查，以确定其是否具备合格的投标资格，合格投标人不足3家的，不得评标。依据法律法规和采购文件的规定，资格审查内容是指采购文件对投标人的资格要求等内容，详见《资格审查表》。资格审查主体：采购人或采购代理机构负责资格审查。</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19、评标</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19.1评标委员会</w:t>
      </w:r>
    </w:p>
    <w:p>
      <w:pPr>
        <w:pStyle w:val="7"/>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19.1.1评标委员会由采购人代表和评审专家组成，成员人数应当为5人以上单数，其中评审专家不得少于成员总数的三分之二。详见“投标人须知前附表”。</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19.1.2评标委员会成员与供应商有下列利害关系之一的，应当回避：</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（1）参加采购活动前3年内与供应商存在劳动关系；</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（2）参加采购活动前3年内担任供应商的董事、监事；</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（3）参加采购活动前3年内是供应商的控股股东或者实际控制人；</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（4）与供应商的法定代表人或者负责人有夫妻、直系血亲、三代以内旁系血亲或者近姻亲关系；</w:t>
      </w:r>
    </w:p>
    <w:p>
      <w:pPr>
        <w:snapToGrid w:val="0"/>
        <w:spacing w:line="360" w:lineRule="auto"/>
        <w:ind w:firstLine="420" w:firstLineChars="200"/>
        <w:outlineLvl w:val="1"/>
        <w:rPr>
          <w:rFonts w:ascii="宋体" w:hAnsi="宋体" w:cs="宋体"/>
          <w:bCs/>
          <w:color w:val="auto"/>
          <w:szCs w:val="21"/>
          <w:highlight w:val="none"/>
        </w:rPr>
      </w:pPr>
      <w:r>
        <w:rPr>
          <w:rFonts w:hint="eastAsia" w:ascii="宋体" w:hAnsi="宋体" w:cs="宋体"/>
          <w:bCs/>
          <w:color w:val="auto"/>
          <w:szCs w:val="21"/>
          <w:highlight w:val="none"/>
        </w:rPr>
        <w:t>（5）与供应商有其他可能影响政府采购活动公平、公正进行的关系。</w:t>
      </w:r>
    </w:p>
    <w:p>
      <w:pPr>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rPr>
        <w:t>供应商认为评标委员会成员与其他供应商有利害关系的，可以向采购人或者采购代理机构书面提出回避申请，并说明理由。采购人或者采购代理机构应当及时询问被申请回避人员，有利害关系的被申请回避人员应当回避。评审专家发现本人与参加采购活动的供应商有利害关系的，应当主动提出回避。</w:t>
      </w:r>
    </w:p>
    <w:p>
      <w:pPr>
        <w:pStyle w:val="7"/>
        <w:adjustRightInd w:val="0"/>
        <w:snapToGrid w:val="0"/>
        <w:spacing w:line="360" w:lineRule="auto"/>
        <w:ind w:firstLine="420" w:firstLineChars="200"/>
        <w:rPr>
          <w:rFonts w:ascii="宋体" w:hAnsi="宋体" w:cs="宋体"/>
          <w:bCs/>
          <w:color w:val="auto"/>
          <w:szCs w:val="21"/>
          <w:highlight w:val="none"/>
        </w:rPr>
      </w:pPr>
      <w:r>
        <w:rPr>
          <w:rFonts w:hint="eastAsia" w:asciiTheme="minorEastAsia" w:hAnsiTheme="minorEastAsia" w:eastAsiaTheme="minorEastAsia" w:cstheme="minorEastAsia"/>
          <w:bCs/>
          <w:color w:val="auto"/>
          <w:szCs w:val="21"/>
          <w:highlight w:val="none"/>
        </w:rPr>
        <w:t>19.1.3</w:t>
      </w:r>
      <w:r>
        <w:rPr>
          <w:rFonts w:hint="eastAsia" w:ascii="宋体" w:hAnsi="宋体" w:cs="宋体"/>
          <w:bCs/>
          <w:color w:val="auto"/>
          <w:szCs w:val="21"/>
          <w:highlight w:val="none"/>
        </w:rPr>
        <w:t>评标委员会将严格遵守评审工作纪律，按照客观、公正、审慎的原则，根据采购文件规定的评审程序、评审方法和评审标准进行独立评审。</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 投标文件的评审</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19.2.1 要求</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评标委员会对所有投标人的评审，都采用相同的程序和标准并严格按照采购文件的要求和条件进行。评标委员会决定投标实质性响应与否只根据投标文件本身的内容，以及述标和/或演示内容（如果有），而不寻求其他的外部证据。</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19.2.2 符合性审查：依据采购文件的规定，评标委员会将从投标文件的有效性、完整性和对采购文件的响应程度进行审查，以确定是否符合对采购文件的实质性要求作出响应。</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19.2.3 投标文件的澄清 </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19.2.3．1对投标文件中含义不明确、同类问题表述不一致或者有明显文字和计算错误的内容，评标委员会应当以书面形式要求投标人作出必要的澄清、说明或者补正。投标人的澄清、说明或者补正应当在评标委员会规定的时间内以书面形式作出，并加盖公章，或者由法定代表人或者其授权代表签字。投标人的澄清、说明或者补正不得超出投标文件的范围或者改变投标文件的实质性内容。</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19.2.3.2算术错误将按以下方法更正：</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（1）投标文件中开标一览表（报价表）内容与投标文件中相应内容不一致的，以开标一览表（报价表）为准；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（2）大写金额和小写金额不一致的，以大写金额为准；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（3）单价金额小数点或者百分比有明显错位的，以开标一览表的总价为准，并修改单价；</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（4）总价金额与按单价汇总金额不一致的，以单价金额计算结果为准；同时出现两种以上不一致的，按照前款规定的顺序修正。修正后的报价经投标人确认后产生约束力，投标人不确认的，其投标无效。</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19.2.4 比较与评价</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19.2.4.1 评标委员会将按第四章所规定的评标方法与标准，对资格性审查和符合性检查合格的投标文件进行评审。</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19.2.4.2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经评标委员会投票认定，超过半数将以无效投标处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19.2.5有下列情形之一的，视为投标人串通投标，其投标无效：</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（一）不同投标人的投标文件由同一单位或者个人编制；</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（二）不同投标人委托同一单位或者个人办理投标事宜；</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（三）不同投标人的投标文件载明的项目管理成员或者联系人员为同一人；</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（四）不同投标人的投标文件异常一致或者投标报价呈规律性差异；</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（五）不同投标人的投标文件相互混装；</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（六）不同投标人的投标保证金从同一单位或者个人的账户转出。</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20、废标</w:t>
      </w:r>
      <w:bookmarkStart w:id="125" w:name="_Toc217446072"/>
      <w:r>
        <w:rPr>
          <w:rFonts w:hint="eastAsia" w:asciiTheme="minorEastAsia" w:hAnsiTheme="minorEastAsia" w:eastAsiaTheme="minorEastAsia" w:cstheme="minorEastAsia"/>
          <w:bCs/>
          <w:color w:val="auto"/>
          <w:szCs w:val="21"/>
          <w:highlight w:val="none"/>
        </w:rPr>
        <w:t>的情形</w:t>
      </w:r>
      <w:bookmarkEnd w:id="125"/>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招标采购中，出现下列情形之一的，予以废标：</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（1）符合专业条件的供应商或者对采购文件作实质响应的供应商不足三家的；</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（2）出现影响采购公正的违法、违规行为的；</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（3）投标人的报价均超过了预算，采购人不能支付的；</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（4）因重大变故，采购任务取消的。</w:t>
      </w:r>
    </w:p>
    <w:p>
      <w:pPr>
        <w:pStyle w:val="5"/>
        <w:adjustRightInd w:val="0"/>
        <w:snapToGrid w:val="0"/>
        <w:spacing w:line="360" w:lineRule="auto"/>
        <w:ind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废标后，采购代理机构将在指定网站发布废标公告。</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21、纪律和监督</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26" w:name="_Toc144974543"/>
      <w:bookmarkStart w:id="127" w:name="_Toc246996962"/>
      <w:bookmarkStart w:id="128" w:name="_Toc246996219"/>
      <w:bookmarkStart w:id="129" w:name="_Toc296602462"/>
      <w:bookmarkStart w:id="130" w:name="_Toc296590983"/>
      <w:bookmarkStart w:id="131" w:name="_Toc152045575"/>
      <w:bookmarkStart w:id="132" w:name="_Toc152042351"/>
      <w:bookmarkStart w:id="133" w:name="_Toc247085733"/>
      <w:bookmarkStart w:id="134" w:name="_Toc179632593"/>
      <w:r>
        <w:rPr>
          <w:rFonts w:hint="eastAsia" w:asciiTheme="minorEastAsia" w:hAnsiTheme="minorEastAsia" w:eastAsiaTheme="minorEastAsia" w:cstheme="minorEastAsia"/>
          <w:bCs/>
          <w:color w:val="auto"/>
          <w:szCs w:val="21"/>
          <w:highlight w:val="none"/>
        </w:rPr>
        <w:t>21.1 对采购代理机构的纪律要求</w:t>
      </w:r>
      <w:bookmarkEnd w:id="126"/>
      <w:bookmarkEnd w:id="127"/>
      <w:bookmarkEnd w:id="128"/>
      <w:bookmarkEnd w:id="129"/>
      <w:bookmarkEnd w:id="130"/>
      <w:bookmarkEnd w:id="131"/>
      <w:bookmarkEnd w:id="132"/>
      <w:bookmarkEnd w:id="133"/>
      <w:bookmarkEnd w:id="134"/>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采购代理机构不得泄漏招标投标活动中应当保密的情况和资料，不得与投标人串通损害国家利益、社会公共利益或者他人合法权益。</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35" w:name="_Toc246996220"/>
      <w:bookmarkStart w:id="136" w:name="_Toc247085734"/>
      <w:bookmarkStart w:id="137" w:name="_Toc152045576"/>
      <w:bookmarkStart w:id="138" w:name="_Toc246996963"/>
      <w:bookmarkStart w:id="139" w:name="_Toc296602463"/>
      <w:bookmarkStart w:id="140" w:name="_Toc179632594"/>
      <w:bookmarkStart w:id="141" w:name="_Toc144974544"/>
      <w:bookmarkStart w:id="142" w:name="_Toc152042352"/>
      <w:r>
        <w:rPr>
          <w:rFonts w:hint="eastAsia" w:asciiTheme="minorEastAsia" w:hAnsiTheme="minorEastAsia" w:eastAsiaTheme="minorEastAsia" w:cstheme="minorEastAsia"/>
          <w:bCs/>
          <w:color w:val="auto"/>
          <w:szCs w:val="21"/>
          <w:highlight w:val="none"/>
        </w:rPr>
        <w:t>21.2对投标人的纪律要求</w:t>
      </w:r>
      <w:bookmarkEnd w:id="135"/>
      <w:bookmarkEnd w:id="136"/>
      <w:bookmarkEnd w:id="137"/>
      <w:bookmarkEnd w:id="138"/>
      <w:bookmarkEnd w:id="139"/>
      <w:bookmarkEnd w:id="140"/>
      <w:bookmarkEnd w:id="141"/>
      <w:bookmarkEnd w:id="142"/>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人不得相互串通投标或者与采购代理机构串通投标，不得向采购代理机构或者评标委员会成员行贿谋取中标，不得以他人名义投标或者以其他方式弄虚作假骗取中标；投标人不得以任何方式干扰、影响评标工作。</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43" w:name="_Toc152045577"/>
      <w:bookmarkStart w:id="144" w:name="_Toc246996964"/>
      <w:bookmarkStart w:id="145" w:name="_Toc246996221"/>
      <w:bookmarkStart w:id="146" w:name="_Toc179632595"/>
      <w:bookmarkStart w:id="147" w:name="_Toc296602464"/>
      <w:bookmarkStart w:id="148" w:name="_Toc152042353"/>
      <w:bookmarkStart w:id="149" w:name="_Toc247085735"/>
      <w:bookmarkStart w:id="150" w:name="_Toc144974545"/>
      <w:r>
        <w:rPr>
          <w:rFonts w:hint="eastAsia" w:asciiTheme="minorEastAsia" w:hAnsiTheme="minorEastAsia" w:eastAsiaTheme="minorEastAsia" w:cstheme="minorEastAsia"/>
          <w:bCs/>
          <w:color w:val="auto"/>
          <w:szCs w:val="21"/>
          <w:highlight w:val="none"/>
        </w:rPr>
        <w:t>21.3对评标委员会成员的纪律要求</w:t>
      </w:r>
      <w:bookmarkEnd w:id="143"/>
      <w:bookmarkEnd w:id="144"/>
      <w:bookmarkEnd w:id="145"/>
      <w:bookmarkEnd w:id="146"/>
      <w:bookmarkEnd w:id="147"/>
      <w:bookmarkEnd w:id="148"/>
      <w:bookmarkEnd w:id="149"/>
      <w:bookmarkEnd w:id="150"/>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评标委员会成员不得收受他人的财物或者其他好处，不得向他人透漏对投标文件的评审和比较、中标候选人的推荐情况以及评标有关的其他情况。在评标活动中，评标委员会成员应当客观、公正地履行职责，独立评审，遵守职业道德，不得擅离职守，影响评标程序正常进行，不得使用采购文件没有规定的评审因素和标准进行评标。</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51" w:name="_Toc152045578"/>
      <w:bookmarkStart w:id="152" w:name="_Toc296602465"/>
      <w:bookmarkStart w:id="153" w:name="_Toc246996222"/>
      <w:bookmarkStart w:id="154" w:name="_Toc247085736"/>
      <w:bookmarkStart w:id="155" w:name="_Toc246996965"/>
      <w:bookmarkStart w:id="156" w:name="_Toc152042354"/>
      <w:bookmarkStart w:id="157" w:name="_Toc179632596"/>
      <w:r>
        <w:rPr>
          <w:rFonts w:hint="eastAsia" w:asciiTheme="minorEastAsia" w:hAnsiTheme="minorEastAsia" w:eastAsiaTheme="minorEastAsia" w:cstheme="minorEastAsia"/>
          <w:bCs/>
          <w:color w:val="auto"/>
          <w:szCs w:val="21"/>
          <w:highlight w:val="none"/>
        </w:rPr>
        <w:t>21.4对与评标活动有关的工作人员的纪律要求</w:t>
      </w:r>
      <w:bookmarkEnd w:id="151"/>
      <w:bookmarkEnd w:id="152"/>
      <w:bookmarkEnd w:id="153"/>
      <w:bookmarkEnd w:id="154"/>
      <w:bookmarkEnd w:id="155"/>
      <w:bookmarkEnd w:id="156"/>
      <w:bookmarkEnd w:id="157"/>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bookmarkStart w:id="158" w:name="_Toc152042355"/>
      <w:r>
        <w:rPr>
          <w:rFonts w:hint="eastAsia" w:asciiTheme="minorEastAsia" w:hAnsiTheme="minorEastAsia" w:eastAsiaTheme="minorEastAsia" w:cstheme="minorEastAsia"/>
          <w:bCs/>
          <w:color w:val="auto"/>
          <w:szCs w:val="21"/>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158"/>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bookmarkStart w:id="159" w:name="_Toc246826113"/>
      <w:r>
        <w:rPr>
          <w:rFonts w:hint="eastAsia" w:asciiTheme="minorEastAsia" w:hAnsiTheme="minorEastAsia" w:eastAsiaTheme="minorEastAsia" w:cstheme="minorEastAsia"/>
          <w:bCs/>
          <w:color w:val="auto"/>
          <w:szCs w:val="21"/>
          <w:highlight w:val="none"/>
        </w:rPr>
        <w:t>六、定标、合同</w:t>
      </w:r>
      <w:bookmarkEnd w:id="159"/>
      <w:r>
        <w:rPr>
          <w:rFonts w:hint="eastAsia" w:asciiTheme="minorEastAsia" w:hAnsiTheme="minorEastAsia" w:eastAsiaTheme="minorEastAsia" w:cstheme="minorEastAsia"/>
          <w:bCs/>
          <w:color w:val="auto"/>
          <w:szCs w:val="21"/>
          <w:highlight w:val="none"/>
        </w:rPr>
        <w:t>与验收</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22、定标准则</w:t>
      </w:r>
    </w:p>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22.1任何单项因素的最优不能作为中标的保证。</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22.2评标委员会推荐排名第一且经采购人确认的供应商即为中标供应商。</w:t>
      </w:r>
    </w:p>
    <w:p>
      <w:pPr>
        <w:adjustRightInd w:val="0"/>
        <w:snapToGrid w:val="0"/>
        <w:spacing w:line="360" w:lineRule="auto"/>
        <w:ind w:left="420" w:left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23、中标通知</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23.1由采购代理机构在省级及以上财政部门指定媒体上公布中标结果，并向中标供应商发送《中标通知书》。</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23.2中标通知书为签订政府采购合同的依据，是合同的有效组成部分。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23.3中标通知书对采购人和中标人均具有法律效力。中标通知书发出后，采购人改变中标结果，或者中标人无正当理由放弃中标的，应当承担相应的法律责任。</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24、合同签订</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24.1中标人在收到《中标通知书》后，应在规定的时间内与采购人签订采购合同。由于中标人的原因逾期未与采购人签订采购合同的，将视为放弃中标，取消其中标资格并将按相关规定进行处理。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24.2采购人不得向中标人提出任何不合理的要求作为签订合同的条件，不得与中标人私下订立背离合同实质性内容的任何协议，所签订的合同不得对采购文件和中标人投标文件作实质性修改。</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24.3采购人应当自政府采购合同签订之日起 2 个工作日内，将政府采购合同在省级以上人民政府财政部门指定的媒体上公告。</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24.5政府采购合同公示须经采购人保密信息审查，如合同中涉及国家秘密、商业秘密的内容不得公示，涉及商业秘密或敏感工作秘密的，须经相关部门审核并做脱敏处理后方可公示。</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bookmarkStart w:id="160" w:name="_Toc217446069"/>
      <w:r>
        <w:rPr>
          <w:rFonts w:hint="eastAsia" w:asciiTheme="minorEastAsia" w:hAnsiTheme="minorEastAsia" w:eastAsiaTheme="minorEastAsia" w:cstheme="minorEastAsia"/>
          <w:bCs/>
          <w:color w:val="auto"/>
          <w:szCs w:val="21"/>
          <w:highlight w:val="none"/>
        </w:rPr>
        <w:t>24.6政府采购合同履行中数量的变更：政府采购合同履行中，采购人需追加与合同标的相同的货物服务的，在不改变合同其他条款的前提下，可以与中标人协商签订补充合同，但补充合同的采购金额不得超过原合同采购金额的百分之十。</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25、合同</w:t>
      </w:r>
      <w:bookmarkEnd w:id="160"/>
      <w:r>
        <w:rPr>
          <w:rFonts w:hint="eastAsia" w:asciiTheme="minorEastAsia" w:hAnsiTheme="minorEastAsia" w:eastAsiaTheme="minorEastAsia" w:cstheme="minorEastAsia"/>
          <w:bCs/>
          <w:color w:val="auto"/>
          <w:szCs w:val="21"/>
          <w:highlight w:val="none"/>
        </w:rPr>
        <w:t>履行</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25.1中标人与采购人签订合同后，合同双方应严格执行合同条款，履行合同规定的义务，保证合同的顺利完成。</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25.2采购人应严格按照合同约定事项，制定科学合理的验收方案开展验收；</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25.3在合同履行过程中，如发生合同纠纷，合同双方应按照《民法典》的有关规定进行处理。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七、评标方法</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26、政府采购招标评标方法分为:最低评标价法和综合评分法。</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26.1最低评标价法，是指投标文件满足采购文件全部实质性要求且投标报价最低的供应商为中标候选人的评标方法。</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26.2综合评分法，是指投标文件满足采购文件全部实质性要求且按照评审因素的量化指标评审得分最高的供应商为中标候选人的评标方法。</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评标总得分＝F1×A1＋F2×A2＋……＋Fn×An</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F1、F2……Fn分别为价格、商务和技术部分评分因素的汇总得分；A1、A2、……An分别为价格、商务和技术部分评分因素所占的权重(A1＋A2＋......＋An＝1)。</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其中价格分统一采用低价优先法计算，即满足采购文件要求且投标价格最低的投标报价为评标基准价，其价格分为满分。其他投标人的价格分统一按照下列公式计算：</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投标报价得分＝（评标基准价／投标报价）×价格权值×100　　</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八、质疑</w:t>
      </w:r>
    </w:p>
    <w:p>
      <w:pPr>
        <w:snapToGrid w:val="0"/>
        <w:spacing w:line="360" w:lineRule="auto"/>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27、供应商认为采购文件、采购过程和中标或者成交结果使自己的合法权益受到损害的，应当在知道或者应知其权益受到损害之日起七个工作日（质疑有效期）内，向采购代理机构提出询问或以书面形式向其质疑。 </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28、采购代理机构关于质疑受理事项依照《政府采购法》《政府采购实施条例》《政府采购质疑和投诉办法》等法律法规及规章制度执行。供应商在法定质疑期内必须一次性提出针对同一采购程序环节的质疑，否则不予受理。供应商不按质疑函格式要求填写或不符合质疑函制作说明的，将不予受理。</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29、质疑有效期的计算</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采购文件的质疑有效期为采购文件公告期限届满之日起七个工作日内；采购过程的质疑有效期为各采购程序环节结束之日起七个工作日内；采购结果的质疑有效期为采购结果公告期限届满之日起七个工作日内。</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九、无效投标的其他有关规定：</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30、除符合采购文件中载明的无效投标规定外，如果发现下列情况之一者，同样作无效投标处理，其中30.1至30.3款情形的所有相关投标人均作无效投标处理。因此产生其他法律责任的由供应商自行承担：</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30.1不同投标人的法定代表人、委托代理人等由同一个单位缴纳社会保险的；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30.2由同一人携带两个及以上投标人的企业资料参与开标会议的；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30.3单位负责人为同一人或者存在直接控股、管理关系的不同供应商，同时参加同一合同项下的政府采购活动的；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30.4为采购项目提供整体设计、规范编制或者项目管理、监理、检测等服务的供应商，再参加该采购项目的其他采购活动的；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30.5属于采购人任何不具有独立法人资格的附属机构（单位）；</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30.6没有按要求提供补充文件，或调整补充内容超出规定范围。</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30.7</w:t>
      </w:r>
      <w:r>
        <w:rPr>
          <w:rFonts w:asciiTheme="minorEastAsia" w:hAnsiTheme="minorEastAsia" w:eastAsiaTheme="minorEastAsia" w:cstheme="minorEastAsia"/>
          <w:bCs/>
          <w:color w:val="auto"/>
          <w:szCs w:val="21"/>
          <w:highlight w:val="none"/>
        </w:rPr>
        <w:t>未按照</w:t>
      </w:r>
      <w:r>
        <w:rPr>
          <w:rFonts w:hint="eastAsia" w:asciiTheme="minorEastAsia" w:hAnsiTheme="minorEastAsia" w:eastAsiaTheme="minorEastAsia" w:cstheme="minorEastAsia"/>
          <w:bCs/>
          <w:color w:val="auto"/>
          <w:szCs w:val="21"/>
          <w:highlight w:val="none"/>
        </w:rPr>
        <w:t>采购</w:t>
      </w:r>
      <w:r>
        <w:rPr>
          <w:rFonts w:asciiTheme="minorEastAsia" w:hAnsiTheme="minorEastAsia" w:eastAsiaTheme="minorEastAsia" w:cstheme="minorEastAsia"/>
          <w:bCs/>
          <w:color w:val="auto"/>
          <w:szCs w:val="21"/>
          <w:highlight w:val="none"/>
        </w:rPr>
        <w:t>文件的规定提交投标保证金的；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30.8投标</w:t>
      </w:r>
      <w:r>
        <w:rPr>
          <w:rFonts w:asciiTheme="minorEastAsia" w:hAnsiTheme="minorEastAsia" w:eastAsiaTheme="minorEastAsia" w:cstheme="minorEastAsia"/>
          <w:bCs/>
          <w:color w:val="auto"/>
          <w:szCs w:val="21"/>
          <w:highlight w:val="none"/>
        </w:rPr>
        <w:t>文件未按</w:t>
      </w:r>
      <w:r>
        <w:rPr>
          <w:rFonts w:hint="eastAsia" w:asciiTheme="minorEastAsia" w:hAnsiTheme="minorEastAsia" w:eastAsiaTheme="minorEastAsia" w:cstheme="minorEastAsia"/>
          <w:bCs/>
          <w:color w:val="auto"/>
          <w:szCs w:val="21"/>
          <w:highlight w:val="none"/>
        </w:rPr>
        <w:t>采购</w:t>
      </w:r>
      <w:r>
        <w:rPr>
          <w:rFonts w:asciiTheme="minorEastAsia" w:hAnsiTheme="minorEastAsia" w:eastAsiaTheme="minorEastAsia" w:cstheme="minorEastAsia"/>
          <w:bCs/>
          <w:color w:val="auto"/>
          <w:szCs w:val="21"/>
          <w:highlight w:val="none"/>
        </w:rPr>
        <w:t>文件要求签署、盖章的；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30.9</w:t>
      </w:r>
      <w:r>
        <w:rPr>
          <w:rFonts w:asciiTheme="minorEastAsia" w:hAnsiTheme="minorEastAsia" w:eastAsiaTheme="minorEastAsia" w:cstheme="minorEastAsia"/>
          <w:bCs/>
          <w:color w:val="auto"/>
          <w:szCs w:val="21"/>
          <w:highlight w:val="none"/>
        </w:rPr>
        <w:t>不具备</w:t>
      </w:r>
      <w:r>
        <w:rPr>
          <w:rFonts w:hint="eastAsia" w:asciiTheme="minorEastAsia" w:hAnsiTheme="minorEastAsia" w:eastAsiaTheme="minorEastAsia" w:cstheme="minorEastAsia"/>
          <w:bCs/>
          <w:color w:val="auto"/>
          <w:szCs w:val="21"/>
          <w:highlight w:val="none"/>
        </w:rPr>
        <w:t>采购</w:t>
      </w:r>
      <w:r>
        <w:rPr>
          <w:rFonts w:asciiTheme="minorEastAsia" w:hAnsiTheme="minorEastAsia" w:eastAsiaTheme="minorEastAsia" w:cstheme="minorEastAsia"/>
          <w:bCs/>
          <w:color w:val="auto"/>
          <w:szCs w:val="21"/>
          <w:highlight w:val="none"/>
        </w:rPr>
        <w:t>文件中规定的资格要求的；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30.10</w:t>
      </w:r>
      <w:r>
        <w:rPr>
          <w:rFonts w:asciiTheme="minorEastAsia" w:hAnsiTheme="minorEastAsia" w:eastAsiaTheme="minorEastAsia" w:cstheme="minorEastAsia"/>
          <w:bCs/>
          <w:color w:val="auto"/>
          <w:szCs w:val="21"/>
          <w:highlight w:val="none"/>
        </w:rPr>
        <w:t>报价超过</w:t>
      </w:r>
      <w:r>
        <w:rPr>
          <w:rFonts w:hint="eastAsia" w:asciiTheme="minorEastAsia" w:hAnsiTheme="minorEastAsia" w:eastAsiaTheme="minorEastAsia" w:cstheme="minorEastAsia"/>
          <w:bCs/>
          <w:color w:val="auto"/>
          <w:szCs w:val="21"/>
          <w:highlight w:val="none"/>
        </w:rPr>
        <w:t>采购</w:t>
      </w:r>
      <w:r>
        <w:rPr>
          <w:rFonts w:asciiTheme="minorEastAsia" w:hAnsiTheme="minorEastAsia" w:eastAsiaTheme="minorEastAsia" w:cstheme="minorEastAsia"/>
          <w:bCs/>
          <w:color w:val="auto"/>
          <w:szCs w:val="21"/>
          <w:highlight w:val="none"/>
        </w:rPr>
        <w:t>文件中规定的预算金额或者最高限价的；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30.11投标</w:t>
      </w:r>
      <w:r>
        <w:rPr>
          <w:rFonts w:asciiTheme="minorEastAsia" w:hAnsiTheme="minorEastAsia" w:eastAsiaTheme="minorEastAsia" w:cstheme="minorEastAsia"/>
          <w:bCs/>
          <w:color w:val="auto"/>
          <w:szCs w:val="21"/>
          <w:highlight w:val="none"/>
        </w:rPr>
        <w:t>文件含有采购人不能接受的附加条件的；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30.12</w:t>
      </w:r>
      <w:r>
        <w:rPr>
          <w:rFonts w:asciiTheme="minorEastAsia" w:hAnsiTheme="minorEastAsia" w:eastAsiaTheme="minorEastAsia" w:cstheme="minorEastAsia"/>
          <w:bCs/>
          <w:color w:val="auto"/>
          <w:szCs w:val="21"/>
          <w:highlight w:val="none"/>
        </w:rPr>
        <w:t>法律、法规和</w:t>
      </w:r>
      <w:r>
        <w:rPr>
          <w:rFonts w:hint="eastAsia" w:asciiTheme="minorEastAsia" w:hAnsiTheme="minorEastAsia" w:eastAsiaTheme="minorEastAsia" w:cstheme="minorEastAsia"/>
          <w:bCs/>
          <w:color w:val="auto"/>
          <w:szCs w:val="21"/>
          <w:highlight w:val="none"/>
        </w:rPr>
        <w:t>采购</w:t>
      </w:r>
      <w:r>
        <w:rPr>
          <w:rFonts w:asciiTheme="minorEastAsia" w:hAnsiTheme="minorEastAsia" w:eastAsiaTheme="minorEastAsia" w:cstheme="minorEastAsia"/>
          <w:bCs/>
          <w:color w:val="auto"/>
          <w:szCs w:val="21"/>
          <w:highlight w:val="none"/>
        </w:rPr>
        <w:t>文件规定的其他无效情形。</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31、其他法律法规及规章制度认定参加政府采购无效的情形等。</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31.1存在恶意串通投标行为的；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31.2参与政府采购活动有不良行为记录且正处于处罚期内并适用于海口行政区域的；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31.3企业在经营活动中存在不诚信记录且正处于处罚期内并适用于海口行政区域政府采购领域的；</w:t>
      </w:r>
    </w:p>
    <w:p>
      <w:pPr>
        <w:tabs>
          <w:tab w:val="left" w:pos="540"/>
        </w:tabs>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31.4其他法律法规及规章制度认定参加政府采购活动无效并适用海口行政区域的情形等。</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十、适用法律</w:t>
      </w:r>
    </w:p>
    <w:p>
      <w:pPr>
        <w:adjustRightInd w:val="0"/>
        <w:snapToGrid w:val="0"/>
        <w:spacing w:line="360" w:lineRule="auto"/>
        <w:ind w:firstLine="420" w:firstLineChars="200"/>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Cs/>
          <w:color w:val="auto"/>
          <w:szCs w:val="21"/>
          <w:highlight w:val="none"/>
        </w:rPr>
        <w:t>32、采购人、采购代理机构及投标人的一切招标投标活动均适用《政府采购法》、《政府采购法实施条例》及其配套的法规、规章、政策。</w:t>
      </w:r>
    </w:p>
    <w:p>
      <w:pPr>
        <w:pStyle w:val="5"/>
        <w:adjustRightInd w:val="0"/>
        <w:snapToGrid w:val="0"/>
        <w:spacing w:line="360" w:lineRule="auto"/>
        <w:ind w:firstLineChars="200"/>
        <w:jc w:val="left"/>
        <w:outlineLvl w:val="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十一、其他</w:t>
      </w:r>
    </w:p>
    <w:p>
      <w:pPr>
        <w:pStyle w:val="5"/>
        <w:adjustRightInd w:val="0"/>
        <w:snapToGrid w:val="0"/>
        <w:spacing w:line="360" w:lineRule="auto"/>
        <w:outlineLvl w:val="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33、履约保证金：中标人在收到采购代理机构的《中标通知书》，【投标人须知前附表】规定需向采购人提交履约保证金的，应按照【投标人须知前附表】的规定提交。中标人没有按照采购文件规定提交履约保证金的，视为放弃中标。</w:t>
      </w:r>
    </w:p>
    <w:p>
      <w:pPr>
        <w:spacing w:line="360" w:lineRule="auto"/>
        <w:ind w:firstLine="420"/>
        <w:rPr>
          <w:color w:val="auto"/>
          <w:highlight w:val="none"/>
        </w:rPr>
      </w:pPr>
      <w:r>
        <w:rPr>
          <w:rFonts w:hint="eastAsia"/>
          <w:color w:val="auto"/>
          <w:highlight w:val="none"/>
        </w:rPr>
        <w:t>34、招标代理服务费：本项目招标代理服务费按【投标人须知前附表】收取。</w:t>
      </w:r>
    </w:p>
    <w:p>
      <w:pPr>
        <w:spacing w:line="360" w:lineRule="auto"/>
        <w:ind w:firstLine="420"/>
        <w:rPr>
          <w:color w:val="auto"/>
          <w:szCs w:val="21"/>
          <w:highlight w:val="none"/>
        </w:rPr>
      </w:pPr>
      <w:r>
        <w:rPr>
          <w:rFonts w:hint="eastAsia"/>
          <w:color w:val="auto"/>
          <w:highlight w:val="none"/>
        </w:rPr>
        <w:t>35、</w:t>
      </w:r>
      <w:r>
        <w:rPr>
          <w:rFonts w:hint="eastAsia"/>
          <w:color w:val="auto"/>
          <w:szCs w:val="21"/>
          <w:highlight w:val="none"/>
        </w:rPr>
        <w:t>信用信息查询：</w:t>
      </w:r>
    </w:p>
    <w:p>
      <w:pPr>
        <w:spacing w:line="360" w:lineRule="auto"/>
        <w:ind w:firstLine="420"/>
        <w:rPr>
          <w:color w:val="auto"/>
          <w:highlight w:val="none"/>
        </w:rPr>
      </w:pPr>
      <w:r>
        <w:rPr>
          <w:rFonts w:hint="eastAsia"/>
          <w:color w:val="auto"/>
          <w:szCs w:val="21"/>
          <w:highlight w:val="none"/>
        </w:rPr>
        <w:t>（1）</w:t>
      </w:r>
      <w:r>
        <w:rPr>
          <w:rFonts w:hint="eastAsia"/>
          <w:color w:val="auto"/>
          <w:highlight w:val="none"/>
        </w:rPr>
        <w:t>“信用中国”网站（www.creditchina.gov.cn）、中国政府采购网（www.ccgp.gov.cn）。</w:t>
      </w:r>
    </w:p>
    <w:p>
      <w:pPr>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
          <w:color w:val="auto"/>
          <w:szCs w:val="21"/>
          <w:highlight w:val="none"/>
        </w:rPr>
        <w:t xml:space="preserve">    </w:t>
      </w:r>
      <w:r>
        <w:rPr>
          <w:rFonts w:hint="eastAsia" w:asciiTheme="minorEastAsia" w:hAnsiTheme="minorEastAsia" w:eastAsiaTheme="minorEastAsia" w:cstheme="minorEastAsia"/>
          <w:bCs/>
          <w:color w:val="auto"/>
          <w:szCs w:val="21"/>
          <w:highlight w:val="none"/>
        </w:rPr>
        <w:t>（2）信用信息查询的截止时点：至本项目投标文件提交截止时间止。</w:t>
      </w:r>
    </w:p>
    <w:p>
      <w:pPr>
        <w:pStyle w:val="19"/>
        <w:spacing w:line="360" w:lineRule="auto"/>
        <w:ind w:left="0" w:leftChars="0" w:firstLine="0" w:firstLineChars="0"/>
        <w:rPr>
          <w:rFonts w:asciiTheme="minorEastAsia" w:hAnsiTheme="minorEastAsia" w:eastAsiaTheme="minorEastAsia" w:cstheme="minorEastAsia"/>
          <w:bCs w:val="0"/>
          <w:color w:val="auto"/>
          <w:highlight w:val="none"/>
        </w:rPr>
      </w:pPr>
      <w:r>
        <w:rPr>
          <w:rFonts w:hint="eastAsia" w:asciiTheme="minorEastAsia" w:hAnsiTheme="minorEastAsia" w:eastAsiaTheme="minorEastAsia" w:cstheme="minorEastAsia"/>
          <w:b/>
          <w:color w:val="auto"/>
          <w:highlight w:val="none"/>
        </w:rPr>
        <w:t xml:space="preserve">    </w:t>
      </w:r>
      <w:r>
        <w:rPr>
          <w:rFonts w:hint="eastAsia" w:asciiTheme="minorEastAsia" w:hAnsiTheme="minorEastAsia" w:eastAsiaTheme="minorEastAsia" w:cstheme="minorEastAsia"/>
          <w:bCs w:val="0"/>
          <w:color w:val="auto"/>
          <w:highlight w:val="none"/>
        </w:rPr>
        <w:t>（3）信用信息的使用规则：对列入失信被执行人、重大税收违法案件当事人名单、政府采购严重违法失信行为记录名单及其他不符合《中华人民共和国政府采购法》第二十二条规定条件的投标人，将拒绝其参与政府采购活动。</w:t>
      </w:r>
    </w:p>
    <w:p>
      <w:pPr>
        <w:pStyle w:val="19"/>
        <w:ind w:left="0" w:leftChars="0" w:firstLine="0" w:firstLineChars="0"/>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附录：</w:t>
      </w:r>
    </w:p>
    <w:p>
      <w:pPr>
        <w:jc w:val="center"/>
        <w:rPr>
          <w:color w:val="auto"/>
          <w:highlight w:val="none"/>
        </w:rPr>
      </w:pPr>
      <w:r>
        <w:rPr>
          <w:rFonts w:hint="eastAsia"/>
          <w:color w:val="auto"/>
          <w:highlight w:val="none"/>
        </w:rPr>
        <w:drawing>
          <wp:inline distT="0" distB="0" distL="114300" distR="114300">
            <wp:extent cx="5997575" cy="7987030"/>
            <wp:effectExtent l="0" t="0" r="3175" b="13970"/>
            <wp:docPr id="1" name="图片 1" descr="67576ebea9e43e37444a9e4b80a7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7576ebea9e43e37444a9e4b80a758e"/>
                    <pic:cNvPicPr>
                      <a:picLocks noChangeAspect="1"/>
                    </pic:cNvPicPr>
                  </pic:nvPicPr>
                  <pic:blipFill>
                    <a:blip r:embed="rId17"/>
                    <a:stretch>
                      <a:fillRect/>
                    </a:stretch>
                  </pic:blipFill>
                  <pic:spPr>
                    <a:xfrm>
                      <a:off x="0" y="0"/>
                      <a:ext cx="5997575" cy="7987030"/>
                    </a:xfrm>
                    <a:prstGeom prst="rect">
                      <a:avLst/>
                    </a:prstGeom>
                  </pic:spPr>
                </pic:pic>
              </a:graphicData>
            </a:graphic>
          </wp:inline>
        </w:drawing>
      </w:r>
    </w:p>
    <w:p>
      <w:pPr>
        <w:pStyle w:val="19"/>
        <w:ind w:left="0" w:leftChars="0" w:firstLine="0" w:firstLineChars="0"/>
        <w:rPr>
          <w:rFonts w:asciiTheme="minorEastAsia" w:hAnsiTheme="minorEastAsia" w:eastAsiaTheme="minorEastAsia" w:cstheme="minorEastAsia"/>
          <w:b/>
          <w:color w:val="auto"/>
          <w:highlight w:val="none"/>
        </w:rPr>
      </w:pPr>
    </w:p>
    <w:p>
      <w:pPr>
        <w:rPr>
          <w:color w:val="auto"/>
          <w:highlight w:val="none"/>
        </w:rPr>
      </w:pPr>
    </w:p>
    <w:p>
      <w:pPr>
        <w:jc w:val="center"/>
        <w:rPr>
          <w:color w:val="auto"/>
          <w:highlight w:val="none"/>
        </w:rPr>
      </w:pPr>
      <w:r>
        <w:rPr>
          <w:rFonts w:hint="eastAsia"/>
          <w:color w:val="auto"/>
          <w:highlight w:val="none"/>
        </w:rPr>
        <w:drawing>
          <wp:inline distT="0" distB="0" distL="114300" distR="114300">
            <wp:extent cx="5878195" cy="8295005"/>
            <wp:effectExtent l="0" t="0" r="8255" b="10795"/>
            <wp:docPr id="3" name="图片 3" descr="5240f168cb0b5a34fecbd7aa31e1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40f168cb0b5a34fecbd7aa31e172a"/>
                    <pic:cNvPicPr>
                      <a:picLocks noChangeAspect="1"/>
                    </pic:cNvPicPr>
                  </pic:nvPicPr>
                  <pic:blipFill>
                    <a:blip r:embed="rId18"/>
                    <a:stretch>
                      <a:fillRect/>
                    </a:stretch>
                  </pic:blipFill>
                  <pic:spPr>
                    <a:xfrm>
                      <a:off x="0" y="0"/>
                      <a:ext cx="5878195" cy="8295005"/>
                    </a:xfrm>
                    <a:prstGeom prst="rect">
                      <a:avLst/>
                    </a:prstGeom>
                  </pic:spPr>
                </pic:pic>
              </a:graphicData>
            </a:graphic>
          </wp:inline>
        </w:drawing>
      </w:r>
    </w:p>
    <w:p>
      <w:pPr>
        <w:jc w:val="center"/>
        <w:rPr>
          <w:color w:val="auto"/>
          <w:highlight w:val="none"/>
        </w:rPr>
      </w:pPr>
      <w:r>
        <w:rPr>
          <w:rFonts w:hint="eastAsia"/>
          <w:color w:val="auto"/>
          <w:highlight w:val="none"/>
        </w:rPr>
        <w:drawing>
          <wp:inline distT="0" distB="0" distL="114300" distR="114300">
            <wp:extent cx="5953125" cy="8390890"/>
            <wp:effectExtent l="0" t="0" r="9525" b="10160"/>
            <wp:docPr id="7" name="图片 7" descr="05f4d4bff11116325a906ac947d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f4d4bff11116325a906ac947d8593"/>
                    <pic:cNvPicPr>
                      <a:picLocks noChangeAspect="1"/>
                    </pic:cNvPicPr>
                  </pic:nvPicPr>
                  <pic:blipFill>
                    <a:blip r:embed="rId19"/>
                    <a:stretch>
                      <a:fillRect/>
                    </a:stretch>
                  </pic:blipFill>
                  <pic:spPr>
                    <a:xfrm>
                      <a:off x="0" y="0"/>
                      <a:ext cx="5953125" cy="8390890"/>
                    </a:xfrm>
                    <a:prstGeom prst="rect">
                      <a:avLst/>
                    </a:prstGeom>
                  </pic:spPr>
                </pic:pic>
              </a:graphicData>
            </a:graphic>
          </wp:inline>
        </w:drawing>
      </w:r>
    </w:p>
    <w:p>
      <w:pPr>
        <w:rPr>
          <w:color w:val="auto"/>
          <w:highlight w:val="none"/>
        </w:rPr>
      </w:pPr>
    </w:p>
    <w:p>
      <w:pPr>
        <w:pStyle w:val="5"/>
        <w:adjustRightInd w:val="0"/>
        <w:snapToGrid w:val="0"/>
        <w:spacing w:line="360" w:lineRule="auto"/>
        <w:ind w:firstLine="0"/>
        <w:jc w:val="center"/>
        <w:outlineLvl w:val="0"/>
        <w:rPr>
          <w:rFonts w:asciiTheme="minorEastAsia" w:hAnsiTheme="minorEastAsia" w:eastAsiaTheme="minorEastAsia" w:cstheme="minorEastAsia"/>
          <w:b/>
          <w:color w:val="auto"/>
          <w:szCs w:val="21"/>
          <w:highlight w:val="none"/>
        </w:rPr>
      </w:pPr>
    </w:p>
    <w:p>
      <w:pPr>
        <w:pStyle w:val="5"/>
        <w:adjustRightInd w:val="0"/>
        <w:snapToGrid w:val="0"/>
        <w:spacing w:line="360" w:lineRule="auto"/>
        <w:ind w:firstLine="0"/>
        <w:jc w:val="center"/>
        <w:outlineLvl w:val="0"/>
        <w:rPr>
          <w:rFonts w:asciiTheme="minorEastAsia" w:hAnsiTheme="minorEastAsia" w:eastAsiaTheme="minorEastAsia" w:cstheme="minorEastAsia"/>
          <w:b/>
          <w:color w:val="auto"/>
          <w:szCs w:val="21"/>
          <w:highlight w:val="none"/>
        </w:rPr>
      </w:pPr>
    </w:p>
    <w:p>
      <w:pPr>
        <w:pStyle w:val="5"/>
        <w:adjustRightInd w:val="0"/>
        <w:snapToGrid w:val="0"/>
        <w:spacing w:line="360" w:lineRule="auto"/>
        <w:ind w:firstLine="0"/>
        <w:jc w:val="center"/>
        <w:outlineLvl w:val="0"/>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 xml:space="preserve">第四章  </w:t>
      </w:r>
      <w:bookmarkEnd w:id="99"/>
      <w:bookmarkStart w:id="161" w:name="_Toc246826116"/>
      <w:r>
        <w:rPr>
          <w:rFonts w:hint="eastAsia" w:asciiTheme="minorEastAsia" w:hAnsiTheme="minorEastAsia" w:eastAsiaTheme="minorEastAsia" w:cstheme="minorEastAsia"/>
          <w:b/>
          <w:color w:val="auto"/>
          <w:szCs w:val="21"/>
          <w:highlight w:val="none"/>
        </w:rPr>
        <w:t>评标办法</w:t>
      </w:r>
    </w:p>
    <w:bookmarkEnd w:id="161"/>
    <w:p>
      <w:pPr>
        <w:spacing w:line="360" w:lineRule="auto"/>
        <w:ind w:firstLine="422" w:firstLineChars="200"/>
        <w:outlineLvl w:val="0"/>
        <w:rPr>
          <w:rFonts w:ascii="宋体" w:hAnsi="宋体" w:cs="宋体"/>
          <w:b/>
          <w:color w:val="auto"/>
          <w:szCs w:val="21"/>
          <w:highlight w:val="none"/>
        </w:rPr>
      </w:pPr>
      <w:bookmarkStart w:id="162" w:name="_Toc246826117"/>
      <w:r>
        <w:rPr>
          <w:rFonts w:hint="eastAsia" w:ascii="宋体" w:hAnsi="宋体" w:cs="宋体"/>
          <w:b/>
          <w:color w:val="auto"/>
          <w:szCs w:val="21"/>
          <w:highlight w:val="none"/>
        </w:rPr>
        <w:t>一、基本要求：</w:t>
      </w:r>
    </w:p>
    <w:p>
      <w:pPr>
        <w:pStyle w:val="5"/>
        <w:snapToGrid w:val="0"/>
        <w:spacing w:line="360" w:lineRule="auto"/>
        <w:ind w:firstLineChars="200"/>
        <w:outlineLvl w:val="0"/>
        <w:rPr>
          <w:rFonts w:ascii="宋体" w:hAnsi="宋体" w:cs="宋体"/>
          <w:bCs/>
          <w:color w:val="auto"/>
          <w:szCs w:val="21"/>
          <w:highlight w:val="none"/>
        </w:rPr>
      </w:pPr>
      <w:r>
        <w:rPr>
          <w:rFonts w:hint="eastAsia" w:ascii="宋体" w:hAnsi="宋体" w:cs="宋体"/>
          <w:bCs/>
          <w:color w:val="auto"/>
          <w:szCs w:val="21"/>
          <w:highlight w:val="none"/>
        </w:rPr>
        <w:t>（一）资格审查、符合性审查或评标标准中凡涉及到提供针对本项目授权书、承诺书的，均须以原件为准，否则不予认可，电子投标的除外。</w:t>
      </w:r>
    </w:p>
    <w:p>
      <w:pPr>
        <w:pStyle w:val="5"/>
        <w:snapToGrid w:val="0"/>
        <w:spacing w:line="360" w:lineRule="auto"/>
        <w:ind w:firstLineChars="200"/>
        <w:outlineLvl w:val="0"/>
        <w:rPr>
          <w:rFonts w:ascii="宋体" w:hAnsi="宋体" w:cs="宋体"/>
          <w:bCs/>
          <w:color w:val="auto"/>
          <w:szCs w:val="21"/>
          <w:highlight w:val="none"/>
        </w:rPr>
      </w:pPr>
      <w:r>
        <w:rPr>
          <w:rFonts w:hint="eastAsia" w:ascii="宋体" w:hAnsi="宋体" w:cs="宋体"/>
          <w:bCs/>
          <w:color w:val="auto"/>
          <w:szCs w:val="21"/>
          <w:highlight w:val="none"/>
        </w:rPr>
        <w:t>（二）资格审查、符合性审查或评标标准中凡涉及到提供合同、报告、证书或认证等证明材料的，须提供清晰可见且在有效期内的复印件并加盖投标人单位公章。如提供的证明材料不清晰或者无法明确证明的将不予认可。如提供的证明材料与原件不一致的，无论是在评审过程中乃至中标后，其投标将以无效投标或取消中标资格论处，并上报政府采购监督管理部门。</w:t>
      </w:r>
    </w:p>
    <w:p>
      <w:pPr>
        <w:snapToGrid w:val="0"/>
        <w:spacing w:line="360" w:lineRule="auto"/>
        <w:ind w:firstLine="420" w:firstLineChars="200"/>
        <w:outlineLvl w:val="0"/>
        <w:rPr>
          <w:rFonts w:ascii="宋体" w:hAnsi="宋体" w:cs="宋体"/>
          <w:b/>
          <w:color w:val="auto"/>
          <w:szCs w:val="21"/>
          <w:highlight w:val="none"/>
        </w:rPr>
      </w:pPr>
      <w:r>
        <w:rPr>
          <w:rFonts w:hint="eastAsia" w:ascii="宋体" w:hAnsi="宋体" w:cs="宋体"/>
          <w:bCs/>
          <w:color w:val="auto"/>
          <w:szCs w:val="21"/>
          <w:highlight w:val="none"/>
        </w:rPr>
        <w:t>（三）凡小微型企业或视同小微企业参与投标的，依照第三章供应商须知内容规定执行。</w:t>
      </w:r>
    </w:p>
    <w:p>
      <w:pPr>
        <w:pStyle w:val="5"/>
        <w:snapToGrid w:val="0"/>
        <w:spacing w:line="360" w:lineRule="auto"/>
        <w:ind w:firstLine="422" w:firstLineChars="200"/>
        <w:outlineLvl w:val="1"/>
        <w:rPr>
          <w:rFonts w:ascii="宋体" w:hAnsi="宋体" w:cs="宋体"/>
          <w:b/>
          <w:color w:val="auto"/>
          <w:szCs w:val="21"/>
          <w:highlight w:val="none"/>
        </w:rPr>
      </w:pPr>
      <w:r>
        <w:rPr>
          <w:rFonts w:hint="eastAsia" w:ascii="宋体" w:hAnsi="宋体" w:cs="宋体"/>
          <w:b/>
          <w:color w:val="auto"/>
          <w:szCs w:val="21"/>
          <w:highlight w:val="none"/>
        </w:rPr>
        <w:t>二、审查标准</w:t>
      </w:r>
    </w:p>
    <w:p>
      <w:pPr>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1、资格审查表和符合性审查表中所列内容全部审查意见为“合格”，方视为“合格”，其中有一项不合格，将视为不合格供应商。</w:t>
      </w:r>
    </w:p>
    <w:p>
      <w:pPr>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2、在审查意见汇总的过程中，如存在不同审查意见，则按照少数服从多数的原则做出结论。</w:t>
      </w:r>
    </w:p>
    <w:p>
      <w:pPr>
        <w:snapToGrid w:val="0"/>
        <w:spacing w:line="360" w:lineRule="auto"/>
        <w:ind w:firstLine="420" w:firstLineChars="200"/>
        <w:outlineLvl w:val="0"/>
        <w:rPr>
          <w:rFonts w:ascii="宋体" w:hAnsi="宋体" w:cs="宋体"/>
          <w:bCs/>
          <w:color w:val="auto"/>
          <w:szCs w:val="21"/>
          <w:highlight w:val="none"/>
        </w:rPr>
      </w:pPr>
      <w:r>
        <w:rPr>
          <w:rFonts w:hint="eastAsia" w:ascii="宋体" w:hAnsi="宋体" w:cs="宋体"/>
          <w:bCs/>
          <w:color w:val="auto"/>
          <w:szCs w:val="21"/>
          <w:highlight w:val="none"/>
        </w:rPr>
        <w:t>3、本表格“审查意见”栏默认“√”视为合格标示，“×”视为不合格标示。</w:t>
      </w:r>
    </w:p>
    <w:p>
      <w:pPr>
        <w:snapToGrid w:val="0"/>
        <w:spacing w:line="360" w:lineRule="auto"/>
        <w:ind w:firstLine="211" w:firstLineChars="100"/>
        <w:jc w:val="left"/>
        <w:rPr>
          <w:rFonts w:ascii="宋体" w:hAnsi="宋体" w:cs="宋体"/>
          <w:b/>
          <w:color w:val="auto"/>
          <w:szCs w:val="21"/>
          <w:highlight w:val="none"/>
        </w:rPr>
      </w:pPr>
      <w:r>
        <w:rPr>
          <w:rFonts w:hint="eastAsia" w:ascii="宋体" w:hAnsi="宋体" w:cs="宋体"/>
          <w:b/>
          <w:color w:val="auto"/>
          <w:szCs w:val="21"/>
          <w:highlight w:val="none"/>
        </w:rPr>
        <w:t>（一）资格审查表</w:t>
      </w:r>
    </w:p>
    <w:tbl>
      <w:tblPr>
        <w:tblStyle w:val="20"/>
        <w:tblW w:w="10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482"/>
        <w:gridCol w:w="4038"/>
        <w:gridCol w:w="5100"/>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0" w:hRule="atLeast"/>
          <w:tblHeader/>
        </w:trPr>
        <w:tc>
          <w:tcPr>
            <w:tcW w:w="48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4038"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资格审查内容</w:t>
            </w:r>
          </w:p>
        </w:tc>
        <w:tc>
          <w:tcPr>
            <w:tcW w:w="5100"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审查标准</w:t>
            </w:r>
          </w:p>
        </w:tc>
        <w:tc>
          <w:tcPr>
            <w:tcW w:w="904"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41" w:hRule="atLeast"/>
        </w:trPr>
        <w:tc>
          <w:tcPr>
            <w:tcW w:w="48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4038"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投标人资格要求</w:t>
            </w:r>
          </w:p>
        </w:tc>
        <w:tc>
          <w:tcPr>
            <w:tcW w:w="5100"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是否符合第一章[投标邀请]“二、投标人的资格要求”</w:t>
            </w:r>
          </w:p>
        </w:tc>
        <w:tc>
          <w:tcPr>
            <w:tcW w:w="904"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420" w:firstLineChars="200"/>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72" w:hRule="atLeast"/>
        </w:trPr>
        <w:tc>
          <w:tcPr>
            <w:tcW w:w="482" w:type="dxa"/>
            <w:tcBorders>
              <w:top w:val="single" w:color="auto" w:sz="4" w:space="0"/>
              <w:left w:val="single" w:color="auto" w:sz="4" w:space="0"/>
              <w:right w:val="single" w:color="auto" w:sz="4" w:space="0"/>
            </w:tcBorders>
            <w:noWrap/>
            <w:vAlign w:val="center"/>
          </w:tcPr>
          <w:p>
            <w:pPr>
              <w:snapToGrid w:val="0"/>
              <w:spacing w:line="36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2</w:t>
            </w:r>
          </w:p>
        </w:tc>
        <w:tc>
          <w:tcPr>
            <w:tcW w:w="4038" w:type="dxa"/>
            <w:tcBorders>
              <w:top w:val="single" w:color="auto" w:sz="4" w:space="0"/>
              <w:left w:val="single" w:color="auto" w:sz="4" w:space="0"/>
              <w:right w:val="single" w:color="auto" w:sz="4" w:space="0"/>
            </w:tcBorders>
            <w:noWrap/>
            <w:vAlign w:val="center"/>
          </w:tcPr>
          <w:p>
            <w:pPr>
              <w:snapToGrid w:val="0"/>
              <w:spacing w:line="360" w:lineRule="auto"/>
              <w:jc w:val="left"/>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en-US" w:eastAsia="zh-CN"/>
              </w:rPr>
              <w:t>投标人</w:t>
            </w:r>
            <w:r>
              <w:rPr>
                <w:rFonts w:hint="eastAsia" w:ascii="宋体" w:hAnsi="宋体" w:cs="宋体"/>
                <w:bCs/>
                <w:color w:val="auto"/>
                <w:kern w:val="0"/>
                <w:szCs w:val="21"/>
                <w:highlight w:val="none"/>
                <w:lang w:val="zh-CN"/>
              </w:rPr>
              <w:t>资格承诺函</w:t>
            </w:r>
          </w:p>
        </w:tc>
        <w:tc>
          <w:tcPr>
            <w:tcW w:w="5100" w:type="dxa"/>
            <w:tcBorders>
              <w:top w:val="single" w:color="auto" w:sz="4" w:space="0"/>
              <w:left w:val="single" w:color="auto" w:sz="4" w:space="0"/>
              <w:right w:val="single" w:color="auto" w:sz="4" w:space="0"/>
            </w:tcBorders>
            <w:noWrap/>
            <w:vAlign w:val="center"/>
          </w:tcPr>
          <w:p>
            <w:pPr>
              <w:snapToGrid w:val="0"/>
              <w:spacing w:line="360" w:lineRule="auto"/>
              <w:jc w:val="left"/>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是否满足采购文件要求</w:t>
            </w:r>
          </w:p>
        </w:tc>
        <w:tc>
          <w:tcPr>
            <w:tcW w:w="904"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420" w:firstLineChars="200"/>
              <w:jc w:val="center"/>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482"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4038" w:type="dxa"/>
            <w:tcBorders>
              <w:top w:val="single" w:color="auto" w:sz="4" w:space="0"/>
              <w:left w:val="single" w:color="auto" w:sz="4" w:space="0"/>
              <w:bottom w:val="single" w:color="auto" w:sz="4" w:space="0"/>
              <w:right w:val="single" w:color="auto" w:sz="4" w:space="0"/>
            </w:tcBorders>
            <w:noWrap/>
            <w:vAlign w:val="center"/>
          </w:tcPr>
          <w:p>
            <w:pPr>
              <w:pStyle w:val="7"/>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t>环保类行政处罚记录声明函</w:t>
            </w:r>
          </w:p>
        </w:tc>
        <w:tc>
          <w:tcPr>
            <w:tcW w:w="5100" w:type="dxa"/>
            <w:tcBorders>
              <w:top w:val="single" w:color="auto" w:sz="4" w:space="0"/>
              <w:left w:val="single" w:color="auto" w:sz="4" w:space="0"/>
              <w:bottom w:val="single" w:color="auto" w:sz="4" w:space="0"/>
              <w:right w:val="single" w:color="auto" w:sz="4" w:space="0"/>
            </w:tcBorders>
            <w:noWrap/>
            <w:vAlign w:val="center"/>
          </w:tcPr>
          <w:p>
            <w:pPr>
              <w:pStyle w:val="7"/>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t>是否满足采购文件要求</w:t>
            </w:r>
          </w:p>
        </w:tc>
        <w:tc>
          <w:tcPr>
            <w:tcW w:w="904" w:type="dxa"/>
            <w:tcBorders>
              <w:top w:val="single" w:color="auto" w:sz="4" w:space="0"/>
              <w:left w:val="single" w:color="auto" w:sz="4" w:space="0"/>
              <w:bottom w:val="single" w:color="auto" w:sz="4" w:space="0"/>
              <w:right w:val="single" w:color="auto" w:sz="4" w:space="0"/>
            </w:tcBorders>
            <w:noWrap/>
            <w:vAlign w:val="center"/>
          </w:tcPr>
          <w:p>
            <w:pPr>
              <w:snapToGrid w:val="0"/>
              <w:spacing w:line="360" w:lineRule="auto"/>
              <w:ind w:firstLine="420" w:firstLineChars="200"/>
              <w:jc w:val="center"/>
              <w:rPr>
                <w:rFonts w:ascii="宋体" w:hAnsi="宋体" w:cs="宋体"/>
                <w:bCs/>
                <w:color w:val="auto"/>
                <w:szCs w:val="21"/>
                <w:highlight w:val="none"/>
              </w:rPr>
            </w:pPr>
          </w:p>
        </w:tc>
      </w:tr>
    </w:tbl>
    <w:p>
      <w:pPr>
        <w:adjustRightInd w:val="0"/>
        <w:snapToGrid w:val="0"/>
        <w:spacing w:line="360" w:lineRule="auto"/>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（二）符合性审查表</w:t>
      </w:r>
    </w:p>
    <w:tbl>
      <w:tblPr>
        <w:tblStyle w:val="20"/>
        <w:tblW w:w="10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724"/>
        <w:gridCol w:w="4914"/>
        <w:gridCol w:w="3647"/>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47" w:hRule="atLeast"/>
          <w:tblHeader/>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序号</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符合性审查内容</w:t>
            </w:r>
          </w:p>
        </w:tc>
        <w:tc>
          <w:tcPr>
            <w:tcW w:w="364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审查标准</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审查意见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投标文件的有效性、完整性</w:t>
            </w:r>
          </w:p>
        </w:tc>
        <w:tc>
          <w:tcPr>
            <w:tcW w:w="364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lang w:val="zh-CN"/>
              </w:rPr>
              <w:t>是否满足采购文件要求</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投标有效期</w:t>
            </w:r>
          </w:p>
        </w:tc>
        <w:tc>
          <w:tcPr>
            <w:tcW w:w="3647" w:type="dxa"/>
            <w:tcBorders>
              <w:top w:val="single" w:color="auto" w:sz="4" w:space="0"/>
              <w:left w:val="single" w:color="auto" w:sz="4" w:space="0"/>
              <w:bottom w:val="single" w:color="auto" w:sz="4" w:space="0"/>
              <w:right w:val="single" w:color="auto" w:sz="4" w:space="0"/>
            </w:tcBorders>
            <w:noWrap/>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lang w:val="zh-CN"/>
              </w:rPr>
              <w:t>是否满足采购文件要求</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cstheme="minorEastAsia"/>
                <w:bCs/>
                <w:color w:val="auto"/>
                <w:szCs w:val="21"/>
                <w:highlight w:val="none"/>
              </w:rPr>
            </w:pPr>
            <w:r>
              <w:rPr>
                <w:rFonts w:asciiTheme="minorEastAsia" w:hAnsiTheme="minorEastAsia" w:cstheme="minorEastAsia"/>
                <w:bCs/>
                <w:color w:val="auto"/>
                <w:szCs w:val="21"/>
                <w:highlight w:val="none"/>
              </w:rPr>
              <w:t>服务期</w:t>
            </w:r>
          </w:p>
        </w:tc>
        <w:tc>
          <w:tcPr>
            <w:tcW w:w="364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lang w:val="zh-CN"/>
              </w:rPr>
              <w:t>是否满足采购文件要求</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cstheme="minorEastAsia"/>
                <w:bCs/>
                <w:color w:val="auto"/>
                <w:szCs w:val="21"/>
                <w:highlight w:val="none"/>
              </w:rPr>
            </w:pPr>
            <w:r>
              <w:rPr>
                <w:rFonts w:hint="eastAsia" w:asciiTheme="minorEastAsia" w:hAnsiTheme="minorEastAsia" w:cstheme="minorEastAsia"/>
                <w:bCs/>
                <w:color w:val="auto"/>
                <w:szCs w:val="21"/>
                <w:highlight w:val="none"/>
              </w:rPr>
              <w:t>合同履行期限</w:t>
            </w:r>
          </w:p>
        </w:tc>
        <w:tc>
          <w:tcPr>
            <w:tcW w:w="3647"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宋体" w:hAnsi="宋体" w:cs="宋体"/>
                <w:bCs/>
                <w:color w:val="auto"/>
                <w:szCs w:val="21"/>
                <w:highlight w:val="none"/>
                <w:lang w:val="zh-CN"/>
              </w:rPr>
            </w:pPr>
            <w:r>
              <w:rPr>
                <w:rFonts w:hint="eastAsia" w:ascii="宋体" w:hAnsi="宋体" w:cs="宋体"/>
                <w:bCs/>
                <w:color w:val="auto"/>
                <w:szCs w:val="21"/>
                <w:highlight w:val="none"/>
                <w:lang w:val="zh-CN"/>
              </w:rPr>
              <w:t>是否满足采购文件要求</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5</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投标人的报价是否明显低于其他投标人的报价</w:t>
            </w:r>
          </w:p>
        </w:tc>
        <w:tc>
          <w:tcPr>
            <w:tcW w:w="3647" w:type="dxa"/>
            <w:tcBorders>
              <w:top w:val="single" w:color="auto" w:sz="4" w:space="0"/>
              <w:left w:val="single" w:color="auto" w:sz="4" w:space="0"/>
              <w:bottom w:val="single" w:color="auto" w:sz="4" w:space="0"/>
              <w:right w:val="single" w:color="auto" w:sz="4" w:space="0"/>
            </w:tcBorders>
            <w:noWrap/>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lang w:val="zh-CN"/>
              </w:rPr>
              <w:t>是否满足采购文件要求</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Cs/>
                <w:color w:val="auto"/>
                <w:szCs w:val="21"/>
                <w:highlight w:val="none"/>
                <w:lang w:val="en-US" w:eastAsia="zh-CN"/>
              </w:rPr>
              <w:t>6</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设备雷同性检查</w:t>
            </w:r>
          </w:p>
        </w:tc>
        <w:tc>
          <w:tcPr>
            <w:tcW w:w="3647" w:type="dxa"/>
            <w:tcBorders>
              <w:top w:val="single" w:color="auto" w:sz="4" w:space="0"/>
              <w:left w:val="single" w:color="auto" w:sz="4" w:space="0"/>
              <w:bottom w:val="single" w:color="auto" w:sz="4" w:space="0"/>
              <w:right w:val="single" w:color="auto" w:sz="4" w:space="0"/>
            </w:tcBorders>
            <w:noWrap/>
          </w:tcPr>
          <w:p>
            <w:pPr>
              <w:adjustRightInd w:val="0"/>
              <w:snapToGrid w:val="0"/>
              <w:spacing w:line="240" w:lineRule="auto"/>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是否满足上传投标文件的电脑MAC地址、CPU序列号、硬盘序列号中不存在两项及以上相同的情形</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asciiTheme="minorEastAsia" w:hAnsiTheme="minorEastAsia" w:eastAsiaTheme="minorEastAsia" w:cstheme="minorEastAsia"/>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260" w:hRule="atLeast"/>
        </w:trPr>
        <w:tc>
          <w:tcPr>
            <w:tcW w:w="72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jc w:val="center"/>
              <w:rPr>
                <w:rFonts w:hint="eastAsia" w:asciiTheme="minorEastAsia" w:hAnsiTheme="minorEastAsia" w:eastAsiaTheme="minorEastAsia" w:cstheme="minorEastAsia"/>
                <w:bCs/>
                <w:color w:val="auto"/>
                <w:szCs w:val="21"/>
                <w:highlight w:val="none"/>
                <w:lang w:val="en-US" w:eastAsia="zh-CN"/>
              </w:rPr>
            </w:pPr>
            <w:r>
              <w:rPr>
                <w:rFonts w:hint="eastAsia" w:asciiTheme="minorEastAsia" w:hAnsiTheme="minorEastAsia" w:eastAsiaTheme="minorEastAsia" w:cstheme="minorEastAsia"/>
                <w:bCs/>
                <w:color w:val="auto"/>
                <w:szCs w:val="21"/>
                <w:highlight w:val="none"/>
                <w:lang w:val="en-US" w:eastAsia="zh-CN"/>
              </w:rPr>
              <w:t>7</w:t>
            </w:r>
          </w:p>
        </w:tc>
        <w:tc>
          <w:tcPr>
            <w:tcW w:w="4914"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其他</w:t>
            </w:r>
          </w:p>
        </w:tc>
        <w:tc>
          <w:tcPr>
            <w:tcW w:w="3647" w:type="dxa"/>
            <w:tcBorders>
              <w:top w:val="single" w:color="auto" w:sz="4" w:space="0"/>
              <w:left w:val="single" w:color="auto" w:sz="4" w:space="0"/>
              <w:bottom w:val="single" w:color="auto" w:sz="4" w:space="0"/>
              <w:right w:val="single" w:color="auto" w:sz="4" w:space="0"/>
            </w:tcBorders>
            <w:noWrap/>
          </w:tcPr>
          <w:p>
            <w:pPr>
              <w:adjustRightInd w:val="0"/>
              <w:snapToGrid w:val="0"/>
              <w:spacing w:line="360" w:lineRule="auto"/>
              <w:rPr>
                <w:rFonts w:asciiTheme="minorEastAsia" w:hAnsiTheme="minorEastAsia" w:eastAsiaTheme="minorEastAsia" w:cstheme="minorEastAsia"/>
                <w:bCs/>
                <w:color w:val="auto"/>
                <w:szCs w:val="21"/>
                <w:highlight w:val="none"/>
              </w:rPr>
            </w:pPr>
            <w:r>
              <w:rPr>
                <w:rFonts w:hint="eastAsia" w:ascii="宋体" w:hAnsi="宋体" w:cs="宋体"/>
                <w:bCs/>
                <w:color w:val="auto"/>
                <w:szCs w:val="21"/>
                <w:highlight w:val="none"/>
              </w:rPr>
              <w:t>是否有其他无效投标资格认定条件</w:t>
            </w:r>
          </w:p>
        </w:tc>
        <w:tc>
          <w:tcPr>
            <w:tcW w:w="123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60" w:lineRule="auto"/>
              <w:ind w:firstLine="420" w:firstLineChars="200"/>
              <w:rPr>
                <w:rFonts w:asciiTheme="minorEastAsia" w:hAnsiTheme="minorEastAsia" w:eastAsiaTheme="minorEastAsia" w:cstheme="minorEastAsia"/>
                <w:bCs/>
                <w:color w:val="auto"/>
                <w:szCs w:val="21"/>
                <w:highlight w:val="none"/>
              </w:rPr>
            </w:pPr>
          </w:p>
        </w:tc>
      </w:tr>
    </w:tbl>
    <w:p>
      <w:pPr>
        <w:pStyle w:val="19"/>
        <w:ind w:left="0" w:leftChars="0" w:firstLine="0" w:firstLineChars="0"/>
        <w:rPr>
          <w:color w:val="auto"/>
          <w:highlight w:val="none"/>
        </w:rPr>
      </w:pPr>
    </w:p>
    <w:p>
      <w:pPr>
        <w:adjustRightInd w:val="0"/>
        <w:snapToGrid w:val="0"/>
        <w:spacing w:line="360" w:lineRule="auto"/>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三、评标标准</w:t>
      </w:r>
    </w:p>
    <w:p>
      <w:pPr>
        <w:adjustRightInd w:val="0"/>
        <w:snapToGrid w:val="0"/>
        <w:spacing w:line="360" w:lineRule="auto"/>
        <w:ind w:firstLine="422" w:firstLineChars="200"/>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（一）评标方法及评标结果排列顺序规定如下：</w:t>
      </w:r>
    </w:p>
    <w:p>
      <w:pPr>
        <w:pStyle w:val="7"/>
        <w:spacing w:line="360" w:lineRule="auto"/>
        <w:ind w:firstLine="420" w:firstLineChars="200"/>
        <w:jc w:val="both"/>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采用综合评分法的，评标结果按评审后得分由高到低顺序排列。得分相同的，按投标报价由低到高顺序排列。得分且投标报价相同的并列或者评标委员会根据投标情况推荐评标结果排列顺序或予以授标建议。</w:t>
      </w:r>
    </w:p>
    <w:p>
      <w:pPr>
        <w:numPr>
          <w:ilvl w:val="0"/>
          <w:numId w:val="2"/>
        </w:numPr>
        <w:adjustRightInd w:val="0"/>
        <w:snapToGrid w:val="0"/>
        <w:spacing w:line="360" w:lineRule="auto"/>
        <w:ind w:firstLine="422"/>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评审因素及分值分配</w:t>
      </w:r>
    </w:p>
    <w:tbl>
      <w:tblPr>
        <w:tblStyle w:val="20"/>
        <w:tblW w:w="808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13"/>
        <w:gridCol w:w="2865"/>
        <w:gridCol w:w="29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231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评审因素</w:t>
            </w:r>
          </w:p>
        </w:tc>
        <w:tc>
          <w:tcPr>
            <w:tcW w:w="28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技术商务</w:t>
            </w:r>
          </w:p>
        </w:tc>
        <w:tc>
          <w:tcPr>
            <w:tcW w:w="291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价格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31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分值</w:t>
            </w:r>
          </w:p>
        </w:tc>
        <w:tc>
          <w:tcPr>
            <w:tcW w:w="2865"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85分</w:t>
            </w:r>
          </w:p>
        </w:tc>
        <w:tc>
          <w:tcPr>
            <w:tcW w:w="291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15分</w:t>
            </w:r>
          </w:p>
        </w:tc>
      </w:tr>
      <w:bookmarkEnd w:id="162"/>
    </w:tbl>
    <w:p>
      <w:pPr>
        <w:adjustRightInd w:val="0"/>
        <w:snapToGrid w:val="0"/>
        <w:spacing w:line="360" w:lineRule="auto"/>
        <w:ind w:firstLine="422" w:firstLineChars="200"/>
        <w:outlineLvl w:val="1"/>
        <w:rPr>
          <w:rFonts w:asciiTheme="minorEastAsia" w:hAnsiTheme="minorEastAsia" w:eastAsiaTheme="minorEastAsia" w:cstheme="minorEastAsia"/>
          <w:b/>
          <w:color w:val="auto"/>
          <w:szCs w:val="21"/>
          <w:highlight w:val="none"/>
        </w:rPr>
      </w:pPr>
      <w:bookmarkStart w:id="163" w:name="_Toc246826118"/>
      <w:r>
        <w:rPr>
          <w:rFonts w:hint="eastAsia" w:asciiTheme="minorEastAsia" w:hAnsiTheme="minorEastAsia" w:eastAsiaTheme="minorEastAsia" w:cstheme="minorEastAsia"/>
          <w:b/>
          <w:color w:val="auto"/>
          <w:szCs w:val="21"/>
          <w:highlight w:val="none"/>
        </w:rPr>
        <w:t>（三）投标报价的评审要求</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1、价格核准：评标委员会对符合性审查合格的投标人的投标报价明细进行复核，看其是否有计算错误，如有则按投标人须知有关规定修正或澄清。</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2、价格评审：</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综合评分法，价格分统一采用低价优先法计算，即满足采购文件要求（通过资格审查和符合性审查）且评标价(指修正及价格扣除后的价格，下同)最低的为评标基准价，其价格分为满分。其他投标人的价格分统一按照下列公式计算：</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价格评分=（评标基准价／评标价）×价格分值</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3、投标报价对小型、微型企业或者视同小型、微企业参与投标的参照第三章投标人须知的规定以扣除后的价格参与评审。</w:t>
      </w:r>
    </w:p>
    <w:p>
      <w:pPr>
        <w:adjustRightInd w:val="0"/>
        <w:snapToGrid w:val="0"/>
        <w:spacing w:line="360" w:lineRule="auto"/>
        <w:ind w:firstLine="420" w:firstLineChars="200"/>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4、在评标过程中，不得去掉报价中的最高报价和最低报价。</w:t>
      </w:r>
    </w:p>
    <w:p>
      <w:pPr>
        <w:adjustRightInd w:val="0"/>
        <w:snapToGrid w:val="0"/>
        <w:spacing w:line="360" w:lineRule="auto"/>
        <w:ind w:firstLine="561"/>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（四）评标细则</w:t>
      </w:r>
    </w:p>
    <w:tbl>
      <w:tblPr>
        <w:tblStyle w:val="20"/>
        <w:tblW w:w="10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976"/>
        <w:gridCol w:w="936"/>
        <w:gridCol w:w="6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1044" w:type="dxa"/>
            <w:tcBorders>
              <w:top w:val="single" w:color="auto" w:sz="4" w:space="0"/>
              <w:left w:val="single" w:color="auto" w:sz="4" w:space="0"/>
              <w:bottom w:val="single" w:color="auto" w:sz="4" w:space="0"/>
              <w:right w:val="single" w:color="auto" w:sz="4" w:space="0"/>
            </w:tcBorders>
            <w:vAlign w:val="center"/>
          </w:tcPr>
          <w:p>
            <w:pPr>
              <w:snapToGrid w:val="0"/>
              <w:ind w:left="-36" w:leftChars="-17"/>
              <w:jc w:val="center"/>
              <w:rPr>
                <w:rFonts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序号</w:t>
            </w:r>
          </w:p>
        </w:tc>
        <w:tc>
          <w:tcPr>
            <w:tcW w:w="19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评审因素</w:t>
            </w: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分值</w:t>
            </w:r>
          </w:p>
        </w:tc>
        <w:tc>
          <w:tcPr>
            <w:tcW w:w="672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b/>
                <w:bCs/>
                <w:color w:val="auto"/>
                <w:szCs w:val="21"/>
                <w:highlight w:val="none"/>
              </w:rPr>
            </w:pPr>
            <w:r>
              <w:rPr>
                <w:rFonts w:hint="eastAsia" w:asciiTheme="majorEastAsia" w:hAnsiTheme="majorEastAsia" w:eastAsiaTheme="majorEastAsia" w:cstheme="majorEastAsia"/>
                <w:b/>
                <w:bCs/>
                <w:color w:val="auto"/>
                <w:szCs w:val="21"/>
                <w:highlight w:val="none"/>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exact"/>
          <w:jc w:val="center"/>
        </w:trPr>
        <w:tc>
          <w:tcPr>
            <w:tcW w:w="1044"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w:t>
            </w:r>
          </w:p>
        </w:tc>
        <w:tc>
          <w:tcPr>
            <w:tcW w:w="1976"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类似项目业绩</w:t>
            </w: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15</w:t>
            </w:r>
          </w:p>
        </w:tc>
        <w:tc>
          <w:tcPr>
            <w:tcW w:w="672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投标人2020年1月1日至今承接的类似项目业绩或市政公用工程监理业绩，每个得3分，满分15分。</w:t>
            </w:r>
          </w:p>
          <w:p>
            <w:pPr>
              <w:snapToGrid w:val="0"/>
              <w:spacing w:line="360" w:lineRule="auto"/>
              <w:jc w:val="left"/>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证明材料:投标文件中提供合同复印件并加盖单位章，时间以合同签订为准。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4" w:hRule="exac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2</w:t>
            </w:r>
          </w:p>
        </w:tc>
        <w:tc>
          <w:tcPr>
            <w:tcW w:w="1976"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其他主要人员</w:t>
            </w:r>
          </w:p>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资历</w:t>
            </w:r>
          </w:p>
        </w:tc>
        <w:tc>
          <w:tcPr>
            <w:tcW w:w="936"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10</w:t>
            </w:r>
          </w:p>
        </w:tc>
        <w:tc>
          <w:tcPr>
            <w:tcW w:w="6722" w:type="dxa"/>
            <w:tcBorders>
              <w:top w:val="single" w:color="auto" w:sz="4" w:space="0"/>
              <w:left w:val="single" w:color="auto" w:sz="4" w:space="0"/>
              <w:right w:val="single" w:color="auto" w:sz="4" w:space="0"/>
            </w:tcBorders>
            <w:vAlign w:val="center"/>
          </w:tcPr>
          <w:p>
            <w:pPr>
              <w:pStyle w:val="19"/>
              <w:ind w:left="0" w:leftChars="0" w:firstLine="0" w:firstLineChars="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1、拟派的总监理工程师具有工程类专业高级（含）以上专业技术职称得2.5分，满分2.5分。</w:t>
            </w:r>
          </w:p>
          <w:p>
            <w:pPr>
              <w:pStyle w:val="19"/>
              <w:ind w:left="0" w:leftChars="0" w:firstLine="0" w:firstLineChars="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2、拟派的专业监理工程师同时具有注册监理工程师执业资格和工程类专业中级（含）以上专业技术职称得2分，满分6分。</w:t>
            </w:r>
          </w:p>
          <w:p>
            <w:pPr>
              <w:pStyle w:val="19"/>
              <w:ind w:left="0" w:leftChars="0" w:firstLine="0" w:firstLineChars="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 xml:space="preserve">3、拟派的监理员具有工程类专业中级（含）以上专业技术职称得0.5分，满分1.5分。 </w:t>
            </w:r>
          </w:p>
          <w:p>
            <w:pPr>
              <w:pStyle w:val="19"/>
              <w:ind w:left="0" w:leftChars="0" w:firstLine="0" w:firstLineChars="0"/>
              <w:rPr>
                <w:rFonts w:asciiTheme="majorEastAsia" w:hAnsiTheme="majorEastAsia" w:eastAsiaTheme="majorEastAsia" w:cstheme="majorEastAsia"/>
                <w:color w:val="auto"/>
                <w:highlight w:val="none"/>
              </w:rPr>
            </w:pPr>
            <w:r>
              <w:rPr>
                <w:rFonts w:hint="eastAsia" w:asciiTheme="majorEastAsia" w:hAnsiTheme="majorEastAsia" w:eastAsiaTheme="majorEastAsia" w:cstheme="majorEastAsia"/>
                <w:color w:val="auto"/>
                <w:highlight w:val="none"/>
              </w:rPr>
              <w:t>证明材料：以上人员需提供上述相应证书复印件加盖公章和2023年01月至今任意1个月的社保缴纳凭证复印件加盖公章或网上打印的有加盖社保管理单位（或税务机构）电子印章的社保清单复印件加盖公章。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color w:val="auto"/>
                <w:szCs w:val="21"/>
                <w:highlight w:val="none"/>
              </w:rPr>
              <w:t>3</w:t>
            </w:r>
          </w:p>
        </w:tc>
        <w:tc>
          <w:tcPr>
            <w:tcW w:w="1976" w:type="dxa"/>
            <w:tcBorders>
              <w:left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质量控制有目标、方法及措施</w:t>
            </w:r>
          </w:p>
        </w:tc>
        <w:tc>
          <w:tcPr>
            <w:tcW w:w="936"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10</w:t>
            </w:r>
          </w:p>
        </w:tc>
        <w:tc>
          <w:tcPr>
            <w:tcW w:w="6722" w:type="dxa"/>
            <w:tcBorders>
              <w:top w:val="single" w:color="auto" w:sz="4" w:space="0"/>
              <w:left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根据投标人对项目质量控制理解程度响应情况进行评审：包括但不限于工作目标、工作内容、工作方法、组织实施和保证措施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4</w:t>
            </w:r>
          </w:p>
        </w:tc>
        <w:tc>
          <w:tcPr>
            <w:tcW w:w="1976" w:type="dxa"/>
            <w:tcBorders>
              <w:left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投资控制有目标、方法及措施</w:t>
            </w:r>
          </w:p>
        </w:tc>
        <w:tc>
          <w:tcPr>
            <w:tcW w:w="936"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10</w:t>
            </w:r>
          </w:p>
        </w:tc>
        <w:tc>
          <w:tcPr>
            <w:tcW w:w="6722" w:type="dxa"/>
            <w:tcBorders>
              <w:top w:val="single" w:color="auto" w:sz="4" w:space="0"/>
              <w:left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根据投标人对项目投资控制理解程度响应情况进行评审：包括但不限于工作目标、内容分析、工作方法、组织实施和保证措施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exac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5</w:t>
            </w:r>
          </w:p>
        </w:tc>
        <w:tc>
          <w:tcPr>
            <w:tcW w:w="1976" w:type="dxa"/>
            <w:tcBorders>
              <w:left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进度控制有目标、方法及措施</w:t>
            </w: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10</w:t>
            </w:r>
          </w:p>
        </w:tc>
        <w:tc>
          <w:tcPr>
            <w:tcW w:w="6722" w:type="dxa"/>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根据投标人对项目进度控制理解程度响应情况进行评审：包括但不限于工作目标、内容和方法、组织实施和保证措施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6</w:t>
            </w:r>
          </w:p>
        </w:tc>
        <w:tc>
          <w:tcPr>
            <w:tcW w:w="1976"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监理工作程序、方法和制度</w:t>
            </w: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10</w:t>
            </w:r>
          </w:p>
        </w:tc>
        <w:tc>
          <w:tcPr>
            <w:tcW w:w="6722" w:type="dxa"/>
            <w:tcBorders>
              <w:top w:val="single" w:color="auto" w:sz="4" w:space="0"/>
              <w:left w:val="single" w:color="auto" w:sz="4" w:space="0"/>
              <w:bottom w:val="single" w:color="auto" w:sz="4" w:space="0"/>
              <w:right w:val="single" w:color="auto" w:sz="4" w:space="0"/>
            </w:tcBorders>
            <w:vAlign w:val="center"/>
          </w:tcPr>
          <w:p>
            <w:pPr>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根据投标人对项目监理工作理解程度响应情况进行评审：包括但不限于的工作流程、监理机构设置及资源配置、监理工作制度、监理工作的内容和方法、监理工作要点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7</w:t>
            </w:r>
          </w:p>
        </w:tc>
        <w:tc>
          <w:tcPr>
            <w:tcW w:w="1976"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重点、难点监控措施</w:t>
            </w: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10</w:t>
            </w:r>
          </w:p>
        </w:tc>
        <w:tc>
          <w:tcPr>
            <w:tcW w:w="6722" w:type="dxa"/>
            <w:tcBorders>
              <w:top w:val="single" w:color="auto" w:sz="4" w:space="0"/>
              <w:left w:val="single" w:color="auto" w:sz="4" w:space="0"/>
              <w:bottom w:val="single" w:color="auto" w:sz="4" w:space="0"/>
              <w:right w:val="single" w:color="auto" w:sz="4" w:space="0"/>
            </w:tcBorders>
            <w:vAlign w:val="center"/>
          </w:tcPr>
          <w:p>
            <w:pPr>
              <w:snapToGrid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根据投标人对项目重点、难点理解程度响应情况进行评审：包括但不限于重点难点分析及保障措施、质量、进度、保密、监督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8</w:t>
            </w:r>
          </w:p>
        </w:tc>
        <w:tc>
          <w:tcPr>
            <w:tcW w:w="1976"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合同和信息管理有目标、方法及措施</w:t>
            </w:r>
          </w:p>
        </w:tc>
        <w:tc>
          <w:tcPr>
            <w:tcW w:w="936" w:type="dxa"/>
            <w:tcBorders>
              <w:top w:val="single" w:color="auto" w:sz="4" w:space="0"/>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10</w:t>
            </w:r>
          </w:p>
        </w:tc>
        <w:tc>
          <w:tcPr>
            <w:tcW w:w="6722" w:type="dxa"/>
            <w:tcBorders>
              <w:top w:val="single" w:color="auto" w:sz="4" w:space="0"/>
              <w:left w:val="single" w:color="auto" w:sz="4" w:space="0"/>
              <w:right w:val="single" w:color="auto" w:sz="4" w:space="0"/>
            </w:tcBorders>
            <w:vAlign w:val="center"/>
          </w:tcPr>
          <w:p>
            <w:pPr>
              <w:rPr>
                <w:rFonts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kern w:val="0"/>
                <w:szCs w:val="21"/>
                <w:highlight w:val="none"/>
              </w:rPr>
              <w:t>根据投标人对项目合同和信息管理理解程度响应情况进行评审：包括但不限于管理制度、数据监管、内容和方法、工作目标、组织实施和保证措施等，方案满分10分，每缺少一项扣2分，方案每存在一处缺陷扣1分（缺陷是指内容不明确、描述不详细、缺乏针对性、应对措施不合理、不可行等），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044"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bCs/>
                <w:color w:val="auto"/>
                <w:szCs w:val="21"/>
                <w:highlight w:val="none"/>
              </w:rPr>
              <w:t>9</w:t>
            </w:r>
          </w:p>
        </w:tc>
        <w:tc>
          <w:tcPr>
            <w:tcW w:w="1976" w:type="dxa"/>
            <w:tcBorders>
              <w:left w:val="single" w:color="auto" w:sz="4" w:space="0"/>
              <w:right w:val="single" w:color="auto" w:sz="4" w:space="0"/>
            </w:tcBorders>
            <w:vAlign w:val="center"/>
          </w:tcPr>
          <w:p>
            <w:pPr>
              <w:snapToGrid w:val="0"/>
              <w:jc w:val="center"/>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投标报价</w:t>
            </w:r>
          </w:p>
          <w:p>
            <w:pPr>
              <w:snapToGrid w:val="0"/>
              <w:rPr>
                <w:rFonts w:asciiTheme="majorEastAsia" w:hAnsiTheme="majorEastAsia" w:eastAsiaTheme="majorEastAsia" w:cstheme="majorEastAsia"/>
                <w:color w:val="auto"/>
                <w:szCs w:val="21"/>
                <w:highlight w:val="none"/>
              </w:rPr>
            </w:pPr>
          </w:p>
        </w:tc>
        <w:tc>
          <w:tcPr>
            <w:tcW w:w="936"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heme="majorEastAsia" w:hAnsiTheme="majorEastAsia" w:eastAsiaTheme="majorEastAsia" w:cstheme="majorEastAsia"/>
                <w:color w:val="auto"/>
                <w:szCs w:val="21"/>
                <w:highlight w:val="none"/>
                <w:lang w:val="en-US" w:eastAsia="zh-CN"/>
              </w:rPr>
            </w:pPr>
            <w:r>
              <w:rPr>
                <w:rFonts w:hint="eastAsia" w:asciiTheme="majorEastAsia" w:hAnsiTheme="majorEastAsia" w:eastAsiaTheme="majorEastAsia" w:cstheme="majorEastAsia"/>
                <w:color w:val="auto"/>
                <w:szCs w:val="21"/>
                <w:highlight w:val="none"/>
                <w:lang w:val="en-US" w:eastAsia="zh-CN"/>
              </w:rPr>
              <w:t>15</w:t>
            </w:r>
          </w:p>
        </w:tc>
        <w:tc>
          <w:tcPr>
            <w:tcW w:w="6722" w:type="dxa"/>
            <w:tcBorders>
              <w:top w:val="single" w:color="auto" w:sz="4" w:space="0"/>
              <w:left w:val="single" w:color="auto" w:sz="4" w:space="0"/>
              <w:bottom w:val="single" w:color="auto" w:sz="4" w:space="0"/>
              <w:right w:val="single" w:color="auto" w:sz="4" w:space="0"/>
            </w:tcBorders>
            <w:vAlign w:val="center"/>
          </w:tcPr>
          <w:p>
            <w:pPr>
              <w:adjustRightInd w:val="0"/>
              <w:jc w:val="left"/>
              <w:rPr>
                <w:rFonts w:asciiTheme="majorEastAsia" w:hAnsiTheme="majorEastAsia" w:eastAsiaTheme="majorEastAsia" w:cstheme="majorEastAsia"/>
                <w:color w:val="auto"/>
                <w:kern w:val="0"/>
                <w:szCs w:val="21"/>
                <w:highlight w:val="none"/>
              </w:rPr>
            </w:pPr>
            <w:r>
              <w:rPr>
                <w:rFonts w:hint="eastAsia" w:asciiTheme="majorEastAsia" w:hAnsiTheme="majorEastAsia" w:eastAsiaTheme="majorEastAsia" w:cstheme="majorEastAsia"/>
                <w:color w:val="auto"/>
                <w:kern w:val="0"/>
                <w:szCs w:val="21"/>
                <w:highlight w:val="none"/>
              </w:rPr>
              <w:t>投标总报价得分采用低价优先法计算，即通过初步评审且最低的投标总报价为评标基准价，其价格得分为满分</w:t>
            </w:r>
            <w:r>
              <w:rPr>
                <w:rFonts w:hint="eastAsia" w:asciiTheme="majorEastAsia" w:hAnsiTheme="majorEastAsia" w:eastAsiaTheme="majorEastAsia" w:cstheme="majorEastAsia"/>
                <w:color w:val="auto"/>
                <w:kern w:val="0"/>
                <w:szCs w:val="21"/>
                <w:highlight w:val="none"/>
                <w:lang w:val="en-US" w:eastAsia="zh-CN"/>
              </w:rPr>
              <w:t>15</w:t>
            </w:r>
            <w:r>
              <w:rPr>
                <w:rFonts w:hint="eastAsia" w:asciiTheme="majorEastAsia" w:hAnsiTheme="majorEastAsia" w:eastAsiaTheme="majorEastAsia" w:cstheme="majorEastAsia"/>
                <w:color w:val="auto"/>
                <w:kern w:val="0"/>
                <w:szCs w:val="21"/>
                <w:highlight w:val="none"/>
              </w:rPr>
              <w:t>分。其他投标人的价格分统一按照下列公式计算：投标报价得分=(评标基准价／投标报价)×价格权值。</w:t>
            </w:r>
          </w:p>
        </w:tc>
      </w:tr>
    </w:tbl>
    <w:p>
      <w:pPr>
        <w:pStyle w:val="19"/>
        <w:ind w:left="0" w:leftChars="0" w:firstLine="0" w:firstLineChars="0"/>
        <w:rPr>
          <w:rFonts w:asciiTheme="minorEastAsia" w:hAnsiTheme="minorEastAsia" w:eastAsiaTheme="minorEastAsia" w:cstheme="minorEastAsia"/>
          <w:b/>
          <w:color w:val="auto"/>
          <w:highlight w:val="none"/>
        </w:rPr>
      </w:pPr>
    </w:p>
    <w:p>
      <w:pPr>
        <w:rPr>
          <w:color w:val="auto"/>
          <w:highlight w:val="none"/>
        </w:rPr>
      </w:pPr>
    </w:p>
    <w:p>
      <w:pPr>
        <w:rPr>
          <w:color w:val="auto"/>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pStyle w:val="8"/>
        <w:rPr>
          <w:color w:val="auto"/>
          <w:highlight w:val="none"/>
        </w:rPr>
      </w:pPr>
    </w:p>
    <w:p>
      <w:pPr>
        <w:pStyle w:val="8"/>
        <w:rPr>
          <w:color w:val="auto"/>
          <w:highlight w:val="none"/>
        </w:rPr>
      </w:pPr>
    </w:p>
    <w:p>
      <w:pPr>
        <w:rPr>
          <w:color w:val="auto"/>
          <w:highlight w:val="none"/>
        </w:rPr>
      </w:pPr>
    </w:p>
    <w:p>
      <w:pPr>
        <w:pStyle w:val="66"/>
        <w:rPr>
          <w:color w:val="auto"/>
          <w:highlight w:val="none"/>
        </w:rPr>
      </w:pPr>
    </w:p>
    <w:p>
      <w:pPr>
        <w:pStyle w:val="8"/>
        <w:rPr>
          <w:color w:val="auto"/>
          <w:highlight w:val="none"/>
        </w:rPr>
      </w:pPr>
    </w:p>
    <w:p>
      <w:pPr>
        <w:rPr>
          <w:rFonts w:asciiTheme="minorEastAsia" w:hAnsiTheme="minorEastAsia" w:eastAsiaTheme="minorEastAsia" w:cstheme="minorEastAsia"/>
          <w:b/>
          <w:color w:val="auto"/>
          <w:szCs w:val="21"/>
          <w:highlight w:val="none"/>
        </w:rPr>
      </w:pPr>
    </w:p>
    <w:p>
      <w:pPr>
        <w:pStyle w:val="19"/>
        <w:rPr>
          <w:color w:val="auto"/>
          <w:highlight w:val="none"/>
        </w:rPr>
      </w:pPr>
    </w:p>
    <w:p>
      <w:pPr>
        <w:adjustRightInd w:val="0"/>
        <w:snapToGrid w:val="0"/>
        <w:spacing w:line="360" w:lineRule="auto"/>
        <w:jc w:val="center"/>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第五章  政府采购合同</w:t>
      </w:r>
      <w:bookmarkEnd w:id="163"/>
      <w:r>
        <w:rPr>
          <w:rFonts w:hint="eastAsia" w:asciiTheme="minorEastAsia" w:hAnsiTheme="minorEastAsia" w:eastAsiaTheme="minorEastAsia" w:cstheme="minorEastAsia"/>
          <w:b/>
          <w:color w:val="auto"/>
          <w:szCs w:val="21"/>
          <w:highlight w:val="none"/>
        </w:rPr>
        <w:t>格式</w:t>
      </w:r>
    </w:p>
    <w:p>
      <w:pPr>
        <w:adjustRightInd w:val="0"/>
        <w:snapToGrid w:val="0"/>
        <w:spacing w:line="360" w:lineRule="auto"/>
        <w:outlineLvl w:val="1"/>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(本合同文本仅供参考，具体的合同条款由采购人与中标人在合同中约定，以最终采购人与中标人签订的采购合同为准）</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采购人：               （以下简称甲方）    </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中标方：               （以下简称乙方）</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 xml:space="preserve">  根据《中华人民共和国政府采购法》、《中华人民共和国民法典》之规定，本合同当事人在平等、自愿基础上，经协商一致，同意按下述条款和条件签署本合同(以下为合同基本格式，签约各方根据釆购项目具体情况对条款细化补充)。</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第一条 项目名称、服务内容及合同价。</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第二条 履行地点、时间（或服务期限）。</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第三条 质量标准和要求：乙方所提供服务质量标准按照国家标准或行业标准或企业标准确定。没有国家标准、行业标准和企业标准的，按照通常标准或者符合合同目的的特定标准确定。</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第四条  权利瑕疵担保</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4．1 乙方保证对其提供的服务及服务配套的管理制度、软件以及设施设备等享有合法的权利；</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4．2 乙方应保证在其其提供的服务及服务配套的管理制度、软件以及设施设备上不存在任何未曾向甲方透露的担保物权，如抵押权、质押权、留置权等；</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4．3 乙方应保证其所其提供的服务及服务配套的管理制度、软件以及设施设备没有侵犯任何第三人的知识产权和商业秘密等权利。</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4．4 如甲方构成上述侵权的，则由乙方承担全部责任。</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第五条  甲方权利和义务</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第六条  乙方权利与义务</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第七条  验收要求</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第八条  付款</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8.1 本合同以人民币付款。</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8.2具体的付款条件、方式与期限</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第九条  合同转让和分包</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9.1乙方不得全部或部分转让合同。除甲方事先书面同意外，不得分包其应履行的合同义务。</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第十条  违约责任</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第十一条 解决争议的方法</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第十二条  不可抗力</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12．1 如果合同各方因不可抗力而导致合同实施延误或不能履行合同义务的话，不应该承担误期赔偿或不能履行合同义务的责任。</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12．2 本条所述的“不可抗力”系指那些双方不可预见、不可避免、不可克服的事件，但不包括双方的违约或疏忽。这些事件包括但不限于：战争、严重火灾、洪水、台风、地震、国家政策的重大变化，以及其它双方商定的其他事件。</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12．3 在不可抗力事件发生后，当事方应尽快以书面形式将不可抗力的情况和原因通知对方。合同各方应尽实际可能继续履行合同义务，并积极寻求采取合理的方案履行不受不可抗力影响的其他事项。合同各方应通过友好协商在合理的时间内达成进一步履行合同的协议。</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第十三条  合同生效</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13．1本合同自双方签字及盖章之日起生效。</w:t>
      </w:r>
      <w:bookmarkStart w:id="164" w:name="_Toc246826142"/>
      <w:bookmarkStart w:id="165" w:name="_Toc246825837"/>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13.2本合同一式四份，甲乙双方各两份，采购人或代理机构负责将合同上传交易系统并公告。</w:t>
      </w:r>
      <w:bookmarkEnd w:id="164"/>
      <w:bookmarkEnd w:id="165"/>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第十四条  合同附件</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 1 本合同附件包括但不限于：</w:t>
      </w:r>
      <w:bookmarkStart w:id="166" w:name="_Toc246825820"/>
      <w:bookmarkStart w:id="167" w:name="_Toc246826125"/>
      <w:r>
        <w:rPr>
          <w:rFonts w:hint="eastAsia" w:asciiTheme="minorEastAsia" w:hAnsiTheme="minorEastAsia" w:eastAsiaTheme="minorEastAsia" w:cstheme="minorEastAsia"/>
          <w:bCs/>
          <w:color w:val="auto"/>
          <w:szCs w:val="21"/>
          <w:highlight w:val="none"/>
        </w:rPr>
        <w:t>本项目的采购文件、中标（成交）方投标文件、中标（成交）通知书</w:t>
      </w:r>
      <w:bookmarkEnd w:id="166"/>
      <w:bookmarkEnd w:id="167"/>
      <w:bookmarkStart w:id="168" w:name="_Toc246826128"/>
      <w:bookmarkStart w:id="169" w:name="_Toc246825823"/>
      <w:r>
        <w:rPr>
          <w:rFonts w:hint="eastAsia" w:asciiTheme="minorEastAsia" w:hAnsiTheme="minorEastAsia" w:eastAsiaTheme="minorEastAsia" w:cstheme="minorEastAsia"/>
          <w:bCs/>
          <w:color w:val="auto"/>
          <w:szCs w:val="21"/>
          <w:highlight w:val="none"/>
        </w:rPr>
        <w:t>等，本合同附件与合同具有同等效力。</w:t>
      </w:r>
    </w:p>
    <w:bookmarkEnd w:id="168"/>
    <w:bookmarkEnd w:id="169"/>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 2  本合同格式未尽事宜可签订补充协议，补充协议具有同等法律效力。</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14.3  合同文件应能相互解释，互为说明。若合同文件之间有不明确或不一致之处，以合同约定次序在后者为准。</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签约各方：</w:t>
      </w:r>
    </w:p>
    <w:p>
      <w:pPr>
        <w:adjustRightInd w:val="0"/>
        <w:snapToGrid w:val="0"/>
        <w:spacing w:line="360" w:lineRule="auto"/>
        <w:outlineLvl w:val="1"/>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签约时间：</w:t>
      </w:r>
    </w:p>
    <w:p>
      <w:pPr>
        <w:adjustRightInd w:val="0"/>
        <w:snapToGrid w:val="0"/>
        <w:spacing w:line="360" w:lineRule="auto"/>
        <w:rPr>
          <w:rFonts w:asciiTheme="minorEastAsia" w:hAnsiTheme="minorEastAsia" w:eastAsiaTheme="minorEastAsia" w:cstheme="minorEastAsia"/>
          <w:bCs/>
          <w:color w:val="auto"/>
          <w:szCs w:val="21"/>
          <w:highlight w:val="none"/>
        </w:rPr>
      </w:pPr>
    </w:p>
    <w:p>
      <w:pPr>
        <w:adjustRightInd w:val="0"/>
        <w:snapToGrid w:val="0"/>
        <w:spacing w:line="360" w:lineRule="auto"/>
        <w:ind w:firstLine="1680" w:firstLineChars="800"/>
        <w:rPr>
          <w:rFonts w:asciiTheme="minorEastAsia" w:hAnsiTheme="minorEastAsia" w:eastAsiaTheme="minorEastAsia" w:cstheme="minorEastAsia"/>
          <w:bCs/>
          <w:color w:val="auto"/>
          <w:szCs w:val="21"/>
          <w:highlight w:val="none"/>
        </w:rPr>
      </w:pPr>
    </w:p>
    <w:p>
      <w:pPr>
        <w:adjustRightInd w:val="0"/>
        <w:snapToGrid w:val="0"/>
        <w:spacing w:line="360" w:lineRule="auto"/>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pStyle w:val="66"/>
        <w:rPr>
          <w:rFonts w:asciiTheme="minorEastAsia" w:hAnsiTheme="minorEastAsia" w:eastAsiaTheme="minorEastAsia" w:cstheme="minorEastAsia"/>
          <w:b/>
          <w:color w:val="auto"/>
          <w:szCs w:val="21"/>
          <w:highlight w:val="none"/>
        </w:rPr>
      </w:pPr>
    </w:p>
    <w:p>
      <w:pPr>
        <w:rPr>
          <w:rFonts w:asciiTheme="minorEastAsia" w:hAnsiTheme="minorEastAsia" w:eastAsiaTheme="minorEastAsia" w:cstheme="minorEastAsia"/>
          <w:b/>
          <w:color w:val="auto"/>
          <w:szCs w:val="21"/>
          <w:highlight w:val="none"/>
        </w:rPr>
      </w:pPr>
    </w:p>
    <w:p>
      <w:pPr>
        <w:pStyle w:val="66"/>
        <w:rPr>
          <w:rFonts w:asciiTheme="minorEastAsia" w:hAnsiTheme="minorEastAsia" w:eastAsiaTheme="minorEastAsia" w:cstheme="minorEastAsia"/>
          <w:b/>
          <w:color w:val="auto"/>
          <w:szCs w:val="21"/>
          <w:highlight w:val="none"/>
        </w:rPr>
      </w:pPr>
    </w:p>
    <w:p>
      <w:pPr>
        <w:rPr>
          <w:rFonts w:asciiTheme="minorEastAsia" w:hAnsiTheme="minorEastAsia" w:eastAsiaTheme="minorEastAsia" w:cstheme="minorEastAsia"/>
          <w:b/>
          <w:color w:val="auto"/>
          <w:szCs w:val="21"/>
          <w:highlight w:val="none"/>
        </w:rPr>
      </w:pPr>
    </w:p>
    <w:p>
      <w:pPr>
        <w:pStyle w:val="66"/>
        <w:rPr>
          <w:rFonts w:asciiTheme="minorEastAsia" w:hAnsiTheme="minorEastAsia" w:eastAsiaTheme="minorEastAsia" w:cstheme="minorEastAsia"/>
          <w:b/>
          <w:color w:val="auto"/>
          <w:szCs w:val="21"/>
          <w:highlight w:val="none"/>
        </w:rPr>
      </w:pPr>
    </w:p>
    <w:p>
      <w:pPr>
        <w:rPr>
          <w:rFonts w:asciiTheme="minorEastAsia" w:hAnsiTheme="minorEastAsia" w:eastAsiaTheme="minorEastAsia" w:cstheme="minorEastAsia"/>
          <w:b/>
          <w:color w:val="auto"/>
          <w:szCs w:val="21"/>
          <w:highlight w:val="none"/>
        </w:rPr>
      </w:pPr>
    </w:p>
    <w:p>
      <w:pPr>
        <w:pStyle w:val="66"/>
        <w:rPr>
          <w:color w:val="auto"/>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p>
    <w:p>
      <w:pPr>
        <w:adjustRightInd w:val="0"/>
        <w:snapToGrid w:val="0"/>
        <w:spacing w:line="360" w:lineRule="auto"/>
        <w:jc w:val="center"/>
        <w:rPr>
          <w:rFonts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第六章  响应文件格式及附件</w:t>
      </w:r>
    </w:p>
    <w:p>
      <w:pPr>
        <w:adjustRightInd w:val="0"/>
        <w:snapToGrid w:val="0"/>
        <w:spacing w:line="360" w:lineRule="auto"/>
        <w:rPr>
          <w:rFonts w:asciiTheme="minorEastAsia" w:hAnsiTheme="minorEastAsia" w:eastAsiaTheme="minorEastAsia" w:cstheme="minorEastAsia"/>
          <w:b/>
          <w:color w:val="auto"/>
          <w:szCs w:val="21"/>
          <w:highlight w:val="none"/>
        </w:rPr>
      </w:pPr>
    </w:p>
    <w:p>
      <w:pPr>
        <w:ind w:firstLine="2560" w:firstLineChars="800"/>
        <w:rPr>
          <w:rFonts w:ascii="宋体" w:hAnsi="宋体" w:cs="宋体"/>
          <w:color w:val="auto"/>
          <w:sz w:val="28"/>
          <w:szCs w:val="28"/>
          <w:highlight w:val="none"/>
          <w:u w:val="single"/>
        </w:rPr>
      </w:pPr>
      <w:r>
        <w:rPr>
          <w:rFonts w:hint="eastAsia" w:ascii="宋体" w:hAnsi="宋体" w:cs="宋体"/>
          <w:color w:val="auto"/>
          <w:sz w:val="32"/>
          <w:szCs w:val="32"/>
          <w:highlight w:val="none"/>
          <w:u w:val="single"/>
        </w:rPr>
        <w:t xml:space="preserve">             </w:t>
      </w:r>
      <w:r>
        <w:rPr>
          <w:rFonts w:hint="eastAsia" w:ascii="宋体" w:hAnsi="宋体" w:cs="宋体"/>
          <w:color w:val="auto"/>
          <w:sz w:val="28"/>
          <w:szCs w:val="28"/>
          <w:highlight w:val="none"/>
          <w:u w:val="single"/>
        </w:rPr>
        <w:t xml:space="preserve">（项目名称）          </w:t>
      </w:r>
    </w:p>
    <w:p>
      <w:pPr>
        <w:ind w:firstLine="1540" w:firstLineChars="550"/>
        <w:rPr>
          <w:rFonts w:ascii="宋体" w:hAnsi="宋体" w:cs="宋体"/>
          <w:color w:val="auto"/>
          <w:sz w:val="28"/>
          <w:szCs w:val="28"/>
          <w:highlight w:val="none"/>
          <w:u w:val="single"/>
        </w:rPr>
      </w:pPr>
    </w:p>
    <w:p>
      <w:pPr>
        <w:ind w:firstLine="1540" w:firstLineChars="550"/>
        <w:rPr>
          <w:rFonts w:ascii="宋体" w:hAnsi="宋体" w:cs="宋体"/>
          <w:color w:val="auto"/>
          <w:sz w:val="28"/>
          <w:szCs w:val="28"/>
          <w:highlight w:val="none"/>
        </w:rPr>
      </w:pPr>
    </w:p>
    <w:p>
      <w:pPr>
        <w:spacing w:before="312" w:beforeLines="100"/>
        <w:jc w:val="center"/>
        <w:rPr>
          <w:rFonts w:ascii="宋体" w:hAnsi="宋体" w:cs="宋体"/>
          <w:color w:val="auto"/>
          <w:sz w:val="52"/>
          <w:szCs w:val="52"/>
          <w:highlight w:val="none"/>
        </w:rPr>
      </w:pPr>
      <w:r>
        <w:rPr>
          <w:rFonts w:hint="eastAsia" w:ascii="宋体" w:hAnsi="宋体" w:cs="宋体"/>
          <w:color w:val="auto"/>
          <w:sz w:val="52"/>
          <w:szCs w:val="52"/>
          <w:highlight w:val="none"/>
        </w:rPr>
        <w:t xml:space="preserve"> 投 标 文 件</w:t>
      </w: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28"/>
          <w:szCs w:val="44"/>
          <w:highlight w:val="none"/>
        </w:rPr>
      </w:pPr>
      <w:r>
        <w:rPr>
          <w:rFonts w:hint="eastAsia" w:ascii="宋体" w:hAnsi="宋体" w:cs="宋体"/>
          <w:color w:val="auto"/>
          <w:sz w:val="28"/>
          <w:szCs w:val="44"/>
          <w:highlight w:val="none"/>
        </w:rPr>
        <w:t>项目编号：</w:t>
      </w: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pStyle w:val="17"/>
        <w:rPr>
          <w:rFonts w:ascii="宋体" w:hAnsi="宋体" w:cs="宋体"/>
          <w:color w:val="auto"/>
          <w:highlight w:val="none"/>
        </w:rPr>
      </w:pPr>
    </w:p>
    <w:p>
      <w:pPr>
        <w:jc w:val="center"/>
        <w:rPr>
          <w:rFonts w:ascii="宋体" w:hAnsi="宋体" w:cs="宋体"/>
          <w:color w:val="auto"/>
          <w:sz w:val="32"/>
          <w:szCs w:val="32"/>
          <w:highlight w:val="none"/>
        </w:rPr>
      </w:pPr>
    </w:p>
    <w:p>
      <w:pPr>
        <w:rPr>
          <w:rFonts w:ascii="宋体" w:hAnsi="宋体" w:cs="宋体"/>
          <w:color w:val="auto"/>
          <w:sz w:val="32"/>
          <w:szCs w:val="32"/>
          <w:highlight w:val="none"/>
        </w:rPr>
      </w:pPr>
    </w:p>
    <w:p>
      <w:pPr>
        <w:jc w:val="center"/>
        <w:rPr>
          <w:rFonts w:ascii="宋体" w:hAnsi="宋体" w:cs="宋体"/>
          <w:color w:val="auto"/>
          <w:sz w:val="32"/>
          <w:szCs w:val="32"/>
          <w:highlight w:val="none"/>
        </w:rPr>
      </w:pP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投标人：</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（盖单位公章）</w:t>
      </w: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法定代表人</w:t>
      </w:r>
      <w:bookmarkStart w:id="180" w:name="_GoBack"/>
      <w:bookmarkEnd w:id="180"/>
      <w:r>
        <w:rPr>
          <w:rFonts w:hint="eastAsia" w:ascii="宋体" w:hAnsi="宋体" w:cs="宋体"/>
          <w:color w:val="auto"/>
          <w:sz w:val="28"/>
          <w:szCs w:val="28"/>
          <w:highlight w:val="none"/>
        </w:rPr>
        <w:t>或其授权代表：</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jc w:val="center"/>
        <w:rPr>
          <w:rFonts w:ascii="宋体" w:hAnsi="宋体" w:cs="宋体"/>
          <w:color w:val="auto"/>
          <w:sz w:val="28"/>
          <w:szCs w:val="28"/>
          <w:highlight w:val="none"/>
        </w:rPr>
      </w:pPr>
    </w:p>
    <w:p>
      <w:pPr>
        <w:jc w:val="center"/>
        <w:rPr>
          <w:rFonts w:ascii="宋体" w:hAnsi="宋体" w:cs="宋体"/>
          <w:color w:val="auto"/>
          <w:sz w:val="28"/>
          <w:szCs w:val="28"/>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adjustRightInd w:val="0"/>
        <w:snapToGrid w:val="0"/>
        <w:spacing w:line="360" w:lineRule="auto"/>
        <w:rPr>
          <w:rFonts w:ascii="宋体" w:hAnsi="宋体" w:cs="宋体"/>
          <w:b/>
          <w:color w:val="auto"/>
          <w:szCs w:val="21"/>
          <w:highlight w:val="none"/>
        </w:rPr>
      </w:pPr>
      <w:r>
        <w:rPr>
          <w:rFonts w:hint="eastAsia" w:ascii="宋体" w:hAnsi="宋体" w:cs="宋体"/>
          <w:color w:val="auto"/>
          <w:sz w:val="28"/>
          <w:szCs w:val="28"/>
          <w:highlight w:val="none"/>
        </w:rPr>
        <w:br w:type="page"/>
      </w:r>
    </w:p>
    <w:p>
      <w:pPr>
        <w:pStyle w:val="2"/>
        <w:spacing w:before="0" w:after="0"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1、投标函</w:t>
      </w:r>
    </w:p>
    <w:p>
      <w:pPr>
        <w:spacing w:line="480" w:lineRule="auto"/>
        <w:ind w:left="480" w:hanging="480"/>
        <w:rPr>
          <w:color w:val="auto"/>
          <w:szCs w:val="21"/>
          <w:highlight w:val="none"/>
        </w:rPr>
      </w:pPr>
      <w:r>
        <w:rPr>
          <w:color w:val="auto"/>
          <w:szCs w:val="21"/>
          <w:highlight w:val="none"/>
        </w:rPr>
        <w:t>致：</w:t>
      </w:r>
      <w:r>
        <w:rPr>
          <w:rFonts w:hint="eastAsia"/>
          <w:color w:val="auto"/>
          <w:szCs w:val="21"/>
          <w:highlight w:val="none"/>
        </w:rPr>
        <w:t>（采购代理机构）</w:t>
      </w:r>
    </w:p>
    <w:p>
      <w:pPr>
        <w:spacing w:line="480" w:lineRule="auto"/>
        <w:ind w:left="480" w:firstLine="420" w:firstLineChars="200"/>
        <w:jc w:val="left"/>
        <w:rPr>
          <w:color w:val="auto"/>
          <w:szCs w:val="21"/>
          <w:highlight w:val="none"/>
        </w:rPr>
      </w:pPr>
      <w:r>
        <w:rPr>
          <w:color w:val="auto"/>
          <w:szCs w:val="21"/>
          <w:highlight w:val="none"/>
        </w:rPr>
        <w:t>根据贵司</w:t>
      </w:r>
      <w:r>
        <w:rPr>
          <w:color w:val="auto"/>
          <w:szCs w:val="21"/>
          <w:highlight w:val="none"/>
          <w:u w:val="single" w:color="000000"/>
        </w:rPr>
        <w:t xml:space="preserve">                   </w:t>
      </w:r>
      <w:r>
        <w:rPr>
          <w:color w:val="auto"/>
          <w:szCs w:val="21"/>
          <w:highlight w:val="none"/>
        </w:rPr>
        <w:t>（项目编号为</w:t>
      </w:r>
      <w:r>
        <w:rPr>
          <w:color w:val="auto"/>
          <w:szCs w:val="21"/>
          <w:highlight w:val="none"/>
          <w:u w:val="single" w:color="000000"/>
        </w:rPr>
        <w:t xml:space="preserve">     ）   </w:t>
      </w:r>
      <w:r>
        <w:rPr>
          <w:color w:val="auto"/>
          <w:szCs w:val="21"/>
          <w:highlight w:val="none"/>
        </w:rPr>
        <w:t>的投标邀请函，正式授权下述签字人</w:t>
      </w:r>
      <w:r>
        <w:rPr>
          <w:color w:val="auto"/>
          <w:szCs w:val="21"/>
          <w:highlight w:val="none"/>
          <w:u w:val="single" w:color="000000"/>
        </w:rPr>
        <w:t xml:space="preserve">   （姓名）       </w:t>
      </w:r>
      <w:r>
        <w:rPr>
          <w:color w:val="auto"/>
          <w:szCs w:val="21"/>
          <w:highlight w:val="none"/>
        </w:rPr>
        <w:t>代表投标人</w:t>
      </w:r>
      <w:r>
        <w:rPr>
          <w:color w:val="auto"/>
          <w:szCs w:val="21"/>
          <w:highlight w:val="none"/>
          <w:u w:val="single" w:color="000000"/>
        </w:rPr>
        <w:t xml:space="preserve">    （投标单位名称）    </w:t>
      </w:r>
      <w:r>
        <w:rPr>
          <w:color w:val="auto"/>
          <w:szCs w:val="21"/>
          <w:highlight w:val="none"/>
        </w:rPr>
        <w:t>，电子版</w:t>
      </w:r>
      <w:r>
        <w:rPr>
          <w:rFonts w:hint="eastAsia"/>
          <w:color w:val="auto"/>
          <w:szCs w:val="21"/>
          <w:highlight w:val="none"/>
        </w:rPr>
        <w:t>文件</w:t>
      </w:r>
      <w:r>
        <w:rPr>
          <w:rFonts w:hint="eastAsia"/>
          <w:color w:val="auto"/>
          <w:szCs w:val="21"/>
          <w:highlight w:val="none"/>
          <w:u w:val="single"/>
        </w:rPr>
        <w:t xml:space="preserve">     </w:t>
      </w:r>
      <w:r>
        <w:rPr>
          <w:color w:val="auto"/>
          <w:szCs w:val="21"/>
          <w:highlight w:val="none"/>
        </w:rPr>
        <w:t xml:space="preserve">份。根据此函，我们宣布同意如下： </w:t>
      </w:r>
    </w:p>
    <w:p>
      <w:pPr>
        <w:numPr>
          <w:ilvl w:val="0"/>
          <w:numId w:val="3"/>
        </w:numPr>
        <w:spacing w:line="480" w:lineRule="auto"/>
        <w:ind w:hanging="420"/>
        <w:jc w:val="left"/>
        <w:rPr>
          <w:color w:val="auto"/>
          <w:szCs w:val="21"/>
          <w:highlight w:val="none"/>
        </w:rPr>
      </w:pPr>
      <w:r>
        <w:rPr>
          <w:color w:val="auto"/>
          <w:szCs w:val="21"/>
          <w:highlight w:val="none"/>
        </w:rPr>
        <w:t>我方接受</w:t>
      </w:r>
      <w:r>
        <w:rPr>
          <w:rFonts w:hint="eastAsia"/>
          <w:color w:val="auto"/>
          <w:szCs w:val="21"/>
          <w:highlight w:val="none"/>
        </w:rPr>
        <w:t>采购</w:t>
      </w:r>
      <w:r>
        <w:rPr>
          <w:color w:val="auto"/>
          <w:szCs w:val="21"/>
          <w:highlight w:val="none"/>
        </w:rPr>
        <w:t xml:space="preserve">文件的所有的条款和规定。 </w:t>
      </w:r>
    </w:p>
    <w:p>
      <w:pPr>
        <w:numPr>
          <w:ilvl w:val="0"/>
          <w:numId w:val="3"/>
        </w:numPr>
        <w:spacing w:line="480" w:lineRule="auto"/>
        <w:ind w:hanging="420"/>
        <w:jc w:val="left"/>
        <w:rPr>
          <w:color w:val="auto"/>
          <w:szCs w:val="21"/>
          <w:highlight w:val="none"/>
        </w:rPr>
      </w:pPr>
      <w:r>
        <w:rPr>
          <w:color w:val="auto"/>
          <w:szCs w:val="21"/>
          <w:highlight w:val="none"/>
        </w:rPr>
        <w:t>我方同意按照</w:t>
      </w:r>
      <w:r>
        <w:rPr>
          <w:rFonts w:hint="eastAsia"/>
          <w:color w:val="auto"/>
          <w:szCs w:val="21"/>
          <w:highlight w:val="none"/>
        </w:rPr>
        <w:t>采购</w:t>
      </w:r>
      <w:r>
        <w:rPr>
          <w:color w:val="auto"/>
          <w:szCs w:val="21"/>
          <w:highlight w:val="none"/>
        </w:rPr>
        <w:t>文件“</w:t>
      </w:r>
      <w:r>
        <w:rPr>
          <w:rFonts w:hint="eastAsia"/>
          <w:color w:val="auto"/>
          <w:szCs w:val="21"/>
          <w:highlight w:val="none"/>
        </w:rPr>
        <w:t>供应商</w:t>
      </w:r>
      <w:r>
        <w:rPr>
          <w:color w:val="auto"/>
          <w:szCs w:val="21"/>
          <w:highlight w:val="none"/>
        </w:rPr>
        <w:t>须知”的规定，本投标文件的</w:t>
      </w:r>
      <w:r>
        <w:rPr>
          <w:rFonts w:hint="eastAsia"/>
          <w:color w:val="auto"/>
          <w:szCs w:val="21"/>
          <w:highlight w:val="none"/>
        </w:rPr>
        <w:t>投标</w:t>
      </w:r>
      <w:r>
        <w:rPr>
          <w:color w:val="auto"/>
          <w:szCs w:val="21"/>
          <w:highlight w:val="none"/>
        </w:rPr>
        <w:t>有效期为从投标截止日期起计算的</w:t>
      </w:r>
      <w:r>
        <w:rPr>
          <w:color w:val="auto"/>
          <w:szCs w:val="21"/>
          <w:highlight w:val="none"/>
          <w:u w:val="single" w:color="000000"/>
        </w:rPr>
        <w:t xml:space="preserve">  </w:t>
      </w:r>
      <w:r>
        <w:rPr>
          <w:rFonts w:hint="eastAsia"/>
          <w:color w:val="auto"/>
          <w:szCs w:val="21"/>
          <w:highlight w:val="none"/>
          <w:u w:val="single" w:color="000000"/>
        </w:rPr>
        <w:t xml:space="preserve">  </w:t>
      </w:r>
      <w:r>
        <w:rPr>
          <w:color w:val="auto"/>
          <w:szCs w:val="21"/>
          <w:highlight w:val="none"/>
          <w:u w:val="single" w:color="000000"/>
        </w:rPr>
        <w:t xml:space="preserve"> </w:t>
      </w:r>
      <w:r>
        <w:rPr>
          <w:color w:val="auto"/>
          <w:szCs w:val="21"/>
          <w:highlight w:val="none"/>
        </w:rPr>
        <w:t xml:space="preserve">天，在此期间，本投标文件将始终对我方具有约束力，并可随时被接受。  </w:t>
      </w:r>
    </w:p>
    <w:p>
      <w:pPr>
        <w:numPr>
          <w:ilvl w:val="0"/>
          <w:numId w:val="3"/>
        </w:numPr>
        <w:spacing w:line="480" w:lineRule="auto"/>
        <w:ind w:hanging="420"/>
        <w:jc w:val="left"/>
        <w:rPr>
          <w:color w:val="auto"/>
          <w:szCs w:val="21"/>
          <w:highlight w:val="none"/>
        </w:rPr>
      </w:pPr>
      <w:r>
        <w:rPr>
          <w:color w:val="auto"/>
          <w:szCs w:val="21"/>
          <w:highlight w:val="none"/>
        </w:rPr>
        <w:t xml:space="preserve">我方完全理解贵方不一定要接受最低价的投标。 </w:t>
      </w:r>
    </w:p>
    <w:p>
      <w:pPr>
        <w:numPr>
          <w:ilvl w:val="0"/>
          <w:numId w:val="3"/>
        </w:numPr>
        <w:spacing w:line="480" w:lineRule="auto"/>
        <w:ind w:hanging="420"/>
        <w:jc w:val="left"/>
        <w:rPr>
          <w:color w:val="auto"/>
          <w:szCs w:val="21"/>
          <w:highlight w:val="none"/>
        </w:rPr>
      </w:pPr>
      <w:r>
        <w:rPr>
          <w:color w:val="auto"/>
          <w:szCs w:val="21"/>
          <w:highlight w:val="none"/>
        </w:rPr>
        <w:t>我</w:t>
      </w:r>
      <w:r>
        <w:rPr>
          <w:rFonts w:hint="eastAsia"/>
          <w:color w:val="auto"/>
          <w:szCs w:val="21"/>
          <w:highlight w:val="none"/>
        </w:rPr>
        <w:t>方</w:t>
      </w:r>
      <w:r>
        <w:rPr>
          <w:color w:val="auto"/>
          <w:szCs w:val="21"/>
          <w:highlight w:val="none"/>
        </w:rPr>
        <w:t xml:space="preserve">同意提供贵单位要求的有关本次投标的所有资料或证据。 </w:t>
      </w:r>
    </w:p>
    <w:p>
      <w:pPr>
        <w:numPr>
          <w:ilvl w:val="0"/>
          <w:numId w:val="3"/>
        </w:numPr>
        <w:spacing w:line="480" w:lineRule="auto"/>
        <w:ind w:hanging="420"/>
        <w:jc w:val="left"/>
        <w:rPr>
          <w:color w:val="auto"/>
          <w:szCs w:val="21"/>
          <w:highlight w:val="none"/>
        </w:rPr>
      </w:pPr>
      <w:r>
        <w:rPr>
          <w:color w:val="auto"/>
          <w:szCs w:val="21"/>
          <w:highlight w:val="none"/>
        </w:rPr>
        <w:t>如果我方中标，我们将根据</w:t>
      </w:r>
      <w:r>
        <w:rPr>
          <w:rFonts w:hint="eastAsia"/>
          <w:color w:val="auto"/>
          <w:szCs w:val="21"/>
          <w:highlight w:val="none"/>
        </w:rPr>
        <w:t>采购</w:t>
      </w:r>
      <w:r>
        <w:rPr>
          <w:color w:val="auto"/>
          <w:szCs w:val="21"/>
          <w:highlight w:val="none"/>
        </w:rPr>
        <w:t xml:space="preserve">文件的规定严格履行自己的责任和义务。 </w:t>
      </w:r>
    </w:p>
    <w:p>
      <w:pPr>
        <w:numPr>
          <w:ilvl w:val="0"/>
          <w:numId w:val="3"/>
        </w:numPr>
        <w:spacing w:line="480" w:lineRule="auto"/>
        <w:ind w:hanging="420"/>
        <w:jc w:val="left"/>
        <w:rPr>
          <w:color w:val="auto"/>
          <w:szCs w:val="21"/>
          <w:highlight w:val="none"/>
        </w:rPr>
      </w:pPr>
      <w:r>
        <w:rPr>
          <w:color w:val="auto"/>
          <w:szCs w:val="21"/>
          <w:highlight w:val="none"/>
        </w:rPr>
        <w:t xml:space="preserve">如果我方中标，我方将支付本次招标的服务费。 </w:t>
      </w:r>
    </w:p>
    <w:p>
      <w:pPr>
        <w:numPr>
          <w:ilvl w:val="0"/>
          <w:numId w:val="3"/>
        </w:numPr>
        <w:spacing w:line="480" w:lineRule="auto"/>
        <w:ind w:hanging="420"/>
        <w:jc w:val="left"/>
        <w:rPr>
          <w:color w:val="auto"/>
          <w:szCs w:val="21"/>
          <w:highlight w:val="none"/>
        </w:rPr>
      </w:pPr>
      <w:r>
        <w:rPr>
          <w:color w:val="auto"/>
          <w:szCs w:val="21"/>
          <w:highlight w:val="none"/>
        </w:rPr>
        <w:t>如果我方中标，我方将根据</w:t>
      </w:r>
      <w:r>
        <w:rPr>
          <w:rFonts w:hint="eastAsia"/>
          <w:color w:val="auto"/>
          <w:szCs w:val="21"/>
          <w:highlight w:val="none"/>
        </w:rPr>
        <w:t>采购</w:t>
      </w:r>
      <w:r>
        <w:rPr>
          <w:color w:val="auto"/>
          <w:szCs w:val="21"/>
          <w:highlight w:val="none"/>
        </w:rPr>
        <w:t xml:space="preserve">文件的规定递交履约保证金。 </w:t>
      </w:r>
    </w:p>
    <w:p>
      <w:pPr>
        <w:numPr>
          <w:ilvl w:val="0"/>
          <w:numId w:val="3"/>
        </w:numPr>
        <w:spacing w:line="480" w:lineRule="auto"/>
        <w:ind w:right="1560" w:hanging="420"/>
        <w:jc w:val="left"/>
        <w:rPr>
          <w:color w:val="auto"/>
          <w:szCs w:val="21"/>
          <w:highlight w:val="none"/>
        </w:rPr>
      </w:pPr>
      <w:r>
        <w:rPr>
          <w:rFonts w:hint="eastAsia"/>
          <w:color w:val="auto"/>
          <w:szCs w:val="21"/>
          <w:highlight w:val="none"/>
        </w:rPr>
        <w:t>我方对在本函及投标文件中所作的所有承诺承担法律责任。</w:t>
      </w:r>
      <w:r>
        <w:rPr>
          <w:color w:val="auto"/>
          <w:szCs w:val="21"/>
          <w:highlight w:val="none"/>
        </w:rPr>
        <w:t xml:space="preserve"> </w:t>
      </w:r>
    </w:p>
    <w:p>
      <w:pPr>
        <w:spacing w:line="480" w:lineRule="auto"/>
        <w:ind w:right="1560"/>
        <w:jc w:val="left"/>
        <w:rPr>
          <w:color w:val="auto"/>
          <w:szCs w:val="21"/>
          <w:highlight w:val="none"/>
        </w:rPr>
      </w:pPr>
      <w:r>
        <w:rPr>
          <w:color w:val="auto"/>
          <w:szCs w:val="21"/>
          <w:highlight w:val="none"/>
        </w:rPr>
        <w:t xml:space="preserve">    </w:t>
      </w:r>
      <w:r>
        <w:rPr>
          <w:rFonts w:hint="eastAsia"/>
          <w:color w:val="auto"/>
          <w:szCs w:val="21"/>
          <w:highlight w:val="none"/>
        </w:rPr>
        <w:t xml:space="preserve">    </w:t>
      </w:r>
      <w:r>
        <w:rPr>
          <w:color w:val="auto"/>
          <w:szCs w:val="21"/>
          <w:highlight w:val="none"/>
        </w:rPr>
        <w:t>投标人名称：</w:t>
      </w:r>
      <w:r>
        <w:rPr>
          <w:color w:val="auto"/>
          <w:szCs w:val="21"/>
          <w:highlight w:val="none"/>
          <w:u w:val="single" w:color="000000"/>
        </w:rPr>
        <w:t xml:space="preserve">     </w:t>
      </w:r>
      <w:r>
        <w:rPr>
          <w:rFonts w:hint="eastAsia"/>
          <w:color w:val="auto"/>
          <w:szCs w:val="21"/>
          <w:highlight w:val="none"/>
          <w:u w:val="single" w:color="000000"/>
        </w:rPr>
        <w:t xml:space="preserve">  </w:t>
      </w:r>
      <w:r>
        <w:rPr>
          <w:color w:val="auto"/>
          <w:szCs w:val="21"/>
          <w:highlight w:val="none"/>
          <w:u w:val="single" w:color="000000"/>
        </w:rPr>
        <w:t xml:space="preserve">  （</w:t>
      </w:r>
      <w:r>
        <w:rPr>
          <w:rFonts w:hint="eastAsia"/>
          <w:color w:val="auto"/>
          <w:szCs w:val="21"/>
          <w:highlight w:val="none"/>
          <w:u w:val="single" w:color="000000"/>
        </w:rPr>
        <w:t>加盖</w:t>
      </w:r>
      <w:r>
        <w:rPr>
          <w:color w:val="auto"/>
          <w:szCs w:val="21"/>
          <w:highlight w:val="none"/>
          <w:u w:val="single" w:color="000000"/>
        </w:rPr>
        <w:t>公章）</w:t>
      </w:r>
    </w:p>
    <w:p>
      <w:pPr>
        <w:spacing w:line="480" w:lineRule="auto"/>
        <w:ind w:right="1560" w:firstLine="840" w:firstLineChars="400"/>
        <w:jc w:val="left"/>
        <w:rPr>
          <w:color w:val="auto"/>
          <w:szCs w:val="21"/>
          <w:highlight w:val="none"/>
          <w:u w:val="single" w:color="000000"/>
        </w:rPr>
      </w:pPr>
      <w:r>
        <w:rPr>
          <w:color w:val="auto"/>
          <w:szCs w:val="21"/>
          <w:highlight w:val="none"/>
        </w:rPr>
        <w:t>地址：</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u w:val="single" w:color="000000"/>
        </w:rPr>
      </w:pPr>
      <w:r>
        <w:rPr>
          <w:color w:val="auto"/>
          <w:szCs w:val="21"/>
          <w:highlight w:val="none"/>
        </w:rPr>
        <w:t>电话：</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传真：</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开户名：</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开户行：</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账户：</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授权代表</w:t>
      </w:r>
      <w:r>
        <w:rPr>
          <w:rFonts w:hint="eastAsia"/>
          <w:color w:val="auto"/>
          <w:szCs w:val="21"/>
          <w:highlight w:val="none"/>
        </w:rPr>
        <w:t>（签字或盖章）</w:t>
      </w:r>
      <w:r>
        <w:rPr>
          <w:color w:val="auto"/>
          <w:szCs w:val="21"/>
          <w:highlight w:val="none"/>
        </w:rPr>
        <w:t>：</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职务：</w:t>
      </w:r>
      <w:r>
        <w:rPr>
          <w:color w:val="auto"/>
          <w:szCs w:val="21"/>
          <w:highlight w:val="none"/>
          <w:u w:val="single" w:color="000000"/>
        </w:rPr>
        <w:t xml:space="preserve">                           .</w:t>
      </w:r>
    </w:p>
    <w:p>
      <w:pPr>
        <w:spacing w:line="480" w:lineRule="auto"/>
        <w:ind w:right="1560" w:firstLine="840" w:firstLineChars="400"/>
        <w:jc w:val="left"/>
        <w:rPr>
          <w:color w:val="auto"/>
          <w:szCs w:val="21"/>
          <w:highlight w:val="none"/>
        </w:rPr>
      </w:pPr>
      <w:r>
        <w:rPr>
          <w:color w:val="auto"/>
          <w:szCs w:val="21"/>
          <w:highlight w:val="none"/>
        </w:rPr>
        <w:t xml:space="preserve">日期：        年    月    日 </w:t>
      </w:r>
    </w:p>
    <w:p>
      <w:pPr>
        <w:pStyle w:val="2"/>
        <w:pageBreakBefore/>
        <w:spacing w:line="500" w:lineRule="exact"/>
        <w:jc w:val="center"/>
        <w:rPr>
          <w:rFonts w:asciiTheme="majorEastAsia" w:hAnsiTheme="majorEastAsia" w:eastAsiaTheme="majorEastAsia" w:cstheme="majorEastAsia"/>
          <w:color w:val="auto"/>
          <w:sz w:val="21"/>
          <w:szCs w:val="21"/>
          <w:highlight w:val="none"/>
        </w:rPr>
      </w:pPr>
      <w:bookmarkStart w:id="170" w:name="_Toc171325099"/>
      <w:bookmarkStart w:id="171" w:name="_Toc136343478"/>
      <w:r>
        <w:rPr>
          <w:rFonts w:hint="eastAsia" w:asciiTheme="majorEastAsia" w:hAnsiTheme="majorEastAsia" w:eastAsiaTheme="majorEastAsia" w:cstheme="majorEastAsia"/>
          <w:color w:val="auto"/>
          <w:sz w:val="21"/>
          <w:szCs w:val="21"/>
          <w:highlight w:val="none"/>
        </w:rPr>
        <w:t>2、开标一览表</w:t>
      </w:r>
      <w:bookmarkEnd w:id="170"/>
      <w:bookmarkEnd w:id="171"/>
    </w:p>
    <w:tbl>
      <w:tblPr>
        <w:tblStyle w:val="20"/>
        <w:tblW w:w="106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94"/>
        <w:gridCol w:w="3841"/>
        <w:gridCol w:w="1805"/>
        <w:gridCol w:w="284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2194" w:type="dxa"/>
            <w:shd w:val="pct10" w:color="auto" w:fill="auto"/>
            <w:vAlign w:val="center"/>
          </w:tcPr>
          <w:p>
            <w:pPr>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项目名称</w:t>
            </w:r>
          </w:p>
        </w:tc>
        <w:tc>
          <w:tcPr>
            <w:tcW w:w="3841" w:type="dxa"/>
            <w:shd w:val="clear" w:color="auto" w:fill="auto"/>
            <w:vAlign w:val="center"/>
          </w:tcPr>
          <w:p>
            <w:pPr>
              <w:jc w:val="center"/>
              <w:rPr>
                <w:rFonts w:asciiTheme="majorEastAsia" w:hAnsiTheme="majorEastAsia" w:eastAsiaTheme="majorEastAsia" w:cstheme="majorEastAsia"/>
                <w:color w:val="auto"/>
                <w:szCs w:val="21"/>
                <w:highlight w:val="none"/>
              </w:rPr>
            </w:pPr>
          </w:p>
        </w:tc>
        <w:tc>
          <w:tcPr>
            <w:tcW w:w="1805" w:type="dxa"/>
            <w:tcBorders>
              <w:bottom w:val="single" w:color="auto" w:sz="4" w:space="0"/>
            </w:tcBorders>
            <w:shd w:val="pct10" w:color="auto" w:fill="auto"/>
            <w:vAlign w:val="center"/>
          </w:tcPr>
          <w:p>
            <w:pPr>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项目编号</w:t>
            </w:r>
          </w:p>
        </w:tc>
        <w:tc>
          <w:tcPr>
            <w:tcW w:w="2840" w:type="dxa"/>
            <w:tcBorders>
              <w:bottom w:val="single" w:color="auto" w:sz="4" w:space="0"/>
            </w:tcBorders>
            <w:vAlign w:val="center"/>
          </w:tcPr>
          <w:p>
            <w:pPr>
              <w:jc w:val="center"/>
              <w:rPr>
                <w:rFonts w:asciiTheme="majorEastAsia" w:hAnsiTheme="majorEastAsia" w:eastAsiaTheme="majorEastAsia" w:cstheme="majorEastAsia"/>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2194" w:type="dxa"/>
            <w:vMerge w:val="restart"/>
            <w:shd w:val="pct10" w:color="auto" w:fill="auto"/>
            <w:vAlign w:val="center"/>
          </w:tcPr>
          <w:p>
            <w:pPr>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投标报价</w:t>
            </w:r>
          </w:p>
        </w:tc>
        <w:tc>
          <w:tcPr>
            <w:tcW w:w="8486" w:type="dxa"/>
            <w:gridSpan w:val="3"/>
            <w:vAlign w:val="center"/>
          </w:tcPr>
          <w:p>
            <w:pPr>
              <w:autoSpaceDE w:val="0"/>
              <w:autoSpaceDN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人民币（大写）：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2194" w:type="dxa"/>
            <w:vMerge w:val="continue"/>
            <w:shd w:val="pct10" w:color="auto" w:fill="auto"/>
            <w:vAlign w:val="center"/>
          </w:tcPr>
          <w:p>
            <w:pPr>
              <w:jc w:val="center"/>
              <w:rPr>
                <w:rFonts w:asciiTheme="majorEastAsia" w:hAnsiTheme="majorEastAsia" w:eastAsiaTheme="majorEastAsia" w:cstheme="majorEastAsia"/>
                <w:b/>
                <w:color w:val="auto"/>
                <w:szCs w:val="21"/>
                <w:highlight w:val="none"/>
              </w:rPr>
            </w:pPr>
          </w:p>
        </w:tc>
        <w:tc>
          <w:tcPr>
            <w:tcW w:w="8486" w:type="dxa"/>
            <w:gridSpan w:val="3"/>
            <w:vAlign w:val="center"/>
          </w:tcPr>
          <w:p>
            <w:pPr>
              <w:autoSpaceDE w:val="0"/>
              <w:autoSpaceDN w:val="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70" w:hRule="atLeast"/>
          <w:jc w:val="center"/>
        </w:trPr>
        <w:tc>
          <w:tcPr>
            <w:tcW w:w="2194" w:type="dxa"/>
            <w:shd w:val="pct10" w:color="auto" w:fill="auto"/>
            <w:vAlign w:val="center"/>
          </w:tcPr>
          <w:p>
            <w:pPr>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合同履行期限</w:t>
            </w:r>
          </w:p>
        </w:tc>
        <w:tc>
          <w:tcPr>
            <w:tcW w:w="8486" w:type="dxa"/>
            <w:gridSpan w:val="3"/>
            <w:shd w:val="clear" w:color="auto" w:fill="auto"/>
            <w:vAlign w:val="center"/>
          </w:tcPr>
          <w:p>
            <w:pPr>
              <w:jc w:val="center"/>
              <w:rPr>
                <w:rFonts w:asciiTheme="majorEastAsia" w:hAnsiTheme="majorEastAsia" w:eastAsiaTheme="majorEastAsia" w:cstheme="majorEastAsia"/>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50" w:hRule="exact"/>
          <w:jc w:val="center"/>
        </w:trPr>
        <w:tc>
          <w:tcPr>
            <w:tcW w:w="2194" w:type="dxa"/>
            <w:shd w:val="pct10" w:color="auto" w:fill="auto"/>
            <w:vAlign w:val="center"/>
          </w:tcPr>
          <w:p>
            <w:pPr>
              <w:jc w:val="center"/>
              <w:rPr>
                <w:rFonts w:asciiTheme="majorEastAsia" w:hAnsiTheme="majorEastAsia" w:eastAsiaTheme="majorEastAsia" w:cstheme="majorEastAsia"/>
                <w:b/>
                <w:color w:val="auto"/>
                <w:szCs w:val="21"/>
                <w:highlight w:val="none"/>
              </w:rPr>
            </w:pPr>
            <w:r>
              <w:rPr>
                <w:rFonts w:hint="eastAsia" w:asciiTheme="majorEastAsia" w:hAnsiTheme="majorEastAsia" w:eastAsiaTheme="majorEastAsia" w:cstheme="majorEastAsia"/>
                <w:b/>
                <w:color w:val="auto"/>
                <w:szCs w:val="21"/>
                <w:highlight w:val="none"/>
              </w:rPr>
              <w:t>服务期</w:t>
            </w:r>
          </w:p>
        </w:tc>
        <w:tc>
          <w:tcPr>
            <w:tcW w:w="8486" w:type="dxa"/>
            <w:gridSpan w:val="3"/>
            <w:vAlign w:val="center"/>
          </w:tcPr>
          <w:p>
            <w:pPr>
              <w:jc w:val="center"/>
              <w:rPr>
                <w:rFonts w:asciiTheme="majorEastAsia" w:hAnsiTheme="majorEastAsia" w:eastAsiaTheme="majorEastAsia" w:cstheme="majorEastAsia"/>
                <w:color w:val="auto"/>
                <w:szCs w:val="21"/>
                <w:highlight w:val="none"/>
              </w:rPr>
            </w:pPr>
          </w:p>
        </w:tc>
      </w:tr>
    </w:tbl>
    <w:p>
      <w:pPr>
        <w:spacing w:line="500" w:lineRule="exact"/>
        <w:ind w:firstLine="1050" w:firstLineChars="500"/>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备注：</w:t>
      </w:r>
    </w:p>
    <w:p>
      <w:pPr>
        <w:spacing w:line="500" w:lineRule="exact"/>
        <w:ind w:firstLine="1050" w:firstLineChars="500"/>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1、报价大小写不一致时以大写为准；</w:t>
      </w:r>
    </w:p>
    <w:p>
      <w:pPr>
        <w:spacing w:line="500" w:lineRule="exact"/>
        <w:ind w:firstLine="1050" w:firstLineChars="500"/>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2、投标报价包括本招标文件中要求的所有工程、货物、服务、税、保险等一切费用；</w:t>
      </w:r>
    </w:p>
    <w:p>
      <w:pPr>
        <w:spacing w:line="500" w:lineRule="exact"/>
        <w:ind w:firstLine="1050" w:firstLineChars="500"/>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3、在表内未有明确列述的项目费用应视为包括在投标报价之内；</w:t>
      </w:r>
    </w:p>
    <w:p>
      <w:pPr>
        <w:spacing w:line="500" w:lineRule="exact"/>
        <w:ind w:firstLine="1050" w:firstLineChars="500"/>
        <w:rPr>
          <w:rFonts w:asciiTheme="majorEastAsia" w:hAnsiTheme="majorEastAsia" w:eastAsiaTheme="majorEastAsia" w:cstheme="majorEastAsia"/>
          <w:bCs/>
          <w:color w:val="auto"/>
          <w:szCs w:val="21"/>
          <w:highlight w:val="none"/>
        </w:rPr>
      </w:pPr>
      <w:r>
        <w:rPr>
          <w:rFonts w:hint="eastAsia" w:asciiTheme="majorEastAsia" w:hAnsiTheme="majorEastAsia" w:eastAsiaTheme="majorEastAsia" w:cstheme="majorEastAsia"/>
          <w:bCs/>
          <w:color w:val="auto"/>
          <w:szCs w:val="21"/>
          <w:highlight w:val="none"/>
        </w:rPr>
        <w:t>4、开标一览表格式不得自行改动。此表为表样，行数可自行添加，但表式不变。</w:t>
      </w:r>
    </w:p>
    <w:p>
      <w:pPr>
        <w:spacing w:line="500" w:lineRule="exact"/>
        <w:rPr>
          <w:rFonts w:asciiTheme="majorEastAsia" w:hAnsiTheme="majorEastAsia" w:eastAsiaTheme="majorEastAsia" w:cstheme="majorEastAsia"/>
          <w:color w:val="auto"/>
          <w:szCs w:val="21"/>
          <w:highlight w:val="none"/>
        </w:rPr>
      </w:pPr>
    </w:p>
    <w:p>
      <w:pPr>
        <w:spacing w:line="600" w:lineRule="exact"/>
        <w:ind w:firstLine="1050" w:firstLineChars="50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投标人名称：</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（加盖公章）</w:t>
      </w:r>
    </w:p>
    <w:p>
      <w:pPr>
        <w:spacing w:line="600" w:lineRule="exact"/>
        <w:ind w:firstLine="1050" w:firstLineChars="500"/>
        <w:rPr>
          <w:rFonts w:asciiTheme="majorEastAsia" w:hAnsiTheme="majorEastAsia" w:eastAsiaTheme="majorEastAsia" w:cstheme="majorEastAsia"/>
          <w:color w:val="auto"/>
          <w:szCs w:val="21"/>
          <w:highlight w:val="none"/>
          <w:u w:val="single"/>
        </w:rPr>
      </w:pPr>
      <w:r>
        <w:rPr>
          <w:rFonts w:hint="eastAsia" w:asciiTheme="majorEastAsia" w:hAnsiTheme="majorEastAsia" w:eastAsiaTheme="majorEastAsia" w:cstheme="majorEastAsia"/>
          <w:color w:val="auto"/>
          <w:szCs w:val="21"/>
          <w:highlight w:val="none"/>
        </w:rPr>
        <w:t>法定代表人或其授权代表（签字）：</w:t>
      </w:r>
      <w:r>
        <w:rPr>
          <w:rFonts w:hint="eastAsia" w:asciiTheme="majorEastAsia" w:hAnsiTheme="majorEastAsia" w:eastAsiaTheme="majorEastAsia" w:cstheme="majorEastAsia"/>
          <w:color w:val="auto"/>
          <w:szCs w:val="21"/>
          <w:highlight w:val="none"/>
          <w:u w:val="single"/>
        </w:rPr>
        <w:t xml:space="preserve">           </w:t>
      </w:r>
    </w:p>
    <w:p>
      <w:pPr>
        <w:spacing w:line="600" w:lineRule="exact"/>
        <w:ind w:firstLine="1050" w:firstLineChars="500"/>
        <w:rPr>
          <w:rFonts w:asciiTheme="majorEastAsia" w:hAnsiTheme="majorEastAsia" w:eastAsiaTheme="majorEastAsia" w:cstheme="majorEastAsia"/>
          <w:color w:val="auto"/>
          <w:szCs w:val="21"/>
          <w:highlight w:val="none"/>
        </w:rPr>
      </w:pPr>
      <w:r>
        <w:rPr>
          <w:rFonts w:hint="eastAsia" w:asciiTheme="majorEastAsia" w:hAnsiTheme="majorEastAsia" w:eastAsiaTheme="majorEastAsia" w:cstheme="majorEastAsia"/>
          <w:color w:val="auto"/>
          <w:szCs w:val="21"/>
          <w:highlight w:val="none"/>
        </w:rPr>
        <w:t>日      期：</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年</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月</w:t>
      </w:r>
      <w:r>
        <w:rPr>
          <w:rFonts w:hint="eastAsia" w:asciiTheme="majorEastAsia" w:hAnsiTheme="majorEastAsia" w:eastAsiaTheme="majorEastAsia" w:cstheme="majorEastAsia"/>
          <w:color w:val="auto"/>
          <w:szCs w:val="21"/>
          <w:highlight w:val="none"/>
          <w:u w:val="single"/>
        </w:rPr>
        <w:t xml:space="preserve">        </w:t>
      </w:r>
      <w:r>
        <w:rPr>
          <w:rFonts w:hint="eastAsia" w:asciiTheme="majorEastAsia" w:hAnsiTheme="majorEastAsia" w:eastAsiaTheme="majorEastAsia" w:cstheme="majorEastAsia"/>
          <w:color w:val="auto"/>
          <w:szCs w:val="21"/>
          <w:highlight w:val="none"/>
        </w:rPr>
        <w:t>日</w:t>
      </w:r>
    </w:p>
    <w:p>
      <w:pPr>
        <w:pStyle w:val="67"/>
        <w:spacing w:line="480" w:lineRule="auto"/>
        <w:jc w:val="left"/>
        <w:rPr>
          <w:rFonts w:asciiTheme="majorEastAsia" w:hAnsiTheme="majorEastAsia" w:eastAsiaTheme="majorEastAsia" w:cstheme="majorEastAsia"/>
          <w:color w:val="auto"/>
          <w:szCs w:val="21"/>
          <w:highlight w:val="none"/>
          <w:u w:val="single"/>
        </w:rPr>
      </w:pPr>
    </w:p>
    <w:p>
      <w:pPr>
        <w:pStyle w:val="19"/>
        <w:ind w:firstLine="422"/>
        <w:rPr>
          <w:rFonts w:asciiTheme="majorEastAsia" w:hAnsiTheme="majorEastAsia" w:eastAsiaTheme="majorEastAsia" w:cstheme="maj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3、报价明细表</w:t>
      </w:r>
    </w:p>
    <w:tbl>
      <w:tblPr>
        <w:tblStyle w:val="20"/>
        <w:tblW w:w="9150" w:type="dxa"/>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085"/>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25"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年度</w:t>
            </w:r>
          </w:p>
        </w:tc>
        <w:tc>
          <w:tcPr>
            <w:tcW w:w="2085"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最高限价</w:t>
            </w:r>
          </w:p>
        </w:tc>
        <w:tc>
          <w:tcPr>
            <w:tcW w:w="5040" w:type="dxa"/>
            <w:noWrap/>
          </w:tcPr>
          <w:p>
            <w:pPr>
              <w:pStyle w:val="11"/>
              <w:spacing w:line="480" w:lineRule="auto"/>
              <w:jc w:val="center"/>
              <w:outlineLvl w:val="0"/>
              <w:rPr>
                <w:rFonts w:hAnsi="宋体" w:cs="宋体"/>
                <w:color w:val="auto"/>
                <w:szCs w:val="21"/>
                <w:highlight w:val="none"/>
              </w:rPr>
            </w:pPr>
            <w:r>
              <w:rPr>
                <w:rFonts w:hint="eastAsia" w:hAnsi="宋体" w:cs="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noWrap/>
            <w:vAlign w:val="center"/>
          </w:tcPr>
          <w:p>
            <w:pPr>
              <w:spacing w:line="480" w:lineRule="auto"/>
              <w:jc w:val="center"/>
              <w:rPr>
                <w:rFonts w:ascii="宋体" w:hAnsi="宋体" w:cs="宋体"/>
                <w:color w:val="auto"/>
                <w:szCs w:val="21"/>
                <w:highlight w:val="none"/>
              </w:rPr>
            </w:pPr>
            <w:r>
              <w:rPr>
                <w:rFonts w:hint="eastAsia" w:ascii="宋体" w:hAnsi="宋体" w:cs="宋体"/>
                <w:color w:val="auto"/>
                <w:szCs w:val="21"/>
                <w:highlight w:val="none"/>
              </w:rPr>
              <w:t>2024年度</w:t>
            </w:r>
          </w:p>
        </w:tc>
        <w:tc>
          <w:tcPr>
            <w:tcW w:w="2085" w:type="dxa"/>
            <w:noWrap/>
            <w:vAlign w:val="center"/>
          </w:tcPr>
          <w:p>
            <w:pPr>
              <w:spacing w:line="480" w:lineRule="auto"/>
              <w:rPr>
                <w:rFonts w:ascii="宋体" w:hAnsi="宋体" w:cs="宋体"/>
                <w:color w:val="auto"/>
                <w:szCs w:val="21"/>
                <w:highlight w:val="none"/>
              </w:rPr>
            </w:pPr>
            <w:r>
              <w:rPr>
                <w:rFonts w:hint="eastAsia" w:ascii="宋体" w:hAnsi="宋体" w:cs="宋体"/>
                <w:color w:val="auto"/>
                <w:szCs w:val="21"/>
                <w:highlight w:val="none"/>
              </w:rPr>
              <w:t>￥           元</w:t>
            </w:r>
          </w:p>
        </w:tc>
        <w:tc>
          <w:tcPr>
            <w:tcW w:w="5040" w:type="dxa"/>
            <w:noWrap/>
            <w:vAlign w:val="center"/>
          </w:tcPr>
          <w:p>
            <w:pPr>
              <w:spacing w:line="48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分项报价，报价不超过2024年度最高限价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25" w:type="dxa"/>
            <w:noWrap/>
            <w:vAlign w:val="center"/>
          </w:tcPr>
          <w:p>
            <w:pPr>
              <w:spacing w:line="480" w:lineRule="auto"/>
              <w:jc w:val="center"/>
              <w:rPr>
                <w:rFonts w:ascii="宋体" w:hAnsi="宋体" w:cs="宋体"/>
                <w:color w:val="auto"/>
                <w:szCs w:val="21"/>
                <w:highlight w:val="none"/>
              </w:rPr>
            </w:pPr>
            <w:r>
              <w:rPr>
                <w:rFonts w:hint="eastAsia" w:ascii="宋体" w:hAnsi="宋体" w:cs="宋体"/>
                <w:color w:val="auto"/>
                <w:szCs w:val="21"/>
                <w:highlight w:val="none"/>
              </w:rPr>
              <w:t>2025年度</w:t>
            </w:r>
          </w:p>
        </w:tc>
        <w:tc>
          <w:tcPr>
            <w:tcW w:w="2085" w:type="dxa"/>
            <w:noWrap/>
            <w:vAlign w:val="center"/>
          </w:tcPr>
          <w:p>
            <w:pPr>
              <w:spacing w:line="480" w:lineRule="auto"/>
              <w:rPr>
                <w:rFonts w:ascii="宋体" w:hAnsi="宋体" w:cs="宋体"/>
                <w:color w:val="auto"/>
                <w:szCs w:val="21"/>
                <w:highlight w:val="none"/>
              </w:rPr>
            </w:pPr>
            <w:r>
              <w:rPr>
                <w:rFonts w:hint="eastAsia" w:ascii="宋体" w:hAnsi="宋体" w:cs="宋体"/>
                <w:color w:val="auto"/>
                <w:szCs w:val="21"/>
                <w:highlight w:val="none"/>
              </w:rPr>
              <w:t>￥           元</w:t>
            </w:r>
          </w:p>
        </w:tc>
        <w:tc>
          <w:tcPr>
            <w:tcW w:w="5040" w:type="dxa"/>
            <w:noWrap/>
            <w:vAlign w:val="center"/>
          </w:tcPr>
          <w:p>
            <w:pPr>
              <w:spacing w:line="480" w:lineRule="auto"/>
              <w:ind w:firstLine="205" w:firstLineChars="98"/>
              <w:rPr>
                <w:rFonts w:ascii="宋体" w:hAnsi="宋体" w:cs="宋体"/>
                <w:color w:val="auto"/>
                <w:szCs w:val="21"/>
                <w:highlight w:val="none"/>
              </w:rPr>
            </w:pPr>
            <w:r>
              <w:rPr>
                <w:rFonts w:hint="eastAsia" w:ascii="宋体" w:hAnsi="宋体" w:cs="宋体"/>
                <w:color w:val="auto"/>
                <w:szCs w:val="21"/>
                <w:highlight w:val="none"/>
              </w:rPr>
              <w:t>分项报价，报价不超过2025年度最高限价</w:t>
            </w:r>
          </w:p>
        </w:tc>
      </w:tr>
    </w:tbl>
    <w:p>
      <w:pPr>
        <w:pStyle w:val="67"/>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注：投标人根据项目情况和自身情况列明各分项价格，要求各分项价格之和等于开标一览表中的投标报价。各分项价格要求完整无漏项，完全包括完成与本项目有关的一切费用，否则视同免费提供。</w:t>
      </w: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p>
    <w:p>
      <w:pPr>
        <w:pStyle w:val="67"/>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r>
        <w:rPr>
          <w:color w:val="auto"/>
          <w:szCs w:val="21"/>
          <w:highlight w:val="none"/>
          <w:u w:val="single" w:color="000000"/>
        </w:rPr>
        <w:t>（</w:t>
      </w:r>
      <w:r>
        <w:rPr>
          <w:rFonts w:hint="eastAsia"/>
          <w:color w:val="auto"/>
          <w:szCs w:val="21"/>
          <w:highlight w:val="none"/>
          <w:u w:val="single" w:color="000000"/>
        </w:rPr>
        <w:t>加盖</w:t>
      </w:r>
      <w:r>
        <w:rPr>
          <w:color w:val="auto"/>
          <w:szCs w:val="21"/>
          <w:highlight w:val="none"/>
          <w:u w:val="single" w:color="000000"/>
        </w:rPr>
        <w:t>公章）</w:t>
      </w:r>
      <w:r>
        <w:rPr>
          <w:rFonts w:hint="eastAsia" w:ascii="宋体" w:hAnsi="宋体" w:cs="宋体"/>
          <w:color w:val="auto"/>
          <w:szCs w:val="21"/>
          <w:highlight w:val="none"/>
          <w:u w:val="single"/>
        </w:rPr>
        <w:t xml:space="preserve"> </w:t>
      </w:r>
    </w:p>
    <w:p>
      <w:pPr>
        <w:pStyle w:val="67"/>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w:t>
      </w:r>
    </w:p>
    <w:p>
      <w:pPr>
        <w:pStyle w:val="67"/>
        <w:spacing w:line="360" w:lineRule="auto"/>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法定代表人或授权代理人（签字）：</w:t>
      </w:r>
      <w:r>
        <w:rPr>
          <w:rFonts w:hint="eastAsia" w:ascii="宋体" w:hAnsi="宋体" w:cs="宋体"/>
          <w:color w:val="auto"/>
          <w:szCs w:val="21"/>
          <w:highlight w:val="none"/>
          <w:u w:val="single"/>
        </w:rPr>
        <w:t xml:space="preserve">            </w:t>
      </w:r>
    </w:p>
    <w:p>
      <w:pPr>
        <w:pStyle w:val="67"/>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w:t>
      </w:r>
    </w:p>
    <w:p>
      <w:pPr>
        <w:pStyle w:val="67"/>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日期：    年    月    日 </w:t>
      </w:r>
    </w:p>
    <w:p>
      <w:pPr>
        <w:pStyle w:val="67"/>
        <w:spacing w:line="360" w:lineRule="auto"/>
        <w:ind w:firstLine="420" w:firstLineChars="200"/>
        <w:jc w:val="left"/>
        <w:rPr>
          <w:rFonts w:ascii="宋体" w:hAnsi="宋体" w:cs="宋体"/>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pStyle w:val="19"/>
        <w:ind w:firstLine="422"/>
        <w:rPr>
          <w:rFonts w:asciiTheme="minorEastAsia" w:hAnsiTheme="minorEastAsia" w:eastAsiaTheme="minorEastAsia" w:cstheme="minorEastAsia"/>
          <w:b/>
          <w:color w:val="auto"/>
          <w:highlight w:val="none"/>
        </w:rPr>
      </w:pPr>
    </w:p>
    <w:p>
      <w:pPr>
        <w:rPr>
          <w:rFonts w:asciiTheme="minorEastAsia" w:hAnsiTheme="minorEastAsia" w:eastAsiaTheme="minorEastAsia" w:cstheme="minorEastAsia"/>
          <w:b/>
          <w:color w:val="auto"/>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spacing w:before="0" w:after="0"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bookmarkStart w:id="172" w:name="_Toc33175357"/>
      <w:bookmarkStart w:id="173" w:name="_Toc18176"/>
      <w:bookmarkStart w:id="174" w:name="_Toc28591956"/>
      <w:bookmarkStart w:id="175" w:name="_Toc463799114"/>
      <w:bookmarkStart w:id="176" w:name="_Toc419825087"/>
      <w:bookmarkStart w:id="177" w:name="_Toc28592130"/>
      <w:bookmarkStart w:id="178" w:name="_Toc419825435"/>
      <w:bookmarkStart w:id="179" w:name="_Toc290198802"/>
      <w:r>
        <w:rPr>
          <w:rFonts w:hint="eastAsia" w:ascii="宋体" w:hAnsi="宋体" w:eastAsia="宋体" w:cs="宋体"/>
          <w:color w:val="auto"/>
          <w:sz w:val="21"/>
          <w:szCs w:val="21"/>
          <w:highlight w:val="none"/>
        </w:rPr>
        <w:t>法定代表人身份证明</w:t>
      </w:r>
      <w:bookmarkEnd w:id="172"/>
      <w:bookmarkEnd w:id="173"/>
      <w:bookmarkEnd w:id="174"/>
      <w:bookmarkEnd w:id="175"/>
      <w:bookmarkEnd w:id="176"/>
      <w:bookmarkEnd w:id="177"/>
      <w:bookmarkEnd w:id="178"/>
      <w:bookmarkEnd w:id="179"/>
    </w:p>
    <w:p>
      <w:pPr>
        <w:snapToGrid w:val="0"/>
        <w:spacing w:line="360" w:lineRule="auto"/>
        <w:ind w:firstLine="561"/>
        <w:rPr>
          <w:rFonts w:ascii="宋体" w:hAnsi="宋体" w:cs="宋体"/>
          <w:bCs/>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475" w:hanging="10"/>
        <w:rPr>
          <w:rFonts w:ascii="宋体" w:hAnsi="宋体" w:cs="宋体"/>
          <w:color w:val="auto"/>
          <w:szCs w:val="21"/>
          <w:highlight w:val="none"/>
        </w:rPr>
      </w:pPr>
      <w:r>
        <w:rPr>
          <w:rFonts w:hint="eastAsia" w:ascii="宋体" w:hAnsi="宋体" w:cs="宋体"/>
          <w:color w:val="auto"/>
          <w:szCs w:val="21"/>
          <w:highlight w:val="none"/>
        </w:rPr>
        <w:t>单位名称：</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w:t>
      </w:r>
    </w:p>
    <w:p>
      <w:pPr>
        <w:spacing w:line="360" w:lineRule="auto"/>
        <w:ind w:left="480"/>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475" w:hanging="10"/>
        <w:rPr>
          <w:rFonts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w:t>
      </w:r>
    </w:p>
    <w:p>
      <w:pPr>
        <w:spacing w:line="360" w:lineRule="auto"/>
        <w:ind w:left="480"/>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475" w:hanging="10"/>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w:t>
      </w:r>
    </w:p>
    <w:p>
      <w:pPr>
        <w:spacing w:line="360" w:lineRule="auto"/>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系</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的法定代表人。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475" w:hanging="10"/>
        <w:rPr>
          <w:rFonts w:ascii="宋体" w:hAnsi="宋体" w:cs="宋体"/>
          <w:color w:val="auto"/>
          <w:szCs w:val="21"/>
          <w:highlight w:val="none"/>
        </w:rPr>
      </w:pPr>
      <w:r>
        <w:rPr>
          <w:rFonts w:hint="eastAsia" w:ascii="宋体" w:hAnsi="宋体" w:cs="宋体"/>
          <w:color w:val="auto"/>
          <w:szCs w:val="21"/>
          <w:highlight w:val="none"/>
        </w:rPr>
        <w:t xml:space="preserve">特此证明。 </w:t>
      </w:r>
    </w:p>
    <w:p>
      <w:pPr>
        <w:spacing w:line="360" w:lineRule="auto"/>
        <w:ind w:left="475" w:hanging="10"/>
        <w:rPr>
          <w:rFonts w:ascii="宋体" w:hAnsi="宋体" w:cs="宋体"/>
          <w:color w:val="auto"/>
          <w:szCs w:val="21"/>
          <w:highlight w:val="none"/>
        </w:rPr>
      </w:pPr>
    </w:p>
    <w:tbl>
      <w:tblPr>
        <w:tblStyle w:val="68"/>
        <w:tblW w:w="9818" w:type="dxa"/>
        <w:tblInd w:w="473" w:type="dxa"/>
        <w:tblLayout w:type="fixed"/>
        <w:tblCellMar>
          <w:top w:w="59" w:type="dxa"/>
          <w:left w:w="108" w:type="dxa"/>
          <w:bottom w:w="0" w:type="dxa"/>
          <w:right w:w="115" w:type="dxa"/>
        </w:tblCellMar>
      </w:tblPr>
      <w:tblGrid>
        <w:gridCol w:w="4483"/>
        <w:gridCol w:w="852"/>
        <w:gridCol w:w="4483"/>
      </w:tblGrid>
      <w:tr>
        <w:tblPrEx>
          <w:tblCellMar>
            <w:top w:w="59" w:type="dxa"/>
            <w:left w:w="108" w:type="dxa"/>
            <w:bottom w:w="0" w:type="dxa"/>
            <w:right w:w="115" w:type="dxa"/>
          </w:tblCellMar>
        </w:tblPrEx>
        <w:trPr>
          <w:trHeight w:val="3234" w:hRule="atLeast"/>
        </w:trPr>
        <w:tc>
          <w:tcPr>
            <w:tcW w:w="4483"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
              <w:jc w:val="center"/>
              <w:rPr>
                <w:rFonts w:ascii="宋体" w:hAnsi="宋体" w:cs="宋体"/>
                <w:color w:val="auto"/>
                <w:szCs w:val="21"/>
                <w:highlight w:val="none"/>
              </w:rPr>
            </w:pPr>
            <w:r>
              <w:rPr>
                <w:rFonts w:hint="eastAsia" w:ascii="宋体" w:hAnsi="宋体" w:cs="宋体"/>
                <w:color w:val="auto"/>
                <w:szCs w:val="21"/>
                <w:highlight w:val="none"/>
              </w:rPr>
              <w:t>附法人身份证复印件</w:t>
            </w:r>
          </w:p>
          <w:p>
            <w:pPr>
              <w:spacing w:line="360" w:lineRule="auto"/>
              <w:ind w:left="1"/>
              <w:jc w:val="center"/>
              <w:rPr>
                <w:rFonts w:ascii="宋体" w:hAnsi="宋体" w:cs="宋体"/>
                <w:color w:val="auto"/>
                <w:szCs w:val="21"/>
                <w:highlight w:val="none"/>
              </w:rPr>
            </w:pPr>
            <w:r>
              <w:rPr>
                <w:rFonts w:hint="eastAsia" w:ascii="宋体" w:hAnsi="宋体" w:cs="宋体"/>
                <w:color w:val="auto"/>
                <w:szCs w:val="21"/>
                <w:highlight w:val="none"/>
              </w:rPr>
              <w:t xml:space="preserve"> </w:t>
            </w:r>
          </w:p>
        </w:tc>
        <w:tc>
          <w:tcPr>
            <w:tcW w:w="852" w:type="dxa"/>
            <w:tcBorders>
              <w:top w:val="nil"/>
              <w:left w:val="single" w:color="000000" w:sz="4" w:space="0"/>
              <w:bottom w:val="nil"/>
              <w:right w:val="single" w:color="000000" w:sz="4" w:space="0"/>
            </w:tcBorders>
          </w:tcPr>
          <w:p>
            <w:pPr>
              <w:spacing w:line="360" w:lineRule="auto"/>
              <w:jc w:val="center"/>
              <w:rPr>
                <w:rFonts w:ascii="宋体" w:hAnsi="宋体" w:cs="宋体"/>
                <w:color w:val="auto"/>
                <w:szCs w:val="21"/>
                <w:highlight w:val="none"/>
              </w:rPr>
            </w:pPr>
          </w:p>
        </w:tc>
        <w:tc>
          <w:tcPr>
            <w:tcW w:w="4483"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05"/>
              <w:jc w:val="center"/>
              <w:rPr>
                <w:rFonts w:ascii="宋体" w:hAnsi="宋体" w:cs="宋体"/>
                <w:color w:val="auto"/>
                <w:szCs w:val="21"/>
                <w:highlight w:val="none"/>
              </w:rPr>
            </w:pPr>
          </w:p>
        </w:tc>
      </w:tr>
    </w:tbl>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3570" w:leftChars="1700" w:firstLine="2085" w:firstLineChars="993"/>
        <w:rPr>
          <w:rFonts w:ascii="宋体" w:hAnsi="宋体" w:cs="宋体"/>
          <w:color w:val="auto"/>
          <w:szCs w:val="21"/>
          <w:highlight w:val="none"/>
        </w:rPr>
      </w:pPr>
    </w:p>
    <w:p>
      <w:pPr>
        <w:spacing w:line="360" w:lineRule="auto"/>
        <w:ind w:left="3570" w:leftChars="1700" w:firstLine="2085" w:firstLineChars="993"/>
        <w:rPr>
          <w:rFonts w:ascii="宋体" w:hAnsi="宋体" w:cs="宋体"/>
          <w:color w:val="auto"/>
          <w:szCs w:val="21"/>
          <w:highlight w:val="none"/>
        </w:rPr>
      </w:pPr>
    </w:p>
    <w:p>
      <w:pPr>
        <w:spacing w:line="360" w:lineRule="auto"/>
        <w:ind w:left="3570" w:leftChars="1700" w:firstLine="2085" w:firstLineChars="993"/>
        <w:rPr>
          <w:rFonts w:ascii="宋体" w:hAnsi="宋体" w:cs="宋体"/>
          <w:color w:val="auto"/>
          <w:szCs w:val="21"/>
          <w:highlight w:val="none"/>
        </w:rPr>
      </w:pPr>
      <w:r>
        <w:rPr>
          <w:rFonts w:hint="eastAsia" w:ascii="宋体" w:hAnsi="宋体" w:cs="宋体"/>
          <w:color w:val="auto"/>
          <w:szCs w:val="21"/>
          <w:highlight w:val="none"/>
        </w:rPr>
        <w:t>投标人名称（加盖公章）：</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 xml:space="preserve"> </w:t>
      </w:r>
    </w:p>
    <w:p>
      <w:pPr>
        <w:spacing w:line="360" w:lineRule="auto"/>
        <w:ind w:left="480"/>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360" w:lineRule="auto"/>
        <w:ind w:left="3570" w:leftChars="1700" w:firstLine="2085" w:firstLineChars="993"/>
        <w:rPr>
          <w:rFonts w:ascii="宋体" w:hAnsi="宋体" w:cs="宋体"/>
          <w:color w:val="auto"/>
          <w:szCs w:val="21"/>
          <w:highlight w:val="none"/>
        </w:rPr>
      </w:pPr>
      <w:r>
        <w:rPr>
          <w:rFonts w:hint="eastAsia" w:ascii="宋体" w:hAnsi="宋体" w:cs="宋体"/>
          <w:color w:val="auto"/>
          <w:szCs w:val="21"/>
          <w:highlight w:val="none"/>
        </w:rPr>
        <w:t xml:space="preserve">日 期：     年        月      日 </w:t>
      </w:r>
    </w:p>
    <w:p>
      <w:pPr>
        <w:snapToGrid w:val="0"/>
        <w:spacing w:line="360" w:lineRule="auto"/>
        <w:jc w:val="right"/>
        <w:rPr>
          <w:rFonts w:ascii="宋体" w:hAnsi="宋体" w:cs="宋体"/>
          <w:bCs/>
          <w:color w:val="auto"/>
          <w:szCs w:val="21"/>
          <w:highlight w:val="none"/>
        </w:rPr>
      </w:pPr>
    </w:p>
    <w:p>
      <w:pPr>
        <w:pStyle w:val="19"/>
        <w:ind w:left="0" w:leftChars="0" w:firstLine="0" w:firstLineChars="0"/>
        <w:rPr>
          <w:color w:val="auto"/>
          <w:highlight w:val="none"/>
        </w:rPr>
      </w:pPr>
    </w:p>
    <w:p>
      <w:pPr>
        <w:rPr>
          <w:color w:val="auto"/>
          <w:highlight w:val="none"/>
        </w:rPr>
      </w:pPr>
    </w:p>
    <w:p>
      <w:pPr>
        <w:rPr>
          <w:color w:val="auto"/>
          <w:highlight w:val="none"/>
        </w:rPr>
      </w:pPr>
    </w:p>
    <w:p>
      <w:pPr>
        <w:rPr>
          <w:color w:val="auto"/>
          <w:highlight w:val="none"/>
        </w:rPr>
      </w:pPr>
    </w:p>
    <w:p>
      <w:pPr>
        <w:pStyle w:val="2"/>
        <w:spacing w:before="0" w:after="0" w:line="360" w:lineRule="auto"/>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5、法定代表人授权委托书</w:t>
      </w:r>
    </w:p>
    <w:p>
      <w:pPr>
        <w:snapToGrid w:val="0"/>
        <w:spacing w:line="360" w:lineRule="auto"/>
        <w:ind w:firstLine="420" w:firstLineChars="200"/>
        <w:rPr>
          <w:rFonts w:ascii="宋体" w:hAnsi="宋体" w:cs="宋体"/>
          <w:bCs/>
          <w:color w:val="auto"/>
          <w:szCs w:val="21"/>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致：（采购代理机构）             </w:t>
      </w:r>
    </w:p>
    <w:p>
      <w:pPr>
        <w:spacing w:line="360" w:lineRule="auto"/>
        <w:rPr>
          <w:rFonts w:ascii="宋体" w:hAnsi="宋体" w:cs="宋体"/>
          <w:color w:val="auto"/>
          <w:szCs w:val="21"/>
          <w:highlight w:val="none"/>
        </w:rPr>
      </w:pPr>
      <w:r>
        <w:rPr>
          <w:rFonts w:hint="eastAsia" w:ascii="宋体" w:hAnsi="宋体" w:cs="宋体"/>
          <w:b/>
          <w:color w:val="auto"/>
          <w:szCs w:val="21"/>
          <w:highlight w:val="none"/>
        </w:rPr>
        <w:t xml:space="preserve">                 </w:t>
      </w:r>
    </w:p>
    <w:p>
      <w:pPr>
        <w:spacing w:line="360" w:lineRule="auto"/>
        <w:ind w:firstLine="735" w:firstLineChars="350"/>
        <w:rPr>
          <w:rFonts w:ascii="宋体" w:hAnsi="宋体" w:cs="宋体"/>
          <w:color w:val="auto"/>
          <w:szCs w:val="21"/>
          <w:highlight w:val="non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（姓名） </w:t>
      </w: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（投标人全称）</w:t>
      </w:r>
      <w:r>
        <w:rPr>
          <w:rFonts w:hint="eastAsia" w:ascii="宋体" w:hAnsi="宋体" w:cs="宋体"/>
          <w:color w:val="auto"/>
          <w:szCs w:val="21"/>
          <w:highlight w:val="none"/>
        </w:rPr>
        <w:t>法定代表人，兹委派我单位</w:t>
      </w:r>
      <w:r>
        <w:rPr>
          <w:rFonts w:hint="eastAsia" w:ascii="宋体" w:hAnsi="宋体" w:cs="宋体"/>
          <w:color w:val="auto"/>
          <w:szCs w:val="21"/>
          <w:highlight w:val="none"/>
          <w:u w:val="single"/>
        </w:rPr>
        <w:t xml:space="preserve">     (全权代表姓名) </w:t>
      </w:r>
      <w:r>
        <w:rPr>
          <w:rFonts w:hint="eastAsia" w:ascii="宋体" w:hAnsi="宋体" w:cs="宋体"/>
          <w:color w:val="auto"/>
          <w:szCs w:val="21"/>
          <w:highlight w:val="none"/>
        </w:rPr>
        <w:t>参加贵方组织的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招标项目（招标编号：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）的投标活动，全权代表我单位处理本次投标中的有关事务。本授权书于签字盖章后生效，特此声明。</w:t>
      </w:r>
    </w:p>
    <w:p>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委托期限：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授权人无转委权。</w:t>
      </w:r>
    </w:p>
    <w:p>
      <w:pPr>
        <w:spacing w:line="360" w:lineRule="auto"/>
        <w:ind w:firstLine="420" w:firstLineChars="200"/>
        <w:rPr>
          <w:rFonts w:ascii="宋体" w:hAnsi="宋体" w:cs="宋体"/>
          <w:b/>
          <w:color w:val="auto"/>
          <w:szCs w:val="21"/>
          <w:highlight w:val="none"/>
        </w:rPr>
      </w:pPr>
      <w:r>
        <w:rPr>
          <w:rFonts w:hint="eastAsia" w:ascii="宋体" w:hAnsi="宋体" w:cs="宋体"/>
          <w:color w:val="auto"/>
          <w:szCs w:val="21"/>
          <w:highlight w:val="none"/>
        </w:rPr>
        <w:t>附授权代表情况：</w:t>
      </w:r>
      <w:r>
        <w:rPr>
          <w:rFonts w:hint="eastAsia" w:ascii="宋体" w:hAnsi="宋体" w:cs="宋体"/>
          <w:b/>
          <w:color w:val="auto"/>
          <w:szCs w:val="21"/>
          <w:highlight w:val="none"/>
        </w:rPr>
        <w:t xml:space="preserve"> </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身份证号码: </w:t>
      </w:r>
      <w:r>
        <w:rPr>
          <w:rFonts w:hint="eastAsia" w:ascii="宋体" w:hAnsi="宋体" w:cs="宋体"/>
          <w:color w:val="auto"/>
          <w:szCs w:val="21"/>
          <w:highlight w:val="none"/>
          <w:u w:val="single"/>
        </w:rPr>
        <w:t xml:space="preserve">                  </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通讯地址：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邮政编码:</w:t>
      </w:r>
      <w:r>
        <w:rPr>
          <w:rFonts w:hint="eastAsia" w:ascii="宋体" w:hAnsi="宋体" w:cs="宋体"/>
          <w:color w:val="auto"/>
          <w:szCs w:val="21"/>
          <w:highlight w:val="none"/>
          <w:u w:val="single"/>
        </w:rPr>
        <w:t xml:space="preserve">                 </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移动电话：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固定电话:</w:t>
      </w:r>
      <w:r>
        <w:rPr>
          <w:rFonts w:hint="eastAsia" w:ascii="宋体" w:hAnsi="宋体" w:cs="宋体"/>
          <w:color w:val="auto"/>
          <w:szCs w:val="21"/>
          <w:highlight w:val="none"/>
          <w:u w:val="single"/>
        </w:rPr>
        <w:t xml:space="preserve">                  </w:t>
      </w:r>
    </w:p>
    <w:p>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授权代表：（签字）</w:t>
      </w:r>
      <w:r>
        <w:rPr>
          <w:rFonts w:hint="eastAsia" w:ascii="宋体" w:hAnsi="宋体" w:cs="宋体"/>
          <w:color w:val="auto"/>
          <w:szCs w:val="21"/>
          <w:highlight w:val="none"/>
          <w:u w:val="single"/>
        </w:rPr>
        <w:t xml:space="preserve">                                        </w:t>
      </w:r>
    </w:p>
    <w:p>
      <w:pPr>
        <w:spacing w:line="360" w:lineRule="auto"/>
        <w:rPr>
          <w:rFonts w:ascii="宋体" w:hAnsi="宋体" w:cs="宋体"/>
          <w:color w:val="auto"/>
          <w:szCs w:val="21"/>
          <w:highlight w:val="none"/>
        </w:rPr>
      </w:pPr>
    </w:p>
    <w:tbl>
      <w:tblPr>
        <w:tblStyle w:val="20"/>
        <w:tblW w:w="9898"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9"/>
        <w:gridCol w:w="860"/>
        <w:gridCol w:w="4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4" w:hRule="atLeast"/>
        </w:trPr>
        <w:tc>
          <w:tcPr>
            <w:tcW w:w="4519" w:type="dxa"/>
            <w:vAlign w:val="center"/>
          </w:tcPr>
          <w:p>
            <w:pPr>
              <w:spacing w:line="360" w:lineRule="auto"/>
              <w:jc w:val="center"/>
              <w:rPr>
                <w:rFonts w:ascii="宋体" w:hAnsi="宋体" w:cs="宋体"/>
                <w:color w:val="auto"/>
                <w:szCs w:val="21"/>
                <w:highlight w:val="none"/>
                <w:u w:val="single"/>
              </w:rPr>
            </w:pPr>
            <w:r>
              <w:rPr>
                <w:rFonts w:hint="eastAsia" w:ascii="宋体" w:hAnsi="宋体" w:cs="宋体"/>
                <w:color w:val="auto"/>
                <w:szCs w:val="21"/>
                <w:highlight w:val="none"/>
                <w:u w:val="single"/>
              </w:rPr>
              <w:t>附被委托人身份证复印件</w:t>
            </w:r>
          </w:p>
          <w:p>
            <w:pPr>
              <w:spacing w:line="360" w:lineRule="auto"/>
              <w:jc w:val="center"/>
              <w:rPr>
                <w:rFonts w:ascii="宋体" w:hAnsi="宋体" w:cs="宋体"/>
                <w:color w:val="auto"/>
                <w:szCs w:val="21"/>
                <w:highlight w:val="none"/>
                <w:u w:val="single"/>
              </w:rPr>
            </w:pPr>
          </w:p>
        </w:tc>
        <w:tc>
          <w:tcPr>
            <w:tcW w:w="860" w:type="dxa"/>
            <w:tcBorders>
              <w:top w:val="nil"/>
              <w:bottom w:val="nil"/>
            </w:tcBorders>
          </w:tcPr>
          <w:p>
            <w:pPr>
              <w:spacing w:line="360" w:lineRule="auto"/>
              <w:rPr>
                <w:rFonts w:ascii="宋体" w:hAnsi="宋体" w:cs="宋体"/>
                <w:color w:val="auto"/>
                <w:szCs w:val="21"/>
                <w:highlight w:val="none"/>
                <w:u w:val="single"/>
              </w:rPr>
            </w:pPr>
          </w:p>
        </w:tc>
        <w:tc>
          <w:tcPr>
            <w:tcW w:w="4519" w:type="dxa"/>
            <w:vAlign w:val="center"/>
          </w:tcPr>
          <w:p>
            <w:pPr>
              <w:spacing w:line="360" w:lineRule="auto"/>
              <w:jc w:val="center"/>
              <w:rPr>
                <w:rFonts w:ascii="宋体" w:hAnsi="宋体" w:cs="宋体"/>
                <w:color w:val="auto"/>
                <w:szCs w:val="21"/>
                <w:highlight w:val="none"/>
                <w:u w:val="single"/>
              </w:rPr>
            </w:pPr>
          </w:p>
        </w:tc>
      </w:tr>
    </w:tbl>
    <w:p>
      <w:pPr>
        <w:spacing w:line="360" w:lineRule="auto"/>
        <w:rPr>
          <w:rFonts w:ascii="宋体" w:hAnsi="宋体" w:cs="宋体"/>
          <w:color w:val="auto"/>
          <w:szCs w:val="21"/>
          <w:highlight w:val="none"/>
          <w:u w:val="single"/>
        </w:rPr>
      </w:pPr>
    </w:p>
    <w:p>
      <w:pPr>
        <w:spacing w:line="360" w:lineRule="auto"/>
        <w:rPr>
          <w:rFonts w:ascii="宋体" w:hAnsi="宋体" w:cs="宋体"/>
          <w:color w:val="auto"/>
          <w:szCs w:val="21"/>
          <w:highlight w:val="none"/>
          <w:u w:val="single"/>
        </w:rPr>
      </w:pPr>
    </w:p>
    <w:p>
      <w:pPr>
        <w:spacing w:line="360" w:lineRule="auto"/>
        <w:ind w:firstLine="945" w:firstLineChars="450"/>
        <w:rPr>
          <w:rFonts w:ascii="宋体" w:hAnsi="宋体" w:cs="宋体"/>
          <w:color w:val="auto"/>
          <w:szCs w:val="21"/>
          <w:highlight w:val="none"/>
        </w:rPr>
      </w:pPr>
      <w:r>
        <w:rPr>
          <w:rFonts w:hint="eastAsia" w:ascii="宋体" w:hAnsi="宋体" w:cs="宋体"/>
          <w:color w:val="auto"/>
          <w:szCs w:val="21"/>
          <w:highlight w:val="none"/>
        </w:rPr>
        <w:t xml:space="preserve">                     </w:t>
      </w:r>
    </w:p>
    <w:p>
      <w:pPr>
        <w:spacing w:line="480" w:lineRule="auto"/>
        <w:ind w:firstLine="5040" w:firstLineChars="2400"/>
        <w:jc w:val="left"/>
        <w:rPr>
          <w:rFonts w:ascii="宋体" w:hAnsi="宋体" w:cs="宋体"/>
          <w:color w:val="auto"/>
          <w:szCs w:val="21"/>
          <w:highlight w:val="none"/>
        </w:rPr>
      </w:pPr>
      <w:r>
        <w:rPr>
          <w:rFonts w:hint="eastAsia" w:ascii="宋体" w:hAnsi="宋体" w:cs="宋体"/>
          <w:color w:val="auto"/>
          <w:szCs w:val="21"/>
          <w:highlight w:val="none"/>
        </w:rPr>
        <w:t>投标人（加盖公章）：</w:t>
      </w:r>
      <w:r>
        <w:rPr>
          <w:rFonts w:hint="eastAsia" w:ascii="宋体" w:hAnsi="宋体" w:cs="宋体"/>
          <w:color w:val="auto"/>
          <w:szCs w:val="21"/>
          <w:highlight w:val="none"/>
          <w:u w:val="single"/>
        </w:rPr>
        <w:t xml:space="preserve">                        </w:t>
      </w:r>
    </w:p>
    <w:p>
      <w:pPr>
        <w:spacing w:line="480" w:lineRule="auto"/>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 xml:space="preserve">                                                       年    月    日</w:t>
      </w:r>
    </w:p>
    <w:p>
      <w:pPr>
        <w:pStyle w:val="19"/>
        <w:rPr>
          <w:color w:val="auto"/>
          <w:highlight w:val="none"/>
        </w:rPr>
      </w:pPr>
    </w:p>
    <w:p>
      <w:pPr>
        <w:pStyle w:val="6"/>
        <w:rPr>
          <w:color w:val="auto"/>
          <w:highlight w:val="none"/>
        </w:rPr>
      </w:pPr>
    </w:p>
    <w:p>
      <w:pPr>
        <w:rPr>
          <w:color w:val="auto"/>
          <w:highlight w:val="none"/>
        </w:rPr>
      </w:pPr>
    </w:p>
    <w:p>
      <w:pPr>
        <w:rPr>
          <w:color w:val="auto"/>
          <w:highlight w:val="none"/>
        </w:rPr>
      </w:pPr>
    </w:p>
    <w:p>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6、投标人应当提供的资格证明材料</w:t>
      </w:r>
    </w:p>
    <w:p>
      <w:pPr>
        <w:spacing w:line="360" w:lineRule="auto"/>
        <w:jc w:val="center"/>
        <w:rPr>
          <w:rFonts w:ascii="宋体" w:hAnsi="宋体" w:cs="宋体"/>
          <w:bCs/>
          <w:color w:val="auto"/>
          <w:szCs w:val="21"/>
          <w:highlight w:val="none"/>
        </w:rPr>
      </w:pPr>
    </w:p>
    <w:p>
      <w:pPr>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注：证明材料提供复印件（加盖单位公章）。</w:t>
      </w: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spacing w:line="360" w:lineRule="auto"/>
        <w:rPr>
          <w:rFonts w:ascii="宋体" w:hAnsi="宋体" w:cs="宋体"/>
          <w:b/>
          <w:color w:val="auto"/>
          <w:szCs w:val="21"/>
          <w:highlight w:val="none"/>
        </w:rPr>
      </w:pPr>
    </w:p>
    <w:p>
      <w:pPr>
        <w:pStyle w:val="2"/>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7、投标人资格承诺函</w:t>
      </w:r>
    </w:p>
    <w:p>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（采购人或采购代理机构）</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我单位参与</w:t>
      </w:r>
      <w:r>
        <w:rPr>
          <w:rFonts w:hint="eastAsia" w:ascii="宋体" w:hAnsi="宋体" w:cs="宋体"/>
          <w:color w:val="auto"/>
          <w:szCs w:val="21"/>
          <w:highlight w:val="none"/>
          <w:u w:val="single"/>
        </w:rPr>
        <w:t>（项目名称）（项目编号： ）</w:t>
      </w:r>
      <w:r>
        <w:rPr>
          <w:rFonts w:hint="eastAsia" w:ascii="宋体" w:hAnsi="宋体" w:cs="宋体"/>
          <w:color w:val="auto"/>
          <w:szCs w:val="21"/>
          <w:highlight w:val="none"/>
        </w:rPr>
        <w:t>项目的政府采购活动，现承诺如下：</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1.我单位具有符合《中华人民共和国政府采购法》《中华人民共和国政府采购法实施条例》及采购文件资格要求规定</w:t>
      </w:r>
      <w:r>
        <w:rPr>
          <w:rFonts w:hint="eastAsia" w:ascii="宋体" w:hAnsi="宋体" w:cs="宋体"/>
          <w:bCs/>
          <w:color w:val="auto"/>
          <w:szCs w:val="21"/>
          <w:highlight w:val="none"/>
        </w:rPr>
        <w:t>满足《中华人民共和国政府采购法》第二十二条规定。</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2.我单位具有符合《中华人民共和国政府采购法》《中华人民共和国政府采购法实施条例》及采购文件资格要求规定的良好的商业信誉和健全的财务会计制度。</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3.我单位具有符合《中华人民共和国政府采购法》《中华人民共和国政府采购法实施条例》及采购文件资格要求规定的履行合同所必需的设备和专业技术能力。</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4.我单位具有符合《中华人民共和国政府采购法》《中华人民共和国政府采购法实施条例》及采购文件资格要求规定的依法缴纳税收和社会保障资金的相关证明材料。</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5.我单位符合《中华人民共和国政府采购法》《中华人民共和国政府采购法实施条例》及采购文件资格要求规定的在参加政府采购活动前三年内，在经营活动中没有重大违法记录。</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hAnsi="宋体" w:cs="宋体"/>
          <w:bCs/>
          <w:color w:val="auto"/>
          <w:szCs w:val="21"/>
          <w:highlight w:val="none"/>
        </w:rPr>
        <w:t>具有良好信用记录的投标人，未被列入“信用中国”失信被执行人、重大税收违法失信主体、政府采购严重违法失信行为记录名单和未被列入“中国政府采购网”政府采购严重违法失信行为记录名单。</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7.承诺本项目不接受联合体投标。</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8.如违反上述承诺，同意将相关失信行为纳入海口市信用信息共享平台。</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9.同意此承诺书在市公共资源中心的政府采购信息发布平台公示，接受社会各界监督。</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若我单位以上承诺不实，自愿承担提供虚假材料谋取中标、成交的法律责任。</w:t>
      </w:r>
    </w:p>
    <w:p>
      <w:pPr>
        <w:spacing w:line="360" w:lineRule="auto"/>
        <w:rPr>
          <w:rFonts w:ascii="宋体" w:hAnsi="宋体" w:cs="宋体"/>
          <w:color w:val="auto"/>
          <w:szCs w:val="21"/>
          <w:highlight w:val="none"/>
        </w:rPr>
      </w:pPr>
    </w:p>
    <w:p>
      <w:pPr>
        <w:spacing w:line="360" w:lineRule="auto"/>
        <w:rPr>
          <w:rFonts w:ascii="宋体" w:hAnsi="宋体" w:cs="宋体"/>
          <w:color w:val="auto"/>
          <w:szCs w:val="21"/>
          <w:highlight w:val="none"/>
        </w:rPr>
      </w:pPr>
      <w:r>
        <w:rPr>
          <w:rFonts w:hint="eastAsia" w:ascii="宋体" w:hAnsi="宋体" w:cs="宋体"/>
          <w:color w:val="auto"/>
          <w:szCs w:val="21"/>
          <w:highlight w:val="none"/>
        </w:rPr>
        <w:t>说明：1.投标人可自行选择是否提供本承诺函，若不提供本承诺函，应按《中华人民共和国政府采购法》《中华人民共和国政府采购法实施条例》及采购文件资格要求提供相应的证明材料。</w:t>
      </w:r>
    </w:p>
    <w:p>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2.投标人可删减 1-5 承诺事项，如删去承诺第 1 项的，则应按采购文件要求提供财务状况报告。</w:t>
      </w:r>
    </w:p>
    <w:p>
      <w:pPr>
        <w:spacing w:line="360" w:lineRule="auto"/>
        <w:jc w:val="left"/>
        <w:rPr>
          <w:rFonts w:ascii="宋体" w:hAnsi="宋体" w:cs="宋体"/>
          <w:color w:val="auto"/>
          <w:szCs w:val="21"/>
          <w:highlight w:val="none"/>
        </w:rPr>
      </w:pP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法定代表人或授权代表（签字）：</w:t>
      </w:r>
    </w:p>
    <w:p>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日期：    年    月    日</w:t>
      </w:r>
    </w:p>
    <w:p>
      <w:pPr>
        <w:rPr>
          <w:color w:val="auto"/>
          <w:highlight w:val="none"/>
        </w:rPr>
      </w:pPr>
    </w:p>
    <w:p>
      <w:pPr>
        <w:adjustRightInd w:val="0"/>
        <w:snapToGrid w:val="0"/>
        <w:spacing w:line="380" w:lineRule="exact"/>
        <w:rPr>
          <w:rFonts w:asciiTheme="minorEastAsia" w:hAnsiTheme="minorEastAsia" w:eastAsiaTheme="minorEastAsia" w:cstheme="minorEastAsia"/>
          <w:b/>
          <w:color w:val="auto"/>
          <w:szCs w:val="21"/>
          <w:highlight w:val="none"/>
        </w:rPr>
      </w:pPr>
    </w:p>
    <w:p>
      <w:pPr>
        <w:adjustRightInd w:val="0"/>
        <w:snapToGrid w:val="0"/>
        <w:spacing w:line="360" w:lineRule="auto"/>
        <w:rPr>
          <w:rFonts w:asciiTheme="minorEastAsia" w:hAnsiTheme="minorEastAsia" w:eastAsiaTheme="minorEastAsia" w:cstheme="minorEastAsia"/>
          <w:b/>
          <w:color w:val="auto"/>
          <w:szCs w:val="21"/>
          <w:highlight w:val="none"/>
        </w:rPr>
      </w:pPr>
    </w:p>
    <w:p>
      <w:pPr>
        <w:adjustRightInd w:val="0"/>
        <w:snapToGrid w:val="0"/>
        <w:spacing w:line="360" w:lineRule="auto"/>
        <w:rPr>
          <w:rFonts w:asciiTheme="minorEastAsia" w:hAnsiTheme="minorEastAsia" w:eastAsiaTheme="minorEastAsia" w:cstheme="minorEastAsia"/>
          <w:b/>
          <w:color w:val="auto"/>
          <w:szCs w:val="21"/>
          <w:highlight w:val="none"/>
        </w:rPr>
      </w:pPr>
    </w:p>
    <w:p>
      <w:pPr>
        <w:widowControl/>
        <w:jc w:val="center"/>
        <w:rPr>
          <w:rFonts w:ascii="黑体" w:hAnsi="黑体" w:eastAsia="黑体" w:cs="黑体"/>
          <w:color w:val="auto"/>
          <w:kern w:val="0"/>
          <w:sz w:val="36"/>
          <w:szCs w:val="36"/>
          <w:highlight w:val="none"/>
          <w:lang w:bidi="ar"/>
        </w:rPr>
      </w:pPr>
    </w:p>
    <w:p>
      <w:pPr>
        <w:widowControl/>
        <w:jc w:val="center"/>
        <w:rPr>
          <w:rFonts w:ascii="宋体" w:hAnsi="宋体" w:cs="宋体"/>
          <w:b/>
          <w:bCs/>
          <w:color w:val="auto"/>
          <w:szCs w:val="21"/>
          <w:highlight w:val="none"/>
        </w:rPr>
      </w:pPr>
      <w:r>
        <w:rPr>
          <w:rFonts w:hint="eastAsia" w:ascii="宋体" w:hAnsi="宋体" w:cs="宋体"/>
          <w:b/>
          <w:bCs/>
          <w:color w:val="auto"/>
          <w:kern w:val="0"/>
          <w:szCs w:val="21"/>
          <w:highlight w:val="none"/>
          <w:lang w:bidi="ar"/>
        </w:rPr>
        <w:t>8、政府采购活动前三年内无环保类行政处罚记录声明函（</w:t>
      </w:r>
      <w:r>
        <w:rPr>
          <w:rFonts w:hint="eastAsia" w:ascii="宋体" w:hAnsi="宋体" w:cs="宋体"/>
          <w:b/>
          <w:bCs/>
          <w:color w:val="auto"/>
          <w:szCs w:val="21"/>
          <w:highlight w:val="none"/>
        </w:rPr>
        <w:t>环保类行政处罚记录声明函</w:t>
      </w:r>
      <w:r>
        <w:rPr>
          <w:rFonts w:hint="eastAsia" w:ascii="宋体" w:hAnsi="宋体" w:cs="宋体"/>
          <w:b/>
          <w:bCs/>
          <w:color w:val="auto"/>
          <w:kern w:val="0"/>
          <w:szCs w:val="21"/>
          <w:highlight w:val="none"/>
          <w:lang w:bidi="ar"/>
        </w:rPr>
        <w:t>）</w:t>
      </w:r>
    </w:p>
    <w:p>
      <w:pPr>
        <w:widowControl/>
        <w:jc w:val="left"/>
        <w:rPr>
          <w:rFonts w:ascii="宋体" w:hAnsi="宋体" w:cs="宋体"/>
          <w:b/>
          <w:bCs/>
          <w:color w:val="auto"/>
          <w:kern w:val="0"/>
          <w:szCs w:val="21"/>
          <w:highlight w:val="none"/>
          <w:lang w:bidi="ar"/>
        </w:rPr>
      </w:pPr>
    </w:p>
    <w:p>
      <w:pPr>
        <w:widowControl/>
        <w:spacing w:line="600" w:lineRule="auto"/>
        <w:jc w:val="left"/>
        <w:rPr>
          <w:rFonts w:ascii="宋体" w:hAnsi="宋体" w:cs="宋体"/>
          <w:color w:val="auto"/>
          <w:szCs w:val="21"/>
          <w:highlight w:val="none"/>
        </w:rPr>
      </w:pPr>
      <w:r>
        <w:rPr>
          <w:rFonts w:hint="eastAsia" w:ascii="宋体" w:hAnsi="宋体" w:cs="宋体"/>
          <w:color w:val="auto"/>
          <w:kern w:val="0"/>
          <w:szCs w:val="21"/>
          <w:highlight w:val="none"/>
          <w:u w:val="single"/>
          <w:lang w:bidi="ar"/>
        </w:rPr>
        <w:t>（采购人或采购代理机构）</w:t>
      </w:r>
      <w:r>
        <w:rPr>
          <w:rFonts w:hint="eastAsia" w:ascii="宋体" w:hAnsi="宋体" w:cs="宋体"/>
          <w:color w:val="auto"/>
          <w:kern w:val="0"/>
          <w:szCs w:val="21"/>
          <w:highlight w:val="none"/>
          <w:lang w:bidi="ar"/>
        </w:rPr>
        <w:t>：</w:t>
      </w:r>
      <w:r>
        <w:rPr>
          <w:rFonts w:hint="eastAsia" w:ascii="宋体" w:hAnsi="宋体" w:cs="宋体"/>
          <w:b/>
          <w:bCs/>
          <w:color w:val="auto"/>
          <w:kern w:val="0"/>
          <w:szCs w:val="21"/>
          <w:highlight w:val="none"/>
          <w:lang w:bidi="ar"/>
        </w:rPr>
        <w:t xml:space="preserve"> </w:t>
      </w:r>
    </w:p>
    <w:p>
      <w:pPr>
        <w:widowControl/>
        <w:spacing w:line="60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本公司声明如下： </w:t>
      </w:r>
    </w:p>
    <w:p>
      <w:pPr>
        <w:widowControl/>
        <w:spacing w:line="60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    本单位在参加</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 xml:space="preserve">项目（采购编号: </w:t>
      </w:r>
      <w:r>
        <w:rPr>
          <w:rFonts w:hint="eastAsia" w:ascii="宋体" w:hAnsi="宋体" w:cs="宋体"/>
          <w:color w:val="auto"/>
          <w:kern w:val="0"/>
          <w:szCs w:val="21"/>
          <w:highlight w:val="none"/>
          <w:u w:val="single"/>
          <w:lang w:bidi="ar"/>
        </w:rPr>
        <w:t xml:space="preserve">       </w:t>
      </w:r>
      <w:r>
        <w:rPr>
          <w:rFonts w:hint="eastAsia" w:ascii="宋体" w:hAnsi="宋体" w:cs="宋体"/>
          <w:color w:val="auto"/>
          <w:kern w:val="0"/>
          <w:szCs w:val="21"/>
          <w:highlight w:val="none"/>
          <w:lang w:bidi="ar"/>
        </w:rPr>
        <w:t>）的政府采购活动前三年内，未有环保类行政处罚记录。</w:t>
      </w:r>
      <w:r>
        <w:rPr>
          <w:rFonts w:hint="eastAsia" w:ascii="宋体" w:hAnsi="宋体" w:cs="宋体"/>
          <w:color w:val="auto"/>
          <w:szCs w:val="21"/>
          <w:highlight w:val="none"/>
        </w:rPr>
        <w:t>若我单位以上承诺不实，自愿承担提供虚假材料谋取中标、成交的法律责任。</w:t>
      </w:r>
    </w:p>
    <w:p>
      <w:pPr>
        <w:widowControl/>
        <w:spacing w:line="600" w:lineRule="auto"/>
        <w:jc w:val="left"/>
        <w:rPr>
          <w:rFonts w:ascii="宋体" w:hAnsi="宋体" w:cs="宋体"/>
          <w:color w:val="auto"/>
          <w:szCs w:val="21"/>
          <w:highlight w:val="none"/>
        </w:rPr>
      </w:pPr>
    </w:p>
    <w:p>
      <w:pPr>
        <w:widowControl/>
        <w:spacing w:line="480" w:lineRule="auto"/>
        <w:jc w:val="right"/>
        <w:rPr>
          <w:rFonts w:ascii="宋体" w:hAnsi="宋体" w:cs="宋体"/>
          <w:color w:val="auto"/>
          <w:kern w:val="0"/>
          <w:szCs w:val="21"/>
          <w:highlight w:val="none"/>
          <w:lang w:bidi="ar"/>
        </w:rPr>
      </w:pPr>
    </w:p>
    <w:p>
      <w:pPr>
        <w:widowControl/>
        <w:spacing w:line="480" w:lineRule="auto"/>
        <w:jc w:val="right"/>
        <w:rPr>
          <w:rFonts w:ascii="宋体" w:hAnsi="宋体" w:cs="宋体"/>
          <w:color w:val="auto"/>
          <w:kern w:val="0"/>
          <w:szCs w:val="21"/>
          <w:highlight w:val="none"/>
          <w:lang w:bidi="ar"/>
        </w:rPr>
      </w:pPr>
    </w:p>
    <w:p>
      <w:pPr>
        <w:spacing w:line="600" w:lineRule="auto"/>
        <w:ind w:left="2029" w:leftChars="266" w:hanging="1470" w:hangingChars="700"/>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                                                </w:t>
      </w:r>
      <w:r>
        <w:rPr>
          <w:rFonts w:hint="eastAsia" w:ascii="宋体" w:hAnsi="宋体" w:cs="宋体"/>
          <w:color w:val="auto"/>
          <w:szCs w:val="21"/>
          <w:highlight w:val="none"/>
        </w:rPr>
        <w:t>投标人名称（加盖公章）：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widowControl/>
        <w:spacing w:line="600" w:lineRule="auto"/>
        <w:jc w:val="center"/>
        <w:rPr>
          <w:rFonts w:ascii="宋体" w:hAnsi="宋体" w:cs="宋体"/>
          <w:color w:val="auto"/>
          <w:szCs w:val="21"/>
          <w:highlight w:val="none"/>
          <w:u w:val="single"/>
        </w:rPr>
      </w:pPr>
      <w:r>
        <w:rPr>
          <w:rFonts w:hint="eastAsia" w:ascii="宋体" w:hAnsi="宋体" w:cs="宋体"/>
          <w:color w:val="auto"/>
          <w:szCs w:val="21"/>
          <w:highlight w:val="none"/>
        </w:rPr>
        <w:t xml:space="preserve">                                    法定代表人或授权代表（签字）：</w:t>
      </w:r>
      <w:r>
        <w:rPr>
          <w:rFonts w:hint="eastAsia" w:ascii="宋体" w:hAnsi="宋体" w:cs="宋体"/>
          <w:color w:val="auto"/>
          <w:szCs w:val="21"/>
          <w:highlight w:val="none"/>
          <w:u w:val="single"/>
        </w:rPr>
        <w:t xml:space="preserve">                  </w:t>
      </w:r>
    </w:p>
    <w:p>
      <w:pPr>
        <w:widowControl/>
        <w:spacing w:line="600" w:lineRule="auto"/>
        <w:jc w:val="center"/>
        <w:rPr>
          <w:rFonts w:ascii="宋体" w:hAnsi="宋体" w:cs="宋体"/>
          <w:color w:val="auto"/>
          <w:szCs w:val="21"/>
          <w:highlight w:val="none"/>
        </w:rPr>
      </w:pPr>
      <w:r>
        <w:rPr>
          <w:rFonts w:hint="eastAsia" w:ascii="宋体" w:hAnsi="宋体" w:cs="宋体"/>
          <w:color w:val="auto"/>
          <w:kern w:val="0"/>
          <w:szCs w:val="21"/>
          <w:highlight w:val="none"/>
          <w:lang w:bidi="ar"/>
        </w:rPr>
        <w:t xml:space="preserve">                                   日  期：      年    月    日   </w:t>
      </w:r>
    </w:p>
    <w:p>
      <w:pPr>
        <w:spacing w:line="600" w:lineRule="auto"/>
        <w:rPr>
          <w:color w:val="auto"/>
          <w:highlight w:val="none"/>
        </w:rPr>
      </w:pPr>
    </w:p>
    <w:p>
      <w:pPr>
        <w:adjustRightInd w:val="0"/>
        <w:snapToGrid w:val="0"/>
        <w:spacing w:line="360" w:lineRule="auto"/>
        <w:rPr>
          <w:rFonts w:asciiTheme="minorEastAsia" w:hAnsiTheme="minorEastAsia" w:eastAsiaTheme="minorEastAsia" w:cstheme="minorEastAsia"/>
          <w:b/>
          <w:color w:val="auto"/>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9、投标人诚信承诺函</w:t>
      </w:r>
    </w:p>
    <w:p>
      <w:pPr>
        <w:spacing w:line="480" w:lineRule="auto"/>
        <w:rPr>
          <w:rFonts w:ascii="宋体" w:hAnsi="宋体" w:cs="宋体"/>
          <w:color w:val="auto"/>
          <w:szCs w:val="21"/>
          <w:highlight w:val="none"/>
        </w:rPr>
      </w:pPr>
      <w:r>
        <w:rPr>
          <w:rFonts w:hint="eastAsia" w:ascii="宋体" w:hAnsi="宋体" w:cs="宋体"/>
          <w:color w:val="auto"/>
          <w:szCs w:val="21"/>
          <w:highlight w:val="none"/>
        </w:rPr>
        <w:t>我单位在参加</w:t>
      </w:r>
      <w:r>
        <w:rPr>
          <w:rFonts w:hint="eastAsia" w:ascii="宋体" w:hAnsi="宋体" w:cs="宋体"/>
          <w:color w:val="auto"/>
          <w:szCs w:val="21"/>
          <w:highlight w:val="none"/>
          <w:u w:val="single" w:color="000000"/>
        </w:rPr>
        <w:t xml:space="preserve">       （项目名称及项目编号）   </w:t>
      </w:r>
      <w:r>
        <w:rPr>
          <w:rFonts w:hint="eastAsia" w:ascii="宋体" w:hAnsi="宋体" w:cs="宋体"/>
          <w:color w:val="auto"/>
          <w:szCs w:val="21"/>
          <w:highlight w:val="none"/>
        </w:rPr>
        <w:t>的投标活动中，郑重承诺如下：</w:t>
      </w:r>
    </w:p>
    <w:p>
      <w:pPr>
        <w:pStyle w:val="42"/>
        <w:spacing w:line="480" w:lineRule="auto"/>
        <w:rPr>
          <w:rFonts w:ascii="宋体" w:hAnsi="宋体" w:cs="宋体"/>
          <w:color w:val="auto"/>
          <w:szCs w:val="21"/>
          <w:highlight w:val="none"/>
        </w:rPr>
      </w:pPr>
      <w:r>
        <w:rPr>
          <w:rFonts w:hint="eastAsia" w:ascii="宋体" w:hAnsi="宋体" w:cs="宋体"/>
          <w:color w:val="auto"/>
          <w:szCs w:val="21"/>
          <w:highlight w:val="none"/>
        </w:rPr>
        <w:t>1、我方在此声明，本次招标投标活动中申报的所有资料都是真实、准确完整的，如发现提供虚假资料，或与事实不符而导致投标无效，甚至造成任何法律和经济责任，完全由我方负责。</w:t>
      </w:r>
    </w:p>
    <w:p>
      <w:pPr>
        <w:pStyle w:val="42"/>
        <w:spacing w:line="480" w:lineRule="auto"/>
        <w:rPr>
          <w:rFonts w:ascii="宋体" w:hAnsi="宋体" w:cs="宋体"/>
          <w:color w:val="auto"/>
          <w:szCs w:val="21"/>
          <w:highlight w:val="none"/>
        </w:rPr>
      </w:pPr>
      <w:r>
        <w:rPr>
          <w:rFonts w:hint="eastAsia" w:ascii="宋体" w:hAnsi="宋体" w:cs="宋体"/>
          <w:color w:val="auto"/>
          <w:szCs w:val="21"/>
          <w:highlight w:val="none"/>
        </w:rPr>
        <w:t>2、我方在本次投标活动中绝无资质挂靠、串标、围标情形，若经贵方查出，立即取消我方投标资格并承担相应的法律责任。</w:t>
      </w:r>
    </w:p>
    <w:p>
      <w:pPr>
        <w:pStyle w:val="42"/>
        <w:spacing w:line="480" w:lineRule="auto"/>
        <w:rPr>
          <w:rFonts w:ascii="宋体" w:hAnsi="宋体" w:cs="宋体"/>
          <w:color w:val="auto"/>
          <w:szCs w:val="21"/>
          <w:highlight w:val="none"/>
        </w:rPr>
      </w:pPr>
      <w:r>
        <w:rPr>
          <w:rFonts w:hint="eastAsia" w:ascii="宋体" w:hAnsi="宋体" w:cs="宋体"/>
          <w:color w:val="auto"/>
          <w:szCs w:val="21"/>
          <w:highlight w:val="none"/>
        </w:rPr>
        <w:t>3、我方未被地市级及其以上行政主管部门做出取消投标资格的处罚且该处罚在有效期内的。</w:t>
      </w:r>
    </w:p>
    <w:p>
      <w:pPr>
        <w:pStyle w:val="42"/>
        <w:spacing w:line="480" w:lineRule="auto"/>
        <w:rPr>
          <w:rFonts w:ascii="宋体" w:hAnsi="宋体" w:cs="宋体"/>
          <w:color w:val="auto"/>
          <w:szCs w:val="21"/>
          <w:highlight w:val="none"/>
        </w:rPr>
      </w:pPr>
      <w:r>
        <w:rPr>
          <w:rFonts w:hint="eastAsia" w:ascii="宋体" w:hAnsi="宋体" w:cs="宋体"/>
          <w:color w:val="auto"/>
          <w:szCs w:val="21"/>
          <w:highlight w:val="none"/>
        </w:rPr>
        <w:t>4、我方一旦中标，将严格按照投标文件中所承诺的报价、质量、工期、措施、项目负责人等内容组织实施。</w:t>
      </w:r>
    </w:p>
    <w:p>
      <w:pPr>
        <w:pStyle w:val="42"/>
        <w:spacing w:line="480" w:lineRule="auto"/>
        <w:rPr>
          <w:rFonts w:ascii="宋体" w:hAnsi="宋体" w:cs="宋体"/>
          <w:color w:val="auto"/>
          <w:szCs w:val="21"/>
          <w:highlight w:val="none"/>
        </w:rPr>
      </w:pPr>
      <w:r>
        <w:rPr>
          <w:rFonts w:hint="eastAsia" w:ascii="宋体" w:hAnsi="宋体" w:cs="宋体"/>
          <w:color w:val="auto"/>
          <w:szCs w:val="21"/>
          <w:highlight w:val="none"/>
        </w:rPr>
        <w:t>5、我方一旦中标，将按规定及时与采购人签订合同。</w:t>
      </w:r>
    </w:p>
    <w:p>
      <w:pPr>
        <w:autoSpaceDE w:val="0"/>
        <w:autoSpaceDN w:val="0"/>
        <w:adjustRightInd w:val="0"/>
        <w:spacing w:line="480" w:lineRule="auto"/>
        <w:jc w:val="left"/>
        <w:rPr>
          <w:rFonts w:ascii="宋体" w:hAnsi="宋体" w:cs="宋体"/>
          <w:color w:val="auto"/>
          <w:szCs w:val="21"/>
          <w:highlight w:val="none"/>
        </w:rPr>
      </w:pPr>
      <w:r>
        <w:rPr>
          <w:rFonts w:hint="eastAsia" w:ascii="宋体" w:hAnsi="宋体" w:cs="宋体"/>
          <w:color w:val="auto"/>
          <w:kern w:val="0"/>
          <w:szCs w:val="21"/>
          <w:highlight w:val="none"/>
        </w:rPr>
        <w:t xml:space="preserve">    6、</w:t>
      </w:r>
      <w:r>
        <w:rPr>
          <w:rFonts w:hint="eastAsia" w:ascii="宋体" w:hAnsi="宋体" w:cs="宋体"/>
          <w:color w:val="auto"/>
          <w:szCs w:val="21"/>
          <w:highlight w:val="none"/>
        </w:rPr>
        <w:t>单位负责人为同一人或者存在直接控股、管理关系的不同投标人，不得参加同一合同项下的政府采购活动。</w:t>
      </w: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7、除单一来源采购项目外，为项目提供整体设计、规范编制或者项目管理、监理、检测等服务的投标人，不得再参加该采购项目的其他采购活动。</w:t>
      </w: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8、 同时也满足本项目法律法规规章规定关于投标人的其它资格性条件，未参与本采购项目前期咨询论证，不属于禁止参加投标的投标人。</w:t>
      </w:r>
    </w:p>
    <w:p>
      <w:pPr>
        <w:autoSpaceDE w:val="0"/>
        <w:autoSpaceDN w:val="0"/>
        <w:adjustRightInd w:val="0"/>
        <w:spacing w:line="480" w:lineRule="auto"/>
        <w:ind w:firstLine="630" w:firstLineChars="300"/>
        <w:jc w:val="left"/>
        <w:rPr>
          <w:rFonts w:ascii="宋体" w:hAnsi="宋体" w:cs="宋体"/>
          <w:color w:val="auto"/>
          <w:kern w:val="0"/>
          <w:szCs w:val="21"/>
          <w:highlight w:val="none"/>
        </w:rPr>
      </w:pPr>
      <w:r>
        <w:rPr>
          <w:rFonts w:hint="eastAsia" w:ascii="宋体" w:hAnsi="宋体" w:cs="宋体"/>
          <w:color w:val="auto"/>
          <w:kern w:val="0"/>
          <w:szCs w:val="21"/>
          <w:highlight w:val="none"/>
        </w:rPr>
        <w:t>如违反以上承诺，本公司愿承担一切法律责任。</w:t>
      </w:r>
    </w:p>
    <w:p>
      <w:pPr>
        <w:autoSpaceDE w:val="0"/>
        <w:autoSpaceDN w:val="0"/>
        <w:adjustRightInd w:val="0"/>
        <w:spacing w:line="360" w:lineRule="auto"/>
        <w:jc w:val="left"/>
        <w:rPr>
          <w:rFonts w:ascii="宋体" w:hAnsi="宋体" w:cs="宋体"/>
          <w:color w:val="auto"/>
          <w:kern w:val="0"/>
          <w:szCs w:val="21"/>
          <w:highlight w:val="none"/>
        </w:rPr>
      </w:pPr>
    </w:p>
    <w:p>
      <w:pPr>
        <w:autoSpaceDE w:val="0"/>
        <w:autoSpaceDN w:val="0"/>
        <w:adjustRightInd w:val="0"/>
        <w:spacing w:line="360" w:lineRule="auto"/>
        <w:jc w:val="left"/>
        <w:rPr>
          <w:rFonts w:ascii="宋体" w:hAnsi="宋体" w:cs="宋体"/>
          <w:color w:val="auto"/>
          <w:kern w:val="0"/>
          <w:szCs w:val="21"/>
          <w:highlight w:val="none"/>
        </w:rPr>
      </w:pPr>
    </w:p>
    <w:p>
      <w:pPr>
        <w:autoSpaceDE w:val="0"/>
        <w:autoSpaceDN w:val="0"/>
        <w:adjustRightInd w:val="0"/>
        <w:spacing w:line="600" w:lineRule="auto"/>
        <w:ind w:firstLine="4935" w:firstLineChars="2350"/>
        <w:jc w:val="left"/>
        <w:rPr>
          <w:rFonts w:ascii="宋体" w:hAnsi="宋体" w:cs="宋体"/>
          <w:color w:val="auto"/>
          <w:kern w:val="0"/>
          <w:szCs w:val="21"/>
          <w:highlight w:val="non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（加盖公章）</w:t>
      </w:r>
    </w:p>
    <w:p>
      <w:pPr>
        <w:autoSpaceDE w:val="0"/>
        <w:autoSpaceDN w:val="0"/>
        <w:adjustRightInd w:val="0"/>
        <w:spacing w:line="600" w:lineRule="auto"/>
        <w:ind w:firstLine="4935" w:firstLineChars="235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法定代表人或授权代表（签字）：</w:t>
      </w:r>
      <w:r>
        <w:rPr>
          <w:rFonts w:hint="eastAsia" w:ascii="宋体" w:hAnsi="宋体" w:cs="宋体"/>
          <w:color w:val="auto"/>
          <w:kern w:val="0"/>
          <w:szCs w:val="21"/>
          <w:highlight w:val="none"/>
          <w:u w:val="single"/>
        </w:rPr>
        <w:t xml:space="preserve">             </w:t>
      </w:r>
    </w:p>
    <w:p>
      <w:pPr>
        <w:tabs>
          <w:tab w:val="left" w:pos="753"/>
        </w:tabs>
        <w:spacing w:line="600" w:lineRule="auto"/>
        <w:ind w:firstLine="6300" w:firstLineChars="3000"/>
        <w:rPr>
          <w:rFonts w:ascii="宋体" w:hAnsi="宋体" w:cs="宋体"/>
          <w:color w:val="auto"/>
          <w:szCs w:val="21"/>
          <w:highlight w:val="none"/>
        </w:rPr>
      </w:pPr>
      <w:r>
        <w:rPr>
          <w:rFonts w:hint="eastAsia" w:ascii="宋体" w:hAnsi="宋体" w:cs="宋体"/>
          <w:color w:val="auto"/>
          <w:kern w:val="0"/>
          <w:szCs w:val="21"/>
          <w:highlight w:val="none"/>
        </w:rPr>
        <w:t>日期：        年    月    日</w:t>
      </w:r>
    </w:p>
    <w:p>
      <w:pPr>
        <w:rPr>
          <w:rFonts w:ascii="宋体" w:hAnsi="宋体" w:cs="宋体"/>
          <w:color w:val="auto"/>
          <w:szCs w:val="21"/>
          <w:highlight w:val="none"/>
        </w:rPr>
      </w:pPr>
    </w:p>
    <w:p>
      <w:pPr>
        <w:pStyle w:val="16"/>
        <w:rPr>
          <w:rFonts w:ascii="宋体" w:hAnsi="宋体" w:cs="宋体"/>
          <w:b/>
          <w:color w:val="auto"/>
          <w:sz w:val="21"/>
          <w:szCs w:val="21"/>
          <w:highlight w:val="none"/>
        </w:rPr>
      </w:pPr>
    </w:p>
    <w:p>
      <w:pPr>
        <w:pStyle w:val="16"/>
        <w:rPr>
          <w:rFonts w:ascii="宋体" w:hAnsi="宋体" w:cs="宋体"/>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16"/>
        <w:rPr>
          <w:rFonts w:asciiTheme="minorEastAsia" w:hAnsiTheme="minorEastAsia" w:eastAsiaTheme="minorEastAsia" w:cstheme="minorEastAsia"/>
          <w:b/>
          <w:color w:val="auto"/>
          <w:sz w:val="21"/>
          <w:szCs w:val="21"/>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10、近年完成的类似项目情况表</w:t>
      </w:r>
    </w:p>
    <w:p>
      <w:pPr>
        <w:autoSpaceDE w:val="0"/>
        <w:autoSpaceDN w:val="0"/>
        <w:adjustRightInd w:val="0"/>
        <w:jc w:val="left"/>
        <w:rPr>
          <w:rFonts w:ascii="宋体" w:hAnsi="宋体" w:cs="宋体"/>
          <w:color w:val="auto"/>
          <w:kern w:val="0"/>
          <w:szCs w:val="21"/>
          <w:highlight w:val="none"/>
        </w:rPr>
      </w:pPr>
    </w:p>
    <w:tbl>
      <w:tblPr>
        <w:tblStyle w:val="68"/>
        <w:tblW w:w="10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123" w:type="dxa"/>
          <w:right w:w="70" w:type="dxa"/>
        </w:tblCellMar>
      </w:tblPr>
      <w:tblGrid>
        <w:gridCol w:w="1100"/>
        <w:gridCol w:w="1675"/>
        <w:gridCol w:w="1674"/>
        <w:gridCol w:w="1674"/>
        <w:gridCol w:w="1559"/>
        <w:gridCol w:w="1695"/>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123" w:type="dxa"/>
            <w:right w:w="70" w:type="dxa"/>
          </w:tblCellMar>
        </w:tblPrEx>
        <w:trPr>
          <w:trHeight w:val="809" w:hRule="atLeast"/>
        </w:trPr>
        <w:tc>
          <w:tcPr>
            <w:tcW w:w="1100"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1675"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1674"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业主名称</w:t>
            </w:r>
          </w:p>
        </w:tc>
        <w:tc>
          <w:tcPr>
            <w:tcW w:w="1674"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完成情况</w:t>
            </w:r>
          </w:p>
        </w:tc>
        <w:tc>
          <w:tcPr>
            <w:tcW w:w="1559"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合同金额</w:t>
            </w:r>
          </w:p>
        </w:tc>
        <w:tc>
          <w:tcPr>
            <w:tcW w:w="1695"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签订日期</w:t>
            </w:r>
          </w:p>
        </w:tc>
        <w:tc>
          <w:tcPr>
            <w:tcW w:w="1261" w:type="dxa"/>
            <w:vAlign w:val="center"/>
          </w:tcPr>
          <w:p>
            <w:pPr>
              <w:autoSpaceDE w:val="0"/>
              <w:autoSpaceDN w:val="0"/>
              <w:adjustRightInd w:val="0"/>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123" w:type="dxa"/>
            <w:right w:w="70" w:type="dxa"/>
          </w:tblCellMar>
        </w:tblPrEx>
        <w:trPr>
          <w:trHeight w:val="802" w:hRule="atLeast"/>
        </w:trPr>
        <w:tc>
          <w:tcPr>
            <w:tcW w:w="1100"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559"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9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261"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123" w:type="dxa"/>
            <w:right w:w="70" w:type="dxa"/>
          </w:tblCellMar>
        </w:tblPrEx>
        <w:trPr>
          <w:trHeight w:val="800" w:hRule="atLeast"/>
        </w:trPr>
        <w:tc>
          <w:tcPr>
            <w:tcW w:w="1100"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559"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9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261"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123" w:type="dxa"/>
            <w:right w:w="70" w:type="dxa"/>
          </w:tblCellMar>
        </w:tblPrEx>
        <w:trPr>
          <w:trHeight w:val="799" w:hRule="atLeast"/>
        </w:trPr>
        <w:tc>
          <w:tcPr>
            <w:tcW w:w="1100"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559"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9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261"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123" w:type="dxa"/>
            <w:right w:w="70" w:type="dxa"/>
          </w:tblCellMar>
        </w:tblPrEx>
        <w:trPr>
          <w:trHeight w:val="802" w:hRule="atLeast"/>
        </w:trPr>
        <w:tc>
          <w:tcPr>
            <w:tcW w:w="1100"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74"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559"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695"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1261" w:type="dxa"/>
            <w:vAlign w:val="center"/>
          </w:tcPr>
          <w:p>
            <w:pPr>
              <w:autoSpaceDE w:val="0"/>
              <w:autoSpaceDN w:val="0"/>
              <w:adjustRightInd w:val="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r>
    </w:tbl>
    <w:p>
      <w:pPr>
        <w:autoSpaceDE w:val="0"/>
        <w:autoSpaceDN w:val="0"/>
        <w:adjustRightInd w:val="0"/>
        <w:jc w:val="left"/>
        <w:rPr>
          <w:rFonts w:ascii="宋体" w:hAnsi="宋体" w:cs="宋体"/>
          <w:color w:val="auto"/>
          <w:kern w:val="0"/>
          <w:szCs w:val="21"/>
          <w:highlight w:val="none"/>
        </w:rPr>
      </w:pPr>
    </w:p>
    <w:p>
      <w:pPr>
        <w:autoSpaceDE w:val="0"/>
        <w:autoSpaceDN w:val="0"/>
        <w:adjustRightInd w:val="0"/>
        <w:jc w:val="left"/>
        <w:rPr>
          <w:rFonts w:ascii="宋体" w:hAnsi="宋体" w:cs="宋体"/>
          <w:color w:val="auto"/>
          <w:kern w:val="0"/>
          <w:szCs w:val="21"/>
          <w:highlight w:val="none"/>
        </w:rPr>
      </w:pP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注： </w:t>
      </w: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业绩表中所列项目业绩应提供相关业绩合同证明材料复印件； </w:t>
      </w: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表格长度和内容可根据需要自行调整，投标人根据采购文件要求结合实际情况和自身状况进行填写； </w:t>
      </w:r>
    </w:p>
    <w:p>
      <w:pPr>
        <w:autoSpaceDE w:val="0"/>
        <w:autoSpaceDN w:val="0"/>
        <w:adjustRightInd w:val="0"/>
        <w:spacing w:line="48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投标人须提供类似项目业绩（不含分包），并附提供合同文本复印件。 </w:t>
      </w:r>
    </w:p>
    <w:p>
      <w:pPr>
        <w:autoSpaceDE w:val="0"/>
        <w:autoSpaceDN w:val="0"/>
        <w:adjustRightInd w:val="0"/>
        <w:jc w:val="left"/>
        <w:rPr>
          <w:rFonts w:ascii="宋体" w:hAnsi="宋体" w:cs="宋体"/>
          <w:color w:val="auto"/>
          <w:kern w:val="0"/>
          <w:szCs w:val="21"/>
          <w:highlight w:val="none"/>
        </w:rPr>
      </w:pPr>
    </w:p>
    <w:p>
      <w:pPr>
        <w:autoSpaceDE w:val="0"/>
        <w:autoSpaceDN w:val="0"/>
        <w:adjustRightInd w:val="0"/>
        <w:jc w:val="left"/>
        <w:rPr>
          <w:rFonts w:ascii="宋体" w:hAnsi="宋体" w:cs="宋体"/>
          <w:color w:val="auto"/>
          <w:kern w:val="0"/>
          <w:szCs w:val="21"/>
          <w:highlight w:val="none"/>
        </w:rPr>
      </w:pPr>
    </w:p>
    <w:p>
      <w:pPr>
        <w:autoSpaceDE w:val="0"/>
        <w:autoSpaceDN w:val="0"/>
        <w:adjustRightInd w:val="0"/>
        <w:ind w:firstLine="5985" w:firstLineChars="2850"/>
        <w:jc w:val="left"/>
        <w:rPr>
          <w:rFonts w:ascii="宋体" w:hAnsi="宋体" w:cs="宋体"/>
          <w:color w:val="auto"/>
          <w:kern w:val="0"/>
          <w:szCs w:val="21"/>
          <w:highlight w:val="none"/>
          <w:u w:val="single"/>
        </w:rPr>
      </w:pPr>
      <w:r>
        <w:rPr>
          <w:rFonts w:hint="eastAsia" w:ascii="宋体" w:hAnsi="宋体" w:cs="宋体"/>
          <w:color w:val="auto"/>
          <w:kern w:val="0"/>
          <w:szCs w:val="21"/>
          <w:highlight w:val="none"/>
        </w:rPr>
        <w:t>投标人名称：</w:t>
      </w:r>
      <w:r>
        <w:rPr>
          <w:rFonts w:hint="eastAsia" w:ascii="宋体" w:hAnsi="宋体" w:cs="宋体"/>
          <w:color w:val="auto"/>
          <w:kern w:val="0"/>
          <w:szCs w:val="21"/>
          <w:highlight w:val="none"/>
          <w:u w:val="single"/>
        </w:rPr>
        <w:t xml:space="preserve">              （加盖公章）</w:t>
      </w:r>
    </w:p>
    <w:p>
      <w:pPr>
        <w:autoSpaceDE w:val="0"/>
        <w:autoSpaceDN w:val="0"/>
        <w:adjustRightInd w:val="0"/>
        <w:ind w:firstLine="4200" w:firstLineChars="2000"/>
        <w:jc w:val="left"/>
        <w:rPr>
          <w:rFonts w:ascii="宋体" w:hAnsi="宋体" w:cs="宋体"/>
          <w:color w:val="auto"/>
          <w:kern w:val="0"/>
          <w:szCs w:val="21"/>
          <w:highlight w:val="none"/>
        </w:rPr>
      </w:pPr>
    </w:p>
    <w:p>
      <w:pPr>
        <w:autoSpaceDE w:val="0"/>
        <w:autoSpaceDN w:val="0"/>
        <w:adjustRightInd w:val="0"/>
        <w:ind w:firstLine="6720" w:firstLineChars="3200"/>
        <w:jc w:val="left"/>
        <w:rPr>
          <w:rFonts w:ascii="宋体" w:hAnsi="宋体" w:cs="宋体"/>
          <w:color w:val="auto"/>
          <w:kern w:val="0"/>
          <w:szCs w:val="21"/>
          <w:highlight w:val="none"/>
        </w:rPr>
      </w:pPr>
      <w:r>
        <w:rPr>
          <w:rFonts w:hint="eastAsia" w:ascii="宋体" w:hAnsi="宋体" w:cs="宋体"/>
          <w:color w:val="auto"/>
          <w:kern w:val="0"/>
          <w:szCs w:val="21"/>
          <w:highlight w:val="none"/>
        </w:rPr>
        <w:t>日期:      年     月     日</w:t>
      </w:r>
    </w:p>
    <w:p>
      <w:pPr>
        <w:adjustRightInd w:val="0"/>
        <w:snapToGrid w:val="0"/>
        <w:spacing w:line="360" w:lineRule="auto"/>
        <w:rPr>
          <w:rFonts w:ascii="宋体" w:hAnsi="宋体" w:cs="宋体"/>
          <w:bCs/>
          <w:color w:val="auto"/>
          <w:szCs w:val="21"/>
          <w:highlight w:val="none"/>
        </w:rPr>
      </w:pPr>
    </w:p>
    <w:p>
      <w:pPr>
        <w:adjustRightInd w:val="0"/>
        <w:snapToGrid w:val="0"/>
        <w:spacing w:line="360" w:lineRule="auto"/>
        <w:jc w:val="center"/>
        <w:rPr>
          <w:rFonts w:asciiTheme="minorEastAsia" w:hAnsiTheme="minorEastAsia" w:eastAsiaTheme="minorEastAsia" w:cstheme="minorEastAsia"/>
          <w:bCs/>
          <w:color w:val="auto"/>
          <w:szCs w:val="21"/>
          <w:highlight w:val="none"/>
        </w:rPr>
      </w:pPr>
    </w:p>
    <w:p>
      <w:pPr>
        <w:adjustRightInd w:val="0"/>
        <w:snapToGrid w:val="0"/>
        <w:spacing w:line="360" w:lineRule="auto"/>
        <w:jc w:val="center"/>
        <w:rPr>
          <w:rFonts w:asciiTheme="minorEastAsia" w:hAnsiTheme="minorEastAsia" w:eastAsiaTheme="minorEastAsia" w:cstheme="minorEastAsia"/>
          <w:bCs/>
          <w:color w:val="auto"/>
          <w:szCs w:val="21"/>
          <w:highlight w:val="none"/>
        </w:rPr>
      </w:pPr>
    </w:p>
    <w:p>
      <w:pPr>
        <w:adjustRightInd w:val="0"/>
        <w:snapToGrid w:val="0"/>
        <w:spacing w:line="360" w:lineRule="auto"/>
        <w:jc w:val="center"/>
        <w:rPr>
          <w:rFonts w:asciiTheme="minorEastAsia" w:hAnsiTheme="minorEastAsia" w:eastAsiaTheme="minorEastAsia" w:cstheme="minorEastAsia"/>
          <w:bCs/>
          <w:color w:val="auto"/>
          <w:szCs w:val="21"/>
          <w:highlight w:val="none"/>
        </w:rPr>
      </w:pPr>
    </w:p>
    <w:p>
      <w:pPr>
        <w:adjustRightInd w:val="0"/>
        <w:snapToGrid w:val="0"/>
        <w:spacing w:line="360" w:lineRule="auto"/>
        <w:jc w:val="center"/>
        <w:rPr>
          <w:rFonts w:asciiTheme="minorEastAsia" w:hAnsiTheme="minorEastAsia" w:eastAsiaTheme="minorEastAsia" w:cstheme="minorEastAsia"/>
          <w:bCs/>
          <w:color w:val="auto"/>
          <w:szCs w:val="21"/>
          <w:highlight w:val="none"/>
        </w:rPr>
      </w:pPr>
    </w:p>
    <w:p>
      <w:pPr>
        <w:adjustRightInd w:val="0"/>
        <w:snapToGrid w:val="0"/>
        <w:spacing w:line="360" w:lineRule="auto"/>
        <w:rPr>
          <w:rFonts w:asciiTheme="minorEastAsia" w:hAnsiTheme="minorEastAsia" w:eastAsiaTheme="minorEastAsia" w:cstheme="minorEastAsia"/>
          <w:bCs/>
          <w:color w:val="auto"/>
          <w:szCs w:val="21"/>
          <w:highlight w:val="none"/>
          <w:lang w:val="zh-CN"/>
        </w:rPr>
      </w:pPr>
    </w:p>
    <w:p>
      <w:pPr>
        <w:adjustRightInd w:val="0"/>
        <w:snapToGrid w:val="0"/>
        <w:spacing w:line="360" w:lineRule="auto"/>
        <w:rPr>
          <w:rFonts w:asciiTheme="minorEastAsia" w:hAnsiTheme="minorEastAsia" w:eastAsiaTheme="minorEastAsia" w:cstheme="minorEastAsia"/>
          <w:bCs/>
          <w:color w:val="auto"/>
          <w:szCs w:val="21"/>
          <w:highlight w:val="none"/>
          <w:lang w:val="zh-CN"/>
        </w:rPr>
      </w:pPr>
    </w:p>
    <w:p>
      <w:pPr>
        <w:adjustRightInd w:val="0"/>
        <w:snapToGrid w:val="0"/>
        <w:spacing w:line="360" w:lineRule="auto"/>
        <w:rPr>
          <w:rFonts w:asciiTheme="minorEastAsia" w:hAnsiTheme="minorEastAsia" w:eastAsiaTheme="minorEastAsia" w:cstheme="minorEastAsia"/>
          <w:b/>
          <w:color w:val="auto"/>
          <w:szCs w:val="21"/>
          <w:highlight w:val="none"/>
          <w:lang w:val="zh-CN"/>
        </w:rPr>
      </w:pPr>
    </w:p>
    <w:p>
      <w:pPr>
        <w:adjustRightInd w:val="0"/>
        <w:snapToGrid w:val="0"/>
        <w:spacing w:line="360" w:lineRule="auto"/>
        <w:rPr>
          <w:rFonts w:asciiTheme="minorEastAsia" w:hAnsiTheme="minorEastAsia" w:eastAsiaTheme="minorEastAsia" w:cstheme="minorEastAsia"/>
          <w:b/>
          <w:color w:val="auto"/>
          <w:szCs w:val="21"/>
          <w:highlight w:val="none"/>
          <w:lang w:val="zh-CN"/>
        </w:rPr>
      </w:pPr>
    </w:p>
    <w:p>
      <w:pPr>
        <w:adjustRightInd w:val="0"/>
        <w:snapToGrid w:val="0"/>
        <w:spacing w:line="360" w:lineRule="auto"/>
        <w:rPr>
          <w:color w:val="auto"/>
          <w:szCs w:val="21"/>
          <w:highlight w:val="none"/>
        </w:rPr>
      </w:pPr>
    </w:p>
    <w:p>
      <w:pPr>
        <w:widowControl/>
        <w:jc w:val="center"/>
        <w:rPr>
          <w:rFonts w:ascii="宋体" w:hAnsi="宋体" w:cs="宋体"/>
          <w:color w:val="auto"/>
          <w:szCs w:val="21"/>
          <w:highlight w:val="none"/>
        </w:rPr>
      </w:pPr>
      <w:r>
        <w:rPr>
          <w:rFonts w:hint="eastAsia" w:ascii="宋体" w:hAnsi="宋体" w:cs="宋体"/>
          <w:b/>
          <w:bCs/>
          <w:color w:val="auto"/>
          <w:kern w:val="0"/>
          <w:szCs w:val="21"/>
          <w:highlight w:val="none"/>
          <w:lang w:bidi="ar"/>
        </w:rPr>
        <w:t>11、采购文件要求的、投标人认为有必要提供的其他资料</w:t>
      </w:r>
    </w:p>
    <w:p>
      <w:pPr>
        <w:widowControl/>
        <w:jc w:val="left"/>
        <w:rPr>
          <w:rFonts w:ascii="宋体" w:hAnsi="宋体" w:cs="宋体"/>
          <w:color w:val="auto"/>
          <w:kern w:val="0"/>
          <w:szCs w:val="21"/>
          <w:highlight w:val="none"/>
          <w:lang w:bidi="ar"/>
        </w:rPr>
      </w:pPr>
    </w:p>
    <w:p>
      <w:pPr>
        <w:widowControl/>
        <w:jc w:val="left"/>
        <w:rPr>
          <w:rFonts w:ascii="宋体" w:hAnsi="宋体" w:cs="宋体"/>
          <w:color w:val="auto"/>
          <w:kern w:val="0"/>
          <w:szCs w:val="21"/>
          <w:highlight w:val="none"/>
          <w:lang w:bidi="ar"/>
        </w:rPr>
      </w:pPr>
    </w:p>
    <w:p>
      <w:pPr>
        <w:widowControl/>
        <w:spacing w:line="48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备注：采购文件要求的、投标人认为需提供的其他资料包括： </w:t>
      </w:r>
    </w:p>
    <w:p>
      <w:pPr>
        <w:widowControl/>
        <w:spacing w:line="48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(1) 采购文件第二章采购需求要求的其他资料。 </w:t>
      </w:r>
    </w:p>
    <w:p>
      <w:pPr>
        <w:widowControl/>
        <w:spacing w:line="48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 xml:space="preserve">(2) 采购文件第四章评标方法要求的其他相关资料。 </w:t>
      </w:r>
    </w:p>
    <w:p>
      <w:pPr>
        <w:widowControl/>
        <w:spacing w:line="480" w:lineRule="auto"/>
        <w:jc w:val="left"/>
        <w:rPr>
          <w:rFonts w:ascii="宋体" w:hAnsi="宋体" w:cs="宋体"/>
          <w:color w:val="auto"/>
          <w:szCs w:val="21"/>
          <w:highlight w:val="none"/>
        </w:rPr>
      </w:pPr>
      <w:r>
        <w:rPr>
          <w:rFonts w:hint="eastAsia" w:ascii="宋体" w:hAnsi="宋体" w:cs="宋体"/>
          <w:color w:val="auto"/>
          <w:kern w:val="0"/>
          <w:szCs w:val="21"/>
          <w:highlight w:val="none"/>
          <w:lang w:bidi="ar"/>
        </w:rPr>
        <w:t>(3) 投标人认为需要提供的相关资料。</w:t>
      </w:r>
    </w:p>
    <w:p>
      <w:pPr>
        <w:pStyle w:val="2"/>
        <w:jc w:val="center"/>
        <w:rPr>
          <w:rFonts w:ascii="宋体" w:hAnsi="宋体" w:eastAsia="宋体"/>
          <w:color w:val="auto"/>
          <w:highlight w:val="none"/>
        </w:rPr>
      </w:pPr>
    </w:p>
    <w:p>
      <w:pPr>
        <w:rPr>
          <w:rFonts w:ascii="宋体" w:hAnsi="宋体"/>
          <w:color w:val="auto"/>
          <w:sz w:val="24"/>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12、技术、商务响应偏离表</w:t>
      </w:r>
    </w:p>
    <w:p>
      <w:pPr>
        <w:snapToGrid w:val="0"/>
        <w:spacing w:line="360" w:lineRule="auto"/>
        <w:rPr>
          <w:rFonts w:ascii="宋体" w:hAnsi="宋体" w:cs="宋体"/>
          <w:bCs/>
          <w:color w:val="auto"/>
          <w:szCs w:val="21"/>
          <w:highlight w:val="none"/>
        </w:rPr>
      </w:pPr>
    </w:p>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项目名称：                             项目编号：</w:t>
      </w:r>
    </w:p>
    <w:tbl>
      <w:tblPr>
        <w:tblStyle w:val="20"/>
        <w:tblW w:w="10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612"/>
        <w:gridCol w:w="2928"/>
        <w:gridCol w:w="2745"/>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42" w:type="dxa"/>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序号</w:t>
            </w:r>
          </w:p>
        </w:tc>
        <w:tc>
          <w:tcPr>
            <w:tcW w:w="2612" w:type="dxa"/>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采购文件技术、商务要求</w:t>
            </w:r>
          </w:p>
        </w:tc>
        <w:tc>
          <w:tcPr>
            <w:tcW w:w="2928" w:type="dxa"/>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投标文件技术、商务要求响应</w:t>
            </w:r>
          </w:p>
        </w:tc>
        <w:tc>
          <w:tcPr>
            <w:tcW w:w="2745" w:type="dxa"/>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正偏离/完全响应/负偏离</w:t>
            </w:r>
          </w:p>
        </w:tc>
        <w:tc>
          <w:tcPr>
            <w:tcW w:w="1138" w:type="dxa"/>
            <w:vAlign w:val="center"/>
          </w:tcPr>
          <w:p>
            <w:pPr>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42" w:type="dxa"/>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w:t>
            </w:r>
          </w:p>
        </w:tc>
        <w:tc>
          <w:tcPr>
            <w:tcW w:w="2612" w:type="dxa"/>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w:t>
            </w:r>
          </w:p>
        </w:tc>
        <w:tc>
          <w:tcPr>
            <w:tcW w:w="2928" w:type="dxa"/>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w:t>
            </w:r>
          </w:p>
        </w:tc>
        <w:tc>
          <w:tcPr>
            <w:tcW w:w="2745" w:type="dxa"/>
          </w:tcPr>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w:t>
            </w:r>
          </w:p>
        </w:tc>
        <w:tc>
          <w:tcPr>
            <w:tcW w:w="1138" w:type="dxa"/>
          </w:tcPr>
          <w:p>
            <w:pPr>
              <w:snapToGrid w:val="0"/>
              <w:spacing w:line="360" w:lineRule="auto"/>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42" w:type="dxa"/>
          </w:tcPr>
          <w:p>
            <w:pPr>
              <w:snapToGrid w:val="0"/>
              <w:spacing w:line="360" w:lineRule="auto"/>
              <w:rPr>
                <w:rFonts w:ascii="宋体" w:hAnsi="宋体" w:cs="宋体"/>
                <w:bCs/>
                <w:color w:val="auto"/>
                <w:szCs w:val="21"/>
                <w:highlight w:val="none"/>
              </w:rPr>
            </w:pPr>
          </w:p>
        </w:tc>
        <w:tc>
          <w:tcPr>
            <w:tcW w:w="2612" w:type="dxa"/>
          </w:tcPr>
          <w:p>
            <w:pPr>
              <w:snapToGrid w:val="0"/>
              <w:spacing w:line="360" w:lineRule="auto"/>
              <w:rPr>
                <w:rFonts w:ascii="宋体" w:hAnsi="宋体" w:cs="宋体"/>
                <w:bCs/>
                <w:color w:val="auto"/>
                <w:szCs w:val="21"/>
                <w:highlight w:val="none"/>
              </w:rPr>
            </w:pPr>
          </w:p>
        </w:tc>
        <w:tc>
          <w:tcPr>
            <w:tcW w:w="2928" w:type="dxa"/>
          </w:tcPr>
          <w:p>
            <w:pPr>
              <w:snapToGrid w:val="0"/>
              <w:spacing w:line="360" w:lineRule="auto"/>
              <w:rPr>
                <w:rFonts w:ascii="宋体" w:hAnsi="宋体" w:cs="宋体"/>
                <w:bCs/>
                <w:color w:val="auto"/>
                <w:szCs w:val="21"/>
                <w:highlight w:val="none"/>
              </w:rPr>
            </w:pPr>
          </w:p>
        </w:tc>
        <w:tc>
          <w:tcPr>
            <w:tcW w:w="2745" w:type="dxa"/>
          </w:tcPr>
          <w:p>
            <w:pPr>
              <w:snapToGrid w:val="0"/>
              <w:spacing w:line="360" w:lineRule="auto"/>
              <w:rPr>
                <w:rFonts w:ascii="宋体" w:hAnsi="宋体" w:cs="宋体"/>
                <w:bCs/>
                <w:color w:val="auto"/>
                <w:szCs w:val="21"/>
                <w:highlight w:val="none"/>
              </w:rPr>
            </w:pPr>
          </w:p>
        </w:tc>
        <w:tc>
          <w:tcPr>
            <w:tcW w:w="1138" w:type="dxa"/>
          </w:tcPr>
          <w:p>
            <w:pPr>
              <w:snapToGrid w:val="0"/>
              <w:spacing w:line="360" w:lineRule="auto"/>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242" w:type="dxa"/>
          </w:tcPr>
          <w:p>
            <w:pPr>
              <w:snapToGrid w:val="0"/>
              <w:spacing w:line="360" w:lineRule="auto"/>
              <w:rPr>
                <w:rFonts w:ascii="宋体" w:hAnsi="宋体" w:cs="宋体"/>
                <w:bCs/>
                <w:color w:val="auto"/>
                <w:szCs w:val="21"/>
                <w:highlight w:val="none"/>
              </w:rPr>
            </w:pPr>
          </w:p>
        </w:tc>
        <w:tc>
          <w:tcPr>
            <w:tcW w:w="2612" w:type="dxa"/>
          </w:tcPr>
          <w:p>
            <w:pPr>
              <w:snapToGrid w:val="0"/>
              <w:spacing w:line="360" w:lineRule="auto"/>
              <w:rPr>
                <w:rFonts w:ascii="宋体" w:hAnsi="宋体" w:cs="宋体"/>
                <w:bCs/>
                <w:color w:val="auto"/>
                <w:szCs w:val="21"/>
                <w:highlight w:val="none"/>
              </w:rPr>
            </w:pPr>
          </w:p>
        </w:tc>
        <w:tc>
          <w:tcPr>
            <w:tcW w:w="2928" w:type="dxa"/>
          </w:tcPr>
          <w:p>
            <w:pPr>
              <w:snapToGrid w:val="0"/>
              <w:spacing w:line="360" w:lineRule="auto"/>
              <w:rPr>
                <w:rFonts w:ascii="宋体" w:hAnsi="宋体" w:cs="宋体"/>
                <w:bCs/>
                <w:color w:val="auto"/>
                <w:szCs w:val="21"/>
                <w:highlight w:val="none"/>
              </w:rPr>
            </w:pPr>
          </w:p>
        </w:tc>
        <w:tc>
          <w:tcPr>
            <w:tcW w:w="2745" w:type="dxa"/>
          </w:tcPr>
          <w:p>
            <w:pPr>
              <w:snapToGrid w:val="0"/>
              <w:spacing w:line="360" w:lineRule="auto"/>
              <w:rPr>
                <w:rFonts w:ascii="宋体" w:hAnsi="宋体" w:cs="宋体"/>
                <w:bCs/>
                <w:color w:val="auto"/>
                <w:szCs w:val="21"/>
                <w:highlight w:val="none"/>
              </w:rPr>
            </w:pPr>
          </w:p>
        </w:tc>
        <w:tc>
          <w:tcPr>
            <w:tcW w:w="1138" w:type="dxa"/>
          </w:tcPr>
          <w:p>
            <w:pPr>
              <w:snapToGrid w:val="0"/>
              <w:spacing w:line="360" w:lineRule="auto"/>
              <w:rPr>
                <w:rFonts w:ascii="宋体" w:hAnsi="宋体" w:cs="宋体"/>
                <w:bCs/>
                <w:color w:val="auto"/>
                <w:szCs w:val="21"/>
                <w:highlight w:val="none"/>
              </w:rPr>
            </w:pPr>
          </w:p>
        </w:tc>
      </w:tr>
    </w:tbl>
    <w:p>
      <w:pPr>
        <w:pStyle w:val="11"/>
        <w:snapToGrid w:val="0"/>
        <w:spacing w:line="360" w:lineRule="auto"/>
        <w:rPr>
          <w:rFonts w:hAnsi="宋体" w:cs="宋体"/>
          <w:bCs/>
          <w:color w:val="auto"/>
          <w:szCs w:val="21"/>
          <w:highlight w:val="none"/>
        </w:rPr>
      </w:pPr>
    </w:p>
    <w:p>
      <w:pPr>
        <w:snapToGrid w:val="0"/>
        <w:spacing w:line="600" w:lineRule="auto"/>
        <w:ind w:firstLine="560"/>
        <w:rPr>
          <w:rFonts w:ascii="宋体" w:hAnsi="宋体" w:cs="宋体"/>
          <w:bCs/>
          <w:color w:val="auto"/>
          <w:szCs w:val="21"/>
          <w:highlight w:val="none"/>
        </w:rPr>
      </w:pPr>
      <w:r>
        <w:rPr>
          <w:rFonts w:hint="eastAsia" w:ascii="宋体" w:hAnsi="宋体" w:cs="宋体"/>
          <w:bCs/>
          <w:color w:val="auto"/>
          <w:szCs w:val="21"/>
          <w:highlight w:val="none"/>
        </w:rPr>
        <w:t xml:space="preserve">注：1、投标人应对第二章《采购需求》中的内容进行逐条响应， 并且不得仅以“满足”或“不满足”应答，否则作无效投标处理。 </w:t>
      </w:r>
    </w:p>
    <w:p>
      <w:pPr>
        <w:snapToGrid w:val="0"/>
        <w:spacing w:line="600" w:lineRule="auto"/>
        <w:ind w:firstLine="560"/>
        <w:rPr>
          <w:rFonts w:ascii="宋体" w:hAnsi="宋体" w:cs="宋体"/>
          <w:bCs/>
          <w:color w:val="auto"/>
          <w:szCs w:val="21"/>
          <w:highlight w:val="none"/>
        </w:rPr>
      </w:pPr>
      <w:r>
        <w:rPr>
          <w:rFonts w:hint="eastAsia" w:ascii="宋体" w:hAnsi="宋体" w:cs="宋体"/>
          <w:bCs/>
          <w:color w:val="auto"/>
          <w:szCs w:val="21"/>
          <w:highlight w:val="none"/>
        </w:rPr>
        <w:t xml:space="preserve">2、投标人必须根据所提供的货物或服务内容的实际情况如实填写，如发现有虚假描述的，将做无效投标处理。 </w:t>
      </w:r>
    </w:p>
    <w:p>
      <w:pPr>
        <w:snapToGrid w:val="0"/>
        <w:spacing w:line="600" w:lineRule="auto"/>
        <w:ind w:firstLine="560"/>
        <w:rPr>
          <w:rFonts w:ascii="宋体" w:hAnsi="宋体" w:cs="宋体"/>
          <w:bCs/>
          <w:color w:val="auto"/>
          <w:szCs w:val="21"/>
          <w:highlight w:val="none"/>
        </w:rPr>
      </w:pPr>
      <w:r>
        <w:rPr>
          <w:rFonts w:hint="eastAsia" w:ascii="宋体" w:hAnsi="宋体" w:cs="宋体"/>
          <w:bCs/>
          <w:color w:val="auto"/>
          <w:szCs w:val="21"/>
          <w:highlight w:val="none"/>
        </w:rPr>
        <w:t>3、评标委员会评审时不能只根据投标人填写的偏离情况说明来判断是否响应，而应认真查阅第二章《采购需求》中相关内容描述以及要求提供的相关技术资料判断是否满足要求。</w:t>
      </w:r>
    </w:p>
    <w:p>
      <w:pPr>
        <w:snapToGrid w:val="0"/>
        <w:spacing w:line="360" w:lineRule="auto"/>
        <w:ind w:firstLine="560"/>
        <w:rPr>
          <w:rFonts w:ascii="宋体" w:hAnsi="宋体" w:cs="宋体"/>
          <w:bCs/>
          <w:color w:val="auto"/>
          <w:szCs w:val="21"/>
          <w:highlight w:val="none"/>
        </w:rPr>
      </w:pPr>
    </w:p>
    <w:p>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投标人名称：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 xml:space="preserve"> （加盖公章）</w:t>
      </w:r>
    </w:p>
    <w:p>
      <w:pPr>
        <w:snapToGrid w:val="0"/>
        <w:spacing w:line="360" w:lineRule="auto"/>
        <w:ind w:firstLine="840" w:firstLineChars="400"/>
        <w:rPr>
          <w:rFonts w:ascii="宋体" w:hAnsi="宋体" w:cs="宋体"/>
          <w:bCs/>
          <w:color w:val="auto"/>
          <w:szCs w:val="21"/>
          <w:highlight w:val="none"/>
        </w:rPr>
      </w:pPr>
    </w:p>
    <w:p>
      <w:pPr>
        <w:snapToGrid w:val="0"/>
        <w:spacing w:line="360" w:lineRule="auto"/>
        <w:ind w:firstLine="840" w:firstLineChars="400"/>
        <w:rPr>
          <w:rFonts w:ascii="宋体" w:hAnsi="宋体" w:cs="宋体"/>
          <w:bCs/>
          <w:color w:val="auto"/>
          <w:szCs w:val="21"/>
          <w:highlight w:val="none"/>
          <w:u w:val="single"/>
        </w:rPr>
      </w:pPr>
      <w:r>
        <w:rPr>
          <w:rFonts w:hint="eastAsia" w:ascii="宋体" w:hAnsi="宋体" w:cs="宋体"/>
          <w:bCs/>
          <w:color w:val="auto"/>
          <w:szCs w:val="21"/>
          <w:highlight w:val="none"/>
        </w:rPr>
        <w:t xml:space="preserve">法定代表人或授权代理人（签字）： </w:t>
      </w:r>
      <w:r>
        <w:rPr>
          <w:rFonts w:hint="eastAsia" w:ascii="宋体" w:hAnsi="宋体" w:cs="宋体"/>
          <w:bCs/>
          <w:color w:val="auto"/>
          <w:szCs w:val="21"/>
          <w:highlight w:val="none"/>
          <w:u w:val="single"/>
        </w:rPr>
        <w:t xml:space="preserve">                         </w:t>
      </w:r>
    </w:p>
    <w:p>
      <w:pPr>
        <w:snapToGrid w:val="0"/>
        <w:spacing w:line="360" w:lineRule="auto"/>
        <w:ind w:firstLine="840" w:firstLineChars="400"/>
        <w:rPr>
          <w:rFonts w:ascii="宋体" w:hAnsi="宋体" w:cs="宋体"/>
          <w:bCs/>
          <w:color w:val="auto"/>
          <w:szCs w:val="21"/>
          <w:highlight w:val="none"/>
        </w:rPr>
      </w:pPr>
      <w:r>
        <w:rPr>
          <w:rFonts w:hint="eastAsia" w:ascii="宋体" w:hAnsi="宋体" w:cs="宋体"/>
          <w:bCs/>
          <w:color w:val="auto"/>
          <w:szCs w:val="21"/>
          <w:highlight w:val="none"/>
        </w:rPr>
        <w:t xml:space="preserve">                                 </w:t>
      </w:r>
    </w:p>
    <w:p>
      <w:pPr>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         日  期：      年     月     日  </w:t>
      </w:r>
    </w:p>
    <w:p>
      <w:pPr>
        <w:rPr>
          <w:rFonts w:ascii="宋体" w:hAnsi="宋体" w:cs="宋体"/>
          <w:color w:val="auto"/>
          <w:szCs w:val="21"/>
          <w:highlight w:val="none"/>
        </w:rPr>
      </w:pPr>
    </w:p>
    <w:p>
      <w:pPr>
        <w:adjustRightInd w:val="0"/>
        <w:snapToGrid w:val="0"/>
        <w:spacing w:line="360" w:lineRule="auto"/>
        <w:rPr>
          <w:rFonts w:ascii="宋体" w:hAnsi="宋体" w:cs="宋体"/>
          <w:color w:val="auto"/>
          <w:szCs w:val="21"/>
          <w:highlight w:val="none"/>
        </w:rPr>
      </w:pPr>
    </w:p>
    <w:p>
      <w:pPr>
        <w:adjustRightInd w:val="0"/>
        <w:snapToGrid w:val="0"/>
        <w:spacing w:line="360" w:lineRule="auto"/>
        <w:rPr>
          <w:rFonts w:ascii="宋体" w:hAnsi="宋体" w:cs="宋体"/>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rPr>
          <w:color w:val="auto"/>
          <w:szCs w:val="21"/>
          <w:highlight w:val="none"/>
        </w:rPr>
      </w:pPr>
    </w:p>
    <w:p>
      <w:pPr>
        <w:adjustRightInd w:val="0"/>
        <w:snapToGrid w:val="0"/>
        <w:spacing w:line="360" w:lineRule="auto"/>
        <w:rPr>
          <w:rFonts w:asciiTheme="minorEastAsia" w:hAnsiTheme="minorEastAsia" w:eastAsiaTheme="minorEastAsia" w:cstheme="minorEastAsia"/>
          <w:color w:val="auto"/>
          <w:szCs w:val="21"/>
          <w:highlight w:val="none"/>
        </w:rPr>
      </w:pPr>
    </w:p>
    <w:p>
      <w:pPr>
        <w:adjustRightInd w:val="0"/>
        <w:snapToGrid w:val="0"/>
        <w:spacing w:line="360" w:lineRule="auto"/>
        <w:rPr>
          <w:rFonts w:asciiTheme="minorEastAsia" w:hAnsiTheme="minorEastAsia" w:eastAsiaTheme="minorEastAsia" w:cstheme="minorEastAsia"/>
          <w:b/>
          <w:bCs/>
          <w:color w:val="auto"/>
          <w:szCs w:val="21"/>
          <w:highlight w:val="none"/>
        </w:rPr>
      </w:pPr>
    </w:p>
    <w:p>
      <w:pPr>
        <w:adjustRightInd w:val="0"/>
        <w:snapToGrid w:val="0"/>
        <w:spacing w:line="360" w:lineRule="auto"/>
        <w:rPr>
          <w:rFonts w:asciiTheme="minorEastAsia" w:hAnsiTheme="minorEastAsia" w:eastAsiaTheme="minorEastAsia" w:cstheme="minorEastAsia"/>
          <w:b/>
          <w:bCs/>
          <w:color w:val="auto"/>
          <w:szCs w:val="21"/>
          <w:highlight w:val="none"/>
        </w:rPr>
      </w:pPr>
    </w:p>
    <w:p>
      <w:pPr>
        <w:adjustRightInd w:val="0"/>
        <w:snapToGrid w:val="0"/>
        <w:spacing w:line="360" w:lineRule="auto"/>
        <w:rPr>
          <w:rFonts w:asciiTheme="minorEastAsia" w:hAnsiTheme="minorEastAsia" w:eastAsiaTheme="minorEastAsia" w:cstheme="minorEastAsia"/>
          <w:b/>
          <w:bCs/>
          <w:color w:val="auto"/>
          <w:szCs w:val="21"/>
          <w:highlight w:val="none"/>
        </w:rPr>
      </w:pPr>
    </w:p>
    <w:p>
      <w:pPr>
        <w:rPr>
          <w:color w:val="auto"/>
          <w:highlight w:val="none"/>
        </w:rPr>
      </w:pPr>
    </w:p>
    <w:p>
      <w:pPr>
        <w:rPr>
          <w:color w:val="auto"/>
          <w:highlight w:val="none"/>
        </w:rPr>
      </w:pPr>
    </w:p>
    <w:p>
      <w:pPr>
        <w:rPr>
          <w:color w:val="auto"/>
          <w:highlight w:val="none"/>
        </w:rPr>
      </w:pPr>
    </w:p>
    <w:p>
      <w:pPr>
        <w:pStyle w:val="2"/>
        <w:jc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13、中小企业声明函（服务）</w:t>
      </w:r>
    </w:p>
    <w:p>
      <w:pPr>
        <w:widowControl/>
        <w:spacing w:line="360" w:lineRule="auto"/>
        <w:jc w:val="center"/>
        <w:rPr>
          <w:rFonts w:ascii="宋体" w:hAnsi="宋体" w:cs="宋体"/>
          <w:b/>
          <w:color w:val="auto"/>
          <w:kern w:val="0"/>
          <w:szCs w:val="21"/>
          <w:highlight w:val="none"/>
          <w:lang w:bidi="ar"/>
        </w:rPr>
      </w:pPr>
      <w:r>
        <w:rPr>
          <w:rFonts w:hint="eastAsia" w:ascii="宋体" w:hAnsi="宋体" w:cs="宋体"/>
          <w:b/>
          <w:color w:val="auto"/>
          <w:kern w:val="0"/>
          <w:szCs w:val="21"/>
          <w:highlight w:val="none"/>
          <w:lang w:bidi="ar"/>
        </w:rPr>
        <w:t>(不属于中小企业的无需填写)</w:t>
      </w:r>
    </w:p>
    <w:p>
      <w:pPr>
        <w:autoSpaceDN w:val="0"/>
        <w:spacing w:line="360" w:lineRule="auto"/>
        <w:ind w:firstLine="6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本公司郑重声明，根据《政府采购促进中小企业发展管理办法》（财库﹝2020﹞46 号）的规定，本公司参加</w:t>
      </w:r>
      <w:r>
        <w:rPr>
          <w:rFonts w:hint="eastAsia" w:ascii="宋体" w:hAnsi="宋体" w:cs="宋体"/>
          <w:color w:val="auto"/>
          <w:szCs w:val="21"/>
          <w:highlight w:val="none"/>
          <w:u w:val="single"/>
        </w:rPr>
        <w:t xml:space="preserve">           （采购人名称）</w:t>
      </w:r>
      <w:r>
        <w:rPr>
          <w:rFonts w:hint="eastAsia" w:ascii="宋体" w:hAnsi="宋体" w:cs="宋体"/>
          <w:color w:val="auto"/>
          <w:szCs w:val="21"/>
          <w:highlight w:val="none"/>
        </w:rPr>
        <w:t>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（项目名称）采购活动，服务全部由符合政策要求的中小企业承接。相关企业的具体情况如下： </w:t>
      </w:r>
    </w:p>
    <w:p>
      <w:pPr>
        <w:autoSpaceDN w:val="0"/>
        <w:spacing w:line="360" w:lineRule="auto"/>
        <w:ind w:firstLine="600"/>
        <w:rPr>
          <w:rFonts w:ascii="宋体" w:hAnsi="宋体" w:cs="宋体"/>
          <w:color w:val="auto"/>
          <w:szCs w:val="21"/>
          <w:highlight w:val="none"/>
          <w:u w:val="singl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（标的名称） </w:t>
      </w:r>
      <w:r>
        <w:rPr>
          <w:rFonts w:hint="eastAsia" w:ascii="宋体" w:hAnsi="宋体" w:cs="宋体"/>
          <w:color w:val="auto"/>
          <w:szCs w:val="21"/>
          <w:highlight w:val="none"/>
        </w:rPr>
        <w:t>，属于</w:t>
      </w:r>
      <w:r>
        <w:rPr>
          <w:rFonts w:hint="eastAsia" w:ascii="宋体" w:hAnsi="宋体" w:cs="宋体"/>
          <w:color w:val="auto"/>
          <w:szCs w:val="21"/>
          <w:highlight w:val="none"/>
          <w:u w:val="single"/>
        </w:rPr>
        <w:t>（所属行业）</w:t>
      </w:r>
      <w:r>
        <w:rPr>
          <w:rFonts w:hint="eastAsia" w:ascii="宋体" w:hAnsi="宋体" w:cs="宋体"/>
          <w:color w:val="auto"/>
          <w:szCs w:val="21"/>
          <w:highlight w:val="none"/>
        </w:rPr>
        <w:t>行业；承建（承接）企业为</w:t>
      </w:r>
      <w:r>
        <w:rPr>
          <w:rFonts w:hint="eastAsia" w:ascii="宋体" w:hAnsi="宋体" w:cs="宋体"/>
          <w:color w:val="auto"/>
          <w:szCs w:val="21"/>
          <w:highlight w:val="none"/>
          <w:u w:val="single"/>
        </w:rPr>
        <w:t xml:space="preserve">（企业名称）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人，营业收入为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万元，资产总额为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w:t>
      </w:r>
      <w:r>
        <w:rPr>
          <w:rFonts w:hint="eastAsia" w:ascii="宋体" w:hAnsi="宋体" w:cs="宋体"/>
          <w:color w:val="auto"/>
          <w:szCs w:val="21"/>
          <w:highlight w:val="none"/>
          <w:vertAlign w:val="superscript"/>
        </w:rPr>
        <w:t>1</w:t>
      </w:r>
      <w:r>
        <w:rPr>
          <w:rFonts w:hint="eastAsia" w:ascii="宋体" w:hAnsi="宋体" w:cs="宋体"/>
          <w:color w:val="auto"/>
          <w:szCs w:val="21"/>
          <w:highlight w:val="none"/>
        </w:rPr>
        <w:t xml:space="preserve">，属于 </w:t>
      </w:r>
      <w:r>
        <w:rPr>
          <w:rFonts w:hint="eastAsia" w:ascii="宋体" w:hAnsi="宋体" w:cs="宋体"/>
          <w:color w:val="auto"/>
          <w:szCs w:val="21"/>
          <w:highlight w:val="none"/>
          <w:u w:val="single"/>
        </w:rPr>
        <w:t xml:space="preserve"> （中型企业、小型企业、微型企业）； </w:t>
      </w:r>
    </w:p>
    <w:p>
      <w:pPr>
        <w:autoSpaceDN w:val="0"/>
        <w:spacing w:line="360" w:lineRule="auto"/>
        <w:ind w:firstLine="600"/>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 xml:space="preserve">           （标的名称）</w:t>
      </w:r>
      <w:r>
        <w:rPr>
          <w:rFonts w:hint="eastAsia" w:ascii="宋体" w:hAnsi="宋体" w:cs="宋体"/>
          <w:color w:val="auto"/>
          <w:szCs w:val="21"/>
          <w:highlight w:val="none"/>
        </w:rPr>
        <w:t xml:space="preserve"> ，属于</w:t>
      </w:r>
      <w:r>
        <w:rPr>
          <w:rFonts w:hint="eastAsia" w:ascii="宋体" w:hAnsi="宋体" w:cs="宋体"/>
          <w:color w:val="auto"/>
          <w:szCs w:val="21"/>
          <w:highlight w:val="none"/>
          <w:u w:val="single"/>
        </w:rPr>
        <w:t xml:space="preserve">（所属行业）  </w:t>
      </w:r>
      <w:r>
        <w:rPr>
          <w:rFonts w:hint="eastAsia" w:ascii="宋体" w:hAnsi="宋体" w:cs="宋体"/>
          <w:color w:val="auto"/>
          <w:szCs w:val="21"/>
          <w:highlight w:val="none"/>
        </w:rPr>
        <w:t xml:space="preserve">行业；承建（承接）企业为 </w:t>
      </w:r>
      <w:r>
        <w:rPr>
          <w:rFonts w:hint="eastAsia" w:ascii="宋体" w:hAnsi="宋体" w:cs="宋体"/>
          <w:color w:val="auto"/>
          <w:szCs w:val="21"/>
          <w:highlight w:val="none"/>
          <w:u w:val="single"/>
        </w:rPr>
        <w:t xml:space="preserve">     （企业名称）       </w:t>
      </w:r>
      <w:r>
        <w:rPr>
          <w:rFonts w:hint="eastAsia" w:ascii="宋体" w:hAnsi="宋体" w:cs="宋体"/>
          <w:color w:val="auto"/>
          <w:szCs w:val="21"/>
          <w:highlight w:val="none"/>
        </w:rPr>
        <w:t>，从业人员</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人，营业收入为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万元，资产总额为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万元，属于（中型企业、小型企业、微型企业）； </w:t>
      </w:r>
    </w:p>
    <w:p>
      <w:pPr>
        <w:autoSpaceDN w:val="0"/>
        <w:spacing w:line="360" w:lineRule="auto"/>
        <w:ind w:firstLine="600"/>
        <w:rPr>
          <w:rFonts w:ascii="宋体" w:hAnsi="宋体" w:cs="宋体"/>
          <w:color w:val="auto"/>
          <w:szCs w:val="21"/>
          <w:highlight w:val="none"/>
        </w:rPr>
      </w:pPr>
      <w:r>
        <w:rPr>
          <w:rFonts w:hint="eastAsia" w:ascii="宋体" w:hAnsi="宋体" w:cs="宋体"/>
          <w:color w:val="auto"/>
          <w:szCs w:val="21"/>
          <w:highlight w:val="none"/>
        </w:rPr>
        <w:t>……</w:t>
      </w:r>
    </w:p>
    <w:p>
      <w:pPr>
        <w:autoSpaceDN w:val="0"/>
        <w:spacing w:line="360" w:lineRule="auto"/>
        <w:ind w:firstLine="600"/>
        <w:rPr>
          <w:rFonts w:ascii="宋体" w:hAnsi="宋体" w:cs="宋体"/>
          <w:color w:val="auto"/>
          <w:szCs w:val="21"/>
          <w:highlight w:val="none"/>
        </w:rPr>
      </w:pPr>
      <w:r>
        <w:rPr>
          <w:rFonts w:hint="eastAsia" w:ascii="宋体" w:hAnsi="宋体" w:cs="宋体"/>
          <w:color w:val="auto"/>
          <w:szCs w:val="21"/>
          <w:highlight w:val="none"/>
        </w:rPr>
        <w:t>以上企业，不属于大企业的分支机构，不存在控股股东为大企业的情形，也不存在与大企业的负责人为同一人的情形。</w:t>
      </w:r>
    </w:p>
    <w:p>
      <w:pPr>
        <w:autoSpaceDN w:val="0"/>
        <w:spacing w:line="360" w:lineRule="auto"/>
        <w:ind w:firstLine="600"/>
        <w:rPr>
          <w:rFonts w:ascii="宋体" w:hAnsi="宋体" w:cs="宋体"/>
          <w:color w:val="auto"/>
          <w:szCs w:val="21"/>
          <w:highlight w:val="none"/>
        </w:rPr>
      </w:pPr>
      <w:r>
        <w:rPr>
          <w:rFonts w:hint="eastAsia" w:ascii="宋体" w:hAnsi="宋体" w:cs="宋体"/>
          <w:color w:val="auto"/>
          <w:szCs w:val="21"/>
          <w:highlight w:val="none"/>
        </w:rPr>
        <w:t xml:space="preserve">本企业对上述声明内容的真实性负责。如有虚假，将依法承担相应责任。 </w:t>
      </w:r>
    </w:p>
    <w:p>
      <w:pPr>
        <w:autoSpaceDN w:val="0"/>
        <w:spacing w:line="360" w:lineRule="auto"/>
        <w:ind w:firstLine="600"/>
        <w:rPr>
          <w:rFonts w:ascii="宋体" w:hAnsi="宋体" w:cs="宋体"/>
          <w:color w:val="auto"/>
          <w:szCs w:val="21"/>
          <w:highlight w:val="none"/>
        </w:rPr>
      </w:pPr>
    </w:p>
    <w:p>
      <w:pPr>
        <w:autoSpaceDN w:val="0"/>
        <w:spacing w:line="360" w:lineRule="auto"/>
        <w:ind w:firstLine="600"/>
        <w:rPr>
          <w:rFonts w:ascii="宋体" w:hAnsi="宋体" w:cs="宋体"/>
          <w:color w:val="auto"/>
          <w:szCs w:val="21"/>
          <w:highlight w:val="none"/>
        </w:rPr>
      </w:pPr>
    </w:p>
    <w:p>
      <w:pPr>
        <w:autoSpaceDN w:val="0"/>
        <w:spacing w:line="360" w:lineRule="auto"/>
        <w:ind w:firstLine="600"/>
        <w:rPr>
          <w:rFonts w:ascii="宋体" w:hAnsi="宋体" w:cs="宋体"/>
          <w:color w:val="auto"/>
          <w:szCs w:val="21"/>
          <w:highlight w:val="none"/>
        </w:rPr>
      </w:pPr>
    </w:p>
    <w:p>
      <w:pPr>
        <w:autoSpaceDN w:val="0"/>
        <w:spacing w:line="360" w:lineRule="auto"/>
        <w:ind w:firstLine="600"/>
        <w:jc w:val="center"/>
        <w:rPr>
          <w:rFonts w:ascii="宋体" w:hAnsi="宋体" w:cs="宋体"/>
          <w:color w:val="auto"/>
          <w:szCs w:val="21"/>
          <w:highlight w:val="none"/>
        </w:rPr>
      </w:pPr>
      <w:r>
        <w:rPr>
          <w:rFonts w:hint="eastAsia" w:ascii="宋体" w:hAnsi="宋体" w:cs="宋体"/>
          <w:color w:val="auto"/>
          <w:szCs w:val="21"/>
          <w:highlight w:val="none"/>
        </w:rPr>
        <w:t xml:space="preserve">                    企业名称（盖章）：</w:t>
      </w:r>
    </w:p>
    <w:p>
      <w:pPr>
        <w:autoSpaceDN w:val="0"/>
        <w:spacing w:line="360" w:lineRule="auto"/>
        <w:ind w:firstLine="600"/>
        <w:jc w:val="center"/>
        <w:rPr>
          <w:rFonts w:ascii="宋体" w:hAnsi="宋体" w:cs="宋体"/>
          <w:color w:val="auto"/>
          <w:szCs w:val="21"/>
          <w:highlight w:val="none"/>
        </w:rPr>
      </w:pPr>
      <w:r>
        <w:rPr>
          <w:rFonts w:hint="eastAsia" w:ascii="宋体" w:hAnsi="宋体" w:cs="宋体"/>
          <w:color w:val="auto"/>
          <w:szCs w:val="21"/>
          <w:highlight w:val="none"/>
        </w:rPr>
        <w:t xml:space="preserve">                     日 期：   年  月  日</w:t>
      </w:r>
    </w:p>
    <w:p>
      <w:pPr>
        <w:widowControl/>
        <w:spacing w:line="360" w:lineRule="auto"/>
        <w:jc w:val="left"/>
        <w:rPr>
          <w:rFonts w:ascii="宋体" w:hAnsi="宋体" w:cs="宋体"/>
          <w:color w:val="auto"/>
          <w:kern w:val="0"/>
          <w:szCs w:val="21"/>
          <w:highlight w:val="none"/>
          <w:lang w:bidi="ar"/>
        </w:rPr>
      </w:pPr>
    </w:p>
    <w:p>
      <w:pPr>
        <w:widowControl/>
        <w:spacing w:line="360" w:lineRule="auto"/>
        <w:jc w:val="left"/>
        <w:rPr>
          <w:rFonts w:ascii="宋体" w:hAnsi="宋体" w:cs="宋体"/>
          <w:color w:val="auto"/>
          <w:kern w:val="0"/>
          <w:szCs w:val="21"/>
          <w:highlight w:val="none"/>
          <w:lang w:bidi="ar"/>
        </w:rPr>
      </w:pPr>
    </w:p>
    <w:p>
      <w:pPr>
        <w:pStyle w:val="42"/>
        <w:numPr>
          <w:ilvl w:val="0"/>
          <w:numId w:val="4"/>
        </w:numPr>
        <w:ind w:firstLineChars="0"/>
        <w:rPr>
          <w:rFonts w:ascii="宋体" w:hAnsi="宋体" w:cs="宋体"/>
          <w:color w:val="auto"/>
          <w:szCs w:val="21"/>
          <w:highlight w:val="none"/>
        </w:rPr>
      </w:pPr>
      <w:r>
        <w:rPr>
          <w:rFonts w:hint="eastAsia" w:ascii="宋体" w:hAnsi="宋体" w:cs="宋体"/>
          <w:color w:val="auto"/>
          <w:kern w:val="0"/>
          <w:szCs w:val="21"/>
          <w:highlight w:val="none"/>
        </w:rPr>
        <w:t>从业人员、营业收入、资产总额填报上一年度数据，无上一年度数据的新成立企业可不填报</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olor w:val="auto"/>
          <w:highlight w:val="none"/>
        </w:rPr>
        <w:t xml:space="preserve">   </w:t>
      </w:r>
      <w:r>
        <w:rPr>
          <w:rFonts w:hint="eastAsia" w:ascii="宋体" w:hAnsi="宋体" w:eastAsia="宋体" w:cs="宋体"/>
          <w:color w:val="auto"/>
          <w:sz w:val="21"/>
          <w:szCs w:val="21"/>
          <w:highlight w:val="none"/>
        </w:rPr>
        <w:t>14、残疾人福利性单位声明函</w:t>
      </w:r>
    </w:p>
    <w:p>
      <w:pPr>
        <w:spacing w:line="360" w:lineRule="auto"/>
        <w:ind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rPr>
        <w:t>(不属于残疾人福利性单位的无需填写)</w:t>
      </w:r>
    </w:p>
    <w:p>
      <w:pPr>
        <w:spacing w:line="360" w:lineRule="auto"/>
        <w:ind w:firstLine="420" w:firstLineChars="200"/>
        <w:rPr>
          <w:rFonts w:ascii="宋体" w:hAnsi="宋体" w:cs="宋体"/>
          <w:color w:val="auto"/>
          <w:szCs w:val="21"/>
          <w:highlight w:val="none"/>
        </w:rPr>
      </w:pP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Cs w:val="21"/>
          <w:highlight w:val="none"/>
          <w:u w:val="single"/>
        </w:rPr>
        <w:t>（         ）</w:t>
      </w:r>
      <w:r>
        <w:rPr>
          <w:rFonts w:hint="eastAsia" w:ascii="宋体" w:hAnsi="宋体" w:cs="宋体"/>
          <w:color w:val="auto"/>
          <w:szCs w:val="21"/>
          <w:highlight w:val="none"/>
        </w:rPr>
        <w:t>单位的</w:t>
      </w:r>
      <w:r>
        <w:rPr>
          <w:rFonts w:hint="eastAsia" w:ascii="宋体" w:hAnsi="宋体" w:cs="宋体"/>
          <w:bCs/>
          <w:color w:val="auto"/>
          <w:szCs w:val="21"/>
          <w:highlight w:val="none"/>
          <w:u w:val="single"/>
        </w:rPr>
        <w:t>（项目名称、项目编号、包号）</w:t>
      </w:r>
      <w:r>
        <w:rPr>
          <w:rFonts w:hint="eastAsia" w:ascii="宋体" w:hAnsi="宋体" w:cs="宋体"/>
          <w:color w:val="auto"/>
          <w:szCs w:val="21"/>
          <w:highlight w:val="none"/>
        </w:rPr>
        <w:t>项目采购活动提供本单位制造的货物（由本单位承担工程/提供服务），或者提供其他残疾人福利性单位制造的货物（不包括使用非残疾人福利性单位注册商标的货物）。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pPr>
        <w:spacing w:line="360" w:lineRule="auto"/>
        <w:ind w:firstLine="3570" w:firstLineChars="1700"/>
        <w:rPr>
          <w:rFonts w:ascii="宋体" w:hAnsi="宋体" w:cs="宋体"/>
          <w:color w:val="auto"/>
          <w:szCs w:val="21"/>
          <w:highlight w:val="none"/>
        </w:rPr>
      </w:pPr>
    </w:p>
    <w:p>
      <w:pPr>
        <w:spacing w:line="360" w:lineRule="auto"/>
        <w:ind w:firstLine="3570" w:firstLineChars="1700"/>
        <w:rPr>
          <w:rFonts w:ascii="宋体" w:hAnsi="宋体" w:cs="宋体"/>
          <w:color w:val="auto"/>
          <w:szCs w:val="21"/>
          <w:highlight w:val="none"/>
        </w:rPr>
      </w:pPr>
    </w:p>
    <w:p>
      <w:pPr>
        <w:spacing w:line="360" w:lineRule="auto"/>
        <w:ind w:firstLine="3570" w:firstLineChars="1700"/>
        <w:rPr>
          <w:rFonts w:ascii="宋体" w:hAnsi="宋体" w:cs="宋体"/>
          <w:color w:val="auto"/>
          <w:szCs w:val="21"/>
          <w:highlight w:val="none"/>
        </w:rPr>
      </w:pPr>
      <w:r>
        <w:rPr>
          <w:rFonts w:hint="eastAsia" w:ascii="宋体" w:hAnsi="宋体" w:cs="宋体"/>
          <w:color w:val="auto"/>
          <w:szCs w:val="21"/>
          <w:highlight w:val="none"/>
        </w:rPr>
        <w:t>投标人名称（盖章）：　　　　　　　　　</w:t>
      </w:r>
    </w:p>
    <w:p>
      <w:pPr>
        <w:spacing w:line="360" w:lineRule="auto"/>
        <w:ind w:firstLine="3570" w:firstLineChars="1700"/>
        <w:rPr>
          <w:rFonts w:ascii="宋体" w:hAnsi="宋体" w:cs="宋体"/>
          <w:color w:val="auto"/>
          <w:szCs w:val="21"/>
          <w:highlight w:val="none"/>
        </w:rPr>
      </w:pPr>
      <w:r>
        <w:rPr>
          <w:rFonts w:hint="eastAsia" w:ascii="宋体" w:hAnsi="宋体" w:cs="宋体"/>
          <w:color w:val="auto"/>
          <w:szCs w:val="21"/>
          <w:highlight w:val="none"/>
        </w:rPr>
        <w:t>日期：   年  月  日</w:t>
      </w:r>
    </w:p>
    <w:p>
      <w:pPr>
        <w:rPr>
          <w:rFonts w:ascii="宋体" w:hAnsi="宋体" w:cs="宋体"/>
          <w:color w:val="auto"/>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jc w:val="cente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15、监狱企业声明函</w:t>
      </w:r>
    </w:p>
    <w:p>
      <w:pPr>
        <w:widowControl/>
        <w:jc w:val="center"/>
        <w:rPr>
          <w:rFonts w:ascii="宋体" w:hAnsi="宋体" w:cs="宋体"/>
          <w:color w:val="auto"/>
          <w:szCs w:val="21"/>
          <w:highlight w:val="none"/>
        </w:rPr>
      </w:pPr>
      <w:r>
        <w:rPr>
          <w:rFonts w:hint="eastAsia" w:ascii="宋体" w:hAnsi="宋体" w:cs="宋体"/>
          <w:b/>
          <w:bCs/>
          <w:color w:val="auto"/>
          <w:kern w:val="0"/>
          <w:szCs w:val="21"/>
          <w:highlight w:val="none"/>
          <w:lang w:bidi="ar"/>
        </w:rPr>
        <w:t>(不属于监狱企业的无需填写)</w:t>
      </w:r>
    </w:p>
    <w:p>
      <w:pPr>
        <w:spacing w:line="360" w:lineRule="auto"/>
        <w:ind w:firstLine="420" w:firstLineChars="200"/>
        <w:rPr>
          <w:rFonts w:ascii="宋体" w:hAnsi="宋体" w:cs="宋体"/>
          <w:bCs/>
          <w:color w:val="auto"/>
          <w:szCs w:val="21"/>
          <w:highlight w:val="none"/>
          <w:lang w:val="zh-CN"/>
        </w:rPr>
      </w:pPr>
    </w:p>
    <w:p>
      <w:pPr>
        <w:spacing w:line="360" w:lineRule="auto"/>
        <w:ind w:firstLine="420" w:firstLineChars="200"/>
        <w:rPr>
          <w:rFonts w:ascii="宋体" w:hAnsi="宋体" w:cs="宋体"/>
          <w:bCs/>
          <w:color w:val="auto"/>
          <w:szCs w:val="21"/>
          <w:highlight w:val="none"/>
          <w:lang w:val="zh-CN"/>
        </w:rPr>
      </w:pPr>
      <w:r>
        <w:rPr>
          <w:rFonts w:hint="eastAsia" w:ascii="宋体" w:hAnsi="宋体" w:cs="宋体"/>
          <w:bCs/>
          <w:color w:val="auto"/>
          <w:szCs w:val="21"/>
          <w:highlight w:val="none"/>
          <w:lang w:val="zh-CN"/>
        </w:rPr>
        <w:t>享受政策优惠的监狱企业须提供由省级以上监狱管理局、戒毒管理局（含新疆生产建设兵团）出具的属于监狱企业的证明文件。</w:t>
      </w:r>
    </w:p>
    <w:p>
      <w:pPr>
        <w:rPr>
          <w:rFonts w:ascii="宋体" w:hAnsi="宋体" w:cs="宋体"/>
          <w:color w:val="auto"/>
          <w:szCs w:val="21"/>
          <w:highlight w:val="none"/>
        </w:rPr>
      </w:pPr>
    </w:p>
    <w:p>
      <w:pPr>
        <w:rPr>
          <w:rFonts w:ascii="宋体" w:hAnsi="宋体" w:cs="宋体"/>
          <w:color w:val="auto"/>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line="600" w:lineRule="auto"/>
        <w:jc w:val="center"/>
        <w:rPr>
          <w:rFonts w:ascii="宋体" w:hAnsi="宋体" w:cs="宋体"/>
          <w:b/>
          <w:bCs/>
          <w:color w:val="auto"/>
          <w:szCs w:val="21"/>
          <w:highlight w:val="none"/>
        </w:rPr>
      </w:pPr>
      <w:r>
        <w:rPr>
          <w:rFonts w:hint="eastAsia" w:ascii="宋体" w:hAnsi="宋体" w:cs="宋体"/>
          <w:b/>
          <w:bCs/>
          <w:color w:val="auto"/>
          <w:szCs w:val="21"/>
          <w:highlight w:val="none"/>
        </w:rPr>
        <w:t>16、节能环保产品声明及证明材料</w:t>
      </w:r>
    </w:p>
    <w:p>
      <w:pPr>
        <w:spacing w:line="600" w:lineRule="auto"/>
        <w:jc w:val="center"/>
        <w:rPr>
          <w:color w:val="auto"/>
          <w:highlight w:val="none"/>
        </w:rPr>
      </w:pPr>
      <w:r>
        <w:rPr>
          <w:color w:val="auto"/>
          <w:highlight w:val="none"/>
        </w:rPr>
        <w:t>（不属于节能环保产品的无需填写）</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numPr>
          <w:ilvl w:val="0"/>
          <w:numId w:val="5"/>
        </w:numPr>
        <w:jc w:val="center"/>
        <w:rPr>
          <w:b/>
          <w:bCs/>
          <w:color w:val="auto"/>
          <w:highlight w:val="none"/>
        </w:rPr>
      </w:pPr>
      <w:r>
        <w:rPr>
          <w:b/>
          <w:bCs/>
          <w:color w:val="auto"/>
          <w:highlight w:val="none"/>
        </w:rPr>
        <w:t>技术实施方案</w:t>
      </w:r>
    </w:p>
    <w:p>
      <w:pPr>
        <w:rPr>
          <w:color w:val="auto"/>
          <w:highlight w:val="none"/>
        </w:rPr>
      </w:pPr>
    </w:p>
    <w:p>
      <w:pPr>
        <w:jc w:val="center"/>
        <w:rPr>
          <w:color w:val="auto"/>
          <w:highlight w:val="none"/>
        </w:rPr>
      </w:pPr>
    </w:p>
    <w:p>
      <w:pPr>
        <w:jc w:val="center"/>
        <w:rPr>
          <w:color w:val="auto"/>
          <w:highlight w:val="none"/>
        </w:rPr>
      </w:pPr>
    </w:p>
    <w:p>
      <w:pPr>
        <w:jc w:val="center"/>
        <w:rPr>
          <w:color w:val="auto"/>
          <w:highlight w:val="none"/>
        </w:rPr>
      </w:pPr>
      <w:r>
        <w:rPr>
          <w:color w:val="auto"/>
          <w:highlight w:val="none"/>
        </w:rPr>
        <w:t>（格式自拟）</w:t>
      </w:r>
    </w:p>
    <w:p>
      <w:pPr>
        <w:rPr>
          <w:color w:val="auto"/>
          <w:highlight w:val="none"/>
        </w:rPr>
      </w:pPr>
    </w:p>
    <w:p>
      <w:pPr>
        <w:rPr>
          <w:color w:val="auto"/>
          <w:highlight w:val="none"/>
        </w:rPr>
      </w:pPr>
    </w:p>
    <w:p>
      <w:pPr>
        <w:rPr>
          <w:color w:val="auto"/>
          <w:highlight w:val="none"/>
        </w:rPr>
      </w:pPr>
    </w:p>
    <w:p>
      <w:pPr>
        <w:rPr>
          <w:color w:val="auto"/>
          <w:highlight w:val="none"/>
        </w:rPr>
      </w:pPr>
    </w:p>
    <w:p>
      <w:pPr>
        <w:spacing w:line="360" w:lineRule="auto"/>
        <w:ind w:firstLine="3570" w:firstLineChars="1700"/>
        <w:rPr>
          <w:rFonts w:ascii="宋体" w:hAnsi="宋体" w:cs="宋体"/>
          <w:bCs/>
          <w:color w:val="auto"/>
          <w:szCs w:val="21"/>
          <w:highlight w:val="none"/>
        </w:rPr>
      </w:pPr>
    </w:p>
    <w:p>
      <w:pPr>
        <w:adjustRightInd w:val="0"/>
        <w:snapToGrid w:val="0"/>
        <w:spacing w:line="360" w:lineRule="auto"/>
        <w:rPr>
          <w:rFonts w:asciiTheme="minorEastAsia" w:hAnsiTheme="minorEastAsia" w:eastAsiaTheme="minorEastAsia" w:cstheme="minorEastAsia"/>
          <w:color w:val="auto"/>
          <w:szCs w:val="21"/>
          <w:highlight w:val="none"/>
        </w:rPr>
      </w:pPr>
    </w:p>
    <w:p>
      <w:pPr>
        <w:adjustRightInd w:val="0"/>
        <w:snapToGrid w:val="0"/>
        <w:spacing w:line="360" w:lineRule="auto"/>
        <w:rPr>
          <w:rFonts w:asciiTheme="minorEastAsia" w:hAnsiTheme="minorEastAsia" w:eastAsiaTheme="minorEastAsia" w:cstheme="minorEastAsia"/>
          <w:color w:val="auto"/>
          <w:szCs w:val="21"/>
          <w:highlight w:val="none"/>
        </w:rPr>
      </w:pPr>
    </w:p>
    <w:sectPr>
      <w:footerReference r:id="rId11" w:type="default"/>
      <w:pgSz w:w="11906" w:h="16838"/>
      <w:pgMar w:top="720" w:right="720" w:bottom="720" w:left="720" w:header="794"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FontAwesome">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114</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114</w:t>
                    </w:r>
                    <w:r>
                      <w:fldChar w:fldCharType="end"/>
                    </w:r>
                    <w:r>
                      <w:rPr>
                        <w:rFonts w:hint="eastAsia"/>
                      </w:rPr>
                      <w:t xml:space="preserve"> 页</w:t>
                    </w:r>
                  </w:p>
                </w:txbxContent>
              </v:textbox>
            </v:shape>
          </w:pict>
        </mc:Fallback>
      </mc:AlternateContent>
    </w: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58</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35</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58</w:t>
                    </w:r>
                    <w:r>
                      <w:rPr>
                        <w:rFonts w:hint="eastAsia"/>
                      </w:rPr>
                      <w:fldChar w:fldCharType="end"/>
                    </w:r>
                    <w:r>
                      <w:rPr>
                        <w:rFonts w:hint="eastAsia"/>
                      </w:rPr>
                      <w:t xml:space="preserve"> 页</w:t>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r>
      <w:rPr>
        <w:sz w:val="21"/>
        <w:szCs w:val="21"/>
      </w:rP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outlineLvl w:val="0"/>
      <w:rPr>
        <w:rFonts w:hAnsi="宋体"/>
        <w:b/>
        <w:bCs/>
        <w:szCs w:val="21"/>
      </w:rPr>
    </w:pPr>
    <w:r>
      <w:rPr>
        <w:rFonts w:hint="eastAsia" w:hAnsi="宋体"/>
        <w:b/>
        <w:bCs/>
        <w:sz w:val="18"/>
        <w:szCs w:val="18"/>
      </w:rPr>
      <w:t>海</w:t>
    </w:r>
    <w:r>
      <w:rPr>
        <w:rFonts w:hint="eastAsia" w:hAnsi="宋体"/>
        <w:b/>
        <w:bCs/>
        <w:szCs w:val="21"/>
      </w:rPr>
      <w:t>口市政府采购中心                    海口市人民医院物业服务项目（C包 安保服务）</w:t>
    </w:r>
  </w:p>
  <w:p>
    <w:pPr>
      <w:pStyle w:val="11"/>
      <w:ind w:left="3975" w:leftChars="1893" w:firstLine="2741" w:firstLineChars="1300"/>
      <w:outlineLvl w:val="0"/>
      <w:rPr>
        <w:rFonts w:hAnsi="宋体"/>
        <w:b/>
        <w:bCs/>
        <w:szCs w:val="21"/>
      </w:rPr>
    </w:pPr>
    <w:r>
      <w:rPr>
        <w:rFonts w:hint="eastAsia" w:hAnsi="宋体"/>
        <w:b/>
        <w:bCs/>
        <w:szCs w:val="21"/>
      </w:rPr>
      <w:t>/HKGP-2021-0038</w:t>
    </w:r>
  </w:p>
  <w:p>
    <w:pPr>
      <w:pStyle w:val="14"/>
      <w:pBdr>
        <w:bottom w:val="none" w:color="auto" w:sz="0" w:space="1"/>
      </w:pBdr>
    </w:pPr>
    <w:r>
      <w:rPr>
        <w:sz w:val="21"/>
        <w:szCs w:val="21"/>
      </w:rP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outlineLvl w:val="0"/>
      <w:rPr>
        <w:rFonts w:hAnsi="宋体"/>
        <w:b/>
        <w:bCs/>
        <w:szCs w:val="21"/>
      </w:rPr>
    </w:pPr>
    <w:r>
      <w:rPr>
        <w:rFonts w:hint="eastAsia" w:hAnsi="宋体"/>
        <w:b/>
        <w:bCs/>
        <w:sz w:val="18"/>
        <w:szCs w:val="18"/>
      </w:rPr>
      <w:t>海</w:t>
    </w:r>
    <w:r>
      <w:rPr>
        <w:rFonts w:hint="eastAsia" w:hAnsi="宋体"/>
        <w:b/>
        <w:bCs/>
        <w:szCs w:val="21"/>
      </w:rPr>
      <w:t>口市政府采购中心                    海口市人民医院物业服务项目（C包 安保服务）</w:t>
    </w:r>
  </w:p>
  <w:p>
    <w:pPr>
      <w:pStyle w:val="11"/>
      <w:ind w:left="3975" w:leftChars="1893" w:firstLine="2741" w:firstLineChars="1300"/>
      <w:outlineLvl w:val="0"/>
      <w:rPr>
        <w:rFonts w:hAnsi="宋体"/>
        <w:b/>
        <w:bCs/>
        <w:szCs w:val="21"/>
      </w:rPr>
    </w:pPr>
    <w:r>
      <w:rPr>
        <w:rFonts w:hint="eastAsia" w:hAnsi="宋体"/>
        <w:b/>
        <w:bCs/>
        <w:szCs w:val="21"/>
      </w:rPr>
      <w:t>/HKGP-2021-0038</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25212F"/>
    <w:multiLevelType w:val="singleLevel"/>
    <w:tmpl w:val="C025212F"/>
    <w:lvl w:ilvl="0" w:tentative="0">
      <w:start w:val="17"/>
      <w:numFmt w:val="decimal"/>
      <w:suff w:val="nothing"/>
      <w:lvlText w:val="%1、"/>
      <w:lvlJc w:val="left"/>
    </w:lvl>
  </w:abstractNum>
  <w:abstractNum w:abstractNumId="1">
    <w:nsid w:val="D2F006EF"/>
    <w:multiLevelType w:val="singleLevel"/>
    <w:tmpl w:val="D2F006EF"/>
    <w:lvl w:ilvl="0" w:tentative="0">
      <w:start w:val="3"/>
      <w:numFmt w:val="decimal"/>
      <w:suff w:val="nothing"/>
      <w:lvlText w:val="%1、"/>
      <w:lvlJc w:val="left"/>
    </w:lvl>
  </w:abstractNum>
  <w:abstractNum w:abstractNumId="2">
    <w:nsid w:val="1BD896DB"/>
    <w:multiLevelType w:val="singleLevel"/>
    <w:tmpl w:val="1BD896DB"/>
    <w:lvl w:ilvl="0" w:tentative="0">
      <w:start w:val="2"/>
      <w:numFmt w:val="chineseCounting"/>
      <w:suff w:val="nothing"/>
      <w:lvlText w:val="（%1）"/>
      <w:lvlJc w:val="left"/>
      <w:pPr>
        <w:ind w:left="-2"/>
      </w:pPr>
      <w:rPr>
        <w:rFonts w:hint="eastAsia"/>
      </w:rPr>
    </w:lvl>
  </w:abstractNum>
  <w:abstractNum w:abstractNumId="3">
    <w:nsid w:val="38B12FAD"/>
    <w:multiLevelType w:val="multilevel"/>
    <w:tmpl w:val="38B12FAD"/>
    <w:lvl w:ilvl="0" w:tentative="0">
      <w:start w:val="1"/>
      <w:numFmt w:val="decimal"/>
      <w:lvlText w:val="%1."/>
      <w:lvlJc w:val="left"/>
      <w:pPr>
        <w:ind w:left="825"/>
      </w:pPr>
      <w:rPr>
        <w:rFonts w:ascii="宋体" w:hAnsi="宋体" w:eastAsia="宋体" w:cs="宋体"/>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4"/>
        <w:szCs w:val="24"/>
        <w:u w:val="none" w:color="000000"/>
        <w:shd w:val="clear" w:color="auto" w:fill="auto"/>
        <w:vertAlign w:val="baseline"/>
      </w:rPr>
    </w:lvl>
  </w:abstractNum>
  <w:abstractNum w:abstractNumId="4">
    <w:nsid w:val="655B26E9"/>
    <w:multiLevelType w:val="multilevel"/>
    <w:tmpl w:val="655B26E9"/>
    <w:lvl w:ilvl="0" w:tentative="0">
      <w:start w:val="1"/>
      <w:numFmt w:val="decimalEnclosedCircle"/>
      <w:lvlText w:val="%1"/>
      <w:lvlJc w:val="left"/>
      <w:pPr>
        <w:ind w:left="360" w:hanging="360"/>
      </w:pPr>
      <w:rPr>
        <w:rFonts w:hint="default" w:ascii="宋体" w:hAnsi="宋体" w:cs="宋体"/>
        <w:sz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zMmI3NzI5OTI5YjNiMjcyODZiMjQwZDI0MGIyNTcifQ=="/>
  </w:docVars>
  <w:rsids>
    <w:rsidRoot w:val="53E73F9D"/>
    <w:rsid w:val="000A72CD"/>
    <w:rsid w:val="000C5831"/>
    <w:rsid w:val="00141FD7"/>
    <w:rsid w:val="00226F02"/>
    <w:rsid w:val="002C5303"/>
    <w:rsid w:val="002E2F8C"/>
    <w:rsid w:val="003216DB"/>
    <w:rsid w:val="0035445E"/>
    <w:rsid w:val="003814AA"/>
    <w:rsid w:val="00407E90"/>
    <w:rsid w:val="004C3C84"/>
    <w:rsid w:val="005D103E"/>
    <w:rsid w:val="005F4489"/>
    <w:rsid w:val="006F61DB"/>
    <w:rsid w:val="00783012"/>
    <w:rsid w:val="007A2A93"/>
    <w:rsid w:val="00801901"/>
    <w:rsid w:val="008420E4"/>
    <w:rsid w:val="00847139"/>
    <w:rsid w:val="008D1DDB"/>
    <w:rsid w:val="009A1606"/>
    <w:rsid w:val="009B4088"/>
    <w:rsid w:val="00A63F7E"/>
    <w:rsid w:val="00B37B99"/>
    <w:rsid w:val="00CF3B3E"/>
    <w:rsid w:val="00D16642"/>
    <w:rsid w:val="00ED4D9D"/>
    <w:rsid w:val="00F9257D"/>
    <w:rsid w:val="012C03BC"/>
    <w:rsid w:val="012F0CEC"/>
    <w:rsid w:val="0159347F"/>
    <w:rsid w:val="01743003"/>
    <w:rsid w:val="01816A09"/>
    <w:rsid w:val="018E7997"/>
    <w:rsid w:val="02213014"/>
    <w:rsid w:val="022A3D06"/>
    <w:rsid w:val="022D30DA"/>
    <w:rsid w:val="02455925"/>
    <w:rsid w:val="027C6FB6"/>
    <w:rsid w:val="02D219C4"/>
    <w:rsid w:val="03231259"/>
    <w:rsid w:val="033B0CFE"/>
    <w:rsid w:val="034F7EF4"/>
    <w:rsid w:val="0364113D"/>
    <w:rsid w:val="03854560"/>
    <w:rsid w:val="03920A67"/>
    <w:rsid w:val="03BF4CCA"/>
    <w:rsid w:val="03C14561"/>
    <w:rsid w:val="040D3C69"/>
    <w:rsid w:val="04261197"/>
    <w:rsid w:val="044253DB"/>
    <w:rsid w:val="04630F4A"/>
    <w:rsid w:val="047F723D"/>
    <w:rsid w:val="049B5476"/>
    <w:rsid w:val="04E03371"/>
    <w:rsid w:val="052D4ADE"/>
    <w:rsid w:val="055E210C"/>
    <w:rsid w:val="056A57F8"/>
    <w:rsid w:val="05962A91"/>
    <w:rsid w:val="05992E89"/>
    <w:rsid w:val="05F21DE6"/>
    <w:rsid w:val="064E6865"/>
    <w:rsid w:val="06984B35"/>
    <w:rsid w:val="06A619EC"/>
    <w:rsid w:val="06EC4087"/>
    <w:rsid w:val="07050876"/>
    <w:rsid w:val="070E1F6A"/>
    <w:rsid w:val="071D0355"/>
    <w:rsid w:val="073851BD"/>
    <w:rsid w:val="07B81042"/>
    <w:rsid w:val="07D1641A"/>
    <w:rsid w:val="07F32B31"/>
    <w:rsid w:val="07F661BB"/>
    <w:rsid w:val="07F92E63"/>
    <w:rsid w:val="08007B78"/>
    <w:rsid w:val="08105A97"/>
    <w:rsid w:val="08145A20"/>
    <w:rsid w:val="082C4653"/>
    <w:rsid w:val="08326375"/>
    <w:rsid w:val="085A2AEA"/>
    <w:rsid w:val="085A4AFD"/>
    <w:rsid w:val="08A774AC"/>
    <w:rsid w:val="08D97D1B"/>
    <w:rsid w:val="08DB2D17"/>
    <w:rsid w:val="08DC5BCE"/>
    <w:rsid w:val="08DD1211"/>
    <w:rsid w:val="090F409F"/>
    <w:rsid w:val="09601EFA"/>
    <w:rsid w:val="09A068B5"/>
    <w:rsid w:val="09B37E23"/>
    <w:rsid w:val="09FC5A6D"/>
    <w:rsid w:val="0A586351"/>
    <w:rsid w:val="0A7B7C6C"/>
    <w:rsid w:val="0A89454C"/>
    <w:rsid w:val="0AA52631"/>
    <w:rsid w:val="0AD87214"/>
    <w:rsid w:val="0AF21923"/>
    <w:rsid w:val="0AFD710E"/>
    <w:rsid w:val="0B93537C"/>
    <w:rsid w:val="0BB7140A"/>
    <w:rsid w:val="0BBC0022"/>
    <w:rsid w:val="0BD90EE9"/>
    <w:rsid w:val="0C0043CF"/>
    <w:rsid w:val="0C282C80"/>
    <w:rsid w:val="0C363F6F"/>
    <w:rsid w:val="0C747BE1"/>
    <w:rsid w:val="0C796895"/>
    <w:rsid w:val="0C8D7232"/>
    <w:rsid w:val="0C917085"/>
    <w:rsid w:val="0C956CDB"/>
    <w:rsid w:val="0C98361C"/>
    <w:rsid w:val="0C9E593E"/>
    <w:rsid w:val="0CB15B7F"/>
    <w:rsid w:val="0CC95340"/>
    <w:rsid w:val="0CE06855"/>
    <w:rsid w:val="0CF271BF"/>
    <w:rsid w:val="0D3A63F7"/>
    <w:rsid w:val="0D3B3F1D"/>
    <w:rsid w:val="0D463A32"/>
    <w:rsid w:val="0D5F1E64"/>
    <w:rsid w:val="0DA815B3"/>
    <w:rsid w:val="0DB27913"/>
    <w:rsid w:val="0DDF6EFF"/>
    <w:rsid w:val="0DFD1228"/>
    <w:rsid w:val="0E0B3977"/>
    <w:rsid w:val="0E2B535C"/>
    <w:rsid w:val="0E603E62"/>
    <w:rsid w:val="0E9733D5"/>
    <w:rsid w:val="0F3B3D47"/>
    <w:rsid w:val="0F4814BC"/>
    <w:rsid w:val="0FD85A54"/>
    <w:rsid w:val="10045BDC"/>
    <w:rsid w:val="100B407B"/>
    <w:rsid w:val="104E667B"/>
    <w:rsid w:val="10575E20"/>
    <w:rsid w:val="105A2DDD"/>
    <w:rsid w:val="106611CB"/>
    <w:rsid w:val="106A72DA"/>
    <w:rsid w:val="108958CC"/>
    <w:rsid w:val="1092555E"/>
    <w:rsid w:val="10F92E76"/>
    <w:rsid w:val="113722BE"/>
    <w:rsid w:val="113B6715"/>
    <w:rsid w:val="113F685C"/>
    <w:rsid w:val="11601AD6"/>
    <w:rsid w:val="11E76422"/>
    <w:rsid w:val="11EE77B0"/>
    <w:rsid w:val="122E39E8"/>
    <w:rsid w:val="12380801"/>
    <w:rsid w:val="12507C79"/>
    <w:rsid w:val="1254371D"/>
    <w:rsid w:val="1262199D"/>
    <w:rsid w:val="12646CE6"/>
    <w:rsid w:val="12656D6A"/>
    <w:rsid w:val="12865437"/>
    <w:rsid w:val="12AF6F40"/>
    <w:rsid w:val="12BD6BF4"/>
    <w:rsid w:val="132D6E78"/>
    <w:rsid w:val="133833D9"/>
    <w:rsid w:val="137C0484"/>
    <w:rsid w:val="13962132"/>
    <w:rsid w:val="1399374C"/>
    <w:rsid w:val="139C4065"/>
    <w:rsid w:val="13FB0C28"/>
    <w:rsid w:val="1437327D"/>
    <w:rsid w:val="145A17F2"/>
    <w:rsid w:val="145A366F"/>
    <w:rsid w:val="147E12BF"/>
    <w:rsid w:val="149B7408"/>
    <w:rsid w:val="14A27AD7"/>
    <w:rsid w:val="14B32809"/>
    <w:rsid w:val="14B33330"/>
    <w:rsid w:val="14E24257"/>
    <w:rsid w:val="14F364DD"/>
    <w:rsid w:val="150D5D06"/>
    <w:rsid w:val="151C0D29"/>
    <w:rsid w:val="157F1A78"/>
    <w:rsid w:val="15867E05"/>
    <w:rsid w:val="15891CCA"/>
    <w:rsid w:val="15A10347"/>
    <w:rsid w:val="15D078F9"/>
    <w:rsid w:val="15DA2C5A"/>
    <w:rsid w:val="15F36A4A"/>
    <w:rsid w:val="1605187F"/>
    <w:rsid w:val="16154877"/>
    <w:rsid w:val="16561BC2"/>
    <w:rsid w:val="16A816D3"/>
    <w:rsid w:val="16C0190D"/>
    <w:rsid w:val="170F0CDD"/>
    <w:rsid w:val="17137D16"/>
    <w:rsid w:val="172B3648"/>
    <w:rsid w:val="17B77DC6"/>
    <w:rsid w:val="17C4348D"/>
    <w:rsid w:val="180A74EF"/>
    <w:rsid w:val="183B15F3"/>
    <w:rsid w:val="186A144F"/>
    <w:rsid w:val="18812024"/>
    <w:rsid w:val="18932C85"/>
    <w:rsid w:val="18DA1062"/>
    <w:rsid w:val="18DF750D"/>
    <w:rsid w:val="19057B47"/>
    <w:rsid w:val="192E465C"/>
    <w:rsid w:val="195A634B"/>
    <w:rsid w:val="19881796"/>
    <w:rsid w:val="199C16E9"/>
    <w:rsid w:val="199D5F29"/>
    <w:rsid w:val="1A0A078A"/>
    <w:rsid w:val="1A512291"/>
    <w:rsid w:val="1A5202FA"/>
    <w:rsid w:val="1A58610F"/>
    <w:rsid w:val="1AAC33FA"/>
    <w:rsid w:val="1AED0A61"/>
    <w:rsid w:val="1B056327"/>
    <w:rsid w:val="1B1A0424"/>
    <w:rsid w:val="1B4A5220"/>
    <w:rsid w:val="1B4B4FB2"/>
    <w:rsid w:val="1B4E010B"/>
    <w:rsid w:val="1B7A723A"/>
    <w:rsid w:val="1B9E715D"/>
    <w:rsid w:val="1BCA0EFB"/>
    <w:rsid w:val="1BD6322C"/>
    <w:rsid w:val="1BDF0C37"/>
    <w:rsid w:val="1C180837"/>
    <w:rsid w:val="1C2244F6"/>
    <w:rsid w:val="1C6670D2"/>
    <w:rsid w:val="1C9070D0"/>
    <w:rsid w:val="1CA52F76"/>
    <w:rsid w:val="1CAD6FA9"/>
    <w:rsid w:val="1CCF5F4C"/>
    <w:rsid w:val="1D234DCF"/>
    <w:rsid w:val="1D2D3ACF"/>
    <w:rsid w:val="1D37451A"/>
    <w:rsid w:val="1D58775C"/>
    <w:rsid w:val="1D686A57"/>
    <w:rsid w:val="1D813BCE"/>
    <w:rsid w:val="1DE2494A"/>
    <w:rsid w:val="1E1A6270"/>
    <w:rsid w:val="1E66393B"/>
    <w:rsid w:val="1EB83740"/>
    <w:rsid w:val="1EC56452"/>
    <w:rsid w:val="1EED5392"/>
    <w:rsid w:val="1F2B2044"/>
    <w:rsid w:val="1F30529C"/>
    <w:rsid w:val="1F9D2223"/>
    <w:rsid w:val="1FBA61AA"/>
    <w:rsid w:val="1FC96AD8"/>
    <w:rsid w:val="1FD44EAF"/>
    <w:rsid w:val="1FE15F3B"/>
    <w:rsid w:val="201C16E2"/>
    <w:rsid w:val="202C6073"/>
    <w:rsid w:val="203E5DA7"/>
    <w:rsid w:val="20825C93"/>
    <w:rsid w:val="20F50735"/>
    <w:rsid w:val="21132956"/>
    <w:rsid w:val="211428BF"/>
    <w:rsid w:val="21202FCA"/>
    <w:rsid w:val="217C5962"/>
    <w:rsid w:val="219A666F"/>
    <w:rsid w:val="21B3342C"/>
    <w:rsid w:val="21DD364C"/>
    <w:rsid w:val="22153965"/>
    <w:rsid w:val="224A1874"/>
    <w:rsid w:val="227A6AB2"/>
    <w:rsid w:val="229B216B"/>
    <w:rsid w:val="22B13B13"/>
    <w:rsid w:val="22B66EF0"/>
    <w:rsid w:val="234271CB"/>
    <w:rsid w:val="23433540"/>
    <w:rsid w:val="235012B6"/>
    <w:rsid w:val="237D267B"/>
    <w:rsid w:val="238268C2"/>
    <w:rsid w:val="238B212F"/>
    <w:rsid w:val="238C0D3F"/>
    <w:rsid w:val="23B855B4"/>
    <w:rsid w:val="23BC2A5A"/>
    <w:rsid w:val="23CD07BD"/>
    <w:rsid w:val="23E60B0F"/>
    <w:rsid w:val="23F51F6C"/>
    <w:rsid w:val="24240441"/>
    <w:rsid w:val="24346E9F"/>
    <w:rsid w:val="245925FC"/>
    <w:rsid w:val="245E5334"/>
    <w:rsid w:val="24774524"/>
    <w:rsid w:val="24A563F4"/>
    <w:rsid w:val="25030902"/>
    <w:rsid w:val="254257E5"/>
    <w:rsid w:val="256D095A"/>
    <w:rsid w:val="25AE26C4"/>
    <w:rsid w:val="25D51472"/>
    <w:rsid w:val="25E0531F"/>
    <w:rsid w:val="25F06062"/>
    <w:rsid w:val="260D5FFF"/>
    <w:rsid w:val="26306279"/>
    <w:rsid w:val="263B05DB"/>
    <w:rsid w:val="264F15E3"/>
    <w:rsid w:val="26551754"/>
    <w:rsid w:val="26683828"/>
    <w:rsid w:val="26774ED4"/>
    <w:rsid w:val="268B0BB7"/>
    <w:rsid w:val="26F02B5B"/>
    <w:rsid w:val="273F0DA8"/>
    <w:rsid w:val="27460791"/>
    <w:rsid w:val="274F678B"/>
    <w:rsid w:val="275318CF"/>
    <w:rsid w:val="27A219D0"/>
    <w:rsid w:val="27D44B1C"/>
    <w:rsid w:val="28025A1A"/>
    <w:rsid w:val="282A6111"/>
    <w:rsid w:val="28777AD4"/>
    <w:rsid w:val="287D015D"/>
    <w:rsid w:val="288B7471"/>
    <w:rsid w:val="28A92BCF"/>
    <w:rsid w:val="28B078C0"/>
    <w:rsid w:val="29221667"/>
    <w:rsid w:val="29335621"/>
    <w:rsid w:val="293755EF"/>
    <w:rsid w:val="297213A4"/>
    <w:rsid w:val="298A5CE1"/>
    <w:rsid w:val="29935745"/>
    <w:rsid w:val="299E0C30"/>
    <w:rsid w:val="29AF73CD"/>
    <w:rsid w:val="29CF2C9E"/>
    <w:rsid w:val="2A1525B3"/>
    <w:rsid w:val="2A1F3C77"/>
    <w:rsid w:val="2A420242"/>
    <w:rsid w:val="2A770325"/>
    <w:rsid w:val="2A8518C7"/>
    <w:rsid w:val="2A9B0FFD"/>
    <w:rsid w:val="2AB925D2"/>
    <w:rsid w:val="2B577739"/>
    <w:rsid w:val="2B82420A"/>
    <w:rsid w:val="2BA83E8E"/>
    <w:rsid w:val="2BC32FA6"/>
    <w:rsid w:val="2BDE0F2A"/>
    <w:rsid w:val="2C1F0ECB"/>
    <w:rsid w:val="2C29394A"/>
    <w:rsid w:val="2C2F0132"/>
    <w:rsid w:val="2C3B54B4"/>
    <w:rsid w:val="2C5B48B1"/>
    <w:rsid w:val="2C635A6B"/>
    <w:rsid w:val="2C7A3CC3"/>
    <w:rsid w:val="2C9C63F2"/>
    <w:rsid w:val="2CC727AB"/>
    <w:rsid w:val="2CC95061"/>
    <w:rsid w:val="2CE95AE3"/>
    <w:rsid w:val="2D056A81"/>
    <w:rsid w:val="2D0D1210"/>
    <w:rsid w:val="2D205DF5"/>
    <w:rsid w:val="2D6F2A08"/>
    <w:rsid w:val="2D7A708A"/>
    <w:rsid w:val="2D7B5F44"/>
    <w:rsid w:val="2D986A7C"/>
    <w:rsid w:val="2DD31C58"/>
    <w:rsid w:val="2DDF4725"/>
    <w:rsid w:val="2DFB5351"/>
    <w:rsid w:val="2E386100"/>
    <w:rsid w:val="2E3A4E93"/>
    <w:rsid w:val="2E5D1AEE"/>
    <w:rsid w:val="2E921BC1"/>
    <w:rsid w:val="2E9D3756"/>
    <w:rsid w:val="2EAA31F2"/>
    <w:rsid w:val="2EC51B5F"/>
    <w:rsid w:val="2ED71151"/>
    <w:rsid w:val="2EE83CE5"/>
    <w:rsid w:val="2EEA200A"/>
    <w:rsid w:val="2EFB0B3C"/>
    <w:rsid w:val="2F3B21A6"/>
    <w:rsid w:val="2F5B4CE0"/>
    <w:rsid w:val="2F5C1340"/>
    <w:rsid w:val="2F6457B2"/>
    <w:rsid w:val="2F8D101C"/>
    <w:rsid w:val="2F8F217B"/>
    <w:rsid w:val="2F9039F3"/>
    <w:rsid w:val="2F95064E"/>
    <w:rsid w:val="2FF4525E"/>
    <w:rsid w:val="30086895"/>
    <w:rsid w:val="300D602F"/>
    <w:rsid w:val="30434F34"/>
    <w:rsid w:val="30551C7E"/>
    <w:rsid w:val="30556C28"/>
    <w:rsid w:val="305C1DF5"/>
    <w:rsid w:val="30C330A2"/>
    <w:rsid w:val="30C94242"/>
    <w:rsid w:val="30E322E5"/>
    <w:rsid w:val="31032820"/>
    <w:rsid w:val="31265C52"/>
    <w:rsid w:val="31434FCB"/>
    <w:rsid w:val="31847465"/>
    <w:rsid w:val="31DE379A"/>
    <w:rsid w:val="327D0402"/>
    <w:rsid w:val="32A61FCC"/>
    <w:rsid w:val="32C0465B"/>
    <w:rsid w:val="32CE6B16"/>
    <w:rsid w:val="33000244"/>
    <w:rsid w:val="33044755"/>
    <w:rsid w:val="3319111C"/>
    <w:rsid w:val="33366578"/>
    <w:rsid w:val="33A63D3F"/>
    <w:rsid w:val="33AA7583"/>
    <w:rsid w:val="33D41912"/>
    <w:rsid w:val="33F40A75"/>
    <w:rsid w:val="33F61B9F"/>
    <w:rsid w:val="34864572"/>
    <w:rsid w:val="34B155AA"/>
    <w:rsid w:val="34BE18EB"/>
    <w:rsid w:val="34BF7A35"/>
    <w:rsid w:val="34C5335C"/>
    <w:rsid w:val="34C80E50"/>
    <w:rsid w:val="34DB1C6D"/>
    <w:rsid w:val="34F33242"/>
    <w:rsid w:val="35095BB0"/>
    <w:rsid w:val="350D3521"/>
    <w:rsid w:val="35262805"/>
    <w:rsid w:val="352D2429"/>
    <w:rsid w:val="353A6D2D"/>
    <w:rsid w:val="35407683"/>
    <w:rsid w:val="357342CB"/>
    <w:rsid w:val="358F4C83"/>
    <w:rsid w:val="35956011"/>
    <w:rsid w:val="35A207D8"/>
    <w:rsid w:val="35A51DD0"/>
    <w:rsid w:val="35CC03C4"/>
    <w:rsid w:val="36202DD1"/>
    <w:rsid w:val="362E1FD0"/>
    <w:rsid w:val="36345F74"/>
    <w:rsid w:val="366C2AF8"/>
    <w:rsid w:val="36720821"/>
    <w:rsid w:val="36E43B49"/>
    <w:rsid w:val="3708704A"/>
    <w:rsid w:val="37105321"/>
    <w:rsid w:val="371A0C45"/>
    <w:rsid w:val="372D2590"/>
    <w:rsid w:val="37505C3B"/>
    <w:rsid w:val="375D7E76"/>
    <w:rsid w:val="37807888"/>
    <w:rsid w:val="379571B9"/>
    <w:rsid w:val="37C96B2D"/>
    <w:rsid w:val="37D13732"/>
    <w:rsid w:val="37F0121B"/>
    <w:rsid w:val="38284F1B"/>
    <w:rsid w:val="3869436C"/>
    <w:rsid w:val="38754CFF"/>
    <w:rsid w:val="388B18D0"/>
    <w:rsid w:val="389F4BFE"/>
    <w:rsid w:val="38C24E40"/>
    <w:rsid w:val="38CA6BA3"/>
    <w:rsid w:val="38EF3348"/>
    <w:rsid w:val="38F36F52"/>
    <w:rsid w:val="39061F4C"/>
    <w:rsid w:val="393F44A5"/>
    <w:rsid w:val="394B49F2"/>
    <w:rsid w:val="395D73C0"/>
    <w:rsid w:val="3964489B"/>
    <w:rsid w:val="396D4363"/>
    <w:rsid w:val="39761CB6"/>
    <w:rsid w:val="397703E1"/>
    <w:rsid w:val="397D519A"/>
    <w:rsid w:val="397D5C71"/>
    <w:rsid w:val="39822409"/>
    <w:rsid w:val="398C450B"/>
    <w:rsid w:val="39A27D95"/>
    <w:rsid w:val="39A30FAD"/>
    <w:rsid w:val="39DF76B4"/>
    <w:rsid w:val="39EB6FE9"/>
    <w:rsid w:val="3A3B4A7C"/>
    <w:rsid w:val="3A9C5889"/>
    <w:rsid w:val="3B0300BA"/>
    <w:rsid w:val="3B103205"/>
    <w:rsid w:val="3B2C125E"/>
    <w:rsid w:val="3B40382E"/>
    <w:rsid w:val="3B4909A7"/>
    <w:rsid w:val="3B706D2B"/>
    <w:rsid w:val="3B900E71"/>
    <w:rsid w:val="3B967BC8"/>
    <w:rsid w:val="3BC7074D"/>
    <w:rsid w:val="3BDA3232"/>
    <w:rsid w:val="3C0567E7"/>
    <w:rsid w:val="3C362D65"/>
    <w:rsid w:val="3C547DBA"/>
    <w:rsid w:val="3C5A7719"/>
    <w:rsid w:val="3C71787E"/>
    <w:rsid w:val="3C766FF7"/>
    <w:rsid w:val="3C8666B4"/>
    <w:rsid w:val="3CEC3782"/>
    <w:rsid w:val="3D005751"/>
    <w:rsid w:val="3D14685C"/>
    <w:rsid w:val="3D2E7CF5"/>
    <w:rsid w:val="3D3A016E"/>
    <w:rsid w:val="3D6A7A3F"/>
    <w:rsid w:val="3D8475ED"/>
    <w:rsid w:val="3D9133ED"/>
    <w:rsid w:val="3D9A7407"/>
    <w:rsid w:val="3DAA5F13"/>
    <w:rsid w:val="3DBA03C3"/>
    <w:rsid w:val="3DC35547"/>
    <w:rsid w:val="3E0C29CB"/>
    <w:rsid w:val="3E1438A5"/>
    <w:rsid w:val="3E467EA9"/>
    <w:rsid w:val="3E6977ED"/>
    <w:rsid w:val="3E7E1019"/>
    <w:rsid w:val="3EB53979"/>
    <w:rsid w:val="3ED06C72"/>
    <w:rsid w:val="3EDC6A5F"/>
    <w:rsid w:val="3EE85802"/>
    <w:rsid w:val="3F11069A"/>
    <w:rsid w:val="3F9179BC"/>
    <w:rsid w:val="3FAF7652"/>
    <w:rsid w:val="3FB91F06"/>
    <w:rsid w:val="3FEF631E"/>
    <w:rsid w:val="400F3C62"/>
    <w:rsid w:val="40143827"/>
    <w:rsid w:val="40172C0E"/>
    <w:rsid w:val="40275A1F"/>
    <w:rsid w:val="405A10B2"/>
    <w:rsid w:val="40672358"/>
    <w:rsid w:val="408F5EAA"/>
    <w:rsid w:val="40930E3F"/>
    <w:rsid w:val="40B5190A"/>
    <w:rsid w:val="40DE32EB"/>
    <w:rsid w:val="40E0498B"/>
    <w:rsid w:val="40EA7211"/>
    <w:rsid w:val="41075BB4"/>
    <w:rsid w:val="412D71DE"/>
    <w:rsid w:val="416C485A"/>
    <w:rsid w:val="41721093"/>
    <w:rsid w:val="41A25A1E"/>
    <w:rsid w:val="41AE6491"/>
    <w:rsid w:val="41CC7DDB"/>
    <w:rsid w:val="41D5051C"/>
    <w:rsid w:val="41D93646"/>
    <w:rsid w:val="41E13113"/>
    <w:rsid w:val="422B280E"/>
    <w:rsid w:val="422E61D8"/>
    <w:rsid w:val="42420B28"/>
    <w:rsid w:val="424C4B06"/>
    <w:rsid w:val="427A2817"/>
    <w:rsid w:val="42806406"/>
    <w:rsid w:val="42847C2F"/>
    <w:rsid w:val="42E22CE0"/>
    <w:rsid w:val="42E265D8"/>
    <w:rsid w:val="43215097"/>
    <w:rsid w:val="43335793"/>
    <w:rsid w:val="43486471"/>
    <w:rsid w:val="43504A5C"/>
    <w:rsid w:val="43605A1D"/>
    <w:rsid w:val="437629AE"/>
    <w:rsid w:val="438D657A"/>
    <w:rsid w:val="43994D0E"/>
    <w:rsid w:val="43BE61A8"/>
    <w:rsid w:val="43D0692B"/>
    <w:rsid w:val="43DA56DD"/>
    <w:rsid w:val="442D019F"/>
    <w:rsid w:val="44370871"/>
    <w:rsid w:val="4491730C"/>
    <w:rsid w:val="44AA1CB0"/>
    <w:rsid w:val="44CE24E4"/>
    <w:rsid w:val="44D16A09"/>
    <w:rsid w:val="44D90521"/>
    <w:rsid w:val="44E52F1F"/>
    <w:rsid w:val="44FA26D1"/>
    <w:rsid w:val="450E440F"/>
    <w:rsid w:val="450F36EA"/>
    <w:rsid w:val="45502007"/>
    <w:rsid w:val="4580392B"/>
    <w:rsid w:val="45883F8A"/>
    <w:rsid w:val="45E83F3B"/>
    <w:rsid w:val="45F04858"/>
    <w:rsid w:val="460004BB"/>
    <w:rsid w:val="4606799E"/>
    <w:rsid w:val="4629386F"/>
    <w:rsid w:val="462A6010"/>
    <w:rsid w:val="46434F69"/>
    <w:rsid w:val="466174A4"/>
    <w:rsid w:val="468B197E"/>
    <w:rsid w:val="46C211EE"/>
    <w:rsid w:val="46D52AA1"/>
    <w:rsid w:val="470E5183"/>
    <w:rsid w:val="471F4F7F"/>
    <w:rsid w:val="47413903"/>
    <w:rsid w:val="47501D1D"/>
    <w:rsid w:val="479B2B65"/>
    <w:rsid w:val="47CB6F01"/>
    <w:rsid w:val="47E241F2"/>
    <w:rsid w:val="47E67EE1"/>
    <w:rsid w:val="47F05DF8"/>
    <w:rsid w:val="47F15329"/>
    <w:rsid w:val="483E2E99"/>
    <w:rsid w:val="484C22AF"/>
    <w:rsid w:val="48552C82"/>
    <w:rsid w:val="485A1120"/>
    <w:rsid w:val="48875656"/>
    <w:rsid w:val="488B7FA6"/>
    <w:rsid w:val="48A07068"/>
    <w:rsid w:val="48A11A2A"/>
    <w:rsid w:val="48AC59F4"/>
    <w:rsid w:val="48D07CB3"/>
    <w:rsid w:val="49057F3E"/>
    <w:rsid w:val="492B483F"/>
    <w:rsid w:val="493D11A5"/>
    <w:rsid w:val="493D6C54"/>
    <w:rsid w:val="49497376"/>
    <w:rsid w:val="49913258"/>
    <w:rsid w:val="49AD56D2"/>
    <w:rsid w:val="49B91461"/>
    <w:rsid w:val="49DF2FA3"/>
    <w:rsid w:val="49ED1963"/>
    <w:rsid w:val="49F41BF1"/>
    <w:rsid w:val="49FE18E4"/>
    <w:rsid w:val="4A2B6493"/>
    <w:rsid w:val="4A570B81"/>
    <w:rsid w:val="4A596A5D"/>
    <w:rsid w:val="4A5A497F"/>
    <w:rsid w:val="4A7D708F"/>
    <w:rsid w:val="4A946440"/>
    <w:rsid w:val="4ACC2191"/>
    <w:rsid w:val="4B274F85"/>
    <w:rsid w:val="4B967555"/>
    <w:rsid w:val="4BA41081"/>
    <w:rsid w:val="4BAB57EF"/>
    <w:rsid w:val="4BAE7BD6"/>
    <w:rsid w:val="4BC863A1"/>
    <w:rsid w:val="4C196F8C"/>
    <w:rsid w:val="4C624E51"/>
    <w:rsid w:val="4C6F5D75"/>
    <w:rsid w:val="4C8614A0"/>
    <w:rsid w:val="4CB90B4A"/>
    <w:rsid w:val="4CCC3C6F"/>
    <w:rsid w:val="4CEF395A"/>
    <w:rsid w:val="4CF03107"/>
    <w:rsid w:val="4D011E35"/>
    <w:rsid w:val="4D1A70AD"/>
    <w:rsid w:val="4D4D66ED"/>
    <w:rsid w:val="4D7A0BD5"/>
    <w:rsid w:val="4D896AAF"/>
    <w:rsid w:val="4D927727"/>
    <w:rsid w:val="4DBA3D68"/>
    <w:rsid w:val="4DCE7CC5"/>
    <w:rsid w:val="4DDF58BD"/>
    <w:rsid w:val="4E295649"/>
    <w:rsid w:val="4E434405"/>
    <w:rsid w:val="4E6D51A2"/>
    <w:rsid w:val="4E7445BE"/>
    <w:rsid w:val="4EA40E15"/>
    <w:rsid w:val="4F330037"/>
    <w:rsid w:val="4F4237F4"/>
    <w:rsid w:val="4F5363D4"/>
    <w:rsid w:val="4F6B7B7D"/>
    <w:rsid w:val="4F840FDE"/>
    <w:rsid w:val="4F8A0ABB"/>
    <w:rsid w:val="4F946C4D"/>
    <w:rsid w:val="4FDA1EBF"/>
    <w:rsid w:val="502B260A"/>
    <w:rsid w:val="503277C4"/>
    <w:rsid w:val="50633396"/>
    <w:rsid w:val="50720FD1"/>
    <w:rsid w:val="507B2035"/>
    <w:rsid w:val="508B7F3F"/>
    <w:rsid w:val="50D729C1"/>
    <w:rsid w:val="50EE5ABE"/>
    <w:rsid w:val="50EF617E"/>
    <w:rsid w:val="51243D4F"/>
    <w:rsid w:val="515D431F"/>
    <w:rsid w:val="5187033E"/>
    <w:rsid w:val="519720F7"/>
    <w:rsid w:val="51B615DA"/>
    <w:rsid w:val="51CF5615"/>
    <w:rsid w:val="51D41141"/>
    <w:rsid w:val="52102850"/>
    <w:rsid w:val="52111515"/>
    <w:rsid w:val="52115DFD"/>
    <w:rsid w:val="5219601D"/>
    <w:rsid w:val="523830D8"/>
    <w:rsid w:val="525F10E1"/>
    <w:rsid w:val="52743B51"/>
    <w:rsid w:val="527E490B"/>
    <w:rsid w:val="52A908CD"/>
    <w:rsid w:val="52A94F25"/>
    <w:rsid w:val="52AA11D3"/>
    <w:rsid w:val="52CC2E65"/>
    <w:rsid w:val="52F14A35"/>
    <w:rsid w:val="53453EF9"/>
    <w:rsid w:val="537E7219"/>
    <w:rsid w:val="53C84A74"/>
    <w:rsid w:val="53D8367A"/>
    <w:rsid w:val="53E73F9D"/>
    <w:rsid w:val="542B47E5"/>
    <w:rsid w:val="54312BE6"/>
    <w:rsid w:val="54444A33"/>
    <w:rsid w:val="544F2500"/>
    <w:rsid w:val="545149A1"/>
    <w:rsid w:val="5463665A"/>
    <w:rsid w:val="546D58DB"/>
    <w:rsid w:val="54737C15"/>
    <w:rsid w:val="5489364B"/>
    <w:rsid w:val="54984970"/>
    <w:rsid w:val="54D37E9A"/>
    <w:rsid w:val="54D86D8D"/>
    <w:rsid w:val="55316D4E"/>
    <w:rsid w:val="554B067D"/>
    <w:rsid w:val="55583A1F"/>
    <w:rsid w:val="556F788D"/>
    <w:rsid w:val="55705033"/>
    <w:rsid w:val="5578189F"/>
    <w:rsid w:val="557D70BE"/>
    <w:rsid w:val="55CE4587"/>
    <w:rsid w:val="5624337B"/>
    <w:rsid w:val="56332F20"/>
    <w:rsid w:val="564026AB"/>
    <w:rsid w:val="56A63FEE"/>
    <w:rsid w:val="56E827E2"/>
    <w:rsid w:val="56E96FC6"/>
    <w:rsid w:val="56F15950"/>
    <w:rsid w:val="57103B34"/>
    <w:rsid w:val="5714694D"/>
    <w:rsid w:val="57340E32"/>
    <w:rsid w:val="57476D14"/>
    <w:rsid w:val="57980FBE"/>
    <w:rsid w:val="57C1091E"/>
    <w:rsid w:val="5809010E"/>
    <w:rsid w:val="582A0AC8"/>
    <w:rsid w:val="583525C6"/>
    <w:rsid w:val="583F79A7"/>
    <w:rsid w:val="584C07BB"/>
    <w:rsid w:val="585D07E5"/>
    <w:rsid w:val="58874971"/>
    <w:rsid w:val="588E0FF2"/>
    <w:rsid w:val="589932BB"/>
    <w:rsid w:val="58A22362"/>
    <w:rsid w:val="58F5055B"/>
    <w:rsid w:val="58FC3E36"/>
    <w:rsid w:val="59264674"/>
    <w:rsid w:val="59516618"/>
    <w:rsid w:val="596801AA"/>
    <w:rsid w:val="596F1852"/>
    <w:rsid w:val="5992473D"/>
    <w:rsid w:val="59D251A4"/>
    <w:rsid w:val="5A16575C"/>
    <w:rsid w:val="5A175510"/>
    <w:rsid w:val="5A3A490E"/>
    <w:rsid w:val="5A3F4910"/>
    <w:rsid w:val="5A582FE6"/>
    <w:rsid w:val="5A5F15A1"/>
    <w:rsid w:val="5A954EAF"/>
    <w:rsid w:val="5ABB4A59"/>
    <w:rsid w:val="5AC230A5"/>
    <w:rsid w:val="5AFC0B93"/>
    <w:rsid w:val="5B070F30"/>
    <w:rsid w:val="5B1D06EE"/>
    <w:rsid w:val="5B3E7A46"/>
    <w:rsid w:val="5B907B59"/>
    <w:rsid w:val="5B991B08"/>
    <w:rsid w:val="5BAB5771"/>
    <w:rsid w:val="5BFB5EB2"/>
    <w:rsid w:val="5C3261B0"/>
    <w:rsid w:val="5C495DD3"/>
    <w:rsid w:val="5C4E06E7"/>
    <w:rsid w:val="5C514191"/>
    <w:rsid w:val="5C593A80"/>
    <w:rsid w:val="5C805F45"/>
    <w:rsid w:val="5CAE210A"/>
    <w:rsid w:val="5D041CF2"/>
    <w:rsid w:val="5D272928"/>
    <w:rsid w:val="5D2B2C34"/>
    <w:rsid w:val="5D3750C3"/>
    <w:rsid w:val="5D4F03EF"/>
    <w:rsid w:val="5D65595F"/>
    <w:rsid w:val="5D905C05"/>
    <w:rsid w:val="5D9E7C2F"/>
    <w:rsid w:val="5DCD0AC1"/>
    <w:rsid w:val="5DF7368D"/>
    <w:rsid w:val="5E02038B"/>
    <w:rsid w:val="5E0F58D8"/>
    <w:rsid w:val="5E385608"/>
    <w:rsid w:val="5E3E0FB2"/>
    <w:rsid w:val="5E4F6AB3"/>
    <w:rsid w:val="5E936BAB"/>
    <w:rsid w:val="5EE67330"/>
    <w:rsid w:val="5F212FF8"/>
    <w:rsid w:val="5F8B27B8"/>
    <w:rsid w:val="5FB707AE"/>
    <w:rsid w:val="5FB72636"/>
    <w:rsid w:val="5FCA1896"/>
    <w:rsid w:val="5FDC0E1C"/>
    <w:rsid w:val="5FF874E2"/>
    <w:rsid w:val="5FF9555F"/>
    <w:rsid w:val="600B3636"/>
    <w:rsid w:val="6034283E"/>
    <w:rsid w:val="6060486B"/>
    <w:rsid w:val="60646B56"/>
    <w:rsid w:val="606F2B03"/>
    <w:rsid w:val="608217EC"/>
    <w:rsid w:val="60B45728"/>
    <w:rsid w:val="60B949E4"/>
    <w:rsid w:val="60DE7CF2"/>
    <w:rsid w:val="611E2E9B"/>
    <w:rsid w:val="612B0E8B"/>
    <w:rsid w:val="619D6AD3"/>
    <w:rsid w:val="619D7131"/>
    <w:rsid w:val="61B56F70"/>
    <w:rsid w:val="61C471B3"/>
    <w:rsid w:val="61DE071F"/>
    <w:rsid w:val="61EF695F"/>
    <w:rsid w:val="6218157F"/>
    <w:rsid w:val="62204E98"/>
    <w:rsid w:val="623205C0"/>
    <w:rsid w:val="62553AB2"/>
    <w:rsid w:val="62956105"/>
    <w:rsid w:val="62997C74"/>
    <w:rsid w:val="62E55633"/>
    <w:rsid w:val="63127E4D"/>
    <w:rsid w:val="634041A9"/>
    <w:rsid w:val="63805167"/>
    <w:rsid w:val="63832876"/>
    <w:rsid w:val="639C03E7"/>
    <w:rsid w:val="63C8629A"/>
    <w:rsid w:val="63F21DB5"/>
    <w:rsid w:val="640929F0"/>
    <w:rsid w:val="64365C85"/>
    <w:rsid w:val="644E3AA6"/>
    <w:rsid w:val="64B268A0"/>
    <w:rsid w:val="64B905C0"/>
    <w:rsid w:val="64CF7BEB"/>
    <w:rsid w:val="65102634"/>
    <w:rsid w:val="65187528"/>
    <w:rsid w:val="653133D7"/>
    <w:rsid w:val="656C147B"/>
    <w:rsid w:val="65832223"/>
    <w:rsid w:val="66146D35"/>
    <w:rsid w:val="664A7A0D"/>
    <w:rsid w:val="664C4321"/>
    <w:rsid w:val="6652130F"/>
    <w:rsid w:val="66613EB9"/>
    <w:rsid w:val="66D63C10"/>
    <w:rsid w:val="66E75E1D"/>
    <w:rsid w:val="67056EA1"/>
    <w:rsid w:val="671A190B"/>
    <w:rsid w:val="67201575"/>
    <w:rsid w:val="6731767E"/>
    <w:rsid w:val="67335956"/>
    <w:rsid w:val="67B32B6B"/>
    <w:rsid w:val="67E411BF"/>
    <w:rsid w:val="68016B77"/>
    <w:rsid w:val="68307014"/>
    <w:rsid w:val="686A4FFD"/>
    <w:rsid w:val="687047EC"/>
    <w:rsid w:val="690C2F01"/>
    <w:rsid w:val="692A3B68"/>
    <w:rsid w:val="693A4663"/>
    <w:rsid w:val="693A7535"/>
    <w:rsid w:val="69957156"/>
    <w:rsid w:val="699B0FA7"/>
    <w:rsid w:val="699F0403"/>
    <w:rsid w:val="699F653B"/>
    <w:rsid w:val="6A257C7E"/>
    <w:rsid w:val="6A3838CD"/>
    <w:rsid w:val="6A4A3798"/>
    <w:rsid w:val="6A4C2A43"/>
    <w:rsid w:val="6A537326"/>
    <w:rsid w:val="6A6F1503"/>
    <w:rsid w:val="6A8B0F4C"/>
    <w:rsid w:val="6ACD532A"/>
    <w:rsid w:val="6AED0C62"/>
    <w:rsid w:val="6AF66468"/>
    <w:rsid w:val="6AF86E22"/>
    <w:rsid w:val="6B276638"/>
    <w:rsid w:val="6B5F2CBB"/>
    <w:rsid w:val="6B850358"/>
    <w:rsid w:val="6BA23990"/>
    <w:rsid w:val="6BA92A8C"/>
    <w:rsid w:val="6BBF6B35"/>
    <w:rsid w:val="6BD40CFD"/>
    <w:rsid w:val="6C2271E5"/>
    <w:rsid w:val="6C6139A2"/>
    <w:rsid w:val="6C6B059F"/>
    <w:rsid w:val="6C7259E8"/>
    <w:rsid w:val="6C7968E2"/>
    <w:rsid w:val="6C8C5F63"/>
    <w:rsid w:val="6CFA34DB"/>
    <w:rsid w:val="6CFD6829"/>
    <w:rsid w:val="6D330230"/>
    <w:rsid w:val="6D332F6E"/>
    <w:rsid w:val="6D396B87"/>
    <w:rsid w:val="6D65184A"/>
    <w:rsid w:val="6DB265D8"/>
    <w:rsid w:val="6DB301A4"/>
    <w:rsid w:val="6DD84920"/>
    <w:rsid w:val="6DDB5D1F"/>
    <w:rsid w:val="6DE82115"/>
    <w:rsid w:val="6DF14E2F"/>
    <w:rsid w:val="6E02353D"/>
    <w:rsid w:val="6E153FB5"/>
    <w:rsid w:val="6E1F4FB0"/>
    <w:rsid w:val="6E465867"/>
    <w:rsid w:val="6E5246F3"/>
    <w:rsid w:val="6E713C32"/>
    <w:rsid w:val="6E8D01FA"/>
    <w:rsid w:val="6EB02F99"/>
    <w:rsid w:val="6ECB1D87"/>
    <w:rsid w:val="6F3326BD"/>
    <w:rsid w:val="6F5B19D4"/>
    <w:rsid w:val="6F6618A9"/>
    <w:rsid w:val="6FA128E1"/>
    <w:rsid w:val="6FBD5643"/>
    <w:rsid w:val="6FC50CC6"/>
    <w:rsid w:val="6FD45E21"/>
    <w:rsid w:val="6FD66A2F"/>
    <w:rsid w:val="6FDF215C"/>
    <w:rsid w:val="6FF979C2"/>
    <w:rsid w:val="701D56CB"/>
    <w:rsid w:val="707123F1"/>
    <w:rsid w:val="70774C94"/>
    <w:rsid w:val="70A709CF"/>
    <w:rsid w:val="70AA1BAA"/>
    <w:rsid w:val="70BD3F1C"/>
    <w:rsid w:val="70C21E33"/>
    <w:rsid w:val="70E61221"/>
    <w:rsid w:val="71420EA7"/>
    <w:rsid w:val="7150639A"/>
    <w:rsid w:val="715504AF"/>
    <w:rsid w:val="7189112E"/>
    <w:rsid w:val="71B863AA"/>
    <w:rsid w:val="71B9524D"/>
    <w:rsid w:val="71CA4EB4"/>
    <w:rsid w:val="71D23FAA"/>
    <w:rsid w:val="72044045"/>
    <w:rsid w:val="721D1EE0"/>
    <w:rsid w:val="722E49E6"/>
    <w:rsid w:val="72440D8F"/>
    <w:rsid w:val="724701AA"/>
    <w:rsid w:val="72613BB4"/>
    <w:rsid w:val="72686DCB"/>
    <w:rsid w:val="726F71C3"/>
    <w:rsid w:val="72734125"/>
    <w:rsid w:val="72824C4C"/>
    <w:rsid w:val="72890BE1"/>
    <w:rsid w:val="7297342D"/>
    <w:rsid w:val="72A17885"/>
    <w:rsid w:val="72F84F0E"/>
    <w:rsid w:val="72FD3235"/>
    <w:rsid w:val="730750C4"/>
    <w:rsid w:val="733D0171"/>
    <w:rsid w:val="733E411A"/>
    <w:rsid w:val="7368312F"/>
    <w:rsid w:val="736D008C"/>
    <w:rsid w:val="73913267"/>
    <w:rsid w:val="73B30258"/>
    <w:rsid w:val="73B459E2"/>
    <w:rsid w:val="73B74455"/>
    <w:rsid w:val="73BF1DDC"/>
    <w:rsid w:val="73D72923"/>
    <w:rsid w:val="74153FE8"/>
    <w:rsid w:val="741C39F8"/>
    <w:rsid w:val="74262EF6"/>
    <w:rsid w:val="742942F7"/>
    <w:rsid w:val="74544D62"/>
    <w:rsid w:val="748D4891"/>
    <w:rsid w:val="74A9427F"/>
    <w:rsid w:val="74B143F2"/>
    <w:rsid w:val="74B34C91"/>
    <w:rsid w:val="74B6734E"/>
    <w:rsid w:val="74C6482B"/>
    <w:rsid w:val="752320C7"/>
    <w:rsid w:val="756E4256"/>
    <w:rsid w:val="75852B24"/>
    <w:rsid w:val="759E1430"/>
    <w:rsid w:val="75D723B2"/>
    <w:rsid w:val="76393941"/>
    <w:rsid w:val="76584AFD"/>
    <w:rsid w:val="768A40CF"/>
    <w:rsid w:val="76C2509E"/>
    <w:rsid w:val="76F94465"/>
    <w:rsid w:val="76FF5DFB"/>
    <w:rsid w:val="770739C7"/>
    <w:rsid w:val="775313C8"/>
    <w:rsid w:val="776C400D"/>
    <w:rsid w:val="777D3C34"/>
    <w:rsid w:val="78375191"/>
    <w:rsid w:val="783A5034"/>
    <w:rsid w:val="783E7F5D"/>
    <w:rsid w:val="78752699"/>
    <w:rsid w:val="788A190E"/>
    <w:rsid w:val="78917997"/>
    <w:rsid w:val="789B17B9"/>
    <w:rsid w:val="78B67C13"/>
    <w:rsid w:val="78D027F0"/>
    <w:rsid w:val="79107D4E"/>
    <w:rsid w:val="79263460"/>
    <w:rsid w:val="79353900"/>
    <w:rsid w:val="793F6CA3"/>
    <w:rsid w:val="794A04D7"/>
    <w:rsid w:val="79746535"/>
    <w:rsid w:val="797647ED"/>
    <w:rsid w:val="79814165"/>
    <w:rsid w:val="799C6F8D"/>
    <w:rsid w:val="79A35196"/>
    <w:rsid w:val="79B7167F"/>
    <w:rsid w:val="7A08012D"/>
    <w:rsid w:val="7A13676F"/>
    <w:rsid w:val="7A1C7734"/>
    <w:rsid w:val="7A2B5BC9"/>
    <w:rsid w:val="7A387BE8"/>
    <w:rsid w:val="7A4D74CC"/>
    <w:rsid w:val="7A5B456C"/>
    <w:rsid w:val="7A60559B"/>
    <w:rsid w:val="7AC843DE"/>
    <w:rsid w:val="7AE9123F"/>
    <w:rsid w:val="7AED3D24"/>
    <w:rsid w:val="7AFC3A32"/>
    <w:rsid w:val="7B144F61"/>
    <w:rsid w:val="7B237139"/>
    <w:rsid w:val="7B323F28"/>
    <w:rsid w:val="7B4D150D"/>
    <w:rsid w:val="7B504D7D"/>
    <w:rsid w:val="7BB05565"/>
    <w:rsid w:val="7BBB5446"/>
    <w:rsid w:val="7BEA3458"/>
    <w:rsid w:val="7C0163B0"/>
    <w:rsid w:val="7C025169"/>
    <w:rsid w:val="7C0D1674"/>
    <w:rsid w:val="7C4A11FB"/>
    <w:rsid w:val="7C4F5CA5"/>
    <w:rsid w:val="7C682867"/>
    <w:rsid w:val="7C6C7F23"/>
    <w:rsid w:val="7C9B2D68"/>
    <w:rsid w:val="7CA51C7D"/>
    <w:rsid w:val="7CD05611"/>
    <w:rsid w:val="7CEA39C0"/>
    <w:rsid w:val="7D524A37"/>
    <w:rsid w:val="7D593DBF"/>
    <w:rsid w:val="7D5B0573"/>
    <w:rsid w:val="7DA418C3"/>
    <w:rsid w:val="7DEA78A4"/>
    <w:rsid w:val="7E11229B"/>
    <w:rsid w:val="7E454CA6"/>
    <w:rsid w:val="7E5B04CD"/>
    <w:rsid w:val="7E8B0CEF"/>
    <w:rsid w:val="7EA93097"/>
    <w:rsid w:val="7EEE764D"/>
    <w:rsid w:val="7F143F12"/>
    <w:rsid w:val="7F1E73A2"/>
    <w:rsid w:val="7F2359B4"/>
    <w:rsid w:val="7F29005F"/>
    <w:rsid w:val="7F380545"/>
    <w:rsid w:val="7F6A4A9D"/>
    <w:rsid w:val="7F6C7FA9"/>
    <w:rsid w:val="7F9B2913"/>
    <w:rsid w:val="7FBB79EF"/>
    <w:rsid w:val="7FEC0D6B"/>
    <w:rsid w:val="7FF4455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pPr>
    <w:rPr>
      <w:szCs w:val="20"/>
    </w:rPr>
  </w:style>
  <w:style w:type="paragraph" w:styleId="6">
    <w:name w:val="caption"/>
    <w:basedOn w:val="1"/>
    <w:next w:val="1"/>
    <w:qFormat/>
    <w:uiPriority w:val="0"/>
    <w:rPr>
      <w:rFonts w:ascii="Cambria" w:hAnsi="Cambria" w:eastAsia="黑体"/>
      <w:sz w:val="20"/>
      <w:szCs w:val="20"/>
    </w:rPr>
  </w:style>
  <w:style w:type="paragraph" w:styleId="7">
    <w:name w:val="annotation text"/>
    <w:basedOn w:val="1"/>
    <w:qFormat/>
    <w:uiPriority w:val="0"/>
    <w:pPr>
      <w:jc w:val="left"/>
    </w:pPr>
  </w:style>
  <w:style w:type="paragraph" w:styleId="8">
    <w:name w:val="Body Text"/>
    <w:basedOn w:val="1"/>
    <w:next w:val="9"/>
    <w:qFormat/>
    <w:uiPriority w:val="99"/>
    <w:pPr>
      <w:spacing w:after="120"/>
    </w:pPr>
  </w:style>
  <w:style w:type="paragraph" w:styleId="9">
    <w:name w:val="Title"/>
    <w:basedOn w:val="1"/>
    <w:next w:val="1"/>
    <w:qFormat/>
    <w:uiPriority w:val="0"/>
    <w:pPr>
      <w:spacing w:before="240" w:after="60"/>
      <w:jc w:val="center"/>
      <w:outlineLvl w:val="0"/>
    </w:pPr>
    <w:rPr>
      <w:rFonts w:ascii="Cambria" w:hAnsi="Cambria"/>
      <w:b/>
      <w:bCs/>
      <w:sz w:val="32"/>
      <w:szCs w:val="32"/>
    </w:rPr>
  </w:style>
  <w:style w:type="paragraph" w:styleId="10">
    <w:name w:val="Body Text Indent"/>
    <w:basedOn w:val="1"/>
    <w:qFormat/>
    <w:uiPriority w:val="0"/>
    <w:pPr>
      <w:snapToGrid w:val="0"/>
      <w:spacing w:line="360" w:lineRule="auto"/>
      <w:ind w:firstLine="538" w:firstLineChars="192"/>
    </w:pPr>
    <w:rPr>
      <w:rFonts w:ascii="仿宋_GB2312" w:eastAsia="仿宋_GB2312"/>
      <w:bCs/>
      <w:sz w:val="28"/>
      <w:szCs w:val="28"/>
    </w:rPr>
  </w:style>
  <w:style w:type="paragraph" w:styleId="11">
    <w:name w:val="Plain Text"/>
    <w:basedOn w:val="1"/>
    <w:qFormat/>
    <w:uiPriority w:val="0"/>
    <w:rPr>
      <w:rFonts w:ascii="宋体" w:hAnsi="Courier New"/>
      <w:szCs w:val="20"/>
    </w:rPr>
  </w:style>
  <w:style w:type="paragraph" w:styleId="12">
    <w:name w:val="Balloon Text"/>
    <w:basedOn w:val="1"/>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next w:val="6"/>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pPr>
      <w:tabs>
        <w:tab w:val="right" w:leader="dot" w:pos="8393"/>
      </w:tabs>
      <w:spacing w:line="500" w:lineRule="exact"/>
    </w:pPr>
    <w:rPr>
      <w:rFonts w:ascii="宋体" w:hAnsi="宋体"/>
      <w:b/>
      <w:bCs/>
      <w:color w:val="000000"/>
      <w:sz w:val="28"/>
      <w:szCs w:val="28"/>
    </w:rPr>
  </w:style>
  <w:style w:type="paragraph" w:styleId="16">
    <w:name w:val="footnote text"/>
    <w:basedOn w:val="1"/>
    <w:unhideWhenUsed/>
    <w:qFormat/>
    <w:uiPriority w:val="99"/>
    <w:pPr>
      <w:snapToGrid w:val="0"/>
      <w:jc w:val="left"/>
    </w:pPr>
    <w:rPr>
      <w:sz w:val="18"/>
      <w:szCs w:val="18"/>
    </w:rPr>
  </w:style>
  <w:style w:type="paragraph" w:styleId="17">
    <w:name w:val="Body Text 2"/>
    <w:basedOn w:val="1"/>
    <w:qFormat/>
    <w:uiPriority w:val="0"/>
    <w:pPr>
      <w:spacing w:before="100" w:beforeAutospacing="1" w:after="120" w:line="480" w:lineRule="auto"/>
    </w:p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9">
    <w:name w:val="Body Text First Indent 2"/>
    <w:basedOn w:val="10"/>
    <w:unhideWhenUsed/>
    <w:qFormat/>
    <w:uiPriority w:val="0"/>
    <w:pPr>
      <w:spacing w:after="120" w:line="240" w:lineRule="auto"/>
      <w:ind w:left="420" w:leftChars="200" w:firstLine="420" w:firstLineChars="200"/>
    </w:pPr>
    <w:rPr>
      <w:sz w:val="21"/>
      <w:szCs w:val="21"/>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semiHidden/>
    <w:unhideWhenUsed/>
    <w:qFormat/>
    <w:uiPriority w:val="0"/>
    <w:rPr>
      <w:color w:val="428BCA"/>
      <w:u w:val="none"/>
    </w:rPr>
  </w:style>
  <w:style w:type="character" w:styleId="26">
    <w:name w:val="HTML Definition"/>
    <w:basedOn w:val="22"/>
    <w:semiHidden/>
    <w:unhideWhenUsed/>
    <w:qFormat/>
    <w:uiPriority w:val="0"/>
    <w:rPr>
      <w:i/>
      <w:iCs/>
    </w:rPr>
  </w:style>
  <w:style w:type="character" w:styleId="27">
    <w:name w:val="Hyperlink"/>
    <w:basedOn w:val="22"/>
    <w:qFormat/>
    <w:uiPriority w:val="0"/>
    <w:rPr>
      <w:color w:val="013F7C"/>
      <w:u w:val="none"/>
    </w:rPr>
  </w:style>
  <w:style w:type="character" w:styleId="28">
    <w:name w:val="HTML Code"/>
    <w:basedOn w:val="22"/>
    <w:semiHidden/>
    <w:unhideWhenUsed/>
    <w:qFormat/>
    <w:uiPriority w:val="0"/>
    <w:rPr>
      <w:rFonts w:hint="default" w:ascii="Consolas" w:hAnsi="Consolas" w:eastAsia="Consolas" w:cs="Consolas"/>
      <w:color w:val="C7254E"/>
      <w:sz w:val="21"/>
      <w:szCs w:val="21"/>
      <w:shd w:val="clear" w:color="auto" w:fill="F9F2F4"/>
    </w:rPr>
  </w:style>
  <w:style w:type="character" w:styleId="29">
    <w:name w:val="annotation reference"/>
    <w:basedOn w:val="22"/>
    <w:unhideWhenUsed/>
    <w:qFormat/>
    <w:uiPriority w:val="0"/>
    <w:rPr>
      <w:sz w:val="21"/>
      <w:szCs w:val="21"/>
    </w:rPr>
  </w:style>
  <w:style w:type="character" w:styleId="30">
    <w:name w:val="HTML Cite"/>
    <w:basedOn w:val="22"/>
    <w:semiHidden/>
    <w:unhideWhenUsed/>
    <w:qFormat/>
    <w:uiPriority w:val="0"/>
  </w:style>
  <w:style w:type="character" w:styleId="31">
    <w:name w:val="HTML Keyboard"/>
    <w:basedOn w:val="22"/>
    <w:semiHidden/>
    <w:unhideWhenUsed/>
    <w:qFormat/>
    <w:uiPriority w:val="0"/>
    <w:rPr>
      <w:rFonts w:hint="default" w:ascii="Consolas" w:hAnsi="Consolas" w:eastAsia="Consolas" w:cs="Consolas"/>
      <w:color w:val="FFFFFF"/>
      <w:sz w:val="21"/>
      <w:szCs w:val="21"/>
      <w:shd w:val="clear" w:color="auto" w:fill="333333"/>
    </w:rPr>
  </w:style>
  <w:style w:type="character" w:styleId="32">
    <w:name w:val="HTML Sample"/>
    <w:basedOn w:val="22"/>
    <w:semiHidden/>
    <w:unhideWhenUsed/>
    <w:qFormat/>
    <w:uiPriority w:val="0"/>
    <w:rPr>
      <w:rFonts w:ascii="Consolas" w:hAnsi="Consolas" w:eastAsia="Consolas" w:cs="Consolas"/>
      <w:sz w:val="21"/>
      <w:szCs w:val="21"/>
    </w:rPr>
  </w:style>
  <w:style w:type="paragraph" w:customStyle="1" w:styleId="33">
    <w:name w:val="引用1"/>
    <w:basedOn w:val="1"/>
    <w:next w:val="1"/>
    <w:qFormat/>
    <w:uiPriority w:val="99"/>
    <w:rPr>
      <w:rFonts w:ascii="Calibri" w:hAnsi="Calibri" w:cs="Calibri"/>
      <w:i/>
      <w:iCs/>
      <w:color w:val="000000"/>
      <w:sz w:val="22"/>
      <w:szCs w:val="22"/>
    </w:rPr>
  </w:style>
  <w:style w:type="paragraph" w:customStyle="1" w:styleId="3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5">
    <w:name w:val="样式3"/>
    <w:basedOn w:val="11"/>
    <w:qFormat/>
    <w:uiPriority w:val="0"/>
    <w:pPr>
      <w:spacing w:line="0" w:lineRule="atLeast"/>
      <w:outlineLvl w:val="0"/>
    </w:pPr>
    <w:rPr>
      <w:sz w:val="28"/>
      <w:szCs w:val="24"/>
    </w:rPr>
  </w:style>
  <w:style w:type="paragraph" w:customStyle="1" w:styleId="36">
    <w:name w:val="正文1"/>
    <w:qFormat/>
    <w:uiPriority w:val="0"/>
    <w:pPr>
      <w:jc w:val="both"/>
    </w:pPr>
    <w:rPr>
      <w:rFonts w:ascii="Calibri" w:hAnsi="Calibri" w:eastAsia="宋体" w:cs="宋体"/>
      <w:kern w:val="2"/>
      <w:sz w:val="21"/>
      <w:szCs w:val="21"/>
      <w:lang w:val="en-US" w:eastAsia="zh-CN" w:bidi="ar-SA"/>
    </w:rPr>
  </w:style>
  <w:style w:type="paragraph" w:customStyle="1" w:styleId="37">
    <w:name w:val="Normal_18"/>
    <w:qFormat/>
    <w:uiPriority w:val="0"/>
    <w:rPr>
      <w:rFonts w:ascii="Times New Roman" w:hAnsi="Times New Roman" w:eastAsia="宋体" w:cs="Times New Roman"/>
      <w:sz w:val="21"/>
      <w:lang w:val="en-US" w:eastAsia="zh-CN" w:bidi="ar-SA"/>
    </w:rPr>
  </w:style>
  <w:style w:type="character" w:customStyle="1" w:styleId="38">
    <w:name w:val="ndata"/>
    <w:basedOn w:val="22"/>
    <w:qFormat/>
    <w:uiPriority w:val="0"/>
    <w:rPr>
      <w:color w:val="AAAAAA"/>
    </w:rPr>
  </w:style>
  <w:style w:type="character" w:customStyle="1" w:styleId="39">
    <w:name w:val="NormalCharacter"/>
    <w:qFormat/>
    <w:uiPriority w:val="0"/>
    <w:rPr>
      <w:sz w:val="21"/>
      <w:lang w:val="en-US" w:eastAsia="zh-CN" w:bidi="ar-SA"/>
    </w:rPr>
  </w:style>
  <w:style w:type="paragraph" w:customStyle="1" w:styleId="40">
    <w:name w:val="正文2"/>
    <w:basedOn w:val="1"/>
    <w:qFormat/>
    <w:uiPriority w:val="0"/>
    <w:pPr>
      <w:spacing w:before="156" w:line="360" w:lineRule="auto"/>
      <w:ind w:firstLine="510" w:firstLineChars="200"/>
    </w:pPr>
    <w:rPr>
      <w:sz w:val="24"/>
    </w:rPr>
  </w:style>
  <w:style w:type="paragraph" w:customStyle="1" w:styleId="41">
    <w:name w:val="NormalIndent"/>
    <w:basedOn w:val="1"/>
    <w:qFormat/>
    <w:uiPriority w:val="0"/>
    <w:pPr>
      <w:widowControl/>
      <w:ind w:firstLine="200" w:firstLineChars="200"/>
      <w:textAlignment w:val="baseline"/>
    </w:pPr>
    <w:rPr>
      <w:rFonts w:ascii="Calibri" w:hAnsi="Calibri"/>
    </w:rPr>
  </w:style>
  <w:style w:type="paragraph" w:styleId="42">
    <w:name w:val="List Paragraph"/>
    <w:basedOn w:val="1"/>
    <w:qFormat/>
    <w:uiPriority w:val="34"/>
    <w:pPr>
      <w:ind w:firstLine="420" w:firstLineChars="200"/>
    </w:pPr>
  </w:style>
  <w:style w:type="paragraph" w:customStyle="1" w:styleId="43">
    <w:name w:val="Table Paragraph"/>
    <w:basedOn w:val="1"/>
    <w:qFormat/>
    <w:uiPriority w:val="1"/>
    <w:pPr>
      <w:autoSpaceDE w:val="0"/>
      <w:autoSpaceDN w:val="0"/>
      <w:jc w:val="left"/>
    </w:pPr>
    <w:rPr>
      <w:rFonts w:ascii="宋体" w:hAnsi="宋体" w:cs="宋体"/>
      <w:kern w:val="0"/>
      <w:sz w:val="22"/>
      <w:szCs w:val="22"/>
      <w:lang w:eastAsia="en-US"/>
    </w:rPr>
  </w:style>
  <w:style w:type="character" w:customStyle="1" w:styleId="44">
    <w:name w:val="active5"/>
    <w:basedOn w:val="22"/>
    <w:qFormat/>
    <w:uiPriority w:val="0"/>
    <w:rPr>
      <w:color w:val="FFFFFF"/>
      <w:shd w:val="clear" w:color="auto" w:fill="428BCA"/>
    </w:rPr>
  </w:style>
  <w:style w:type="character" w:customStyle="1" w:styleId="45">
    <w:name w:val="ui-jqgrid-resize"/>
    <w:basedOn w:val="22"/>
    <w:qFormat/>
    <w:uiPriority w:val="0"/>
  </w:style>
  <w:style w:type="character" w:customStyle="1" w:styleId="46">
    <w:name w:val="ui-icon37"/>
    <w:basedOn w:val="22"/>
    <w:qFormat/>
    <w:uiPriority w:val="0"/>
  </w:style>
  <w:style w:type="character" w:customStyle="1" w:styleId="47">
    <w:name w:val="ui-icon38"/>
    <w:basedOn w:val="22"/>
    <w:qFormat/>
    <w:uiPriority w:val="0"/>
  </w:style>
  <w:style w:type="character" w:customStyle="1" w:styleId="48">
    <w:name w:val="ui-icon39"/>
    <w:basedOn w:val="22"/>
    <w:qFormat/>
    <w:uiPriority w:val="0"/>
  </w:style>
  <w:style w:type="character" w:customStyle="1" w:styleId="49">
    <w:name w:val="input-icon2"/>
    <w:basedOn w:val="22"/>
    <w:qFormat/>
    <w:uiPriority w:val="0"/>
  </w:style>
  <w:style w:type="character" w:customStyle="1" w:styleId="50">
    <w:name w:val="before"/>
    <w:basedOn w:val="22"/>
    <w:qFormat/>
    <w:uiPriority w:val="0"/>
    <w:rPr>
      <w:rFonts w:hint="default" w:ascii="FontAwesome" w:hAnsi="FontAwesome" w:eastAsia="FontAwesome" w:cs="FontAwesome"/>
      <w:color w:val="888888"/>
    </w:rPr>
  </w:style>
  <w:style w:type="character" w:customStyle="1" w:styleId="51">
    <w:name w:val="before1"/>
    <w:basedOn w:val="22"/>
    <w:qFormat/>
    <w:uiPriority w:val="0"/>
    <w:rPr>
      <w:rFonts w:hint="default" w:ascii="FontAwesome" w:hAnsi="FontAwesome" w:eastAsia="FontAwesome" w:cs="FontAwesome"/>
      <w:color w:val="888888"/>
    </w:rPr>
  </w:style>
  <w:style w:type="character" w:customStyle="1" w:styleId="52">
    <w:name w:val="hover6"/>
    <w:basedOn w:val="22"/>
    <w:qFormat/>
    <w:uiPriority w:val="0"/>
    <w:rPr>
      <w:shd w:val="clear" w:color="auto" w:fill="EEEEEE"/>
    </w:rPr>
  </w:style>
  <w:style w:type="character" w:customStyle="1" w:styleId="53">
    <w:name w:val="old"/>
    <w:basedOn w:val="22"/>
    <w:qFormat/>
    <w:uiPriority w:val="0"/>
    <w:rPr>
      <w:color w:val="999999"/>
    </w:rPr>
  </w:style>
  <w:style w:type="character" w:customStyle="1" w:styleId="54">
    <w:name w:val="ui-icon40"/>
    <w:basedOn w:val="22"/>
    <w:qFormat/>
    <w:uiPriority w:val="0"/>
  </w:style>
  <w:style w:type="paragraph" w:customStyle="1" w:styleId="55">
    <w:name w:val="Default"/>
    <w:qFormat/>
    <w:uiPriority w:val="0"/>
    <w:pPr>
      <w:widowControl w:val="0"/>
      <w:autoSpaceDE w:val="0"/>
      <w:autoSpaceDN w:val="0"/>
      <w:adjustRightInd w:val="0"/>
    </w:pPr>
    <w:rPr>
      <w:rFonts w:ascii="宋体" w:hAnsi="Calibri" w:eastAsia="宋体" w:cs="宋体"/>
      <w:color w:val="000000"/>
      <w:sz w:val="24"/>
      <w:szCs w:val="24"/>
      <w:lang w:val="en-US" w:eastAsia="en-US" w:bidi="ar-SA"/>
    </w:rPr>
  </w:style>
  <w:style w:type="character" w:customStyle="1" w:styleId="56">
    <w:name w:val="font31"/>
    <w:basedOn w:val="22"/>
    <w:qFormat/>
    <w:uiPriority w:val="0"/>
    <w:rPr>
      <w:rFonts w:hint="default" w:ascii="Arial" w:hAnsi="Arial" w:cs="Arial"/>
      <w:b/>
      <w:color w:val="000000"/>
      <w:sz w:val="24"/>
      <w:szCs w:val="24"/>
      <w:u w:val="none"/>
    </w:rPr>
  </w:style>
  <w:style w:type="character" w:customStyle="1" w:styleId="57">
    <w:name w:val="font81"/>
    <w:basedOn w:val="22"/>
    <w:qFormat/>
    <w:uiPriority w:val="0"/>
    <w:rPr>
      <w:rFonts w:ascii="新宋体" w:hAnsi="新宋体" w:eastAsia="新宋体" w:cs="新宋体"/>
      <w:color w:val="000000"/>
      <w:sz w:val="21"/>
      <w:szCs w:val="21"/>
      <w:u w:val="none"/>
    </w:rPr>
  </w:style>
  <w:style w:type="character" w:customStyle="1" w:styleId="58">
    <w:name w:val="font41"/>
    <w:basedOn w:val="22"/>
    <w:qFormat/>
    <w:uiPriority w:val="0"/>
    <w:rPr>
      <w:rFonts w:hint="default" w:ascii="Times New Roman" w:hAnsi="Times New Roman" w:cs="Times New Roman"/>
      <w:color w:val="000000"/>
      <w:sz w:val="18"/>
      <w:szCs w:val="18"/>
      <w:u w:val="none"/>
    </w:rPr>
  </w:style>
  <w:style w:type="character" w:customStyle="1" w:styleId="59">
    <w:name w:val="font51"/>
    <w:basedOn w:val="22"/>
    <w:qFormat/>
    <w:uiPriority w:val="0"/>
    <w:rPr>
      <w:rFonts w:hint="eastAsia" w:ascii="宋体" w:hAnsi="宋体" w:eastAsia="宋体" w:cs="宋体"/>
      <w:b/>
      <w:color w:val="000000"/>
      <w:sz w:val="32"/>
      <w:szCs w:val="32"/>
      <w:u w:val="none"/>
    </w:rPr>
  </w:style>
  <w:style w:type="character" w:customStyle="1" w:styleId="60">
    <w:name w:val="font01"/>
    <w:basedOn w:val="22"/>
    <w:qFormat/>
    <w:uiPriority w:val="0"/>
    <w:rPr>
      <w:rFonts w:hint="eastAsia" w:ascii="宋体" w:hAnsi="宋体" w:eastAsia="宋体" w:cs="宋体"/>
      <w:color w:val="000000"/>
      <w:sz w:val="24"/>
      <w:szCs w:val="24"/>
      <w:u w:val="none"/>
    </w:rPr>
  </w:style>
  <w:style w:type="character" w:customStyle="1" w:styleId="61">
    <w:name w:val="font71"/>
    <w:basedOn w:val="22"/>
    <w:qFormat/>
    <w:uiPriority w:val="0"/>
    <w:rPr>
      <w:rFonts w:hint="default" w:ascii="仿宋_GB2312" w:eastAsia="仿宋_GB2312" w:cs="仿宋_GB2312"/>
      <w:b/>
      <w:bCs/>
      <w:color w:val="000000"/>
      <w:sz w:val="32"/>
      <w:szCs w:val="32"/>
      <w:u w:val="none"/>
    </w:rPr>
  </w:style>
  <w:style w:type="character" w:customStyle="1" w:styleId="62">
    <w:name w:val="active1"/>
    <w:basedOn w:val="22"/>
    <w:qFormat/>
    <w:uiPriority w:val="0"/>
    <w:rPr>
      <w:color w:val="FFFFFF"/>
      <w:shd w:val="clear" w:color="auto" w:fill="428BCA"/>
    </w:rPr>
  </w:style>
  <w:style w:type="character" w:customStyle="1" w:styleId="63">
    <w:name w:val="hover5"/>
    <w:basedOn w:val="22"/>
    <w:qFormat/>
    <w:uiPriority w:val="0"/>
    <w:rPr>
      <w:shd w:val="clear" w:color="auto" w:fill="EEEEEE"/>
    </w:rPr>
  </w:style>
  <w:style w:type="character" w:customStyle="1" w:styleId="64">
    <w:name w:val="ui-jqgrid-resize2"/>
    <w:basedOn w:val="22"/>
    <w:qFormat/>
    <w:uiPriority w:val="0"/>
  </w:style>
  <w:style w:type="paragraph" w:customStyle="1" w:styleId="65">
    <w:name w:val="Body text|1"/>
    <w:basedOn w:val="1"/>
    <w:qFormat/>
    <w:uiPriority w:val="0"/>
    <w:pPr>
      <w:spacing w:after="240" w:line="480" w:lineRule="auto"/>
      <w:ind w:firstLine="400"/>
    </w:pPr>
    <w:rPr>
      <w:rFonts w:ascii="宋体" w:hAnsi="宋体" w:cs="宋体"/>
      <w:lang w:val="zh-TW" w:eastAsia="zh-TW" w:bidi="zh-TW"/>
    </w:rPr>
  </w:style>
  <w:style w:type="paragraph" w:customStyle="1" w:styleId="66">
    <w:name w:val="无间隔1"/>
    <w:basedOn w:val="1"/>
    <w:next w:val="1"/>
    <w:qFormat/>
    <w:uiPriority w:val="0"/>
    <w:pPr>
      <w:widowControl/>
      <w:jc w:val="left"/>
    </w:pPr>
    <w:rPr>
      <w:rFonts w:ascii="Calibri" w:hAnsi="Calibri"/>
      <w:szCs w:val="22"/>
    </w:rPr>
  </w:style>
  <w:style w:type="paragraph" w:customStyle="1" w:styleId="67">
    <w:name w:val="正文_11"/>
    <w:qFormat/>
    <w:uiPriority w:val="0"/>
    <w:pPr>
      <w:widowControl w:val="0"/>
      <w:jc w:val="both"/>
    </w:pPr>
    <w:rPr>
      <w:rFonts w:ascii="Calibri" w:hAnsi="Calibri" w:eastAsia="宋体" w:cs="Times New Roman"/>
      <w:kern w:val="2"/>
      <w:sz w:val="21"/>
      <w:szCs w:val="22"/>
      <w:lang w:val="en-US" w:eastAsia="zh-CN" w:bidi="ar-SA"/>
    </w:rPr>
  </w:style>
  <w:style w:type="table" w:customStyle="1" w:styleId="68">
    <w:name w:val="TableGrid"/>
    <w:qFormat/>
    <w:uiPriority w:val="0"/>
    <w:tblPr>
      <w:tblCellMar>
        <w:top w:w="0" w:type="dxa"/>
        <w:left w:w="0" w:type="dxa"/>
        <w:bottom w:w="0" w:type="dxa"/>
        <w:right w:w="0" w:type="dxa"/>
      </w:tblCellMar>
    </w:tblPr>
  </w:style>
  <w:style w:type="paragraph" w:customStyle="1" w:styleId="69">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美兰区</Company>
  <Pages>58</Pages>
  <Words>5429</Words>
  <Characters>30946</Characters>
  <Lines>257</Lines>
  <Paragraphs>72</Paragraphs>
  <TotalTime>24</TotalTime>
  <ScaleCrop>false</ScaleCrop>
  <LinksUpToDate>false</LinksUpToDate>
  <CharactersWithSpaces>36303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2020-09-02T02:13:00Z</dcterms:created>
  <dc:creator>随风</dc:creator>
  <cp:lastModifiedBy>、快到碗里来</cp:lastModifiedBy>
  <cp:lastPrinted>2021-11-04T02:19:00Z</cp:lastPrinted>
  <dcterms:modified xsi:type="dcterms:W3CDTF">2023-12-01T08:39:26Z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5335CBCD1B0044A581251FA3EEDA4B6E</vt:lpwstr>
  </property>
</Properties>
</file>