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numPr>
          <w:numId w:val="0"/>
        </w:numPr>
        <w:autoSpaceDE w:val="0"/>
        <w:autoSpaceDN w:val="0"/>
        <w:jc w:val="center"/>
        <w:rPr>
          <w:rFonts w:ascii="宋体" w:hAnsi="宋体" w:cs="宋体"/>
          <w:color w:val="auto"/>
          <w:kern w:val="2"/>
          <w:sz w:val="32"/>
          <w:szCs w:val="32"/>
          <w:highlight w:val="none"/>
        </w:rPr>
      </w:pPr>
      <w:bookmarkStart w:id="0" w:name="_Toc21406"/>
      <w:bookmarkStart w:id="1" w:name="_Toc15838"/>
      <w:bookmarkStart w:id="2" w:name="_Toc11189"/>
      <w:bookmarkStart w:id="3" w:name="_Toc22531"/>
      <w:r>
        <w:rPr>
          <w:rFonts w:hint="eastAsia" w:ascii="宋体" w:hAnsi="宋体" w:cs="宋体"/>
          <w:color w:val="auto"/>
          <w:kern w:val="2"/>
          <w:sz w:val="32"/>
          <w:szCs w:val="32"/>
          <w:highlight w:val="none"/>
        </w:rPr>
        <w:t>采购需求</w:t>
      </w:r>
      <w:bookmarkEnd w:id="0"/>
      <w:bookmarkEnd w:id="1"/>
      <w:bookmarkEnd w:id="2"/>
      <w:bookmarkEnd w:id="3"/>
    </w:p>
    <w:p>
      <w:pPr>
        <w:pStyle w:val="2"/>
        <w:rPr>
          <w:rFonts w:ascii="宋体" w:hAnsi="宋体" w:cs="宋体"/>
          <w:b w:val="0"/>
          <w:color w:val="auto"/>
          <w:sz w:val="24"/>
          <w:szCs w:val="24"/>
          <w:highlight w:val="none"/>
        </w:rPr>
      </w:pPr>
      <w:bookmarkStart w:id="4" w:name="_bookmark3"/>
      <w:bookmarkEnd w:id="4"/>
      <w:bookmarkStart w:id="5" w:name="_Toc31302"/>
      <w:bookmarkStart w:id="6" w:name="_Toc28457"/>
      <w:r>
        <w:rPr>
          <w:rFonts w:hint="eastAsia" w:ascii="宋体" w:hAnsi="宋体" w:cs="宋体"/>
          <w:b w:val="0"/>
          <w:color w:val="auto"/>
          <w:sz w:val="24"/>
          <w:szCs w:val="24"/>
          <w:highlight w:val="none"/>
        </w:rPr>
        <w:t>一、项目基本情况</w:t>
      </w:r>
      <w:bookmarkEnd w:id="5"/>
      <w:bookmarkEnd w:id="6"/>
    </w:p>
    <w:p>
      <w:pPr>
        <w:ind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rPr>
        <w:t>项目编号：</w:t>
      </w:r>
      <w:r>
        <w:rPr>
          <w:rFonts w:hint="eastAsia" w:ascii="宋体" w:hAnsi="宋体" w:cs="宋体"/>
          <w:color w:val="auto"/>
          <w:highlight w:val="none"/>
          <w:lang w:eastAsia="zh-CN"/>
        </w:rPr>
        <w:t xml:space="preserve">HNZJ-2023-013R </w:t>
      </w:r>
    </w:p>
    <w:p>
      <w:pPr>
        <w:ind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 xml:space="preserve">白沙黎族自治县“三线一单”文件修编工作服务项目(第二次采购) </w:t>
      </w:r>
    </w:p>
    <w:p>
      <w:pPr>
        <w:ind w:firstLine="480" w:firstLineChars="200"/>
        <w:rPr>
          <w:rFonts w:ascii="宋体" w:hAnsi="宋体" w:cs="宋体"/>
          <w:color w:val="auto"/>
          <w:highlight w:val="none"/>
        </w:rPr>
      </w:pPr>
      <w:r>
        <w:rPr>
          <w:rFonts w:hint="eastAsia" w:ascii="宋体" w:hAnsi="宋体" w:cs="宋体"/>
          <w:color w:val="auto"/>
          <w:highlight w:val="none"/>
        </w:rPr>
        <w:t xml:space="preserve">采购方式：竞争性磋商 </w:t>
      </w:r>
    </w:p>
    <w:p>
      <w:pPr>
        <w:rPr>
          <w:rFonts w:ascii="宋体" w:hAnsi="宋体" w:cs="宋体"/>
          <w:color w:val="auto"/>
          <w:highlight w:val="none"/>
        </w:rPr>
      </w:pPr>
      <w:r>
        <w:rPr>
          <w:rFonts w:hint="eastAsia" w:ascii="宋体" w:hAnsi="宋体" w:cs="宋体"/>
          <w:color w:val="auto"/>
          <w:highlight w:val="none"/>
        </w:rPr>
        <w:t>二、采购标的汇总表</w:t>
      </w:r>
    </w:p>
    <w:tbl>
      <w:tblPr>
        <w:tblStyle w:val="5"/>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838"/>
        <w:gridCol w:w="1756"/>
        <w:gridCol w:w="1477"/>
        <w:gridCol w:w="903"/>
        <w:gridCol w:w="854"/>
        <w:gridCol w:w="8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922" w:type="dxa"/>
            <w:vAlign w:val="center"/>
          </w:tcPr>
          <w:p>
            <w:pPr>
              <w:jc w:val="center"/>
              <w:rPr>
                <w:rFonts w:ascii="宋体" w:hAnsi="宋体" w:cs="宋体"/>
                <w:b/>
                <w:color w:val="auto"/>
                <w:highlight w:val="none"/>
              </w:rPr>
            </w:pPr>
            <w:r>
              <w:rPr>
                <w:rFonts w:hint="eastAsia" w:ascii="宋体" w:hAnsi="宋体" w:cs="宋体"/>
                <w:b/>
                <w:color w:val="auto"/>
                <w:highlight w:val="none"/>
              </w:rPr>
              <w:t>包号</w:t>
            </w:r>
          </w:p>
        </w:tc>
        <w:tc>
          <w:tcPr>
            <w:tcW w:w="838" w:type="dxa"/>
            <w:vAlign w:val="center"/>
          </w:tcPr>
          <w:p>
            <w:pPr>
              <w:jc w:val="center"/>
              <w:rPr>
                <w:rFonts w:ascii="宋体" w:hAnsi="宋体" w:cs="宋体"/>
                <w:b/>
                <w:color w:val="auto"/>
                <w:highlight w:val="none"/>
              </w:rPr>
            </w:pPr>
            <w:r>
              <w:rPr>
                <w:rFonts w:hint="eastAsia" w:ascii="宋体" w:hAnsi="宋体" w:cs="宋体"/>
                <w:b/>
                <w:color w:val="auto"/>
                <w:highlight w:val="none"/>
              </w:rPr>
              <w:t>序号</w:t>
            </w:r>
          </w:p>
        </w:tc>
        <w:tc>
          <w:tcPr>
            <w:tcW w:w="1756" w:type="dxa"/>
            <w:vAlign w:val="center"/>
          </w:tcPr>
          <w:p>
            <w:pPr>
              <w:jc w:val="center"/>
              <w:rPr>
                <w:rFonts w:ascii="宋体" w:hAnsi="宋体" w:cs="宋体"/>
                <w:b/>
                <w:color w:val="auto"/>
                <w:highlight w:val="none"/>
              </w:rPr>
            </w:pPr>
            <w:r>
              <w:rPr>
                <w:rFonts w:hint="eastAsia" w:ascii="宋体" w:hAnsi="宋体" w:cs="宋体"/>
                <w:b/>
                <w:color w:val="auto"/>
                <w:highlight w:val="none"/>
              </w:rPr>
              <w:t>标的名称</w:t>
            </w:r>
          </w:p>
        </w:tc>
        <w:tc>
          <w:tcPr>
            <w:tcW w:w="1477" w:type="dxa"/>
            <w:vAlign w:val="center"/>
          </w:tcPr>
          <w:p>
            <w:pPr>
              <w:jc w:val="center"/>
              <w:rPr>
                <w:rFonts w:ascii="宋体" w:hAnsi="宋体" w:cs="宋体"/>
                <w:b/>
                <w:color w:val="auto"/>
                <w:highlight w:val="none"/>
              </w:rPr>
            </w:pPr>
            <w:r>
              <w:rPr>
                <w:rFonts w:hint="eastAsia" w:ascii="宋体" w:hAnsi="宋体" w:cs="宋体"/>
                <w:b/>
                <w:color w:val="auto"/>
                <w:highlight w:val="none"/>
              </w:rPr>
              <w:t>品目</w:t>
            </w:r>
          </w:p>
          <w:p>
            <w:pPr>
              <w:jc w:val="center"/>
              <w:rPr>
                <w:rFonts w:ascii="宋体" w:hAnsi="宋体" w:cs="宋体"/>
                <w:b/>
                <w:color w:val="auto"/>
                <w:highlight w:val="none"/>
              </w:rPr>
            </w:pPr>
            <w:r>
              <w:rPr>
                <w:rFonts w:hint="eastAsia" w:ascii="宋体" w:hAnsi="宋体" w:cs="宋体"/>
                <w:b/>
                <w:color w:val="auto"/>
                <w:highlight w:val="none"/>
              </w:rPr>
              <w:t>分类编码</w:t>
            </w:r>
          </w:p>
        </w:tc>
        <w:tc>
          <w:tcPr>
            <w:tcW w:w="903" w:type="dxa"/>
            <w:vAlign w:val="center"/>
          </w:tcPr>
          <w:p>
            <w:pPr>
              <w:jc w:val="center"/>
              <w:rPr>
                <w:rFonts w:ascii="宋体" w:hAnsi="宋体" w:cs="宋体"/>
                <w:b/>
                <w:color w:val="auto"/>
                <w:highlight w:val="none"/>
              </w:rPr>
            </w:pPr>
            <w:r>
              <w:rPr>
                <w:rFonts w:hint="eastAsia" w:ascii="宋体" w:hAnsi="宋体" w:cs="宋体"/>
                <w:b/>
                <w:color w:val="auto"/>
                <w:highlight w:val="none"/>
              </w:rPr>
              <w:t>计量</w:t>
            </w:r>
          </w:p>
          <w:p>
            <w:pPr>
              <w:jc w:val="center"/>
              <w:rPr>
                <w:rFonts w:ascii="宋体" w:hAnsi="宋体" w:cs="宋体"/>
                <w:b/>
                <w:color w:val="auto"/>
                <w:highlight w:val="none"/>
              </w:rPr>
            </w:pPr>
            <w:r>
              <w:rPr>
                <w:rFonts w:hint="eastAsia" w:ascii="宋体" w:hAnsi="宋体" w:cs="宋体"/>
                <w:b/>
                <w:color w:val="auto"/>
                <w:highlight w:val="none"/>
              </w:rPr>
              <w:t>单位</w:t>
            </w:r>
          </w:p>
        </w:tc>
        <w:tc>
          <w:tcPr>
            <w:tcW w:w="854" w:type="dxa"/>
            <w:vAlign w:val="center"/>
          </w:tcPr>
          <w:p>
            <w:pPr>
              <w:jc w:val="center"/>
              <w:rPr>
                <w:rFonts w:ascii="宋体" w:hAnsi="宋体" w:cs="宋体"/>
                <w:b/>
                <w:color w:val="auto"/>
                <w:highlight w:val="none"/>
              </w:rPr>
            </w:pPr>
            <w:r>
              <w:rPr>
                <w:rFonts w:hint="eastAsia" w:ascii="宋体" w:hAnsi="宋体" w:cs="宋体"/>
                <w:b/>
                <w:color w:val="auto"/>
                <w:highlight w:val="none"/>
              </w:rPr>
              <w:t>数量</w:t>
            </w:r>
          </w:p>
        </w:tc>
        <w:tc>
          <w:tcPr>
            <w:tcW w:w="870" w:type="dxa"/>
            <w:vAlign w:val="center"/>
          </w:tcPr>
          <w:p>
            <w:pPr>
              <w:jc w:val="center"/>
              <w:rPr>
                <w:rFonts w:ascii="宋体" w:hAnsi="宋体" w:cs="宋体"/>
                <w:b/>
                <w:color w:val="auto"/>
                <w:highlight w:val="none"/>
              </w:rPr>
            </w:pPr>
            <w:r>
              <w:rPr>
                <w:rFonts w:hint="eastAsia" w:ascii="宋体" w:hAnsi="宋体" w:cs="宋体"/>
                <w:b/>
                <w:color w:val="auto"/>
                <w:highlight w:val="none"/>
              </w:rPr>
              <w:t>是否进口</w:t>
            </w:r>
          </w:p>
        </w:tc>
        <w:tc>
          <w:tcPr>
            <w:tcW w:w="1980" w:type="dxa"/>
            <w:vAlign w:val="center"/>
          </w:tcPr>
          <w:p>
            <w:pPr>
              <w:jc w:val="center"/>
              <w:rPr>
                <w:rFonts w:ascii="宋体" w:hAnsi="宋体" w:cs="宋体"/>
                <w:b/>
                <w:color w:val="auto"/>
                <w:highlight w:val="none"/>
              </w:rPr>
            </w:pPr>
            <w:r>
              <w:rPr>
                <w:rFonts w:hint="eastAsia" w:ascii="宋体" w:hAnsi="宋体" w:cs="宋体"/>
                <w:b/>
                <w:color w:val="auto"/>
                <w:highlight w:val="none"/>
              </w:rPr>
              <w:t>分包</w:t>
            </w:r>
          </w:p>
          <w:p>
            <w:pPr>
              <w:jc w:val="center"/>
              <w:rPr>
                <w:rFonts w:ascii="宋体" w:hAnsi="宋体" w:cs="宋体"/>
                <w:b/>
                <w:color w:val="auto"/>
                <w:highlight w:val="none"/>
              </w:rPr>
            </w:pPr>
            <w:r>
              <w:rPr>
                <w:rFonts w:hint="eastAsia" w:ascii="宋体" w:hAnsi="宋体" w:cs="宋体"/>
                <w:b/>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922" w:type="dxa"/>
            <w:vAlign w:val="center"/>
          </w:tcPr>
          <w:p>
            <w:pPr>
              <w:jc w:val="center"/>
              <w:rPr>
                <w:rFonts w:ascii="宋体" w:hAnsi="宋体" w:cs="宋体"/>
                <w:iCs/>
                <w:color w:val="auto"/>
                <w:highlight w:val="none"/>
              </w:rPr>
            </w:pPr>
            <w:r>
              <w:rPr>
                <w:rFonts w:hint="eastAsia" w:ascii="宋体" w:hAnsi="宋体" w:cs="宋体"/>
                <w:iCs/>
                <w:color w:val="auto"/>
                <w:highlight w:val="none"/>
              </w:rPr>
              <w:t>/</w:t>
            </w:r>
          </w:p>
        </w:tc>
        <w:tc>
          <w:tcPr>
            <w:tcW w:w="838" w:type="dxa"/>
            <w:vAlign w:val="center"/>
          </w:tcPr>
          <w:p>
            <w:pPr>
              <w:jc w:val="center"/>
              <w:rPr>
                <w:rFonts w:ascii="宋体" w:hAnsi="宋体" w:cs="宋体"/>
                <w:iCs/>
                <w:color w:val="auto"/>
                <w:highlight w:val="none"/>
              </w:rPr>
            </w:pPr>
            <w:r>
              <w:rPr>
                <w:rFonts w:hint="eastAsia" w:ascii="宋体" w:hAnsi="宋体" w:cs="宋体"/>
                <w:iCs/>
                <w:color w:val="auto"/>
                <w:highlight w:val="none"/>
              </w:rPr>
              <w:t>1</w:t>
            </w:r>
          </w:p>
        </w:tc>
        <w:tc>
          <w:tcPr>
            <w:tcW w:w="1756" w:type="dxa"/>
            <w:vAlign w:val="center"/>
          </w:tcPr>
          <w:p>
            <w:pPr>
              <w:jc w:val="center"/>
              <w:rPr>
                <w:rFonts w:hint="eastAsia" w:ascii="宋体" w:hAnsi="宋体" w:eastAsia="宋体" w:cs="宋体"/>
                <w:iCs/>
                <w:color w:val="auto"/>
                <w:highlight w:val="none"/>
                <w:lang w:eastAsia="zh-CN"/>
              </w:rPr>
            </w:pPr>
            <w:r>
              <w:rPr>
                <w:rFonts w:hint="eastAsia" w:ascii="宋体" w:hAnsi="宋体" w:cs="宋体"/>
                <w:iCs/>
                <w:color w:val="auto"/>
                <w:highlight w:val="none"/>
                <w:lang w:eastAsia="zh-CN"/>
              </w:rPr>
              <w:t xml:space="preserve">白沙黎族自治县“三线一单”文件修编工作服务项目(第二次采购) </w:t>
            </w:r>
          </w:p>
        </w:tc>
        <w:tc>
          <w:tcPr>
            <w:tcW w:w="1477" w:type="dxa"/>
            <w:vAlign w:val="center"/>
          </w:tcPr>
          <w:p>
            <w:pPr>
              <w:jc w:val="center"/>
              <w:rPr>
                <w:rFonts w:ascii="宋体" w:hAnsi="宋体" w:cs="宋体"/>
                <w:iCs/>
                <w:color w:val="auto"/>
                <w:highlight w:val="none"/>
              </w:rPr>
            </w:pPr>
            <w:r>
              <w:rPr>
                <w:rFonts w:hint="eastAsia" w:ascii="宋体" w:hAnsi="宋体" w:cs="宋体"/>
                <w:iCs/>
                <w:color w:val="auto"/>
                <w:highlight w:val="none"/>
              </w:rPr>
              <w:t>C99000000</w:t>
            </w:r>
          </w:p>
          <w:p>
            <w:pPr>
              <w:jc w:val="center"/>
              <w:rPr>
                <w:rFonts w:ascii="宋体" w:hAnsi="宋体" w:cs="宋体"/>
                <w:iCs/>
                <w:color w:val="auto"/>
                <w:highlight w:val="none"/>
              </w:rPr>
            </w:pPr>
          </w:p>
        </w:tc>
        <w:tc>
          <w:tcPr>
            <w:tcW w:w="903" w:type="dxa"/>
            <w:vAlign w:val="center"/>
          </w:tcPr>
          <w:p>
            <w:pPr>
              <w:jc w:val="center"/>
              <w:rPr>
                <w:rFonts w:ascii="宋体" w:hAnsi="宋体" w:cs="宋体"/>
                <w:iCs/>
                <w:color w:val="auto"/>
                <w:highlight w:val="none"/>
              </w:rPr>
            </w:pPr>
            <w:r>
              <w:rPr>
                <w:rFonts w:hint="eastAsia" w:ascii="宋体" w:hAnsi="宋体" w:cs="宋体"/>
                <w:iCs/>
                <w:color w:val="auto"/>
                <w:highlight w:val="none"/>
              </w:rPr>
              <w:t>项</w:t>
            </w:r>
          </w:p>
        </w:tc>
        <w:tc>
          <w:tcPr>
            <w:tcW w:w="854" w:type="dxa"/>
            <w:vAlign w:val="center"/>
          </w:tcPr>
          <w:p>
            <w:pPr>
              <w:jc w:val="center"/>
              <w:rPr>
                <w:rFonts w:ascii="宋体" w:hAnsi="宋体" w:cs="宋体"/>
                <w:iCs/>
                <w:color w:val="auto"/>
                <w:highlight w:val="none"/>
              </w:rPr>
            </w:pPr>
            <w:r>
              <w:rPr>
                <w:rFonts w:hint="eastAsia" w:ascii="宋体" w:hAnsi="宋体" w:cs="宋体"/>
                <w:iCs/>
                <w:color w:val="auto"/>
                <w:highlight w:val="none"/>
              </w:rPr>
              <w:t>1</w:t>
            </w:r>
          </w:p>
        </w:tc>
        <w:tc>
          <w:tcPr>
            <w:tcW w:w="870" w:type="dxa"/>
            <w:vAlign w:val="center"/>
          </w:tcPr>
          <w:p>
            <w:pPr>
              <w:jc w:val="center"/>
              <w:rPr>
                <w:rFonts w:ascii="宋体" w:hAnsi="宋体" w:cs="宋体"/>
                <w:iCs/>
                <w:color w:val="auto"/>
                <w:highlight w:val="none"/>
              </w:rPr>
            </w:pPr>
            <w:r>
              <w:rPr>
                <w:rFonts w:hint="eastAsia" w:ascii="宋体" w:hAnsi="宋体" w:cs="宋体"/>
                <w:iCs/>
                <w:color w:val="auto"/>
                <w:highlight w:val="none"/>
              </w:rPr>
              <w:t>否</w:t>
            </w:r>
          </w:p>
        </w:tc>
        <w:tc>
          <w:tcPr>
            <w:tcW w:w="1980" w:type="dxa"/>
            <w:vAlign w:val="center"/>
          </w:tcPr>
          <w:p>
            <w:pPr>
              <w:jc w:val="center"/>
              <w:rPr>
                <w:rFonts w:ascii="宋体" w:hAnsi="宋体" w:cs="宋体"/>
                <w:iCs/>
                <w:color w:val="auto"/>
                <w:highlight w:val="none"/>
              </w:rPr>
            </w:pPr>
            <w:r>
              <w:rPr>
                <w:rFonts w:hint="eastAsia" w:ascii="宋体" w:hAnsi="宋体" w:cs="宋体"/>
                <w:iCs/>
                <w:color w:val="auto"/>
                <w:highlight w:val="none"/>
              </w:rPr>
              <w:t>不允许供应商将本项目的非主体、非关键性工作进行分包</w:t>
            </w:r>
          </w:p>
        </w:tc>
      </w:tr>
    </w:tbl>
    <w:p>
      <w:pPr>
        <w:spacing w:before="120" w:beforeLines="50"/>
        <w:rPr>
          <w:rFonts w:ascii="宋体" w:hAnsi="宋体" w:cs="宋体"/>
          <w:b/>
          <w:color w:val="auto"/>
          <w:highlight w:val="none"/>
        </w:rPr>
      </w:pPr>
      <w:r>
        <w:rPr>
          <w:rFonts w:hint="eastAsia" w:ascii="宋体" w:hAnsi="宋体" w:cs="宋体"/>
          <w:b/>
          <w:color w:val="auto"/>
          <w:highlight w:val="none"/>
        </w:rPr>
        <w:t>三、服务时间</w:t>
      </w:r>
    </w:p>
    <w:p>
      <w:pPr>
        <w:ind w:firstLine="480" w:firstLineChars="200"/>
        <w:rPr>
          <w:rFonts w:ascii="宋体" w:hAnsi="宋体" w:cs="宋体"/>
          <w:color w:val="auto"/>
          <w:highlight w:val="none"/>
        </w:rPr>
      </w:pPr>
      <w:r>
        <w:rPr>
          <w:rFonts w:hint="eastAsia" w:ascii="宋体" w:hAnsi="宋体" w:cs="宋体"/>
          <w:color w:val="auto"/>
          <w:highlight w:val="none"/>
        </w:rPr>
        <w:t>服务期限：2024年3月31日前提交工作成果。根据海南省生态环境厅提出的时间和质量要求，完成技术审查和备案工作。</w:t>
      </w:r>
    </w:p>
    <w:p>
      <w:pPr>
        <w:pStyle w:val="2"/>
        <w:rPr>
          <w:rFonts w:ascii="宋体" w:hAnsi="宋体" w:cs="宋体"/>
          <w:color w:val="auto"/>
          <w:kern w:val="2"/>
          <w:sz w:val="24"/>
          <w:szCs w:val="24"/>
          <w:highlight w:val="none"/>
        </w:rPr>
      </w:pPr>
      <w:bookmarkStart w:id="7" w:name="_Toc479170944"/>
      <w:bookmarkStart w:id="8" w:name="_Toc10374"/>
      <w:bookmarkStart w:id="9" w:name="_Toc23868"/>
      <w:bookmarkStart w:id="10" w:name="_Toc15221"/>
      <w:r>
        <w:rPr>
          <w:rFonts w:hint="eastAsia" w:ascii="宋体" w:hAnsi="宋体" w:cs="宋体"/>
          <w:color w:val="auto"/>
          <w:kern w:val="2"/>
          <w:sz w:val="24"/>
          <w:szCs w:val="24"/>
          <w:highlight w:val="none"/>
        </w:rPr>
        <w:t>四、</w:t>
      </w:r>
      <w:bookmarkEnd w:id="7"/>
      <w:bookmarkEnd w:id="8"/>
      <w:r>
        <w:rPr>
          <w:rFonts w:hint="eastAsia" w:ascii="宋体" w:hAnsi="宋体" w:cs="宋体"/>
          <w:color w:val="auto"/>
          <w:kern w:val="2"/>
          <w:sz w:val="24"/>
          <w:szCs w:val="24"/>
          <w:highlight w:val="none"/>
        </w:rPr>
        <w:t>服务内容及要求</w:t>
      </w:r>
      <w:bookmarkEnd w:id="9"/>
      <w:bookmarkEnd w:id="10"/>
    </w:p>
    <w:p>
      <w:pPr>
        <w:ind w:firstLine="482" w:firstLineChars="200"/>
        <w:rPr>
          <w:rFonts w:ascii="宋体" w:hAnsi="宋体" w:cs="宋体"/>
          <w:b/>
          <w:bCs/>
          <w:color w:val="auto"/>
          <w:highlight w:val="none"/>
        </w:rPr>
      </w:pPr>
      <w:r>
        <w:rPr>
          <w:rFonts w:hint="eastAsia" w:ascii="宋体" w:hAnsi="宋体" w:cs="宋体"/>
          <w:b/>
          <w:bCs/>
          <w:color w:val="auto"/>
          <w:highlight w:val="none"/>
        </w:rPr>
        <w:t>1、服务内容</w:t>
      </w:r>
    </w:p>
    <w:p>
      <w:pPr>
        <w:ind w:firstLine="480" w:firstLineChars="200"/>
        <w:rPr>
          <w:rFonts w:ascii="宋体" w:hAnsi="宋体" w:cs="宋体"/>
          <w:color w:val="auto"/>
          <w:highlight w:val="none"/>
        </w:rPr>
      </w:pPr>
      <w:r>
        <w:rPr>
          <w:rFonts w:hint="eastAsia" w:ascii="宋体" w:hAnsi="宋体" w:cs="宋体"/>
          <w:color w:val="auto"/>
          <w:highlight w:val="none"/>
        </w:rPr>
        <w:t>根据海南省《2023 年生态环境分区管控成果动态更新工作方案》相关要求，以现有白沙黎族自治县“三线一单”成果为基础，对接海南省“三线一单”最新修编成果、“十四五”相关规划、国土空间规划等最新成果，动态更新白沙黎族自治县“三线一单”生态环境分区管控方案相关内容。配合完成生态环境分区管控成果动态更新和备案入库的其他相关工作。</w:t>
      </w:r>
    </w:p>
    <w:p>
      <w:pPr>
        <w:ind w:firstLine="482" w:firstLineChars="200"/>
        <w:rPr>
          <w:rFonts w:ascii="宋体" w:hAnsi="宋体" w:cs="宋体"/>
          <w:color w:val="auto"/>
          <w:highlight w:val="none"/>
        </w:rPr>
      </w:pPr>
      <w:r>
        <w:rPr>
          <w:rFonts w:hint="eastAsia" w:ascii="宋体" w:hAnsi="宋体" w:cs="宋体"/>
          <w:b/>
          <w:bCs/>
          <w:color w:val="auto"/>
          <w:highlight w:val="none"/>
        </w:rPr>
        <w:t>2、工作成果及要求</w:t>
      </w:r>
    </w:p>
    <w:p>
      <w:pPr>
        <w:ind w:firstLine="482" w:firstLineChars="200"/>
        <w:rPr>
          <w:rFonts w:ascii="宋体" w:hAnsi="宋体" w:cs="宋体"/>
          <w:b/>
          <w:bCs/>
          <w:color w:val="auto"/>
          <w:highlight w:val="none"/>
        </w:rPr>
      </w:pPr>
      <w:r>
        <w:rPr>
          <w:rFonts w:hint="eastAsia" w:ascii="宋体" w:hAnsi="宋体" w:cs="宋体"/>
          <w:b/>
          <w:bCs/>
          <w:color w:val="auto"/>
          <w:highlight w:val="none"/>
        </w:rPr>
        <w:t>（1）完成时间</w:t>
      </w:r>
    </w:p>
    <w:p>
      <w:pPr>
        <w:pStyle w:val="4"/>
        <w:ind w:firstLine="480" w:firstLineChars="200"/>
        <w:rPr>
          <w:rFonts w:ascii="宋体" w:hAnsi="宋体" w:cs="宋体"/>
          <w:color w:val="auto"/>
          <w:highlight w:val="none"/>
        </w:rPr>
      </w:pPr>
      <w:r>
        <w:rPr>
          <w:rFonts w:hint="eastAsia" w:ascii="宋体" w:hAnsi="宋体" w:cs="宋体"/>
          <w:color w:val="auto"/>
          <w:highlight w:val="none"/>
        </w:rPr>
        <w:t>合同签订生效后6个月内，完成</w:t>
      </w:r>
      <w:bookmarkStart w:id="11" w:name="_Hlk141797295"/>
      <w:r>
        <w:rPr>
          <w:rFonts w:hint="eastAsia" w:ascii="宋体" w:hAnsi="宋体" w:cs="宋体"/>
          <w:color w:val="auto"/>
          <w:highlight w:val="none"/>
        </w:rPr>
        <w:t>《白沙黎族自治县“三线一单”生态环境分区管控成果动态更新情况说明》</w:t>
      </w:r>
      <w:bookmarkEnd w:id="11"/>
      <w:r>
        <w:rPr>
          <w:rFonts w:hint="eastAsia" w:ascii="宋体" w:hAnsi="宋体" w:cs="宋体"/>
          <w:color w:val="auto"/>
          <w:highlight w:val="none"/>
        </w:rPr>
        <w:t>，完成数据自检。</w:t>
      </w:r>
    </w:p>
    <w:p>
      <w:pPr>
        <w:pStyle w:val="4"/>
        <w:ind w:firstLine="480" w:firstLineChars="200"/>
        <w:rPr>
          <w:rFonts w:ascii="宋体" w:hAnsi="宋体" w:cs="宋体"/>
          <w:color w:val="auto"/>
          <w:highlight w:val="none"/>
        </w:rPr>
      </w:pPr>
      <w:r>
        <w:rPr>
          <w:rFonts w:hint="eastAsia" w:ascii="宋体" w:hAnsi="宋体" w:cs="宋体"/>
          <w:color w:val="auto"/>
          <w:highlight w:val="none"/>
        </w:rPr>
        <w:t>合同签订生效后7个月内，按照相关程序报海南省生态环境厅备案。</w:t>
      </w:r>
    </w:p>
    <w:p>
      <w:pPr>
        <w:ind w:firstLine="482" w:firstLineChars="200"/>
        <w:rPr>
          <w:rFonts w:ascii="宋体" w:hAnsi="宋体" w:cs="宋体"/>
          <w:b/>
          <w:bCs/>
          <w:color w:val="auto"/>
          <w:highlight w:val="none"/>
        </w:rPr>
      </w:pPr>
      <w:r>
        <w:rPr>
          <w:rFonts w:hint="eastAsia" w:ascii="宋体" w:hAnsi="宋体" w:cs="宋体"/>
          <w:b/>
          <w:bCs/>
          <w:color w:val="auto"/>
          <w:highlight w:val="none"/>
        </w:rPr>
        <w:t>（2）工作成果</w:t>
      </w:r>
    </w:p>
    <w:p>
      <w:pPr>
        <w:ind w:firstLine="638" w:firstLineChars="266"/>
        <w:rPr>
          <w:rFonts w:ascii="宋体" w:hAnsi="宋体" w:cs="宋体"/>
          <w:color w:val="auto"/>
          <w:highlight w:val="none"/>
        </w:rPr>
      </w:pPr>
      <w:r>
        <w:rPr>
          <w:rFonts w:hint="eastAsia" w:ascii="宋体" w:hAnsi="宋体" w:cs="宋体"/>
          <w:color w:val="auto"/>
          <w:highlight w:val="none"/>
        </w:rPr>
        <w:t>工作成果如下。</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备案申请函；</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成果数据自检确认表；</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成果矢量和支撑矢量数据；</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管控要求表格；</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白沙黎族自治县“三线一单”生态环境分区管控成果图集；</w:t>
      </w:r>
    </w:p>
    <w:p>
      <w:pPr>
        <w:numPr>
          <w:ilvl w:val="0"/>
          <w:numId w:val="1"/>
        </w:numPr>
        <w:ind w:firstLine="638" w:firstLineChars="266"/>
        <w:rPr>
          <w:rFonts w:ascii="宋体" w:hAnsi="宋体" w:cs="宋体"/>
          <w:color w:val="auto"/>
          <w:highlight w:val="none"/>
        </w:rPr>
      </w:pPr>
      <w:r>
        <w:rPr>
          <w:rFonts w:hint="eastAsia" w:ascii="宋体" w:hAnsi="宋体" w:cs="宋体"/>
          <w:color w:val="auto"/>
          <w:highlight w:val="none"/>
        </w:rPr>
        <w:t>白沙黎族自治县“三线一单”生态环境分区管控成果动态更新情况说明。</w:t>
      </w:r>
    </w:p>
    <w:p>
      <w:pPr>
        <w:numPr>
          <w:ilvl w:val="255"/>
          <w:numId w:val="0"/>
        </w:numPr>
        <w:ind w:firstLine="480" w:firstLineChars="200"/>
        <w:rPr>
          <w:rFonts w:ascii="宋体" w:hAnsi="宋体" w:cs="宋体"/>
          <w:color w:val="auto"/>
          <w:highlight w:val="none"/>
        </w:rPr>
      </w:pPr>
      <w:r>
        <w:rPr>
          <w:rFonts w:hint="eastAsia" w:ascii="宋体" w:hAnsi="宋体" w:cs="宋体"/>
          <w:color w:val="auto"/>
          <w:highlight w:val="none"/>
        </w:rPr>
        <w:t>如海南省生态环境厅对本次“三线一单”生态环境分区管控更新调整工作成果与成果提交时间另有规定，则依照海南省生态环境厅要求提交相应成果。</w:t>
      </w:r>
    </w:p>
    <w:p>
      <w:pPr>
        <w:ind w:firstLine="482" w:firstLineChars="200"/>
        <w:rPr>
          <w:rFonts w:ascii="宋体" w:hAnsi="宋体" w:cs="宋体"/>
          <w:b/>
          <w:bCs/>
          <w:color w:val="auto"/>
          <w:highlight w:val="none"/>
        </w:rPr>
      </w:pPr>
      <w:r>
        <w:rPr>
          <w:rFonts w:hint="eastAsia" w:ascii="宋体" w:hAnsi="宋体" w:cs="宋体"/>
          <w:b/>
          <w:bCs/>
          <w:color w:val="auto"/>
          <w:highlight w:val="none"/>
        </w:rPr>
        <w:t>3、验收标准</w:t>
      </w:r>
    </w:p>
    <w:p>
      <w:pPr>
        <w:ind w:firstLine="878" w:firstLineChars="366"/>
        <w:rPr>
          <w:rFonts w:ascii="宋体" w:hAnsi="宋体" w:cs="宋体"/>
          <w:color w:val="auto"/>
          <w:highlight w:val="none"/>
        </w:rPr>
      </w:pPr>
      <w:r>
        <w:rPr>
          <w:rFonts w:hint="eastAsia" w:ascii="宋体" w:hAnsi="宋体" w:cs="宋体"/>
          <w:color w:val="auto"/>
          <w:highlight w:val="none"/>
        </w:rPr>
        <w:t>通过政府相关主管部门组织的专家技术审查。</w:t>
      </w:r>
    </w:p>
    <w:p>
      <w:pPr>
        <w:ind w:firstLine="482" w:firstLineChars="200"/>
        <w:rPr>
          <w:rFonts w:ascii="宋体" w:hAnsi="宋体" w:cs="宋体"/>
          <w:b/>
          <w:bCs/>
          <w:color w:val="auto"/>
          <w:highlight w:val="none"/>
        </w:rPr>
      </w:pPr>
      <w:r>
        <w:rPr>
          <w:rFonts w:hint="eastAsia" w:ascii="宋体" w:hAnsi="宋体" w:cs="宋体"/>
          <w:b/>
          <w:bCs/>
          <w:color w:val="auto"/>
          <w:highlight w:val="none"/>
        </w:rPr>
        <w:t>4、采购资金的支付方式、时间、条件。</w:t>
      </w:r>
    </w:p>
    <w:p>
      <w:pPr>
        <w:ind w:firstLine="638" w:firstLineChars="266"/>
        <w:rPr>
          <w:rFonts w:ascii="宋体" w:hAnsi="宋体" w:cs="宋体"/>
          <w:color w:val="auto"/>
          <w:highlight w:val="none"/>
        </w:rPr>
      </w:pPr>
      <w:r>
        <w:rPr>
          <w:rFonts w:hint="eastAsia" w:ascii="宋体" w:hAnsi="宋体" w:cs="宋体"/>
          <w:color w:val="auto"/>
          <w:highlight w:val="none"/>
        </w:rPr>
        <w:t>（1）合同签订后15个工作日内支付合同额的30%；</w:t>
      </w:r>
    </w:p>
    <w:p>
      <w:pPr>
        <w:ind w:firstLine="638" w:firstLineChars="266"/>
        <w:rPr>
          <w:rFonts w:ascii="宋体" w:hAnsi="宋体" w:cs="宋体"/>
          <w:color w:val="auto"/>
          <w:highlight w:val="none"/>
        </w:rPr>
      </w:pPr>
      <w:r>
        <w:rPr>
          <w:rFonts w:hint="eastAsia" w:ascii="宋体" w:hAnsi="宋体" w:cs="宋体"/>
          <w:color w:val="auto"/>
          <w:highlight w:val="none"/>
        </w:rPr>
        <w:t>（2）《白沙黎族自治县“三线一单”生态环境分区管控成果动态更新情况说明》通过专家技术审查后15个工作日内支付合同额的40%；</w:t>
      </w:r>
    </w:p>
    <w:p>
      <w:pPr>
        <w:rPr>
          <w:rFonts w:ascii="宋体" w:hAnsi="宋体" w:cs="宋体"/>
          <w:color w:val="auto"/>
          <w:highlight w:val="none"/>
        </w:rPr>
      </w:pPr>
      <w:r>
        <w:rPr>
          <w:rFonts w:hint="eastAsia" w:ascii="宋体" w:hAnsi="宋体" w:cs="宋体"/>
          <w:color w:val="auto"/>
          <w:highlight w:val="none"/>
        </w:rPr>
        <w:t xml:space="preserve">     （3）白沙黎族自治县“三线一单”生态环境分区管控成果动态更新成果上报至海南省生态环境厅备案后15个工作日内支付合同额的30%。</w:t>
      </w:r>
    </w:p>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57258"/>
    <w:multiLevelType w:val="singleLevel"/>
    <w:tmpl w:val="CFF57258"/>
    <w:lvl w:ilvl="0" w:tentative="0">
      <w:start w:val="1"/>
      <w:numFmt w:val="decimal"/>
      <w:lvlText w:val="%1)"/>
      <w:lvlJc w:val="left"/>
      <w:pPr>
        <w:ind w:left="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Mjk2ZjhhMzA1MDQ5NmNkODg1NjYxZTE1ZjNhMDkifQ=="/>
  </w:docVars>
  <w:rsids>
    <w:rsidRoot w:val="48566F62"/>
    <w:rsid w:val="4856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spacing w:before="120" w:after="120"/>
      <w:jc w:val="center"/>
      <w:outlineLvl w:val="0"/>
    </w:pPr>
    <w:rPr>
      <w:b/>
      <w:bCs/>
      <w:kern w:val="44"/>
      <w:sz w:val="44"/>
      <w:szCs w:val="44"/>
    </w:rPr>
  </w:style>
  <w:style w:type="paragraph" w:styleId="2">
    <w:name w:val="heading 2"/>
    <w:basedOn w:val="1"/>
    <w:next w:val="1"/>
    <w:qFormat/>
    <w:uiPriority w:val="0"/>
    <w:pPr>
      <w:keepNext/>
      <w:keepLines/>
      <w:outlineLvl w:val="1"/>
    </w:pPr>
    <w:rPr>
      <w:rFonts w:ascii="Cambria" w:hAnsi="Cambria"/>
      <w:b/>
      <w:bCs/>
      <w:kern w:val="0"/>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2023-10-12T07:22:00Z</dcterms:created>
  <dc:creator>Administrator</dc:creator>
  <cp:lastModifiedBy>Administrator</cp:lastModifiedBy>
  <dcterms:modified xsi:type="dcterms:W3CDTF">2023-10-12T07:22:49Z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0BF7006D78EC489F9A1C3F8A6D41E921_11</vt:lpwstr>
  </property>
</Properties>
</file>