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b/>
          <w:bCs/>
          <w:sz w:val="28"/>
          <w:szCs w:val="28"/>
        </w:rPr>
      </w:pPr>
      <w:bookmarkStart w:id="0" w:name="_Toc25590033"/>
      <w:bookmarkStart w:id="1" w:name="_Toc48227050"/>
      <w:r>
        <w:rPr>
          <w:b/>
          <w:bCs/>
          <w:sz w:val="28"/>
          <w:szCs w:val="28"/>
        </w:rPr>
        <w:t>1.1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8"/>
          <w:szCs w:val="28"/>
        </w:rPr>
        <w:t>分项报价明细表</w:t>
      </w:r>
      <w:bookmarkEnd w:id="0"/>
      <w:bookmarkEnd w:id="1"/>
    </w:p>
    <w:p>
      <w:pPr>
        <w:rPr>
          <w:rFonts w:hint="eastAsia"/>
          <w:lang w:val="en-US" w:eastAsia="zh-CN"/>
        </w:rPr>
      </w:pPr>
    </w:p>
    <w:p>
      <w:pPr>
        <w:spacing w:before="77"/>
        <w:rPr>
          <w:rFonts w:hint="eastAsia"/>
          <w:lang w:val="en-US" w:eastAsia="zh-CN"/>
        </w:rPr>
      </w:pPr>
      <w:r>
        <w:rPr>
          <w:rFonts w:asciiTheme="minorEastAsia" w:hAnsiTheme="minorEastAsia" w:eastAsiaTheme="minorEastAsia"/>
          <w:sz w:val="24"/>
          <w:szCs w:val="24"/>
        </w:rPr>
        <w:t>项目名称：</w:t>
      </w:r>
      <w:r>
        <w:rPr>
          <w:rFonts w:hint="eastAsia" w:asciiTheme="minorEastAsia" w:hAnsiTheme="minorEastAsia" w:eastAsiaTheme="minorEastAsia"/>
          <w:color w:val="333333"/>
          <w:sz w:val="24"/>
          <w:szCs w:val="24"/>
          <w:u w:val="single"/>
        </w:rPr>
        <w:t xml:space="preserve"> 生物医学工程科研平台设备</w:t>
      </w:r>
      <w:r>
        <w:rPr>
          <w:rFonts w:hint="eastAsia" w:asciiTheme="minorEastAsia" w:hAnsiTheme="minorEastAsia" w:eastAsiaTheme="minorEastAsia"/>
          <w:color w:val="333333"/>
          <w:sz w:val="24"/>
          <w:szCs w:val="24"/>
          <w:u w:val="single"/>
          <w:lang w:val="en-US" w:eastAsia="zh-CN"/>
        </w:rPr>
        <w:t xml:space="preserve">项目 </w:t>
      </w:r>
      <w:r>
        <w:rPr>
          <w:rFonts w:hint="eastAsia" w:asciiTheme="minorEastAsia" w:hAnsiTheme="minorEastAsia" w:eastAsiaTheme="minorEastAsia"/>
          <w:color w:val="333333"/>
          <w:sz w:val="24"/>
          <w:szCs w:val="24"/>
          <w:u w:val="none"/>
          <w:lang w:val="en-US" w:eastAsia="zh-CN"/>
        </w:rPr>
        <w:t xml:space="preserve">     </w:t>
      </w:r>
      <w:r>
        <w:rPr>
          <w:rFonts w:asciiTheme="minorEastAsia" w:hAnsiTheme="minorEastAsia" w:eastAsiaTheme="minorEastAsia"/>
        </w:rPr>
        <w:t>招标编号：</w:t>
      </w:r>
      <w:r>
        <w:rPr>
          <w:rFonts w:hint="eastAsia" w:asciiTheme="minorEastAsia" w:hAnsiTheme="minorEastAsia" w:eastAsiaTheme="minorEastAsia"/>
          <w:color w:val="333333"/>
          <w:sz w:val="24"/>
          <w:szCs w:val="24"/>
          <w:u w:val="single"/>
        </w:rPr>
        <w:t xml:space="preserve">  HD2023-1-042  </w:t>
      </w:r>
      <w:r>
        <w:rPr>
          <w:rFonts w:hint="eastAsia" w:asciiTheme="minorEastAsia" w:hAnsiTheme="minorEastAsia" w:eastAsiaTheme="minorEastAsia"/>
          <w:color w:val="333333"/>
          <w:sz w:val="24"/>
          <w:szCs w:val="24"/>
        </w:rPr>
        <w:t xml:space="preserve">    </w:t>
      </w:r>
      <w:r>
        <w:rPr>
          <w:rFonts w:hint="eastAsia" w:ascii="PMingLiU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color w:val="333333"/>
          <w:sz w:val="24"/>
          <w:szCs w:val="24"/>
        </w:rPr>
        <w:t xml:space="preserve"> 包号：</w:t>
      </w:r>
      <w:r>
        <w:rPr>
          <w:rFonts w:asciiTheme="minorEastAsia" w:hAnsiTheme="minorEastAsia" w:eastAsiaTheme="minorEastAsia"/>
          <w:color w:val="333333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/>
          <w:color w:val="333333"/>
          <w:sz w:val="24"/>
          <w:szCs w:val="24"/>
          <w:u w:val="single"/>
          <w:lang w:val="en-US" w:eastAsia="zh-CN"/>
        </w:rPr>
        <w:t>C</w:t>
      </w:r>
      <w:r>
        <w:rPr>
          <w:rFonts w:hint="eastAsia" w:asciiTheme="minorEastAsia" w:hAnsiTheme="minorEastAsia" w:eastAsiaTheme="minorEastAsia"/>
          <w:color w:val="333333"/>
          <w:sz w:val="24"/>
          <w:szCs w:val="24"/>
          <w:u w:val="single"/>
        </w:rPr>
        <w:t>包</w:t>
      </w:r>
      <w:r>
        <w:rPr>
          <w:rFonts w:asciiTheme="minorEastAsia" w:hAnsiTheme="minorEastAsia" w:eastAsiaTheme="minorEastAsia"/>
          <w:color w:val="333333"/>
          <w:sz w:val="24"/>
          <w:szCs w:val="24"/>
          <w:u w:val="single"/>
        </w:rPr>
        <w:tab/>
      </w:r>
    </w:p>
    <w:tbl>
      <w:tblPr>
        <w:tblW w:w="839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2388"/>
        <w:gridCol w:w="1710"/>
        <w:gridCol w:w="820"/>
        <w:gridCol w:w="1090"/>
        <w:gridCol w:w="1100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品名名称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厂商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数量/单位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单项总价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登录节点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7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78000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管理节点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78000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通用计算节点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124229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3726870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HDD存储节点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562458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7874412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高速计算&amp;业务交换机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245600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491200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工作站接入交换机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117500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235000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带外管理接入交换机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12526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12526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集群调度和管理软件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268666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268666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运维管理平台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110793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110793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服务器机柜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6175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111150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机柜侧门板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1170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21060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密闭通道组件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162923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162923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精密配电列头柜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37580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75160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PDU配电排1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PDU配电排2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精密配电列头柜输入线缆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海南威特电气集团有限公司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16240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PDU配电排1电源线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海南威特电气集团有限公司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PDU配电排2电源线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海南威特电气集团有限公司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240米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动环管理系统软件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55023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55023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管理系统服务器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30514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30514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短信告警模块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2062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2062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网络交换机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4939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4939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接口扩展模块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2070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8280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监控采集器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8518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8518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200万红外半球型摄像机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5970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硬盘录像机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4640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硬盘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1096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2192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温湿度传感器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5个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非定位式水浸传感器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3个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2352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非定位式水浸检测绳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2628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辅助线缆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海南威特电气集团有限公司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配电柜接口软件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11681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11681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UPS通信接口软件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11681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11681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精密空调通信接口软件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华为技术有限公司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11681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23362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等电位箱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德力西电气有限公司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2个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机柜接地铜排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江苏革方新材料有限公司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7488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机房接地铜排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江苏革方新材料有限公司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11424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铜铂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江苏革方新材料有限公司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240米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接地电缆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海南威特电气集团有限公司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绝缘子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德力西电气有限公司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60个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镀锌槽钢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唐山市丰润区鸿翔金属制品有限公司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防锈漆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嘉宝莉化工集团股份有限公司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36升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施工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8840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辅材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1560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镀锌铁皮管道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4032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管道出风口罩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9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16个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1248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管道弯头/三通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20个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铝箔岩棉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廊坊国瑞保温材料有限公司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6944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静电地板拆装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3450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辅材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施工费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144 ODF配线架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江苏闽商光电通讯设备有限公司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1235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1235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96 ODF配线架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江苏闽商光电通讯设备有限公司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1066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光钎熔接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216芯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3672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机柜安装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20个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4680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成品保护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2550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密闭通道组件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9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强电施工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9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5850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工作站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戴尔（中国）有限公司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98800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889200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磁带库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国际商业机器(中国)有限公司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520200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520200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磁带库软件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国际商业机器(中国)有限公司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系统集成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中电科国海信通科技(海南)有限公司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92161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92161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15241170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13"/>
        <w:keepNext w:val="0"/>
        <w:keepLines w:val="0"/>
        <w:pageBreakBefore w:val="0"/>
        <w:widowControl w:val="0"/>
        <w:tabs>
          <w:tab w:val="left" w:pos="408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42"/>
        <w:textAlignment w:val="auto"/>
        <w:rPr>
          <w:rFonts w:hint="eastAsia"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</w:rPr>
        <w:t>投标单位：</w:t>
      </w:r>
      <w:r>
        <w:rPr>
          <w:rFonts w:asciiTheme="minorEastAsia" w:hAnsiTheme="minorEastAsia" w:eastAsiaTheme="minorEastAsia"/>
          <w:u w:val="single"/>
        </w:rPr>
        <w:t xml:space="preserve"> </w:t>
      </w:r>
      <w:r>
        <w:rPr>
          <w:rFonts w:hint="eastAsia" w:asciiTheme="minorEastAsia" w:hAnsiTheme="minorEastAsia" w:eastAsiaTheme="minorEastAsia"/>
          <w:u w:val="single"/>
          <w:lang w:val="en-US" w:eastAsia="zh-CN"/>
        </w:rPr>
        <w:t xml:space="preserve"> 中电科国海信通科技（海南）有限公司        </w:t>
      </w:r>
      <w:r>
        <w:rPr>
          <w:rFonts w:asciiTheme="minorEastAsia" w:hAnsiTheme="minorEastAsia" w:eastAsiaTheme="minorEastAsia"/>
          <w:u w:val="single"/>
        </w:rPr>
        <w:t>（公章</w:t>
      </w:r>
      <w:r>
        <w:rPr>
          <w:rFonts w:hint="eastAsia" w:asciiTheme="minorEastAsia" w:hAnsiTheme="minorEastAsia" w:eastAsiaTheme="minorEastAsia"/>
          <w:u w:val="single"/>
          <w:lang w:eastAsia="zh-CN"/>
        </w:rPr>
        <w:t>）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6" w:line="360" w:lineRule="auto"/>
        <w:ind w:left="142"/>
        <w:textAlignment w:val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法定代表人（或授权代理人</w:t>
      </w:r>
      <w:r>
        <w:rPr>
          <w:rFonts w:hint="eastAsia" w:asciiTheme="minorEastAsia" w:hAnsiTheme="minorEastAsia" w:eastAsiaTheme="minorEastAsia"/>
        </w:rPr>
        <w:t>）：</w:t>
      </w:r>
      <w:r>
        <w:rPr>
          <w:rFonts w:hint="eastAsia" w:asciiTheme="minorEastAsia" w:hAnsiTheme="minorEastAsia" w:eastAsiaTheme="minorEastAsia"/>
          <w:u w:val="single"/>
        </w:rPr>
        <w:t xml:space="preserve">    </w:t>
      </w:r>
      <w:r>
        <w:rPr>
          <w:rFonts w:hint="eastAsia"/>
          <w:u w:val="single" w:color="000000"/>
          <w:lang w:val="en-US" w:eastAsia="zh-CN"/>
        </w:rPr>
        <w:drawing>
          <wp:inline distT="0" distB="0" distL="114300" distR="114300">
            <wp:extent cx="675640" cy="292100"/>
            <wp:effectExtent l="0" t="0" r="10160" b="0"/>
            <wp:docPr id="42" name="图片 42" descr="cc279c6a541e2b8d06edd672bf94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cc279c6a541e2b8d06edd672bf94116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006" t="332" r="10012" b="21872"/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u w:val="single"/>
        </w:rPr>
        <w:t xml:space="preserve">       </w:t>
      </w:r>
      <w:r>
        <w:rPr>
          <w:rFonts w:asciiTheme="minorEastAsia" w:hAnsiTheme="minorEastAsia" w:eastAsiaTheme="minorEastAsia"/>
          <w:u w:val="single"/>
        </w:rPr>
        <w:t>（签字或盖章）</w:t>
      </w:r>
      <w:r>
        <w:rPr>
          <w:rFonts w:hint="eastAsia" w:asciiTheme="minorEastAsia" w:hAnsiTheme="minorEastAsia" w:eastAsiaTheme="minorEastAsia"/>
          <w:u w:val="single"/>
        </w:rPr>
        <w:t xml:space="preserve"> 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2941"/>
          <w:tab w:val="left" w:pos="31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4" w:line="360" w:lineRule="auto"/>
        <w:ind w:left="142"/>
        <w:textAlignment w:val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日期：</w:t>
      </w:r>
      <w:r>
        <w:rPr>
          <w:rFonts w:asciiTheme="minorEastAsia" w:hAnsiTheme="minorEastAsia" w:eastAsiaTheme="minorEastAsia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u w:val="single"/>
        </w:rPr>
        <w:t>202</w:t>
      </w:r>
      <w:r>
        <w:rPr>
          <w:rFonts w:hint="eastAsia" w:asciiTheme="minorEastAsia" w:hAnsiTheme="minorEastAsia" w:eastAsiaTheme="minorEastAsia"/>
          <w:u w:val="single"/>
          <w:lang w:val="en-US" w:eastAsia="zh-CN"/>
        </w:rPr>
        <w:t>3</w:t>
      </w:r>
      <w:r>
        <w:rPr>
          <w:rFonts w:asciiTheme="minorEastAsia" w:hAnsiTheme="minorEastAsia" w:eastAsiaTheme="minorEastAsia"/>
          <w:u w:val="single"/>
        </w:rPr>
        <w:t>年</w:t>
      </w:r>
      <w:r>
        <w:rPr>
          <w:rFonts w:hint="eastAsia" w:asciiTheme="minorEastAsia" w:hAnsiTheme="minorEastAsia" w:eastAsiaTheme="minorEastAsia"/>
          <w:u w:val="single"/>
          <w:lang w:val="en-US" w:eastAsia="zh-CN"/>
        </w:rPr>
        <w:t>10</w:t>
      </w:r>
      <w:r>
        <w:rPr>
          <w:rFonts w:asciiTheme="minorEastAsia" w:hAnsiTheme="minorEastAsia" w:eastAsiaTheme="minorEastAsia"/>
          <w:u w:val="single"/>
        </w:rPr>
        <w:t>月</w:t>
      </w:r>
      <w:r>
        <w:rPr>
          <w:rFonts w:hint="eastAsia" w:asciiTheme="minorEastAsia" w:hAnsiTheme="minorEastAsia" w:eastAsiaTheme="minorEastAsia"/>
          <w:u w:val="single"/>
          <w:lang w:val="en-US" w:eastAsia="zh-CN"/>
        </w:rPr>
        <w:t>19</w:t>
      </w:r>
      <w:r>
        <w:rPr>
          <w:rFonts w:asciiTheme="minorEastAsia" w:hAnsiTheme="minorEastAsia" w:eastAsiaTheme="minorEastAsia"/>
          <w:u w:val="single"/>
        </w:rPr>
        <w:t>日</w:t>
      </w:r>
    </w:p>
    <w:p>
      <w:pPr>
        <w:pStyle w:val="13"/>
        <w:spacing w:before="67" w:line="362" w:lineRule="auto"/>
        <w:ind w:right="1943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注:①投标人必须按“分项报价明细表”的格式详细报出投标总价的各个组成部分的报价，否则作无效投标处理。</w:t>
      </w:r>
    </w:p>
    <w:p>
      <w:pPr>
        <w:pStyle w:val="4"/>
        <w:numPr>
          <w:numId w:val="0"/>
        </w:numPr>
        <w:ind w:leftChars="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②“分项报价明细表”各分项报价合计应当与“开标一览表”报价合计相等。</w:t>
      </w: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</w:p>
    <w:p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1.2交付期列表</w:t>
      </w:r>
    </w:p>
    <w:p>
      <w:pPr>
        <w:spacing w:line="460" w:lineRule="exact"/>
        <w:ind w:firstLine="420" w:firstLineChars="200"/>
        <w:rPr>
          <w:szCs w:val="24"/>
        </w:rPr>
      </w:pPr>
      <w:r>
        <w:rPr>
          <w:rFonts w:hint="eastAsia"/>
          <w:szCs w:val="24"/>
        </w:rPr>
        <w:t>C包</w:t>
      </w:r>
    </w:p>
    <w:tbl>
      <w:tblPr>
        <w:tblStyle w:val="20"/>
        <w:tblW w:w="9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3260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24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32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</w:rPr>
              <w:t>采购品目名称</w:t>
            </w:r>
          </w:p>
        </w:tc>
        <w:tc>
          <w:tcPr>
            <w:tcW w:w="5529" w:type="dxa"/>
            <w:shd w:val="clear" w:color="auto" w:fill="auto"/>
            <w:noWrap/>
            <w:vAlign w:val="center"/>
          </w:tcPr>
          <w:p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24" w:type="dxa"/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高性能计算平台</w:t>
            </w:r>
          </w:p>
        </w:tc>
        <w:tc>
          <w:tcPr>
            <w:tcW w:w="5529" w:type="dxa"/>
            <w:shd w:val="clear" w:color="auto" w:fill="auto"/>
            <w:noWrap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合同签订后2个月内交货且安装调试完毕交付使用</w:t>
            </w:r>
          </w:p>
        </w:tc>
      </w:tr>
    </w:tbl>
    <w:p>
      <w:pPr>
        <w:pStyle w:val="13"/>
      </w:pPr>
    </w:p>
    <w:p>
      <w:pPr>
        <w:spacing w:after="0" w:line="360" w:lineRule="auto"/>
        <w:ind w:left="-15" w:right="0" w:firstLine="480"/>
      </w:pPr>
      <w:r>
        <w:rPr>
          <w:rFonts w:hint="eastAsia"/>
        </w:rPr>
        <w:t>备注：列表上所写的均为采购人要求的期限，各投标人如果有优于此时间的请自行修改。</w:t>
      </w:r>
    </w:p>
    <w:p/>
    <w:p>
      <w:pPr>
        <w:rPr>
          <w:rFonts w:asciiTheme="minorEastAsia" w:hAnsiTheme="minorEastAsia" w:eastAsiaTheme="minorEastAsia"/>
        </w:rPr>
      </w:pPr>
    </w:p>
    <w:p>
      <w:pPr>
        <w:pStyle w:val="5"/>
        <w:rPr>
          <w:rFonts w:asciiTheme="minorEastAsia" w:hAnsiTheme="minorEastAsia" w:eastAsiaTheme="minorEastAsia"/>
        </w:rPr>
      </w:pPr>
      <w:bookmarkStart w:id="2" w:name="_GoBack"/>
      <w:bookmarkEnd w:id="2"/>
    </w:p>
    <w:p>
      <w:pPr>
        <w:pStyle w:val="5"/>
        <w:rPr>
          <w:rFonts w:hint="eastAsia" w:asciiTheme="minorEastAsia" w:hAnsiTheme="minor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261645"/>
    <w:multiLevelType w:val="multilevel"/>
    <w:tmpl w:val="DD261645"/>
    <w:lvl w:ilvl="0" w:tentative="0">
      <w:start w:val="1"/>
      <w:numFmt w:val="chineseCounting"/>
      <w:pStyle w:val="2"/>
      <w:lvlText w:val="%1.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6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9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xNTg0NWEwMDVkNTBmNGIwN2Q5NDYwN2EyNDM0YzgifQ=="/>
  </w:docVars>
  <w:rsids>
    <w:rsidRoot w:val="00000000"/>
    <w:rsid w:val="00133DB4"/>
    <w:rsid w:val="01384300"/>
    <w:rsid w:val="019716E7"/>
    <w:rsid w:val="02D00460"/>
    <w:rsid w:val="041B79FD"/>
    <w:rsid w:val="04E64EC7"/>
    <w:rsid w:val="04FE14F1"/>
    <w:rsid w:val="055007AD"/>
    <w:rsid w:val="05551968"/>
    <w:rsid w:val="05FF2903"/>
    <w:rsid w:val="0638321C"/>
    <w:rsid w:val="07BF1D5A"/>
    <w:rsid w:val="0A1F3027"/>
    <w:rsid w:val="0BFD2575"/>
    <w:rsid w:val="0C73232F"/>
    <w:rsid w:val="0FAB1FA5"/>
    <w:rsid w:val="0FB55CC6"/>
    <w:rsid w:val="118904EF"/>
    <w:rsid w:val="11B669EB"/>
    <w:rsid w:val="13F70FC3"/>
    <w:rsid w:val="142F0FB8"/>
    <w:rsid w:val="159326D5"/>
    <w:rsid w:val="17800EB1"/>
    <w:rsid w:val="18802DD1"/>
    <w:rsid w:val="18B2778A"/>
    <w:rsid w:val="18FD02C5"/>
    <w:rsid w:val="1A331DE5"/>
    <w:rsid w:val="1B773153"/>
    <w:rsid w:val="1C8015C5"/>
    <w:rsid w:val="1C9729AD"/>
    <w:rsid w:val="1CB927BA"/>
    <w:rsid w:val="1DC04900"/>
    <w:rsid w:val="20D26FB0"/>
    <w:rsid w:val="21417BC3"/>
    <w:rsid w:val="21D663E1"/>
    <w:rsid w:val="22E71382"/>
    <w:rsid w:val="2377627D"/>
    <w:rsid w:val="246B4630"/>
    <w:rsid w:val="25202733"/>
    <w:rsid w:val="27433D60"/>
    <w:rsid w:val="28D23D03"/>
    <w:rsid w:val="2A5301ED"/>
    <w:rsid w:val="2AE75B66"/>
    <w:rsid w:val="2B483D91"/>
    <w:rsid w:val="2B584207"/>
    <w:rsid w:val="2B614D24"/>
    <w:rsid w:val="30597822"/>
    <w:rsid w:val="30FC51C2"/>
    <w:rsid w:val="31A9290E"/>
    <w:rsid w:val="31C9380E"/>
    <w:rsid w:val="332B5B5F"/>
    <w:rsid w:val="34B23A72"/>
    <w:rsid w:val="35FD0039"/>
    <w:rsid w:val="362200F1"/>
    <w:rsid w:val="38084944"/>
    <w:rsid w:val="392A3696"/>
    <w:rsid w:val="3ADA1AE3"/>
    <w:rsid w:val="3D945625"/>
    <w:rsid w:val="3DF235A2"/>
    <w:rsid w:val="3E280EE9"/>
    <w:rsid w:val="3EBB58A3"/>
    <w:rsid w:val="3F3F2FD1"/>
    <w:rsid w:val="403A26A9"/>
    <w:rsid w:val="43741872"/>
    <w:rsid w:val="44713000"/>
    <w:rsid w:val="44763C20"/>
    <w:rsid w:val="4F2D0CF3"/>
    <w:rsid w:val="4F50371B"/>
    <w:rsid w:val="50D420D5"/>
    <w:rsid w:val="51582649"/>
    <w:rsid w:val="515C538B"/>
    <w:rsid w:val="532757E4"/>
    <w:rsid w:val="553F3905"/>
    <w:rsid w:val="56C04AE3"/>
    <w:rsid w:val="570B7B01"/>
    <w:rsid w:val="571C4EED"/>
    <w:rsid w:val="58F109C3"/>
    <w:rsid w:val="5A2D6806"/>
    <w:rsid w:val="5B3E7634"/>
    <w:rsid w:val="5B6A5FB8"/>
    <w:rsid w:val="5B8B2F78"/>
    <w:rsid w:val="5FBE36D4"/>
    <w:rsid w:val="61BD4D1A"/>
    <w:rsid w:val="62CA217D"/>
    <w:rsid w:val="63535997"/>
    <w:rsid w:val="650035E3"/>
    <w:rsid w:val="665E7BD6"/>
    <w:rsid w:val="66745DF0"/>
    <w:rsid w:val="676B2150"/>
    <w:rsid w:val="677C6D5E"/>
    <w:rsid w:val="687362A0"/>
    <w:rsid w:val="69305F28"/>
    <w:rsid w:val="6C3A3F75"/>
    <w:rsid w:val="6DE42683"/>
    <w:rsid w:val="6E0F3BC8"/>
    <w:rsid w:val="6EA1181E"/>
    <w:rsid w:val="6FD32927"/>
    <w:rsid w:val="7009726E"/>
    <w:rsid w:val="723D5B5F"/>
    <w:rsid w:val="753D58A0"/>
    <w:rsid w:val="75B04920"/>
    <w:rsid w:val="77CC4D80"/>
    <w:rsid w:val="78037F43"/>
    <w:rsid w:val="780C3E94"/>
    <w:rsid w:val="785C3A24"/>
    <w:rsid w:val="78CD7377"/>
    <w:rsid w:val="78FE4D23"/>
    <w:rsid w:val="7C814646"/>
    <w:rsid w:val="7D3C4FBB"/>
    <w:rsid w:val="7D771480"/>
    <w:rsid w:val="7ED6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23"/>
    <w:qFormat/>
    <w:uiPriority w:val="0"/>
    <w:pPr>
      <w:keepNext/>
      <w:keepLines/>
      <w:numPr>
        <w:ilvl w:val="0"/>
        <w:numId w:val="1"/>
      </w:numPr>
      <w:spacing w:after="154" w:line="259" w:lineRule="auto"/>
      <w:ind w:left="432" w:hanging="432"/>
      <w:outlineLvl w:val="0"/>
    </w:pPr>
    <w:rPr>
      <w:rFonts w:ascii="宋体" w:hAnsi="宋体" w:eastAsia="宋体" w:cs="宋体"/>
      <w:b/>
      <w:color w:val="000000"/>
      <w:kern w:val="2"/>
      <w:sz w:val="28"/>
      <w:szCs w:val="22"/>
      <w:lang w:val="en-US" w:eastAsia="zh-CN" w:bidi="ar-SA"/>
    </w:rPr>
  </w:style>
  <w:style w:type="paragraph" w:styleId="3">
    <w:name w:val="heading 2"/>
    <w:basedOn w:val="1"/>
    <w:next w:val="1"/>
    <w:link w:val="24"/>
    <w:semiHidden/>
    <w:unhideWhenUsed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ind w:left="575" w:hanging="575"/>
      <w:outlineLvl w:val="1"/>
    </w:pPr>
    <w:rPr>
      <w:rFonts w:eastAsia="宋体" w:asciiTheme="majorAscii" w:hAnsiTheme="majorAscii" w:cstheme="majorBidi"/>
      <w:b/>
      <w:bCs/>
      <w:color w:val="000000"/>
      <w:sz w:val="28"/>
      <w:szCs w:val="32"/>
    </w:rPr>
  </w:style>
  <w:style w:type="paragraph" w:styleId="4">
    <w:name w:val="heading 3"/>
    <w:basedOn w:val="1"/>
    <w:next w:val="5"/>
    <w:link w:val="25"/>
    <w:semiHidden/>
    <w:unhideWhenUsed/>
    <w:qFormat/>
    <w:uiPriority w:val="0"/>
    <w:pPr>
      <w:keepNext/>
      <w:keepLines/>
      <w:numPr>
        <w:ilvl w:val="2"/>
        <w:numId w:val="1"/>
      </w:numPr>
      <w:spacing w:before="140" w:beforeLines="0" w:beforeAutospacing="0" w:after="140" w:afterLines="0" w:afterAutospacing="0" w:line="360" w:lineRule="auto"/>
      <w:ind w:left="720" w:hanging="720" w:firstLineChars="0"/>
      <w:outlineLvl w:val="2"/>
    </w:pPr>
    <w:rPr>
      <w:rFonts w:ascii="黑体" w:hAnsi="黑体" w:eastAsia="宋体" w:cs="Times New Roman"/>
      <w:b/>
      <w:color w:val="000000"/>
      <w:sz w:val="24"/>
      <w:szCs w:val="22"/>
    </w:rPr>
  </w:style>
  <w:style w:type="paragraph" w:styleId="6">
    <w:name w:val="heading 4"/>
    <w:basedOn w:val="4"/>
    <w:next w:val="1"/>
    <w:link w:val="22"/>
    <w:semiHidden/>
    <w:unhideWhenUsed/>
    <w:qFormat/>
    <w:uiPriority w:val="0"/>
    <w:pPr>
      <w:numPr>
        <w:ilvl w:val="3"/>
      </w:numPr>
      <w:spacing w:line="360" w:lineRule="auto"/>
      <w:ind w:left="0" w:firstLine="0" w:firstLineChars="0"/>
      <w:jc w:val="both"/>
      <w:outlineLvl w:val="3"/>
    </w:pPr>
    <w:rPr>
      <w:rFonts w:ascii="Calibri" w:hAnsi="Calibri" w:eastAsia="宋体" w:cs="Times New Roman"/>
      <w:szCs w:val="31"/>
    </w:rPr>
  </w:style>
  <w:style w:type="paragraph" w:styleId="7">
    <w:name w:val="heading 5"/>
    <w:basedOn w:val="1"/>
    <w:next w:val="1"/>
    <w:link w:val="26"/>
    <w:semiHidden/>
    <w:unhideWhenUsed/>
    <w:qFormat/>
    <w:uiPriority w:val="0"/>
    <w:pPr>
      <w:keepNext/>
      <w:keepLines/>
      <w:numPr>
        <w:ilvl w:val="4"/>
        <w:numId w:val="1"/>
      </w:numPr>
      <w:tabs>
        <w:tab w:val="left" w:pos="420"/>
        <w:tab w:val="left" w:pos="425"/>
      </w:tabs>
      <w:spacing w:before="280" w:beforeLines="0" w:beforeAutospacing="0" w:after="290" w:afterLines="0" w:afterAutospacing="0" w:line="372" w:lineRule="auto"/>
      <w:ind w:left="1008" w:hanging="1008"/>
      <w:outlineLvl w:val="4"/>
    </w:pPr>
    <w:rPr>
      <w:rFonts w:ascii="Calibri" w:hAnsi="Calibri" w:eastAsia="宋体" w:cs="Calibri"/>
      <w:b/>
      <w:color w:val="000000"/>
      <w:sz w:val="24"/>
      <w:szCs w:val="22"/>
    </w:rPr>
  </w:style>
  <w:style w:type="paragraph" w:styleId="8">
    <w:name w:val="heading 6"/>
    <w:basedOn w:val="7"/>
    <w:next w:val="1"/>
    <w:semiHidden/>
    <w:unhideWhenUsed/>
    <w:qFormat/>
    <w:uiPriority w:val="0"/>
    <w:pPr>
      <w:keepNext/>
      <w:keepLines/>
      <w:numPr>
        <w:ilvl w:val="5"/>
      </w:numPr>
      <w:tabs>
        <w:tab w:val="clear" w:pos="425"/>
      </w:tabs>
      <w:spacing w:before="240" w:beforeLines="0" w:beforeAutospacing="0" w:after="64" w:afterLines="0" w:afterAutospacing="0" w:line="317" w:lineRule="auto"/>
      <w:ind w:left="1152" w:hanging="1152"/>
      <w:outlineLvl w:val="5"/>
    </w:pPr>
    <w:rPr>
      <w:rFonts w:hint="eastAsia" w:ascii="Arial" w:hAnsi="Arial" w:eastAsia="宋体"/>
      <w:lang w:val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tabs>
        <w:tab w:val="left" w:pos="420"/>
        <w:tab w:val="left" w:pos="425"/>
      </w:tabs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12">
    <w:name w:val="caption"/>
    <w:basedOn w:val="1"/>
    <w:next w:val="1"/>
    <w:semiHidden/>
    <w:unhideWhenUsed/>
    <w:qFormat/>
    <w:uiPriority w:val="0"/>
    <w:pPr>
      <w:jc w:val="center"/>
    </w:pPr>
    <w:rPr>
      <w:rFonts w:ascii="宋体" w:hAnsi="宋体" w:eastAsia="宋体" w:cs="宋体"/>
      <w:b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paragraph" w:styleId="13">
    <w:name w:val="Body Text"/>
    <w:basedOn w:val="1"/>
    <w:next w:val="1"/>
    <w:qFormat/>
    <w:uiPriority w:val="1"/>
    <w:rPr>
      <w:sz w:val="24"/>
      <w:szCs w:val="24"/>
    </w:rPr>
  </w:style>
  <w:style w:type="paragraph" w:styleId="14">
    <w:name w:val="Body Text Indent"/>
    <w:basedOn w:val="1"/>
    <w:qFormat/>
    <w:uiPriority w:val="0"/>
    <w:pPr>
      <w:spacing w:after="120" w:line="360" w:lineRule="auto"/>
      <w:ind w:left="420" w:leftChars="200"/>
    </w:pPr>
    <w:rPr>
      <w:rFonts w:ascii="宋体" w:hAnsi="宋体" w:eastAsia="宋体" w:cs="宋体"/>
      <w:b/>
      <w:sz w:val="28"/>
      <w:szCs w:val="22"/>
    </w:rPr>
  </w:style>
  <w:style w:type="paragraph" w:styleId="15">
    <w:name w:val="toc 5"/>
    <w:basedOn w:val="1"/>
    <w:next w:val="1"/>
    <w:qFormat/>
    <w:uiPriority w:val="0"/>
    <w:pPr>
      <w:ind w:left="1680" w:leftChars="800"/>
    </w:pPr>
    <w:rPr>
      <w:rFonts w:ascii="Times New Roman" w:hAnsi="Times New Roman" w:eastAsia="宋体" w:cs="Times New Roman"/>
      <w:sz w:val="21"/>
    </w:rPr>
  </w:style>
  <w:style w:type="paragraph" w:styleId="16">
    <w:name w:val="toc 1"/>
    <w:basedOn w:val="1"/>
    <w:next w:val="1"/>
    <w:qFormat/>
    <w:uiPriority w:val="0"/>
    <w:rPr>
      <w:rFonts w:ascii="Times New Roman" w:hAnsi="Times New Roman" w:eastAsia="宋体" w:cs="Times New Roman"/>
      <w:sz w:val="21"/>
    </w:rPr>
  </w:style>
  <w:style w:type="paragraph" w:styleId="17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  <w:sz w:val="21"/>
    </w:rPr>
  </w:style>
  <w:style w:type="paragraph" w:styleId="18">
    <w:name w:val="toc 2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  <w:sz w:val="21"/>
    </w:rPr>
  </w:style>
  <w:style w:type="paragraph" w:styleId="19">
    <w:name w:val="Body Text First Indent 2"/>
    <w:basedOn w:val="14"/>
    <w:qFormat/>
    <w:uiPriority w:val="0"/>
    <w:rPr>
      <w:rFonts w:ascii="Calibri" w:hAnsi="Calibri" w:eastAsia="宋体" w:cs="Times New Roman"/>
      <w:sz w:val="30"/>
      <w:szCs w:val="24"/>
    </w:rPr>
  </w:style>
  <w:style w:type="character" w:customStyle="1" w:styleId="22">
    <w:name w:val="标题 4 字符"/>
    <w:link w:val="6"/>
    <w:qFormat/>
    <w:uiPriority w:val="9"/>
    <w:rPr>
      <w:rFonts w:ascii="Calibri" w:hAnsi="Calibri" w:eastAsia="宋体" w:cs="Times New Roman"/>
      <w:b/>
      <w:sz w:val="28"/>
      <w:szCs w:val="31"/>
      <w:lang w:eastAsia="en-US"/>
    </w:rPr>
  </w:style>
  <w:style w:type="character" w:customStyle="1" w:styleId="23">
    <w:name w:val="标题 1 Char"/>
    <w:link w:val="2"/>
    <w:qFormat/>
    <w:uiPriority w:val="0"/>
    <w:rPr>
      <w:rFonts w:ascii="宋体" w:hAnsi="宋体" w:eastAsia="宋体" w:cs="宋体"/>
      <w:b/>
      <w:color w:val="000000"/>
      <w:sz w:val="28"/>
    </w:rPr>
  </w:style>
  <w:style w:type="character" w:customStyle="1" w:styleId="24">
    <w:name w:val="标题 2 字符"/>
    <w:link w:val="3"/>
    <w:qFormat/>
    <w:uiPriority w:val="0"/>
    <w:rPr>
      <w:rFonts w:ascii="宋体" w:hAnsi="宋体" w:eastAsia="宋体" w:cs="宋体"/>
      <w:b/>
      <w:color w:val="000000"/>
      <w:sz w:val="30"/>
      <w:szCs w:val="22"/>
      <w:lang w:eastAsia="en-US"/>
    </w:rPr>
  </w:style>
  <w:style w:type="character" w:customStyle="1" w:styleId="25">
    <w:name w:val="标题 3 字符"/>
    <w:link w:val="4"/>
    <w:qFormat/>
    <w:uiPriority w:val="0"/>
    <w:rPr>
      <w:rFonts w:ascii="黑体" w:hAnsi="黑体" w:eastAsia="宋体" w:cs="Times New Roman"/>
      <w:b/>
      <w:color w:val="000000"/>
      <w:sz w:val="28"/>
      <w:szCs w:val="22"/>
      <w:lang w:eastAsia="en-US"/>
    </w:rPr>
  </w:style>
  <w:style w:type="character" w:customStyle="1" w:styleId="26">
    <w:name w:val="标题 5 字符"/>
    <w:link w:val="7"/>
    <w:semiHidden/>
    <w:qFormat/>
    <w:uiPriority w:val="9"/>
    <w:rPr>
      <w:rFonts w:ascii="Calibri" w:hAnsi="Calibri" w:eastAsia="宋体" w:cs="Calibri"/>
      <w:b/>
      <w:bCs/>
      <w:color w:val="000000"/>
      <w:kern w:val="2"/>
      <w:sz w:val="24"/>
      <w:szCs w:val="22"/>
    </w:rPr>
  </w:style>
  <w:style w:type="character" w:customStyle="1" w:styleId="27">
    <w:name w:val="font61"/>
    <w:basedOn w:val="21"/>
    <w:uiPriority w:val="0"/>
    <w:rPr>
      <w:rFonts w:hint="eastAsia" w:ascii="宋体" w:hAnsi="宋体" w:eastAsia="宋体" w:cs="宋体"/>
      <w:color w:val="333333"/>
      <w:sz w:val="24"/>
      <w:szCs w:val="24"/>
      <w:u w:val="none"/>
    </w:rPr>
  </w:style>
  <w:style w:type="character" w:customStyle="1" w:styleId="28">
    <w:name w:val="font41"/>
    <w:basedOn w:val="21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9">
    <w:name w:val="font71"/>
    <w:basedOn w:val="21"/>
    <w:uiPriority w:val="0"/>
    <w:rPr>
      <w:rFonts w:hint="eastAsia" w:ascii="宋体" w:hAnsi="宋体" w:eastAsia="宋体" w:cs="宋体"/>
      <w:color w:val="0000FF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2022-07-28T06:57:00Z</dcterms:created>
  <dc:creator>12872</dc:creator>
  <cp:lastModifiedBy>敏</cp:lastModifiedBy>
  <dcterms:modified xsi:type="dcterms:W3CDTF">2023-10-20T00:32:14Z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2A6EDB66B4084C6AA22563FC685CF040</vt:lpwstr>
  </property>
</Properties>
</file>