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宋体" w:hAnsi="宋体" w:eastAsia="宋体" w:cs="宋体"/>
          <w:b/>
          <w:sz w:val="32"/>
          <w:szCs w:val="32"/>
        </w:rPr>
      </w:pPr>
      <w:r>
        <w:rPr>
          <w:rFonts w:hint="eastAsia" w:ascii="宋体" w:hAnsi="宋体" w:eastAsia="宋体" w:cs="宋体"/>
          <w:b/>
          <w:sz w:val="32"/>
          <w:szCs w:val="32"/>
        </w:rPr>
        <w:t>采购需求</w:t>
      </w:r>
    </w:p>
    <w:p>
      <w:pPr>
        <w:keepNext w:val="0"/>
        <w:keepLines w:val="0"/>
        <w:pageBreakBefore w:val="0"/>
        <w:widowControl w:val="0"/>
        <w:numPr>
          <w:ilvl w:val="0"/>
          <w:numId w:val="0"/>
        </w:numPr>
        <w:kinsoku/>
        <w:wordWrap/>
        <w:overflowPunct/>
        <w:topLinePunct w:val="0"/>
        <w:autoSpaceDE/>
        <w:autoSpaceDN/>
        <w:bidi w:val="0"/>
        <w:adjustRightInd/>
        <w:snapToGrid w:val="0"/>
        <w:spacing w:afterLines="50" w:line="360" w:lineRule="auto"/>
        <w:textAlignment w:val="auto"/>
        <w:outlineLvl w:val="1"/>
        <w:rPr>
          <w:rFonts w:hint="eastAsia" w:ascii="宋体" w:hAnsi="宋体" w:eastAsia="宋体" w:cs="宋体"/>
          <w:b/>
          <w:bCs/>
          <w:color w:val="auto"/>
          <w:sz w:val="24"/>
          <w:szCs w:val="24"/>
          <w:highlight w:val="none"/>
          <w:lang w:val="en-US" w:eastAsia="zh-CN"/>
        </w:rPr>
      </w:pPr>
      <w:bookmarkStart w:id="0" w:name="_Toc30619"/>
      <w:r>
        <w:rPr>
          <w:rFonts w:hint="eastAsia" w:ascii="宋体" w:hAnsi="宋体" w:eastAsia="宋体" w:cs="宋体"/>
          <w:b/>
          <w:bCs/>
          <w:color w:val="auto"/>
          <w:sz w:val="24"/>
          <w:szCs w:val="24"/>
          <w:highlight w:val="none"/>
          <w:lang w:val="en-US" w:eastAsia="zh-CN"/>
        </w:rPr>
        <w:t>一、项目概况</w:t>
      </w:r>
      <w:bookmarkEnd w:id="0"/>
    </w:p>
    <w:p>
      <w:pPr>
        <w:pStyle w:val="4"/>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为全面贯彻落实医疗信息化体制的改革，建设适应卫生改革与发展需求的信息化体系，提高卫生服务与管理水平，优化公共卫生、医疗服务、医疗保障、药品供应保障等工作流程；规范医疗卫生服务行为，提高服务质量和效率。我中心采购一批</w:t>
      </w:r>
      <w:r>
        <w:rPr>
          <w:rFonts w:hint="eastAsia"/>
          <w:color w:val="auto"/>
          <w:sz w:val="24"/>
          <w:szCs w:val="24"/>
          <w:highlight w:val="none"/>
          <w:lang w:val="en-US" w:eastAsia="zh-CN"/>
        </w:rPr>
        <w:t>专用设备。</w:t>
      </w:r>
    </w:p>
    <w:p>
      <w:pPr>
        <w:keepNext w:val="0"/>
        <w:keepLines w:val="0"/>
        <w:pageBreakBefore w:val="0"/>
        <w:widowControl w:val="0"/>
        <w:numPr>
          <w:ilvl w:val="0"/>
          <w:numId w:val="0"/>
        </w:numPr>
        <w:kinsoku/>
        <w:wordWrap/>
        <w:overflowPunct/>
        <w:topLinePunct w:val="0"/>
        <w:autoSpaceDE/>
        <w:autoSpaceDN/>
        <w:bidi w:val="0"/>
        <w:adjustRightInd/>
        <w:snapToGrid w:val="0"/>
        <w:spacing w:afterLines="50" w:line="360" w:lineRule="auto"/>
        <w:textAlignment w:val="auto"/>
        <w:outlineLvl w:val="1"/>
        <w:rPr>
          <w:rFonts w:hint="eastAsia" w:ascii="Times New Roman" w:hAnsi="Times New Roman" w:eastAsia="宋体" w:cs="Times New Roman"/>
          <w:b/>
          <w:bCs/>
          <w:color w:val="auto"/>
          <w:sz w:val="24"/>
          <w:szCs w:val="24"/>
          <w:highlight w:val="none"/>
          <w:lang w:val="en-US" w:eastAsia="zh-CN"/>
        </w:rPr>
      </w:pPr>
      <w:bookmarkStart w:id="1" w:name="_Toc11980"/>
      <w:r>
        <w:rPr>
          <w:rFonts w:hint="eastAsia" w:ascii="Times New Roman" w:hAnsi="Times New Roman" w:eastAsia="宋体" w:cs="Times New Roman"/>
          <w:b/>
          <w:bCs/>
          <w:color w:val="auto"/>
          <w:sz w:val="24"/>
          <w:szCs w:val="24"/>
          <w:highlight w:val="none"/>
          <w:lang w:val="en-US" w:eastAsia="zh-CN"/>
        </w:rPr>
        <w:t>二、清单及技术要求</w:t>
      </w:r>
      <w:bookmarkEnd w:id="1"/>
    </w:p>
    <w:p>
      <w:pPr>
        <w:keepNext w:val="0"/>
        <w:keepLines w:val="0"/>
        <w:pageBreakBefore w:val="0"/>
        <w:widowControl w:val="0"/>
        <w:kinsoku/>
        <w:wordWrap/>
        <w:overflowPunct/>
        <w:topLinePunct w:val="0"/>
        <w:autoSpaceDE/>
        <w:autoSpaceDN/>
        <w:bidi w:val="0"/>
        <w:adjustRightInd/>
        <w:snapToGrid/>
        <w:textAlignment w:val="auto"/>
        <w:outlineLvl w:val="2"/>
        <w:rPr>
          <w:rFonts w:hint="default" w:ascii="宋体" w:hAnsi="宋体" w:eastAsia="宋体" w:cs="宋体"/>
          <w:b w:val="0"/>
          <w:i w:val="0"/>
          <w:caps w:val="0"/>
          <w:color w:val="auto"/>
          <w:spacing w:val="8"/>
          <w:kern w:val="2"/>
          <w:sz w:val="24"/>
          <w:szCs w:val="24"/>
          <w:highlight w:val="none"/>
          <w:shd w:val="clear" w:fill="FFFFFF"/>
          <w:lang w:val="en-US" w:eastAsia="zh-CN" w:bidi="ar-SA"/>
        </w:rPr>
      </w:pPr>
      <w:bookmarkStart w:id="2" w:name="_Toc30128"/>
      <w:r>
        <w:rPr>
          <w:rFonts w:hint="eastAsia" w:ascii="宋体" w:hAnsi="宋体" w:eastAsia="宋体" w:cs="宋体"/>
          <w:b w:val="0"/>
          <w:i w:val="0"/>
          <w:caps w:val="0"/>
          <w:color w:val="auto"/>
          <w:spacing w:val="8"/>
          <w:kern w:val="2"/>
          <w:sz w:val="24"/>
          <w:szCs w:val="24"/>
          <w:highlight w:val="none"/>
          <w:shd w:val="clear" w:fill="FFFFFF"/>
          <w:lang w:val="en-US" w:eastAsia="zh-CN" w:bidi="ar-SA"/>
        </w:rPr>
        <w:t>标包1：珈玛照射装置及X射线照射场</w:t>
      </w:r>
      <w:bookmarkEnd w:id="2"/>
    </w:p>
    <w:tbl>
      <w:tblPr>
        <w:tblStyle w:val="7"/>
        <w:tblW w:w="13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17"/>
        <w:gridCol w:w="1029"/>
        <w:gridCol w:w="819"/>
        <w:gridCol w:w="680"/>
        <w:gridCol w:w="624"/>
        <w:gridCol w:w="9834"/>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atLeast"/>
        </w:trPr>
        <w:tc>
          <w:tcPr>
            <w:tcW w:w="13820" w:type="dxa"/>
            <w:gridSpan w:val="7"/>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标包1技术参数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02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8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所需数量（台）</w:t>
            </w:r>
          </w:p>
        </w:tc>
        <w:tc>
          <w:tcPr>
            <w:tcW w:w="6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是否接受进口</w:t>
            </w:r>
          </w:p>
        </w:tc>
        <w:tc>
          <w:tcPr>
            <w:tcW w:w="6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科室</w:t>
            </w:r>
          </w:p>
        </w:tc>
        <w:tc>
          <w:tcPr>
            <w:tcW w:w="98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4" w:hRule="atLeast"/>
        </w:trPr>
        <w:tc>
          <w:tcPr>
            <w:tcW w:w="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珈玛放射源照射装置</w:t>
            </w:r>
          </w:p>
        </w:tc>
        <w:tc>
          <w:tcPr>
            <w:tcW w:w="8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6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辐射安全实验楼</w:t>
            </w:r>
          </w:p>
        </w:tc>
        <w:tc>
          <w:tcPr>
            <w:tcW w:w="9834" w:type="dxa"/>
            <w:tcBorders>
              <w:tl2br w:val="nil"/>
              <w:tr2bl w:val="nil"/>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 xml:space="preserve">储存放射源装置：可存储3枚Ⅲ类或以下的γ辐射源：Co-60≤10Ci、Cs-137≤5Ci、Am-241≤2Ci；可通过软件远程控制和选择不同的γ辐射源，三枚辐射源由独立的气缸控制，互不影响。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2.放射源：随装置搭载Cs-137（5Ci）≧1枚、Am-241（2Ci ）≧1枚。                         </w:t>
            </w:r>
            <w:r>
              <w:rPr>
                <w:rFonts w:hint="eastAsia" w:ascii="宋体" w:hAnsi="宋体" w:eastAsia="宋体" w:cs="宋体"/>
                <w:lang w:val="en-US" w:eastAsia="zh-CN"/>
              </w:rPr>
              <w:br w:type="textWrapping"/>
            </w:r>
            <w:r>
              <w:rPr>
                <w:rFonts w:hint="eastAsia" w:ascii="宋体" w:hAnsi="宋体" w:eastAsia="宋体" w:cs="宋体"/>
                <w:lang w:val="en-US" w:eastAsia="zh-CN"/>
              </w:rPr>
              <w:t>3、辐照器：≧20cm铅屏蔽（可根据放射源的大小设计屏蔽层的厚度）；放射源在距源10m处（室外）产生的剂量率≦0.25μGy/h（本底的1-2倍）。</w:t>
            </w:r>
            <w:r>
              <w:rPr>
                <w:rFonts w:hint="eastAsia" w:ascii="宋体" w:hAnsi="宋体" w:eastAsia="宋体" w:cs="宋体"/>
                <w:lang w:val="en-US" w:eastAsia="zh-CN"/>
              </w:rPr>
              <w:br w:type="textWrapping"/>
            </w:r>
            <w:r>
              <w:rPr>
                <w:rFonts w:hint="eastAsia" w:ascii="宋体" w:hAnsi="宋体" w:eastAsia="宋体" w:cs="宋体"/>
                <w:lang w:val="en-US" w:eastAsia="zh-CN"/>
              </w:rPr>
              <w:t>4、准直器：基于ISO 4037-1:1999“标准设计的准直器，采用钨材料并且由多个光阑组成。光阑之间彼此由20mm的空隙，每一个空隙作为前一光阑边缘散射射线的捕集器，最后一个光阑厚度为3 mm。γ射线出射角度约为15°（全角）。</w:t>
            </w:r>
            <w:r>
              <w:rPr>
                <w:rFonts w:hint="eastAsia" w:ascii="宋体" w:hAnsi="宋体" w:eastAsia="宋体" w:cs="宋体"/>
                <w:lang w:val="en-US" w:eastAsia="zh-CN"/>
              </w:rPr>
              <w:br w:type="textWrapping"/>
            </w:r>
            <w:r>
              <w:rPr>
                <w:rFonts w:hint="eastAsia" w:ascii="宋体" w:hAnsi="宋体" w:eastAsia="宋体" w:cs="宋体"/>
                <w:lang w:val="en-US" w:eastAsia="zh-CN"/>
              </w:rPr>
              <w:t>5、衰减器：配备4个衰减器，可以单独使用，也可以联合使用来达到从1倍到8000倍的射线强度衰。</w:t>
            </w:r>
            <w:r>
              <w:rPr>
                <w:rFonts w:hint="eastAsia" w:ascii="宋体" w:hAnsi="宋体" w:eastAsia="宋体" w:cs="宋体"/>
                <w:lang w:val="en-US" w:eastAsia="zh-CN"/>
              </w:rPr>
              <w:br w:type="textWrapping"/>
            </w:r>
            <w:r>
              <w:rPr>
                <w:rFonts w:hint="eastAsia" w:ascii="宋体" w:hAnsi="宋体" w:eastAsia="宋体" w:cs="宋体"/>
                <w:lang w:val="en-US" w:eastAsia="zh-CN"/>
              </w:rPr>
              <w:t>6、三维自动定位系统：由X、Y、Z三轴导轨、位移小车、旋转平台组成。</w:t>
            </w:r>
            <w:r>
              <w:rPr>
                <w:rFonts w:hint="eastAsia" w:ascii="宋体" w:hAnsi="宋体" w:eastAsia="宋体" w:cs="宋体"/>
                <w:lang w:val="en-US" w:eastAsia="zh-CN"/>
              </w:rPr>
              <w:br w:type="textWrapping"/>
            </w:r>
            <w:r>
              <w:rPr>
                <w:rFonts w:hint="eastAsia" w:ascii="宋体" w:hAnsi="宋体" w:eastAsia="宋体" w:cs="宋体"/>
                <w:lang w:val="en-US" w:eastAsia="zh-CN"/>
              </w:rPr>
              <w:t>位移小车位移范围：X轴1000cm，Y轴100cm，Z轴40cm。</w:t>
            </w:r>
            <w:r>
              <w:rPr>
                <w:rFonts w:hint="eastAsia" w:ascii="宋体" w:hAnsi="宋体" w:eastAsia="宋体" w:cs="宋体"/>
                <w:lang w:val="en-US" w:eastAsia="zh-CN"/>
              </w:rPr>
              <w:br w:type="textWrapping"/>
            </w:r>
            <w:r>
              <w:rPr>
                <w:rFonts w:hint="eastAsia" w:ascii="宋体" w:hAnsi="宋体" w:eastAsia="宋体" w:cs="宋体"/>
                <w:lang w:val="en-US" w:eastAsia="zh-CN"/>
              </w:rPr>
              <w:t>位移小车：尺寸30cm×40cm；电镀处理；带有1cm的正方形格子，便于确定物品摆放位置；每隔10cm有一个孔，用来固定夹具；移动速度为10cm/s，定位精度为±1mm 旋转平台组、测量仪器的角响应，主要由角度刻度盘和驱动系统组成；旋转台可360°旋转，转动精度0.1°；45kg的承重能力。</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激光准直器：光斑形状有一字线和十字线；3米处线宽≤1.0mm；10°～120°的出光张角；≥1/5000的直线度。 </w:t>
            </w:r>
            <w:r>
              <w:rPr>
                <w:rFonts w:hint="eastAsia" w:ascii="宋体" w:hAnsi="宋体" w:eastAsia="宋体" w:cs="宋体"/>
                <w:lang w:val="en-US" w:eastAsia="zh-CN"/>
              </w:rPr>
              <w:br w:type="textWrapping"/>
            </w:r>
            <w:r>
              <w:rPr>
                <w:rFonts w:hint="eastAsia" w:ascii="宋体" w:hAnsi="宋体" w:eastAsia="宋体" w:cs="宋体"/>
                <w:lang w:val="en-US" w:eastAsia="zh-CN"/>
              </w:rPr>
              <w:t>安全性：安全联锁装置，设备任一处发生故障都无法启动辐照；装备紧急制动按钮，当按下紧急制动按钮时，辐照系统将强制进入屏蔽状态。</w:t>
            </w:r>
            <w:r>
              <w:rPr>
                <w:rFonts w:hint="eastAsia" w:ascii="宋体" w:hAnsi="宋体" w:eastAsia="宋体" w:cs="宋体"/>
                <w:lang w:val="en-US" w:eastAsia="zh-CN"/>
              </w:rPr>
              <w:br w:type="textWrapping"/>
            </w:r>
            <w:r>
              <w:rPr>
                <w:rFonts w:hint="eastAsia" w:ascii="宋体" w:hAnsi="宋体" w:eastAsia="宋体" w:cs="宋体"/>
                <w:lang w:val="en-US" w:eastAsia="zh-CN"/>
              </w:rPr>
              <w:t>7.自动控制系统：实现对辐照器、屏蔽防护门、位移小车及升降平台的自动控制功能。</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8.视屏监控：采用高清视屏摄像头监控场内情况，另有高清摄像头监控仪器平台，方便操作者读取数据。                                                   </w:t>
            </w:r>
            <w:r>
              <w:rPr>
                <w:rFonts w:hint="eastAsia" w:ascii="宋体" w:hAnsi="宋体" w:eastAsia="宋体" w:cs="宋体"/>
                <w:lang w:val="en-US" w:eastAsia="zh-CN"/>
              </w:rPr>
              <w:br w:type="textWrapping"/>
            </w:r>
            <w:r>
              <w:rPr>
                <w:rFonts w:hint="eastAsia" w:ascii="宋体" w:hAnsi="宋体" w:eastAsia="宋体" w:cs="宋体"/>
                <w:lang w:val="en-US" w:eastAsia="zh-CN"/>
              </w:rPr>
              <w:t>9.配备标准电离室和场所辐射监控设备。</w:t>
            </w:r>
          </w:p>
          <w:p>
            <w:pPr>
              <w:numPr>
                <w:ilvl w:val="0"/>
                <w:numId w:val="0"/>
              </w:numPr>
              <w:bidi w:val="0"/>
              <w:rPr>
                <w:rFonts w:hint="eastAsia" w:ascii="宋体" w:hAnsi="宋体" w:eastAsia="宋体" w:cs="宋体"/>
              </w:rPr>
            </w:pPr>
            <w:r>
              <w:rPr>
                <w:rFonts w:hint="eastAsia" w:ascii="宋体" w:hAnsi="宋体" w:eastAsia="宋体" w:cs="宋体"/>
                <w:b w:val="0"/>
                <w:bCs w:val="0"/>
                <w:snapToGrid/>
                <w:sz w:val="24"/>
                <w:szCs w:val="24"/>
                <w:lang w:val="en-US" w:eastAsia="zh-CN"/>
              </w:rPr>
              <w:t>★提供生产厂家及投标人《辐射安全许可证》正本及副本复印件（加盖生产厂家和投标人公章）</w:t>
            </w:r>
          </w:p>
        </w:tc>
        <w:tc>
          <w:tcPr>
            <w:tcW w:w="417" w:type="dxa"/>
            <w:tcBorders>
              <w:tl2br w:val="nil"/>
              <w:tr2bl w:val="nil"/>
            </w:tcBorders>
            <w:shd w:val="clear" w:color="auto" w:fill="auto"/>
            <w:vAlign w:val="center"/>
          </w:tcPr>
          <w:p>
            <w:pPr>
              <w:rPr>
                <w:rFonts w:hint="eastAsia" w:ascii="宋体" w:hAnsi="宋体" w:eastAsia="宋体" w:cs="宋体"/>
                <w:i w:val="0"/>
                <w:iCs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4" w:hRule="atLeast"/>
        </w:trPr>
        <w:tc>
          <w:tcPr>
            <w:tcW w:w="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X射线照射场</w:t>
            </w:r>
          </w:p>
        </w:tc>
        <w:tc>
          <w:tcPr>
            <w:tcW w:w="8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6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辐射安全实验楼</w:t>
            </w:r>
          </w:p>
        </w:tc>
        <w:tc>
          <w:tcPr>
            <w:tcW w:w="9834" w:type="dxa"/>
            <w:tcBorders>
              <w:tl2br w:val="nil"/>
              <w:tr2bl w:val="nil"/>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管电压：15-320kV；调节分度：0.2 kV、0.1kV。</w:t>
            </w:r>
            <w:r>
              <w:rPr>
                <w:rFonts w:hint="eastAsia" w:ascii="宋体" w:hAnsi="宋体" w:eastAsia="宋体" w:cs="宋体"/>
                <w:lang w:val="en-US" w:eastAsia="zh-CN"/>
              </w:rPr>
              <w:br w:type="textWrapping"/>
            </w:r>
            <w:r>
              <w:rPr>
                <w:rFonts w:hint="eastAsia" w:ascii="宋体" w:hAnsi="宋体" w:eastAsia="宋体" w:cs="宋体"/>
                <w:lang w:val="en-US" w:eastAsia="zh-CN"/>
              </w:rPr>
              <w:t>2、高速快门整体集成在屏蔽箱体中，包括准直口、快门、枢轴装置及电磁螺线管。开启时间≤30ms</w:t>
            </w:r>
            <w:r>
              <w:rPr>
                <w:rFonts w:hint="eastAsia" w:ascii="宋体" w:hAnsi="宋体" w:eastAsia="宋体" w:cs="宋体"/>
                <w:lang w:val="en-US" w:eastAsia="zh-CN"/>
              </w:rPr>
              <w:br w:type="textWrapping"/>
            </w:r>
            <w:r>
              <w:rPr>
                <w:rFonts w:hint="eastAsia" w:ascii="宋体" w:hAnsi="宋体" w:eastAsia="宋体" w:cs="宋体"/>
                <w:lang w:val="en-US" w:eastAsia="zh-CN"/>
              </w:rPr>
              <w:t>3、过滤盘采用铝材料，直径800mm，安装在屏蔽箱体的前面。装载特定过滤片孔位，直径为70mm，误差±1mm，每个孔位可以叠加装载多组过滤片，过滤片总厚度为15mm。通过电动机皮带轮转动过滤盘，定位精确度≦0.2 mm。</w:t>
            </w:r>
            <w:r>
              <w:rPr>
                <w:rFonts w:hint="eastAsia" w:ascii="宋体" w:hAnsi="宋体" w:eastAsia="宋体" w:cs="宋体"/>
                <w:lang w:val="en-US" w:eastAsia="zh-CN"/>
              </w:rPr>
              <w:br w:type="textWrapping"/>
            </w:r>
            <w:r>
              <w:rPr>
                <w:rFonts w:hint="eastAsia" w:ascii="宋体" w:hAnsi="宋体" w:eastAsia="宋体" w:cs="宋体"/>
                <w:lang w:val="en-US" w:eastAsia="zh-CN"/>
              </w:rPr>
              <w:t>4、过滤片纯度≧99.9%，过滤片厚度误差±5%，外观平整、光洁、无裂痕和砂眼</w:t>
            </w:r>
            <w:r>
              <w:rPr>
                <w:rFonts w:hint="eastAsia" w:ascii="宋体" w:hAnsi="宋体" w:eastAsia="宋体" w:cs="宋体"/>
                <w:lang w:val="en-US" w:eastAsia="zh-CN"/>
              </w:rPr>
              <w:br w:type="textWrapping"/>
            </w:r>
            <w:r>
              <w:rPr>
                <w:rFonts w:hint="eastAsia" w:ascii="宋体" w:hAnsi="宋体" w:eastAsia="宋体" w:cs="宋体"/>
                <w:lang w:val="en-US" w:eastAsia="zh-CN"/>
              </w:rPr>
              <w:t>5、三维定位系统：横向/纵向导轨材料为钢结构；直线轨道：为了确保平台准确地在辐照轨道上和在轨道上通过始终保持平行，直线轨道要求非常坚固和平滑；定位精度≦0.2mm</w:t>
            </w:r>
            <w:r>
              <w:rPr>
                <w:rFonts w:hint="eastAsia" w:ascii="宋体" w:hAnsi="宋体" w:eastAsia="宋体" w:cs="宋体"/>
                <w:lang w:val="en-US" w:eastAsia="zh-CN"/>
              </w:rPr>
              <w:br w:type="textWrapping"/>
            </w:r>
            <w:r>
              <w:rPr>
                <w:rFonts w:hint="eastAsia" w:ascii="宋体" w:hAnsi="宋体" w:eastAsia="宋体" w:cs="宋体"/>
                <w:lang w:val="en-US" w:eastAsia="zh-CN"/>
              </w:rPr>
              <w:t>6、激光准直：光斑形状：一字线、十字线；线宽：3米处线宽≤1.0mm；出光张角：10°～120°；直线度：≥1/5000</w:t>
            </w:r>
          </w:p>
          <w:p>
            <w:pPr>
              <w:numPr>
                <w:ilvl w:val="0"/>
                <w:numId w:val="0"/>
              </w:numPr>
              <w:bidi w:val="0"/>
              <w:rPr>
                <w:rFonts w:hint="eastAsia" w:ascii="宋体" w:hAnsi="宋体" w:eastAsia="宋体" w:cs="宋体"/>
                <w:lang w:val="en-US" w:eastAsia="zh-CN"/>
              </w:rPr>
            </w:pPr>
            <w:r>
              <w:rPr>
                <w:rFonts w:hint="eastAsia" w:ascii="宋体" w:hAnsi="宋体" w:eastAsia="宋体" w:cs="宋体"/>
                <w:b w:val="0"/>
                <w:bCs w:val="0"/>
                <w:snapToGrid/>
                <w:sz w:val="24"/>
                <w:szCs w:val="24"/>
                <w:lang w:val="en-US" w:eastAsia="zh-CN"/>
              </w:rPr>
              <w:t>★提供生产厂家及投标人《辐射安全许可证》正本及副本复印件（加盖生产厂家和投标人公章）。</w:t>
            </w:r>
          </w:p>
        </w:tc>
        <w:tc>
          <w:tcPr>
            <w:tcW w:w="0" w:type="auto"/>
            <w:tcBorders>
              <w:tl2br w:val="nil"/>
              <w:tr2bl w:val="nil"/>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bl>
    <w:p>
      <w:pPr>
        <w:bidi w:val="0"/>
        <w:rPr>
          <w:rFonts w:hint="eastAsia"/>
          <w:color w:val="auto"/>
          <w:highlight w:val="none"/>
          <w:lang w:val="en-US" w:eastAsia="zh-CN"/>
        </w:rPr>
      </w:pPr>
    </w:p>
    <w:p>
      <w:pPr>
        <w:bidi w:val="0"/>
        <w:rPr>
          <w:rFonts w:hint="eastAsia"/>
          <w:color w:val="auto"/>
          <w:highlight w:val="none"/>
          <w:lang w:val="en-US" w:eastAsia="zh-CN"/>
        </w:rPr>
        <w:sectPr>
          <w:footerReference r:id="rId3" w:type="default"/>
          <w:pgSz w:w="16838" w:h="11906" w:orient="landscape"/>
          <w:pgMar w:top="138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i w:val="0"/>
          <w:caps w:val="0"/>
          <w:color w:val="auto"/>
          <w:spacing w:val="8"/>
          <w:kern w:val="2"/>
          <w:sz w:val="24"/>
          <w:szCs w:val="24"/>
          <w:highlight w:val="none"/>
          <w:shd w:val="clear" w:fill="FFFFFF"/>
          <w:lang w:val="en-US" w:eastAsia="zh-CN" w:bidi="ar-SA"/>
        </w:rPr>
      </w:pPr>
      <w:bookmarkStart w:id="3" w:name="_Toc13903"/>
      <w:r>
        <w:rPr>
          <w:rFonts w:hint="eastAsia" w:ascii="宋体" w:hAnsi="宋体" w:eastAsia="宋体" w:cs="宋体"/>
          <w:b w:val="0"/>
          <w:i w:val="0"/>
          <w:caps w:val="0"/>
          <w:color w:val="auto"/>
          <w:spacing w:val="8"/>
          <w:kern w:val="2"/>
          <w:sz w:val="24"/>
          <w:szCs w:val="24"/>
          <w:highlight w:val="none"/>
          <w:shd w:val="clear" w:fill="FFFFFF"/>
          <w:lang w:val="en-US" w:eastAsia="zh-CN" w:bidi="ar-SA"/>
        </w:rPr>
        <w:t>标包</w:t>
      </w:r>
      <w:r>
        <w:rPr>
          <w:rFonts w:hint="eastAsia" w:ascii="宋体" w:hAnsi="宋体" w:cs="宋体"/>
          <w:b w:val="0"/>
          <w:i w:val="0"/>
          <w:caps w:val="0"/>
          <w:color w:val="auto"/>
          <w:spacing w:val="8"/>
          <w:kern w:val="2"/>
          <w:sz w:val="24"/>
          <w:szCs w:val="24"/>
          <w:highlight w:val="none"/>
          <w:shd w:val="clear" w:fill="FFFFFF"/>
          <w:lang w:val="en-US" w:eastAsia="zh-CN" w:bidi="ar-SA"/>
        </w:rPr>
        <w:t>4</w:t>
      </w:r>
      <w:r>
        <w:rPr>
          <w:rFonts w:hint="eastAsia" w:ascii="宋体" w:hAnsi="宋体" w:eastAsia="宋体" w:cs="宋体"/>
          <w:b w:val="0"/>
          <w:i w:val="0"/>
          <w:caps w:val="0"/>
          <w:color w:val="auto"/>
          <w:spacing w:val="8"/>
          <w:kern w:val="2"/>
          <w:sz w:val="24"/>
          <w:szCs w:val="24"/>
          <w:highlight w:val="none"/>
          <w:shd w:val="clear" w:fill="FFFFFF"/>
          <w:lang w:val="en-US" w:eastAsia="zh-CN" w:bidi="ar-SA"/>
        </w:rPr>
        <w:t>：零星设备</w:t>
      </w:r>
      <w:bookmarkEnd w:id="3"/>
    </w:p>
    <w:tbl>
      <w:tblPr>
        <w:tblStyle w:val="7"/>
        <w:tblW w:w="14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1124"/>
        <w:gridCol w:w="819"/>
        <w:gridCol w:w="1019"/>
        <w:gridCol w:w="1044"/>
        <w:gridCol w:w="9638"/>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45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标包</w:t>
            </w:r>
            <w:r>
              <w:rPr>
                <w:rFonts w:hint="eastAsia" w:ascii="宋体" w:hAnsi="宋体" w:cs="宋体"/>
                <w:b/>
                <w:bCs/>
                <w:i w:val="0"/>
                <w:iCs w:val="0"/>
                <w:color w:val="auto"/>
                <w:kern w:val="0"/>
                <w:sz w:val="24"/>
                <w:szCs w:val="24"/>
                <w:highlight w:val="none"/>
                <w:u w:val="none"/>
                <w:lang w:val="en-US" w:eastAsia="zh-CN" w:bidi="ar"/>
              </w:rPr>
              <w:t>4</w:t>
            </w:r>
            <w:r>
              <w:rPr>
                <w:rFonts w:hint="eastAsia" w:ascii="宋体" w:hAnsi="宋体" w:eastAsia="宋体" w:cs="宋体"/>
                <w:b/>
                <w:bCs/>
                <w:i w:val="0"/>
                <w:iCs w:val="0"/>
                <w:color w:val="auto"/>
                <w:kern w:val="0"/>
                <w:sz w:val="24"/>
                <w:szCs w:val="24"/>
                <w:highlight w:val="none"/>
                <w:u w:val="none"/>
                <w:lang w:val="en-US" w:eastAsia="zh-CN" w:bidi="ar"/>
              </w:rPr>
              <w:t>零星设备技术参数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设备名称</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数量（台）</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是否接受进口</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科室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技术参数</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稳压电源</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辐射安全实验楼</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额定容量：1000W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稳压范围：（单相120-300V）；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稳压精度：﹤±1%-2%。 总恢复时间：﹤10－90ms；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抗干扰能力：尖峰抑制（常模输入2KW尖峰信号，输出﹤40VP）；</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常模噪声抑制：&lt; 50dB；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功率因数COS∮≥0.95；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效率≥85%～92%；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输出波形失真﹤3%（含电网失真）；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配置形式：落地式（带脚轮）；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外形尺寸（长*宽*高）mm：425*300*485mm；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备注：尺寸和体积可浮动，可不完全一致。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除湿机</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辐射安全实验楼</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每天除湿量(L/D)： 90L/D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每小时除湿量(kg/h) ：3.75kg/h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适用面积(㎡)： 150-200㎡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最大功率(W)： 1600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电源(V)： 220V-50hz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排水方式： 直排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机器尺寸： 500-400-1025 (长*宽*高) (mm)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备注：尺寸和体积可浮动，可不完全一致。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热水器、冲淋装置</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结核病实验室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1、加热体材质：钼金；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2、内胆材质：金刚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3、加热功率：2200W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4、产品净重：21kg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5、加热方式：单管加热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6、防水等级：IPX4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7：电压/频率：220V/50Hz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8、毛重：24kg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9、最大容积：60L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10、产品尺寸：长755mm；宽430mm；高470mm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11、配套淋浴头、接水管、喷头底座、下水水龙头等配件。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12、包安装、调试。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4"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洗衣机</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结核病实验室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1、洗涤方式：滚筒式；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2、自动化程度：全自动；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3、单桶结构；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4、容量8Kg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5、能效一级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4"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微波炉</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结核病实验室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1、易清洁；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2、快速解冻，快速加热；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3、能效一级；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4、容量20L；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5、侧开门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1"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UPS不间断电源</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结核病实验室、艾滋病实验室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1、额定容量：2400W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2、输入电压：（115-300VAC）；</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3、输入频率：40-70Hz；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4、输出电压：220x（1±2%）VAC（电池模式下）；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5、输出频率：50Hz±0.05Hz（电池模式下）；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6、LED显示屏：负载指示灯、电池供电指示灯、UPS运行状况指示灯等；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7、电池备用时间：≥2小时、电池充电时间：5小时回冲至90%；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8、电池容量及数量：12V/65AH×8只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9、要求UPS主机中的功率板采用涂敷三防漆工艺，具有防潮、防尘、防漏电、防腐蚀、防锈、防盐雾、防震、防老化、绝缘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10、耐电晕等性能；投标时须提供由厂家出具的满足上述要求的技术证明文件（不限于对工艺流程、检验标准等做详细描述），并加盖厂家公章。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UPS主机须满足YD/T1095-2018《通信用交流不间断电源（UPS）》标准要求，提供本项目UPS主机同型号的认证证书复印件，并加盖厂家公章；提供本项目UPS主机同系列（送样UPS规格应不小于3kVA，不大于10kVA）的检验报告复印件，并加盖厂家公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▲12、UPS主机须满足CQC3108-2011《不间断电源节能认证技术规范》标准要求，提供本项目UPS主机同型号、同规格的中国节能产品认证证书及中国节能产品认证试验报告复印件，并加盖厂家公章。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▲13、UPS主机须满足GB/T 2423《电工电子产品基本环境试验规程》标准要求, 提供本项目UPS主机同型号、同规格的高低温检测报告复印件，并加盖厂家公章。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14、应具备直流冷启动功能：UPS主机在没有接入市电时，可通过蓄电池组直接开机。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15、应具备无电池开机功能：UPS主机在没有接入电池组或者电池组故障时，可直接通过市电直接开机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热水器、冲淋装置</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艾滋病实验室、毒理室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加热体材质：钼金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内胆材质：金刚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加热功率：2200W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产品净重：21kg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加热方式：单管加热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防水等级：IPX4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电压/频率：220V/50Hz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毛重：约24kg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最大容积：60L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产品尺寸：约长755mm；宽430mm；高470mm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8"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扫描仪</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艾滋病实验室</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Win11/10/8/7</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产品净重（kg）3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包装清单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高拍仪×1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扫描速度：1秒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像素：1800万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最大幅面：A3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产品尺寸：337.5*480*470mm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r>
    </w:tbl>
    <w:p>
      <w:pPr>
        <w:bidi w:val="0"/>
        <w:rPr>
          <w:rFonts w:hint="eastAsia"/>
          <w:color w:val="auto"/>
          <w:highlight w:val="none"/>
          <w:lang w:val="en-US" w:eastAsia="zh-CN"/>
        </w:rPr>
      </w:pPr>
    </w:p>
    <w:p>
      <w:pPr>
        <w:numPr>
          <w:ilvl w:val="0"/>
          <w:numId w:val="4"/>
        </w:numPr>
        <w:snapToGrid w:val="0"/>
        <w:spacing w:afterLines="50" w:line="360" w:lineRule="auto"/>
        <w:rPr>
          <w:rFonts w:hint="eastAsia" w:ascii="Times New Roman" w:hAnsi="Times New Roman" w:eastAsia="宋体" w:cs="Times New Roman"/>
          <w:b/>
          <w:bCs/>
          <w:color w:val="auto"/>
          <w:sz w:val="24"/>
          <w:szCs w:val="24"/>
          <w:highlight w:val="none"/>
          <w:lang w:val="en-US" w:eastAsia="zh-CN"/>
        </w:rPr>
        <w:sectPr>
          <w:footerReference r:id="rId4" w:type="default"/>
          <w:pgSz w:w="16838" w:h="11906" w:orient="landscape"/>
          <w:pgMar w:top="1043" w:right="1440" w:bottom="783"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afterLines="50" w:line="360" w:lineRule="auto"/>
        <w:textAlignment w:val="auto"/>
        <w:outlineLvl w:val="1"/>
        <w:rPr>
          <w:rFonts w:hint="eastAsia" w:ascii="Times New Roman" w:hAnsi="Times New Roman" w:eastAsia="宋体" w:cs="Times New Roman"/>
          <w:b/>
          <w:bCs/>
          <w:color w:val="auto"/>
          <w:sz w:val="24"/>
          <w:szCs w:val="24"/>
          <w:highlight w:val="none"/>
          <w:lang w:val="en-US" w:eastAsia="zh-CN"/>
        </w:rPr>
      </w:pPr>
      <w:bookmarkStart w:id="4" w:name="_Toc25728"/>
      <w:r>
        <w:rPr>
          <w:rFonts w:hint="eastAsia" w:ascii="Times New Roman" w:hAnsi="Times New Roman" w:eastAsia="宋体" w:cs="Times New Roman"/>
          <w:b/>
          <w:bCs/>
          <w:color w:val="auto"/>
          <w:sz w:val="24"/>
          <w:szCs w:val="24"/>
          <w:highlight w:val="none"/>
          <w:lang w:val="en-US" w:eastAsia="zh-CN"/>
        </w:rPr>
        <w:t>三、验收要求</w:t>
      </w:r>
      <w:bookmarkEnd w:id="4"/>
    </w:p>
    <w:p>
      <w:pPr>
        <w:pStyle w:val="4"/>
        <w:numPr>
          <w:ilvl w:val="0"/>
          <w:numId w:val="0"/>
        </w:numPr>
        <w:spacing w:line="360" w:lineRule="auto"/>
        <w:rPr>
          <w:rFonts w:hint="default"/>
          <w:color w:val="auto"/>
          <w:sz w:val="24"/>
          <w:szCs w:val="24"/>
          <w:highlight w:val="none"/>
          <w:lang w:val="en-US" w:eastAsia="zh-CN"/>
        </w:rPr>
      </w:pPr>
      <w:r>
        <w:rPr>
          <w:rFonts w:hint="default"/>
          <w:color w:val="auto"/>
          <w:sz w:val="24"/>
          <w:szCs w:val="24"/>
          <w:highlight w:val="none"/>
          <w:lang w:val="en-US" w:eastAsia="zh-CN"/>
        </w:rPr>
        <w:t>1.采购人应及时组织验收工作。验收时，中标人代表必须在场。采购人将对货物的质量、规格和数量进行检验，并出具验收意见。验收标准除中标人投标文件所响应的质量、规格和数量外，可溯源到国家、行业相关标准。验收后，中标人可在 7 个工作日内提出书面验收异议，否则，视为同意验收意见。</w:t>
      </w:r>
    </w:p>
    <w:p>
      <w:pPr>
        <w:pStyle w:val="4"/>
        <w:numPr>
          <w:ilvl w:val="0"/>
          <w:numId w:val="0"/>
        </w:numPr>
        <w:spacing w:line="360" w:lineRule="auto"/>
        <w:rPr>
          <w:rFonts w:hint="default"/>
          <w:color w:val="auto"/>
          <w:sz w:val="24"/>
          <w:szCs w:val="24"/>
          <w:highlight w:val="none"/>
          <w:lang w:val="en-US" w:eastAsia="zh-CN"/>
        </w:rPr>
      </w:pPr>
      <w:r>
        <w:rPr>
          <w:rFonts w:hint="default"/>
          <w:color w:val="auto"/>
          <w:sz w:val="24"/>
          <w:szCs w:val="24"/>
          <w:highlight w:val="none"/>
          <w:lang w:val="en-US" w:eastAsia="zh-CN"/>
        </w:rPr>
        <w:t>2.采购人有权邀请第三方机构参与验收。</w:t>
      </w:r>
    </w:p>
    <w:p>
      <w:pPr>
        <w:pStyle w:val="4"/>
        <w:numPr>
          <w:ilvl w:val="0"/>
          <w:numId w:val="0"/>
        </w:numPr>
        <w:spacing w:line="360" w:lineRule="auto"/>
        <w:rPr>
          <w:rFonts w:hint="default"/>
          <w:color w:val="auto"/>
          <w:sz w:val="24"/>
          <w:szCs w:val="24"/>
          <w:highlight w:val="none"/>
          <w:lang w:val="en-US" w:eastAsia="zh-CN"/>
        </w:rPr>
      </w:pPr>
      <w:r>
        <w:rPr>
          <w:rFonts w:hint="default"/>
          <w:color w:val="auto"/>
          <w:sz w:val="24"/>
          <w:szCs w:val="24"/>
          <w:highlight w:val="none"/>
          <w:lang w:val="en-US" w:eastAsia="zh-CN"/>
        </w:rPr>
        <w:t>3.如设备的规格或质量、规格或性能与合同不符，或设备存在缺陷，中标人应接到采购人书面通知后7日内按合同确定的质量、规格或性能予以更换，由此产生的一切费用及给采购人造成的一切损失由中标人承担。同时相应延长质量保证期。</w:t>
      </w:r>
    </w:p>
    <w:p>
      <w:pPr>
        <w:pStyle w:val="4"/>
        <w:numPr>
          <w:ilvl w:val="0"/>
          <w:numId w:val="0"/>
        </w:numPr>
        <w:spacing w:line="360" w:lineRule="auto"/>
        <w:rPr>
          <w:rFonts w:hint="default"/>
          <w:color w:val="auto"/>
          <w:sz w:val="24"/>
          <w:szCs w:val="24"/>
          <w:highlight w:val="none"/>
          <w:lang w:val="en-US" w:eastAsia="zh-CN"/>
        </w:rPr>
      </w:pPr>
      <w:r>
        <w:rPr>
          <w:rFonts w:hint="default"/>
          <w:color w:val="auto"/>
          <w:sz w:val="24"/>
          <w:szCs w:val="24"/>
          <w:highlight w:val="none"/>
          <w:lang w:val="en-US" w:eastAsia="zh-CN"/>
        </w:rPr>
        <w:t>4.如因质量、规格或性能问题，中标人未按第3条的约定处理，采购人有权要求中标人退货，中标人必须按合同约定的货款并加算银行同期贷款利息，退款给采购人；并承担由退货给采购人造成的损失。</w:t>
      </w:r>
    </w:p>
    <w:p>
      <w:pPr>
        <w:pStyle w:val="4"/>
        <w:numPr>
          <w:ilvl w:val="0"/>
          <w:numId w:val="0"/>
        </w:numPr>
        <w:spacing w:line="360" w:lineRule="auto"/>
        <w:rPr>
          <w:rFonts w:hint="default"/>
          <w:color w:val="auto"/>
          <w:sz w:val="24"/>
          <w:szCs w:val="24"/>
          <w:highlight w:val="none"/>
          <w:lang w:val="en-US" w:eastAsia="zh-CN"/>
        </w:rPr>
      </w:pPr>
      <w:r>
        <w:rPr>
          <w:rFonts w:hint="default"/>
          <w:color w:val="auto"/>
          <w:sz w:val="24"/>
          <w:szCs w:val="24"/>
          <w:highlight w:val="none"/>
          <w:lang w:val="en-US" w:eastAsia="zh-CN"/>
        </w:rPr>
        <w:t>5.如因设备的质量问题发生纠纷，应由国家质检部门进行质量鉴定。如鉴定结果证明中标人所供货物存在质量问题，费用由中标人承担。否则，由采购人承担。</w:t>
      </w:r>
    </w:p>
    <w:p>
      <w:pPr>
        <w:numPr>
          <w:ilvl w:val="0"/>
          <w:numId w:val="0"/>
        </w:numPr>
        <w:snapToGrid w:val="0"/>
        <w:spacing w:afterLines="50" w:line="360" w:lineRule="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afterLines="50" w:line="360" w:lineRule="auto"/>
        <w:textAlignment w:val="auto"/>
        <w:outlineLvl w:val="1"/>
        <w:rPr>
          <w:rFonts w:hint="eastAsia" w:ascii="Times New Roman" w:hAnsi="Times New Roman" w:eastAsia="宋体" w:cs="Times New Roman"/>
          <w:b/>
          <w:bCs/>
          <w:color w:val="auto"/>
          <w:sz w:val="24"/>
          <w:szCs w:val="24"/>
          <w:highlight w:val="none"/>
          <w:lang w:val="en-US" w:eastAsia="zh-CN"/>
        </w:rPr>
      </w:pPr>
      <w:bookmarkStart w:id="5" w:name="_Toc14835"/>
      <w:r>
        <w:rPr>
          <w:rFonts w:hint="eastAsia" w:ascii="Times New Roman" w:hAnsi="Times New Roman" w:eastAsia="宋体" w:cs="Times New Roman"/>
          <w:b/>
          <w:bCs/>
          <w:color w:val="auto"/>
          <w:sz w:val="24"/>
          <w:szCs w:val="24"/>
          <w:highlight w:val="none"/>
          <w:lang w:val="en-US" w:eastAsia="zh-CN"/>
        </w:rPr>
        <w:t>四、其他要求</w:t>
      </w:r>
      <w:bookmarkEnd w:id="5"/>
    </w:p>
    <w:p>
      <w:pPr>
        <w:numPr>
          <w:ilvl w:val="0"/>
          <w:numId w:val="0"/>
        </w:numPr>
        <w:snapToGrid w:val="0"/>
        <w:spacing w:afterLines="50" w:line="360" w:lineRule="auto"/>
        <w:rPr>
          <w:color w:val="auto"/>
          <w:sz w:val="24"/>
          <w:szCs w:val="24"/>
          <w:highlight w:val="none"/>
        </w:rPr>
      </w:pPr>
      <w:r>
        <w:rPr>
          <w:rFonts w:hint="eastAsia" w:ascii="宋体" w:hAnsi="宋体" w:eastAsia="宋体" w:cs="宋体"/>
          <w:color w:val="auto"/>
          <w:sz w:val="24"/>
          <w:szCs w:val="24"/>
          <w:highlight w:val="none"/>
          <w:lang w:val="en-US" w:eastAsia="zh-CN"/>
        </w:rPr>
        <w:t>★标包</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 xml:space="preserve"> 零星设备中热水器属于政府强制采购节能产品，提供所投产品有效的节能产品认证证书（复印件加盖供应商公章）为实质性要求，不满足的将作为无效投标处理（或者无效响应处理）</w:t>
      </w:r>
    </w:p>
    <w:p>
      <w:pPr>
        <w:numPr>
          <w:ilvl w:val="0"/>
          <w:numId w:val="0"/>
        </w:numPr>
        <w:jc w:val="both"/>
        <w:rPr>
          <w:rFonts w:hint="eastAsia" w:ascii="宋体" w:hAnsi="宋体" w:eastAsia="宋体" w:cs="宋体"/>
          <w:b/>
          <w:sz w:val="24"/>
          <w:szCs w:val="24"/>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0566E"/>
    <w:multiLevelType w:val="singleLevel"/>
    <w:tmpl w:val="CFC0566E"/>
    <w:lvl w:ilvl="0" w:tentative="0">
      <w:start w:val="3"/>
      <w:numFmt w:val="chineseCounting"/>
      <w:suff w:val="space"/>
      <w:lvlText w:val="第%1章"/>
      <w:lvlJc w:val="left"/>
      <w:rPr>
        <w:rFonts w:hint="eastAsia"/>
      </w:rPr>
    </w:lvl>
  </w:abstractNum>
  <w:abstractNum w:abstractNumId="1">
    <w:nsid w:val="D2366654"/>
    <w:multiLevelType w:val="singleLevel"/>
    <w:tmpl w:val="D2366654"/>
    <w:lvl w:ilvl="0" w:tentative="0">
      <w:start w:val="1"/>
      <w:numFmt w:val="decimal"/>
      <w:suff w:val="nothing"/>
      <w:lvlText w:val="%1、"/>
      <w:lvlJc w:val="left"/>
    </w:lvl>
  </w:abstractNum>
  <w:abstractNum w:abstractNumId="2">
    <w:nsid w:val="5F9086AE"/>
    <w:multiLevelType w:val="singleLevel"/>
    <w:tmpl w:val="5F9086AE"/>
    <w:lvl w:ilvl="0" w:tentative="0">
      <w:start w:val="1"/>
      <w:numFmt w:val="decimal"/>
      <w:suff w:val="nothing"/>
      <w:lvlText w:val="%1、"/>
      <w:lvlJc w:val="left"/>
    </w:lvl>
  </w:abstractNum>
  <w:abstractNum w:abstractNumId="3">
    <w:nsid w:val="663FFB86"/>
    <w:multiLevelType w:val="singleLevel"/>
    <w:tmpl w:val="663FFB86"/>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2MTM2YWU0MjIwZjhmNjFiYzlhNTgwNjliOGQ1YTUifQ=="/>
  </w:docVars>
  <w:rsids>
    <w:rsidRoot w:val="00E66600"/>
    <w:rsid w:val="00154DB9"/>
    <w:rsid w:val="003C5449"/>
    <w:rsid w:val="004807A0"/>
    <w:rsid w:val="006553CA"/>
    <w:rsid w:val="00A66C1A"/>
    <w:rsid w:val="00E66600"/>
    <w:rsid w:val="00F851E8"/>
    <w:rsid w:val="00FA257C"/>
    <w:rsid w:val="3E5506D5"/>
    <w:rsid w:val="441C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next w:val="1"/>
    <w:qFormat/>
    <w:uiPriority w:val="0"/>
    <w:pPr>
      <w:spacing w:line="360" w:lineRule="auto"/>
    </w:pPr>
    <w:rPr>
      <w:rFonts w:ascii="Times New Roman" w:hAnsi="Times New Roman"/>
      <w:kern w:val="2"/>
      <w:sz w:val="21"/>
      <w:szCs w:val="24"/>
    </w:r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Body Text First Indent"/>
    <w:basedOn w:val="3"/>
    <w:next w:val="1"/>
    <w:qFormat/>
    <w:uiPriority w:val="0"/>
    <w:pPr>
      <w:widowControl/>
      <w:ind w:firstLine="420" w:firstLineChars="100"/>
      <w:jc w:val="left"/>
    </w:pPr>
    <w:rPr>
      <w:kern w:val="0"/>
      <w:sz w:val="24"/>
    </w:rPr>
  </w:style>
  <w:style w:type="character" w:customStyle="1" w:styleId="9">
    <w:name w:val="页眉 字符"/>
    <w:basedOn w:val="8"/>
    <w:link w:val="2"/>
    <w:uiPriority w:val="99"/>
    <w:rPr>
      <w:sz w:val="18"/>
      <w:szCs w:val="18"/>
    </w:rPr>
  </w:style>
  <w:style w:type="character" w:customStyle="1" w:styleId="10">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Words>
  <Characters>8</Characters>
  <Lines>1</Lines>
  <Paragraphs>1</Paragraphs>
  <TotalTime>0</TotalTime>
  <ScaleCrop>false</ScaleCrop>
  <LinksUpToDate>false</LinksUpToDate>
  <CharactersWithSpaces>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WPS_1668583557</cp:lastModifiedBy>
  <dcterms:modified xsi:type="dcterms:W3CDTF">2023-10-10T09:06:24Z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4903C239DD924D18902010C2DBB129CB_12</vt:lpwstr>
  </property>
</Properties>
</file>