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left" w:pos="1800"/>
        </w:tabs>
        <w:spacing w:before="60" w:after="0" w:line="417" w:lineRule="auto"/>
        <w:ind w:right="697" w:rightChars="0" w:firstLine="562" w:firstLineChars="200"/>
        <w:jc w:val="center"/>
        <w:outlineLvl w:val="0"/>
        <w:rPr>
          <w:rFonts w:hint="default" w:cstheme="minorBidi"/>
          <w:b/>
          <w:bCs/>
          <w:color w:val="auto"/>
          <w:kern w:val="2"/>
          <w:sz w:val="28"/>
          <w:szCs w:val="36"/>
          <w:lang w:val="en-US" w:eastAsia="zh-CN" w:bidi="ar-SA"/>
        </w:rPr>
      </w:pPr>
      <w:bookmarkStart w:id="0" w:name="_Toc13924"/>
      <w:r>
        <w:rPr>
          <w:rFonts w:hint="default" w:cstheme="minorBidi"/>
          <w:b/>
          <w:bCs/>
          <w:color w:val="auto"/>
          <w:kern w:val="2"/>
          <w:sz w:val="28"/>
          <w:szCs w:val="36"/>
          <w:lang w:val="en-US" w:eastAsia="zh-CN" w:bidi="ar-SA"/>
        </w:rPr>
        <w:t>第三章 采购需求</w:t>
      </w:r>
      <w:bookmarkEnd w:id="0"/>
    </w:p>
    <w:p>
      <w:pPr>
        <w:pStyle w:val="4"/>
        <w:numPr>
          <w:ilvl w:val="0"/>
          <w:numId w:val="0"/>
        </w:numPr>
        <w:tabs>
          <w:tab w:val="left" w:pos="1800"/>
        </w:tabs>
        <w:spacing w:before="60" w:after="0" w:line="360" w:lineRule="auto"/>
        <w:ind w:right="-92" w:rightChars="-44" w:firstLine="420" w:firstLineChars="200"/>
        <w:jc w:val="both"/>
        <w:rPr>
          <w:rFonts w:hint="eastAsia" w:cs="Times New Roman"/>
          <w:color w:val="auto"/>
          <w:kern w:val="2"/>
          <w:sz w:val="21"/>
          <w:szCs w:val="24"/>
          <w:lang w:val="en-US" w:eastAsia="zh-CN" w:bidi="ar-SA"/>
        </w:rPr>
      </w:pPr>
      <w:r>
        <w:rPr>
          <w:rFonts w:hint="eastAsia" w:ascii="宋体" w:hAnsi="宋体" w:eastAsia="宋体" w:cs="宋体"/>
          <w:color w:val="auto"/>
          <w:sz w:val="21"/>
          <w:szCs w:val="21"/>
          <w:highlight w:val="none"/>
        </w:rPr>
        <w:t>★</w:t>
      </w:r>
      <w:r>
        <w:rPr>
          <w:rFonts w:hint="eastAsia" w:cs="Times New Roman"/>
          <w:color w:val="auto"/>
          <w:kern w:val="2"/>
          <w:sz w:val="21"/>
          <w:szCs w:val="24"/>
          <w:lang w:val="en-US" w:eastAsia="zh-CN" w:bidi="ar-SA"/>
        </w:rPr>
        <w:t>本项目的采购需求，是指采购人（或购买主体）为实现项目目标，拟采购的标的及其需要满足的技术、商务要求。技术要求是指对采购标的的功能和质量要求，包括性能、材料、结构、外观、安全，或者服务内容和标准等。商务要求是指取得采购标的的时间、地点、财务和服务要求，包括交付（实施）的时间（期限）和地点（范围），付款条件（进度和方式），包装和运输，售后服务，保险等。</w:t>
      </w:r>
    </w:p>
    <w:p>
      <w:pPr>
        <w:pStyle w:val="4"/>
        <w:numPr>
          <w:ilvl w:val="0"/>
          <w:numId w:val="0"/>
        </w:numPr>
        <w:tabs>
          <w:tab w:val="left" w:pos="1800"/>
        </w:tabs>
        <w:spacing w:before="60" w:after="0" w:line="360" w:lineRule="auto"/>
        <w:ind w:right="-92" w:rightChars="-44" w:firstLine="420" w:firstLineChars="200"/>
        <w:jc w:val="both"/>
        <w:rPr>
          <w:rFonts w:hint="eastAsia" w:cs="Times New Roman"/>
          <w:color w:val="auto"/>
          <w:kern w:val="2"/>
          <w:sz w:val="21"/>
          <w:szCs w:val="24"/>
          <w:lang w:val="en-US" w:eastAsia="zh-CN" w:bidi="ar-SA"/>
        </w:rPr>
      </w:pPr>
      <w:r>
        <w:rPr>
          <w:rFonts w:hint="eastAsia" w:ascii="宋体" w:hAnsi="宋体" w:eastAsia="宋体" w:cs="宋体"/>
          <w:color w:val="auto"/>
          <w:sz w:val="21"/>
          <w:szCs w:val="21"/>
          <w:highlight w:val="none"/>
        </w:rPr>
        <w:t>★</w:t>
      </w:r>
      <w:r>
        <w:rPr>
          <w:rFonts w:hint="eastAsia" w:cs="Times New Roman"/>
          <w:color w:val="auto"/>
          <w:kern w:val="2"/>
          <w:sz w:val="21"/>
          <w:szCs w:val="24"/>
          <w:lang w:val="en-US" w:eastAsia="zh-CN" w:bidi="ar-SA"/>
        </w:rPr>
        <w:t>采购人（或购买主体）遵循预算、资产和财务等相关管理制度规定，结合采购项目特点和实际需要并依据部门预算（工程项目概预算）确定采购需求，采购需求可以直接引用相关国家标准、行业标准、地方标准等标准、规范，也可以根据项目目标提出更高的技术要求。</w:t>
      </w:r>
    </w:p>
    <w:p>
      <w:pPr>
        <w:keepNext w:val="0"/>
        <w:keepLines w:val="0"/>
        <w:pageBreakBefore w:val="0"/>
        <w:numPr>
          <w:ilvl w:val="0"/>
          <w:numId w:val="0"/>
        </w:numPr>
        <w:kinsoku/>
        <w:wordWrap/>
        <w:overflowPunct/>
        <w:topLinePunct w:val="0"/>
        <w:autoSpaceDE/>
        <w:autoSpaceDN/>
        <w:bidi w:val="0"/>
        <w:adjustRightInd/>
        <w:snapToGrid/>
        <w:spacing w:before="7" w:line="360" w:lineRule="auto"/>
        <w:ind w:left="0" w:leftChars="0" w:right="568" w:rightChars="0" w:firstLine="420" w:firstLineChars="200"/>
        <w:jc w:val="both"/>
        <w:textAlignment w:val="auto"/>
        <w:rPr>
          <w:rFonts w:hint="eastAsia" w:ascii="宋体" w:hAnsi="宋体" w:eastAsia="宋体" w:cs="宋体"/>
          <w:b/>
          <w:color w:val="auto"/>
          <w:kern w:val="0"/>
          <w:sz w:val="21"/>
          <w:szCs w:val="21"/>
          <w:lang w:eastAsia="zh-CN"/>
        </w:rPr>
      </w:pPr>
      <w:r>
        <w:rPr>
          <w:rFonts w:hint="eastAsia" w:ascii="宋体" w:hAnsi="宋体" w:eastAsia="宋体" w:cs="宋体"/>
          <w:color w:val="auto"/>
          <w:sz w:val="21"/>
          <w:szCs w:val="21"/>
          <w:highlight w:val="none"/>
        </w:rPr>
        <w:t>★</w:t>
      </w:r>
      <w:r>
        <w:rPr>
          <w:rFonts w:hint="eastAsia" w:ascii="宋体" w:hAnsi="宋体" w:eastAsia="宋体" w:cs="宋体"/>
          <w:b/>
          <w:color w:val="auto"/>
          <w:kern w:val="0"/>
          <w:sz w:val="21"/>
          <w:szCs w:val="21"/>
          <w:lang w:eastAsia="zh-CN"/>
        </w:rPr>
        <w:t>一、采购的目的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imes New Roman" w:asciiTheme="minorHAnsi" w:hAnsiTheme="minorHAnsi" w:eastAsiaTheme="minorEastAsia"/>
          <w:color w:val="auto"/>
          <w:kern w:val="2"/>
          <w:sz w:val="21"/>
          <w:szCs w:val="24"/>
          <w:lang w:val="en-US" w:eastAsia="zh-CN" w:bidi="ar-SA"/>
        </w:rPr>
      </w:pPr>
      <w:r>
        <w:rPr>
          <w:rFonts w:hint="eastAsia" w:cs="Times New Roman" w:asciiTheme="minorHAnsi" w:hAnsiTheme="minorHAnsi" w:eastAsiaTheme="minorEastAsia"/>
          <w:color w:val="auto"/>
          <w:kern w:val="2"/>
          <w:sz w:val="21"/>
          <w:szCs w:val="24"/>
          <w:lang w:val="en-US" w:eastAsia="zh-CN" w:bidi="ar-SA"/>
        </w:rPr>
        <w:t>历史是最好的教科书，加强中共海南地方组织的研究对正确认识党情、国情十分必要，对开创未来意义重大。党的十八大以来，习近平总书记就学习中共党史、新中国史、改革开放史、社会主义发展史作出一系列重要论述。2026年，中共海南地方组织将迎来诞生100周年。近百年来，海南人民在中共海南地方组织的领导下不但取得了新民主主义革命的伟大胜利，而且取得了社会主义革命、建设和改革开放的伟大胜利，在新时代中国特色社会主义自由贸易港建设的伟大实践中也积累了丰富的经验。《中国共产党海南历史研究丛书》旨在以科学严谨的态度打造一个历史研究平台，通过审视中国共产党海南地方组织创建100周年历程，对中国共产党领导海南人民为了中华民族伟大解放和伟大复兴的奋斗历程和光辉业绩进行一次全景式回顾。在拓宽海南党史研究深度和广度的同时，增强人们对琼崖革命地位和作用的认识，加强对中共海南地方历史的学习、研究和宣传，为助力中国特色自由贸易港建设事业添砖加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imes New Roman" w:asciiTheme="minorHAnsi" w:hAnsiTheme="minorHAnsi" w:eastAsiaTheme="minorEastAsia"/>
          <w:color w:val="auto"/>
          <w:kern w:val="2"/>
          <w:sz w:val="21"/>
          <w:szCs w:val="24"/>
          <w:lang w:val="en-US" w:eastAsia="zh-CN" w:bidi="ar-SA"/>
        </w:rPr>
      </w:pPr>
      <w:r>
        <w:rPr>
          <w:rFonts w:hint="eastAsia" w:cs="Times New Roman" w:asciiTheme="minorHAnsi" w:hAnsiTheme="minorHAnsi" w:eastAsiaTheme="minorEastAsia"/>
          <w:color w:val="auto"/>
          <w:kern w:val="2"/>
          <w:sz w:val="21"/>
          <w:szCs w:val="24"/>
          <w:lang w:val="en-US" w:eastAsia="zh-CN" w:bidi="ar-SA"/>
        </w:rPr>
        <w:t>政府采购应当有助于实现国家的经济和社会发展政策目标、实现项目绩效目标，采购人（或购买主体）通过确定供应商资格条件、设定评审规则等措施，落实支持创新、绿色发展、中小企业发展等政府采购政策功能。</w:t>
      </w:r>
    </w:p>
    <w:p>
      <w:pPr>
        <w:keepNext w:val="0"/>
        <w:keepLines w:val="0"/>
        <w:pageBreakBefore w:val="0"/>
        <w:numPr>
          <w:ilvl w:val="0"/>
          <w:numId w:val="0"/>
        </w:numPr>
        <w:kinsoku/>
        <w:wordWrap/>
        <w:overflowPunct/>
        <w:topLinePunct w:val="0"/>
        <w:autoSpaceDE/>
        <w:autoSpaceDN/>
        <w:bidi w:val="0"/>
        <w:adjustRightInd/>
        <w:snapToGrid/>
        <w:spacing w:before="7" w:line="360" w:lineRule="auto"/>
        <w:ind w:left="0" w:leftChars="0" w:right="568" w:rightChars="0" w:firstLine="420" w:firstLineChars="200"/>
        <w:jc w:val="both"/>
        <w:textAlignment w:val="auto"/>
        <w:rPr>
          <w:rFonts w:hint="default"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lang w:eastAsia="zh-CN"/>
        </w:rPr>
        <w:t>本项目采购标的对应的中小企业划分标准所属行业：</w:t>
      </w:r>
      <w:r>
        <w:rPr>
          <w:rFonts w:hint="eastAsia" w:ascii="宋体" w:hAnsi="宋体" w:eastAsia="宋体" w:cs="宋体"/>
          <w:b w:val="0"/>
          <w:bCs/>
          <w:color w:val="auto"/>
          <w:sz w:val="21"/>
          <w:szCs w:val="21"/>
          <w:highlight w:val="none"/>
          <w:u w:val="single"/>
          <w:lang w:val="en-US" w:eastAsia="zh-CN"/>
        </w:rPr>
        <w:t xml:space="preserve"> 文化、体育和娱乐业 </w:t>
      </w:r>
      <w:r>
        <w:rPr>
          <w:rFonts w:hint="eastAsia" w:ascii="宋体" w:hAnsi="宋体" w:eastAsia="宋体" w:cs="宋体"/>
          <w:b w:val="0"/>
          <w:bCs/>
          <w:color w:val="auto"/>
          <w:sz w:val="21"/>
          <w:szCs w:val="21"/>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line="360" w:lineRule="auto"/>
        <w:ind w:right="577" w:rightChars="0"/>
        <w:jc w:val="both"/>
        <w:textAlignment w:val="auto"/>
        <w:outlineLvl w:val="1"/>
        <w:rPr>
          <w:rFonts w:hint="eastAsia" w:ascii="宋体" w:hAnsi="宋体" w:eastAsia="宋体" w:cs="宋体"/>
          <w:b/>
          <w:color w:val="auto"/>
          <w:sz w:val="21"/>
          <w:szCs w:val="21"/>
        </w:rPr>
      </w:pPr>
      <w:bookmarkStart w:id="1" w:name="_Toc26103"/>
      <w:bookmarkStart w:id="2" w:name="_Toc29103"/>
      <w:bookmarkStart w:id="3" w:name="_Toc10671"/>
      <w:r>
        <w:rPr>
          <w:rFonts w:hint="eastAsia" w:ascii="宋体" w:hAnsi="宋体" w:eastAsia="宋体" w:cs="宋体"/>
          <w:b/>
          <w:color w:val="auto"/>
          <w:sz w:val="21"/>
          <w:szCs w:val="21"/>
          <w:lang w:eastAsia="zh-CN"/>
        </w:rPr>
        <w:t>二、</w:t>
      </w:r>
      <w:r>
        <w:rPr>
          <w:rFonts w:hint="eastAsia" w:ascii="宋体" w:hAnsi="宋体" w:eastAsia="宋体" w:cs="宋体"/>
          <w:b/>
          <w:color w:val="auto"/>
          <w:sz w:val="21"/>
          <w:szCs w:val="21"/>
        </w:rPr>
        <w:t>采购清单（</w:t>
      </w:r>
      <w:r>
        <w:rPr>
          <w:rFonts w:hint="eastAsia" w:ascii="宋体" w:hAnsi="宋体" w:eastAsia="宋体" w:cs="宋体"/>
          <w:b/>
          <w:color w:val="auto"/>
          <w:sz w:val="21"/>
          <w:szCs w:val="21"/>
          <w:lang w:eastAsia="zh-CN"/>
        </w:rPr>
        <w:t>拟采购的标的及其需要满足的技术、商务要求</w:t>
      </w:r>
      <w:r>
        <w:rPr>
          <w:rFonts w:hint="eastAsia" w:ascii="宋体" w:hAnsi="宋体" w:eastAsia="宋体" w:cs="宋体"/>
          <w:b/>
          <w:color w:val="auto"/>
          <w:sz w:val="21"/>
          <w:szCs w:val="21"/>
        </w:rPr>
        <w:t>）</w:t>
      </w:r>
      <w:bookmarkEnd w:id="1"/>
      <w:bookmarkEnd w:id="2"/>
      <w:bookmarkEnd w:id="3"/>
    </w:p>
    <w:p>
      <w:pPr>
        <w:pStyle w:val="4"/>
        <w:numPr>
          <w:ilvl w:val="0"/>
          <w:numId w:val="0"/>
        </w:numPr>
        <w:tabs>
          <w:tab w:val="left" w:pos="1800"/>
        </w:tabs>
        <w:spacing w:before="60" w:after="0" w:line="417" w:lineRule="auto"/>
        <w:ind w:right="697" w:rightChars="0" w:firstLine="420" w:firstLineChars="200"/>
        <w:jc w:val="both"/>
        <w:rPr>
          <w:rFonts w:hint="default" w:cs="Times New Roman"/>
          <w:color w:val="auto"/>
          <w:kern w:val="2"/>
          <w:sz w:val="21"/>
          <w:szCs w:val="24"/>
          <w:lang w:val="en-US" w:eastAsia="zh-CN" w:bidi="ar-SA"/>
        </w:rPr>
      </w:pPr>
      <w:r>
        <w:rPr>
          <w:rFonts w:hint="eastAsia" w:cstheme="minorBidi"/>
          <w:color w:val="auto"/>
          <w:kern w:val="2"/>
          <w:sz w:val="21"/>
          <w:szCs w:val="24"/>
          <w:lang w:val="en-US" w:eastAsia="zh-CN" w:bidi="ar-SA"/>
        </w:rPr>
        <w:t>（一）</w:t>
      </w:r>
      <w:r>
        <w:rPr>
          <w:rFonts w:hint="eastAsia" w:cs="Times New Roman"/>
          <w:color w:val="auto"/>
          <w:kern w:val="2"/>
          <w:sz w:val="21"/>
          <w:szCs w:val="24"/>
          <w:lang w:val="en-US" w:eastAsia="zh-CN" w:bidi="ar-SA"/>
        </w:rPr>
        <w:t>本项目含编撰和印刷。</w:t>
      </w:r>
    </w:p>
    <w:p>
      <w:pPr>
        <w:pStyle w:val="4"/>
        <w:numPr>
          <w:ilvl w:val="0"/>
          <w:numId w:val="0"/>
        </w:numPr>
        <w:tabs>
          <w:tab w:val="left" w:pos="1800"/>
        </w:tabs>
        <w:spacing w:before="60" w:after="0" w:line="417" w:lineRule="auto"/>
        <w:ind w:right="697" w:rightChars="0" w:firstLine="420" w:firstLineChars="200"/>
        <w:jc w:val="both"/>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1、编撰要求：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国共产党海南历史研究丛书》编纂包括《马列主义在琼崖的传播研究》《中国共产党领导琼崖革命斗争研究》《琼崖地方党组织建设研究》《琼崖土地革命斗争研究》《琼崖抗日战争研究》《琼崖解放战争研究》《琼崖革命统一战线实践研究》《中国共产党与海南教育事业发展研究》《中国共产党与海南建省历史研究》《海南全面建成小康社会历史研究》等10本，以10本为一套。</w:t>
      </w:r>
    </w:p>
    <w:p>
      <w:pPr>
        <w:pStyle w:val="4"/>
        <w:numPr>
          <w:ilvl w:val="0"/>
          <w:numId w:val="0"/>
        </w:numPr>
        <w:tabs>
          <w:tab w:val="left" w:pos="1800"/>
        </w:tabs>
        <w:spacing w:before="60" w:after="0" w:line="417" w:lineRule="auto"/>
        <w:ind w:right="697" w:rightChars="0" w:firstLine="420" w:firstLineChars="200"/>
        <w:jc w:val="both"/>
        <w:rPr>
          <w:rFonts w:hint="default" w:cs="Times New Roman"/>
          <w:color w:val="auto"/>
          <w:kern w:val="2"/>
          <w:sz w:val="21"/>
          <w:szCs w:val="24"/>
          <w:lang w:val="en-US" w:eastAsia="zh-CN" w:bidi="ar-SA"/>
        </w:rPr>
      </w:pPr>
      <w:r>
        <w:rPr>
          <w:rFonts w:hint="eastAsia" w:cs="Times New Roman"/>
          <w:color w:val="auto"/>
          <w:kern w:val="2"/>
          <w:sz w:val="21"/>
          <w:szCs w:val="24"/>
          <w:lang w:val="en-US" w:eastAsia="zh-CN" w:bidi="ar-SA"/>
        </w:rPr>
        <w:t>2、印刷要求：</w:t>
      </w:r>
    </w:p>
    <w:tbl>
      <w:tblPr>
        <w:tblStyle w:val="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649"/>
        <w:gridCol w:w="3462"/>
        <w:gridCol w:w="10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6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346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规格标准及要求</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64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《中国共产党海南历史研究丛书》（第一批10个课题）</w:t>
            </w:r>
          </w:p>
        </w:tc>
        <w:tc>
          <w:tcPr>
            <w:tcW w:w="3462"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（1）开本：16K（180mm×256mm）；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（2）封面：300克涂布超感纸</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（3）环衬：前后各1页，75克特种纸（雨花麦金）；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工艺</w:t>
            </w:r>
            <w:r>
              <w:rPr>
                <w:rFonts w:hint="eastAsia" w:ascii="宋体" w:hAnsi="宋体" w:eastAsia="宋体" w:cs="宋体"/>
                <w:color w:val="auto"/>
                <w:sz w:val="21"/>
                <w:szCs w:val="21"/>
              </w:rPr>
              <w:t>：封面书名烫金2处，激凸、uv工艺各1处</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）内文：80克超感纯质纸</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）装订方式：锁线胶装；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）装帧：平装；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）每套塑封</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3000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套</w:t>
            </w:r>
          </w:p>
        </w:tc>
      </w:tr>
    </w:tbl>
    <w:p>
      <w:pPr>
        <w:keepNext w:val="0"/>
        <w:keepLines w:val="0"/>
        <w:pageBreakBefore w:val="0"/>
        <w:widowControl w:val="0"/>
        <w:numPr>
          <w:ilvl w:val="0"/>
          <w:numId w:val="0"/>
        </w:numPr>
        <w:kinsoku/>
        <w:wordWrap/>
        <w:overflowPunct/>
        <w:topLinePunct w:val="0"/>
        <w:bidi w:val="0"/>
        <w:spacing w:before="0" w:line="360" w:lineRule="auto"/>
        <w:ind w:right="0" w:rightChars="0"/>
        <w:jc w:val="left"/>
        <w:textAlignment w:val="auto"/>
        <w:rPr>
          <w:rFonts w:hint="eastAsia" w:ascii="黑体" w:hAnsi="黑体" w:eastAsia="黑体" w:cs="黑体"/>
          <w:b/>
          <w:color w:val="auto"/>
          <w:sz w:val="21"/>
          <w:szCs w:val="21"/>
          <w:lang w:eastAsia="zh-CN"/>
        </w:rPr>
      </w:pPr>
      <w:r>
        <w:rPr>
          <w:rFonts w:hint="eastAsia" w:ascii="宋体" w:hAnsi="宋体" w:eastAsia="宋体" w:cs="宋体"/>
          <w:color w:val="auto"/>
          <w:sz w:val="21"/>
          <w:szCs w:val="21"/>
          <w:highlight w:val="none"/>
        </w:rPr>
        <w:t>★</w:t>
      </w:r>
      <w:r>
        <w:rPr>
          <w:rFonts w:hint="eastAsia" w:ascii="黑体" w:hAnsi="黑体" w:eastAsia="黑体" w:cs="黑体"/>
          <w:b/>
          <w:color w:val="auto"/>
          <w:sz w:val="21"/>
          <w:szCs w:val="21"/>
          <w:lang w:eastAsia="zh-CN"/>
        </w:rPr>
        <w:t>特别说明：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 xml:space="preserve">1、采购需求中如果必须引用某一品牌或者生产商才能准确清楚地说明采购项目的技术标准和要求，则视为在引用某一品牌或生产供应商名称前加上“参照或相当于”的字样，并非指向特定供应商或特定产品。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2、采购需求中非订制的采购标的关于重量、尺寸、体积等的技术参数均为范围值，已列明的固定值均视为约等于（≥或≤）。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3、采购需求中要求响应的产品、提供的服务所应符合的强制性标准、推荐性标准、团体标准或者企业标准的编号和名称，若已废止或与产品生产、提供的服务实际执行的标准不匹配的，以现行有效或产品生产、服务提供企业公开的标准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lang w:eastAsia="zh-CN"/>
        </w:rPr>
        <w:t>三</w:t>
      </w:r>
      <w:r>
        <w:rPr>
          <w:rFonts w:hint="eastAsia" w:ascii="宋体" w:hAnsi="宋体" w:eastAsia="宋体" w:cs="宋体"/>
          <w:b/>
          <w:bCs/>
          <w:color w:val="auto"/>
          <w:sz w:val="21"/>
          <w:szCs w:val="21"/>
          <w:highlight w:val="none"/>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（一）供应商（或承接主体）响应本项目采购需求的标的应当符合法律法规、政府采购政策和国家有关规定、国家有关强制性标准。</w:t>
      </w:r>
      <w:r>
        <w:rPr>
          <w:rFonts w:hint="eastAsia" w:ascii="宋体" w:hAnsi="宋体" w:eastAsia="宋体" w:cs="宋体"/>
          <w:color w:val="auto"/>
          <w:sz w:val="21"/>
          <w:szCs w:val="21"/>
          <w:highlight w:val="none"/>
          <w:lang w:val="en-US" w:eastAsia="zh-CN"/>
        </w:rPr>
        <w:t>不符合强制性标准的产品、服务，供应商不得用于响应本项目。响应本项目的出版单位（供应商）应使用本单位的名称、书号、刊号，出版物必须按照国家的有关规定截明作者、出版者、印刷者或者复印者、发行者的名称、地址、书号、刊号或者版号，在版编目数据，出版日期、刊期以及其他有关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国家实行团体标准、企业标准自我声明公开和监督制度。产品生产、服务提供企业应当公开其执行的强制性标准、推荐性标准、团体标准或者企业标准的编号和名称；企业执行自行制定的企业标准的，还应公开产品、服务的功能指标和产品的性能指标。国家鼓励团体标准、企业标准通过标准信息公共服务平台向社会公开。企业应当按照标准组织生产经营活动，其生产的产品，提供的服务应当符合企业公开标准的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0" w:firstLineChars="3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(二)服务期</w:t>
      </w:r>
      <w:r>
        <w:rPr>
          <w:rFonts w:hint="eastAsia" w:ascii="宋体" w:hAnsi="宋体" w:eastAsia="宋体" w:cs="宋体"/>
          <w:color w:val="auto"/>
          <w:sz w:val="21"/>
          <w:szCs w:val="21"/>
          <w:highlight w:val="none"/>
        </w:rPr>
        <w:t>：签订合同后三年内，图书编纂印刷工作全部完成，并投入使用。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lang w:val="zh-CN"/>
        </w:rPr>
        <w:t>付款方式：严格按照批准的预算开展政府采购，按时足额支付中小企业款项。若满足合同约定支付条件，采购人（或购买主体）自收到发票后3-5个工作日将资金支付到合同约定的供应商（或承接主体）账户。采购人（或购买主体）不得以机构变动、人员更替、政策调整等理由延迟付款，不得将采购文件和合同中未规定的义务作为向供应商（或承接主体）付款的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lang w:val="zh-CN"/>
        </w:rPr>
        <w:t>）具体交付地点为采购人（或购买主体）指定地点。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lang w:val="zh-CN" w:eastAsia="zh-CN"/>
        </w:rPr>
        <w:t>四、服务及验收标准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本项目由采购人（或购买主体）自行组织验收。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（一）完整细化编制验收方案。采购人（或购买主体）根据项目特点编制验收方案，明确履约验收的主体、时间、方式、程序、内容和验收标准等内容。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二）本项目可以邀请参加本项目的其他供应商或第三方专业机构及专家参与验收，相关验收意见作为验收书的参考材料。政府向社会公众提供的公共服务项目，验收时应当邀请服务对象参与并出具意见，验收结果应当向社会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三）严格按照采购合同展开履约验收。采购人（或购买主体）成立验收小组，按照采购合同的约定对每一项技术、服务、安全标准的履约情况进行确认：验收内容要包括每一项技术和要求履约情况，验收标准要包括所有客观、量化指标。不能明确客观标准、涉及主观判断的，可以通过在采购人（或购买主体）、使用人中开展问卷调查方式，转化为客观、量化的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分期实施的采购项目，应当结合分期考核的情况，明确分期验收要求。货物类项目可以根据需要设置出厂检验、到货检验、安装调试检验、配套服务检验等多重检验环节。工程类项目的验收方案应当符合各行业管理部门规定的标准、方法和内容。验收结束后，出具验收书，列明各项标准的验收情况及项目总体评价，由验收双方共同签署。验收结果与采购合同约定的资金支付及履约保证金返还条件相挂钩，履约验收的各项资料应当由采购人存档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四）严格落实履约验收责任。验收合格的项目，采购人（或购买主体）应当根据采购合同的约定及时向供应商支付采购资金，退还或有的履约保证金，验收不合格的，采购人（或购买主体）依法及时处理。采购合同的履行、违约责任和解决争议的方式等适用《中华人民共和国民法典》，供应商在履约过程中有政府采购法律法规规定的违法违规情形的，采购人（或购买主体）及时报告本级政府财政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0" w:firstLineChars="200"/>
        <w:jc w:val="both"/>
        <w:textAlignment w:val="auto"/>
        <w:rPr>
          <w:rFonts w:hint="eastAsia" w:ascii="宋体" w:hAnsi="宋体" w:eastAsia="宋体" w:cs="宋体"/>
          <w:color w:val="auto"/>
          <w:sz w:val="22"/>
          <w:szCs w:val="22"/>
          <w:highlight w:val="none"/>
        </w:rPr>
        <w:sectPr>
          <w:pgSz w:w="11906" w:h="16838"/>
          <w:pgMar w:top="1361" w:right="1587" w:bottom="1361" w:left="1587" w:header="851" w:footer="680" w:gutter="0"/>
          <w:pgNumType w:fmt="decimal"/>
          <w:cols w:space="720" w:num="1"/>
          <w:docGrid w:type="lines" w:linePitch="332" w:charSpace="0"/>
        </w:sect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YjJkNDc0ZjRmOTY5ZjMyYWFiYzEzOGFiMTcxODAifQ=="/>
  </w:docVars>
  <w:rsids>
    <w:rsidRoot w:val="00000000"/>
    <w:rsid w:val="7C9E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2023-09-13T08:46:48Z</dcterms:created>
  <dc:creator>Administrator</dc:creator>
  <cp:lastModifiedBy>林觉斌</cp:lastModifiedBy>
  <dcterms:modified xsi:type="dcterms:W3CDTF">2023-09-13T08:46:52Z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B6A3A31F66174DB0B57F202CC7C3EC5F_12</vt:lpwstr>
  </property>
</Properties>
</file>