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1"/>
        </w:numPr>
        <w:spacing w:after="100" w:line="579" w:lineRule="auto"/>
        <w:jc w:val="center"/>
        <w:rPr>
          <w:rFonts w:hint="eastAsia"/>
          <w:color w:val="000000"/>
          <w:lang w:eastAsia="zh-CN"/>
        </w:rPr>
      </w:pPr>
      <w:bookmarkStart w:id="0" w:name="_Toc8859"/>
      <w:r>
        <w:rPr>
          <w:rFonts w:hint="eastAsia"/>
          <w:color w:val="000000"/>
          <w:lang w:eastAsia="zh-CN"/>
        </w:rPr>
        <w:t>采购需求</w:t>
      </w:r>
      <w:bookmarkEnd w:id="0"/>
    </w:p>
    <w:p>
      <w:pPr>
        <w:spacing w:before="13" w:after="0" w:line="360" w:lineRule="auto"/>
        <w:ind w:left="110" w:leftChars="50" w:right="26" w:firstLine="482" w:firstLineChars="200"/>
        <w:rPr>
          <w:rFonts w:hint="eastAsia" w:ascii="仿宋" w:hAnsi="仿宋" w:eastAsia="仿宋" w:cs="微软雅黑"/>
          <w:color w:val="000000"/>
          <w:sz w:val="24"/>
          <w:szCs w:val="24"/>
          <w:lang w:eastAsia="zh-CN"/>
        </w:rPr>
      </w:pPr>
      <w:r>
        <w:rPr>
          <w:rFonts w:hint="eastAsia" w:ascii="仿宋" w:hAnsi="仿宋" w:eastAsia="仿宋" w:cs="微软雅黑"/>
          <w:b/>
          <w:bCs/>
          <w:color w:val="000000"/>
          <w:sz w:val="24"/>
          <w:szCs w:val="24"/>
          <w:lang w:eastAsia="zh-CN"/>
        </w:rPr>
        <w:t>一、项目简介：</w:t>
      </w:r>
      <w:r>
        <w:rPr>
          <w:rFonts w:hint="eastAsia" w:ascii="仿宋" w:hAnsi="仿宋" w:eastAsia="仿宋" w:cs="微软雅黑"/>
          <w:color w:val="000000"/>
          <w:sz w:val="24"/>
          <w:szCs w:val="24"/>
          <w:lang w:eastAsia="zh-CN"/>
        </w:rPr>
        <w:t>对化学制药、生物制药、中成药以及中草药四种不同类型药物开展真实世界数据支持医保准入的技术路径和标准规范制定工作，经专家论证后形成专家共识、行业共识进而形成国家标准和指导原则。</w:t>
      </w:r>
    </w:p>
    <w:p>
      <w:pPr>
        <w:spacing w:before="13" w:after="0" w:line="360" w:lineRule="auto"/>
        <w:ind w:left="110" w:leftChars="50" w:right="26" w:firstLine="482" w:firstLineChars="200"/>
        <w:rPr>
          <w:rFonts w:hint="eastAsia" w:ascii="仿宋" w:hAnsi="仿宋" w:eastAsia="仿宋" w:cs="微软雅黑"/>
          <w:b/>
          <w:bCs/>
          <w:color w:val="000000"/>
          <w:sz w:val="24"/>
          <w:szCs w:val="24"/>
          <w:lang w:eastAsia="zh-CN"/>
        </w:rPr>
      </w:pPr>
      <w:r>
        <w:rPr>
          <w:rFonts w:hint="eastAsia" w:ascii="仿宋" w:hAnsi="仿宋" w:eastAsia="仿宋" w:cs="微软雅黑"/>
          <w:b/>
          <w:bCs/>
          <w:color w:val="000000"/>
          <w:sz w:val="24"/>
          <w:szCs w:val="24"/>
          <w:lang w:eastAsia="zh-CN"/>
        </w:rPr>
        <w:t>二、预期成果（</w:t>
      </w:r>
      <w:r>
        <w:rPr>
          <w:rFonts w:hint="eastAsia" w:ascii="仿宋" w:hAnsi="仿宋" w:eastAsia="仿宋" w:cs="微软雅黑"/>
          <w:color w:val="000000"/>
          <w:sz w:val="24"/>
          <w:szCs w:val="24"/>
          <w:lang w:eastAsia="zh-CN"/>
        </w:rPr>
        <w:t>包括但不限于</w:t>
      </w:r>
      <w:r>
        <w:rPr>
          <w:rFonts w:hint="eastAsia" w:ascii="仿宋" w:hAnsi="仿宋" w:eastAsia="仿宋" w:cs="微软雅黑"/>
          <w:b/>
          <w:bCs/>
          <w:color w:val="000000"/>
          <w:sz w:val="24"/>
          <w:szCs w:val="24"/>
          <w:lang w:eastAsia="zh-CN"/>
        </w:rPr>
        <w:t>）：</w:t>
      </w:r>
    </w:p>
    <w:p>
      <w:pPr>
        <w:spacing w:before="13" w:after="0" w:line="360" w:lineRule="auto"/>
        <w:ind w:left="110" w:leftChars="50" w:right="26" w:firstLine="480" w:firstLineChars="200"/>
        <w:rPr>
          <w:rFonts w:ascii="仿宋" w:hAnsi="仿宋" w:eastAsia="仿宋" w:cs="微软雅黑"/>
          <w:color w:val="000000"/>
          <w:sz w:val="24"/>
          <w:szCs w:val="24"/>
          <w:lang w:eastAsia="zh-CN"/>
        </w:rPr>
      </w:pPr>
      <w:r>
        <w:rPr>
          <w:rFonts w:hint="eastAsia" w:ascii="仿宋" w:hAnsi="仿宋" w:eastAsia="仿宋" w:cs="微软雅黑"/>
          <w:color w:val="000000"/>
          <w:sz w:val="24"/>
          <w:szCs w:val="24"/>
          <w:lang w:val="en-US" w:eastAsia="zh-CN"/>
        </w:rPr>
        <w:t>第一</w:t>
      </w:r>
      <w:r>
        <w:rPr>
          <w:rFonts w:hint="eastAsia" w:ascii="仿宋" w:hAnsi="仿宋" w:eastAsia="仿宋" w:cs="微软雅黑"/>
          <w:color w:val="000000"/>
          <w:sz w:val="24"/>
          <w:szCs w:val="24"/>
          <w:lang w:eastAsia="zh-CN"/>
        </w:rPr>
        <w:t>包：《真实世界数据支持化学制药的医保准入技术路径和标准规范》一份。</w:t>
      </w:r>
    </w:p>
    <w:p>
      <w:pPr>
        <w:spacing w:before="13" w:after="0" w:line="360" w:lineRule="auto"/>
        <w:ind w:left="110" w:leftChars="50" w:right="26" w:firstLine="480" w:firstLineChars="200"/>
        <w:rPr>
          <w:rFonts w:hint="eastAsia" w:ascii="仿宋" w:hAnsi="仿宋" w:eastAsia="仿宋" w:cs="微软雅黑"/>
          <w:color w:val="000000"/>
          <w:sz w:val="24"/>
          <w:szCs w:val="24"/>
          <w:lang w:eastAsia="zh-CN"/>
        </w:rPr>
      </w:pPr>
      <w:r>
        <w:rPr>
          <w:rFonts w:hint="eastAsia" w:ascii="仿宋" w:hAnsi="仿宋" w:eastAsia="仿宋" w:cs="微软雅黑"/>
          <w:color w:val="000000"/>
          <w:sz w:val="24"/>
          <w:szCs w:val="24"/>
          <w:lang w:val="en-US" w:eastAsia="zh-CN"/>
        </w:rPr>
        <w:t>第二</w:t>
      </w:r>
      <w:r>
        <w:rPr>
          <w:rFonts w:hint="eastAsia" w:ascii="仿宋" w:hAnsi="仿宋" w:eastAsia="仿宋" w:cs="微软雅黑"/>
          <w:color w:val="000000"/>
          <w:sz w:val="24"/>
          <w:szCs w:val="24"/>
          <w:lang w:eastAsia="zh-CN"/>
        </w:rPr>
        <w:t>包：《真实世界数据支持生物药的医保准入技术路径和标准规范》一份。</w:t>
      </w:r>
    </w:p>
    <w:p>
      <w:pPr>
        <w:spacing w:before="13" w:after="0" w:line="360" w:lineRule="auto"/>
        <w:ind w:left="110" w:leftChars="50" w:right="26" w:firstLine="480" w:firstLineChars="200"/>
        <w:rPr>
          <w:rFonts w:hint="eastAsia" w:ascii="仿宋" w:hAnsi="仿宋" w:eastAsia="仿宋" w:cs="微软雅黑"/>
          <w:color w:val="000000"/>
          <w:sz w:val="24"/>
          <w:szCs w:val="24"/>
          <w:lang w:eastAsia="zh-CN"/>
        </w:rPr>
      </w:pPr>
      <w:r>
        <w:rPr>
          <w:rFonts w:hint="eastAsia" w:ascii="仿宋" w:hAnsi="仿宋" w:eastAsia="仿宋" w:cs="微软雅黑"/>
          <w:color w:val="000000"/>
          <w:sz w:val="24"/>
          <w:szCs w:val="24"/>
          <w:lang w:val="en-US" w:eastAsia="zh-CN"/>
        </w:rPr>
        <w:t>第三</w:t>
      </w:r>
      <w:r>
        <w:rPr>
          <w:rFonts w:hint="eastAsia" w:ascii="仿宋" w:hAnsi="仿宋" w:eastAsia="仿宋" w:cs="微软雅黑"/>
          <w:color w:val="000000"/>
          <w:sz w:val="24"/>
          <w:szCs w:val="24"/>
          <w:lang w:eastAsia="zh-CN"/>
        </w:rPr>
        <w:t>包：《真实世界数据支持中成药的医保准入技术路径和标准规范》一份。</w:t>
      </w:r>
    </w:p>
    <w:p>
      <w:pPr>
        <w:spacing w:before="13" w:after="0" w:line="360" w:lineRule="auto"/>
        <w:ind w:left="110" w:leftChars="50" w:right="26" w:firstLine="480" w:firstLineChars="200"/>
        <w:rPr>
          <w:rFonts w:hint="eastAsia" w:ascii="仿宋" w:hAnsi="仿宋" w:eastAsia="仿宋" w:cs="微软雅黑"/>
          <w:color w:val="000000"/>
          <w:sz w:val="24"/>
          <w:szCs w:val="24"/>
          <w:lang w:eastAsia="zh-CN"/>
        </w:rPr>
      </w:pPr>
      <w:r>
        <w:rPr>
          <w:rFonts w:hint="eastAsia" w:ascii="仿宋" w:hAnsi="仿宋" w:eastAsia="仿宋" w:cs="微软雅黑"/>
          <w:color w:val="000000"/>
          <w:sz w:val="24"/>
          <w:szCs w:val="24"/>
          <w:lang w:val="en-US" w:eastAsia="zh-CN"/>
        </w:rPr>
        <w:t>第四</w:t>
      </w:r>
      <w:r>
        <w:rPr>
          <w:rFonts w:hint="eastAsia" w:ascii="仿宋" w:hAnsi="仿宋" w:eastAsia="仿宋" w:cs="微软雅黑"/>
          <w:color w:val="000000"/>
          <w:sz w:val="24"/>
          <w:szCs w:val="24"/>
          <w:lang w:eastAsia="zh-CN"/>
        </w:rPr>
        <w:t>包：《真实世界数据支持中草药的医保准入技术路径和标准规范》一份。</w:t>
      </w:r>
    </w:p>
    <w:p>
      <w:pPr>
        <w:pStyle w:val="2"/>
        <w:spacing w:line="360" w:lineRule="auto"/>
        <w:ind w:firstLine="482"/>
        <w:rPr>
          <w:rFonts w:hint="eastAsia" w:ascii="仿宋" w:hAnsi="仿宋" w:eastAsia="仿宋" w:cs="微软雅黑"/>
          <w:b/>
          <w:bCs/>
          <w:color w:val="000000"/>
          <w:sz w:val="24"/>
          <w:szCs w:val="24"/>
          <w:lang w:eastAsia="zh-CN"/>
        </w:rPr>
      </w:pPr>
      <w:r>
        <w:rPr>
          <w:rFonts w:hint="eastAsia" w:ascii="仿宋" w:hAnsi="仿宋" w:eastAsia="仿宋" w:cs="微软雅黑"/>
          <w:b/>
          <w:bCs/>
          <w:color w:val="000000"/>
          <w:sz w:val="24"/>
          <w:szCs w:val="24"/>
          <w:lang w:eastAsia="zh-CN"/>
        </w:rPr>
        <w:t>三、商务要求</w:t>
      </w:r>
    </w:p>
    <w:p>
      <w:pPr>
        <w:spacing w:before="13" w:after="0" w:line="360" w:lineRule="auto"/>
        <w:ind w:left="110" w:leftChars="50" w:right="26" w:firstLine="480" w:firstLineChars="200"/>
        <w:rPr>
          <w:rFonts w:hint="eastAsia" w:ascii="仿宋" w:hAnsi="仿宋" w:eastAsia="仿宋" w:cs="微软雅黑"/>
          <w:color w:val="000000"/>
          <w:sz w:val="24"/>
          <w:szCs w:val="24"/>
          <w:lang w:eastAsia="zh-CN"/>
        </w:rPr>
      </w:pPr>
      <w:r>
        <w:rPr>
          <w:rFonts w:hint="eastAsia" w:ascii="仿宋" w:hAnsi="仿宋" w:eastAsia="仿宋" w:cs="微软雅黑"/>
          <w:color w:val="000000"/>
          <w:sz w:val="24"/>
          <w:szCs w:val="24"/>
          <w:lang w:eastAsia="zh-CN"/>
        </w:rPr>
        <w:t>1、成交供应商根据项目进展情况与业主要求，按需委派一名工作人员合署办公。</w:t>
      </w:r>
    </w:p>
    <w:p>
      <w:pPr>
        <w:spacing w:before="13" w:after="0" w:line="360" w:lineRule="auto"/>
        <w:ind w:left="110" w:leftChars="50" w:right="26" w:firstLine="480" w:firstLineChars="200"/>
        <w:rPr>
          <w:rFonts w:hint="eastAsia" w:ascii="仿宋" w:hAnsi="仿宋" w:eastAsia="仿宋" w:cs="微软雅黑"/>
          <w:color w:val="000000"/>
          <w:sz w:val="24"/>
          <w:szCs w:val="24"/>
          <w:lang w:eastAsia="zh-CN"/>
        </w:rPr>
      </w:pPr>
      <w:r>
        <w:rPr>
          <w:rFonts w:hint="eastAsia" w:ascii="仿宋" w:hAnsi="仿宋" w:eastAsia="仿宋" w:cs="微软雅黑"/>
          <w:color w:val="000000"/>
          <w:sz w:val="24"/>
          <w:szCs w:val="24"/>
          <w:lang w:eastAsia="zh-CN"/>
        </w:rPr>
        <w:t>2、成交供应商负责跟踪协助业主单位保证政策落地。</w:t>
      </w:r>
    </w:p>
    <w:p>
      <w:pPr>
        <w:spacing w:before="13" w:after="0" w:line="360" w:lineRule="auto"/>
        <w:ind w:left="110" w:leftChars="50" w:right="26" w:firstLine="480" w:firstLineChars="200"/>
        <w:rPr>
          <w:rFonts w:hint="eastAsia" w:ascii="仿宋" w:hAnsi="仿宋" w:eastAsia="仿宋" w:cs="微软雅黑"/>
          <w:color w:val="000000"/>
          <w:sz w:val="24"/>
          <w:szCs w:val="24"/>
          <w:lang w:eastAsia="zh-CN"/>
        </w:rPr>
      </w:pPr>
      <w:r>
        <w:rPr>
          <w:rFonts w:hint="eastAsia" w:ascii="仿宋" w:hAnsi="仿宋" w:eastAsia="仿宋" w:cs="微软雅黑"/>
          <w:color w:val="000000"/>
          <w:sz w:val="24"/>
          <w:szCs w:val="24"/>
          <w:highlight w:val="yellow"/>
          <w:lang w:eastAsia="zh-CN"/>
        </w:rPr>
        <w:t>3、付款条件：合同签订后支付合同额的</w:t>
      </w:r>
      <w:r>
        <w:rPr>
          <w:rFonts w:hint="eastAsia" w:ascii="仿宋" w:hAnsi="仿宋" w:eastAsia="仿宋" w:cs="微软雅黑"/>
          <w:color w:val="000000"/>
          <w:sz w:val="24"/>
          <w:szCs w:val="24"/>
          <w:lang w:eastAsia="zh-CN"/>
        </w:rPr>
        <w:t>40</w:t>
      </w:r>
      <w:r>
        <w:rPr>
          <w:rFonts w:hint="eastAsia" w:ascii="仿宋" w:hAnsi="仿宋" w:eastAsia="仿宋" w:cs="微软雅黑"/>
          <w:color w:val="000000"/>
          <w:sz w:val="24"/>
          <w:szCs w:val="24"/>
          <w:highlight w:val="yellow"/>
          <w:lang w:eastAsia="zh-CN"/>
        </w:rPr>
        <w:t>%，成交供应商提交最终成果后支付合同额的</w:t>
      </w:r>
      <w:r>
        <w:rPr>
          <w:rFonts w:hint="eastAsia" w:ascii="仿宋" w:hAnsi="仿宋" w:eastAsia="仿宋" w:cs="微软雅黑"/>
          <w:color w:val="000000"/>
          <w:sz w:val="24"/>
          <w:szCs w:val="24"/>
          <w:lang w:eastAsia="zh-CN"/>
        </w:rPr>
        <w:t>40</w:t>
      </w:r>
      <w:r>
        <w:rPr>
          <w:rFonts w:hint="eastAsia" w:ascii="仿宋" w:hAnsi="仿宋" w:eastAsia="仿宋" w:cs="微软雅黑"/>
          <w:color w:val="000000"/>
          <w:sz w:val="24"/>
          <w:szCs w:val="24"/>
          <w:highlight w:val="yellow"/>
          <w:lang w:eastAsia="zh-CN"/>
        </w:rPr>
        <w:t>%，最终成果落地实施后支付合同额的</w:t>
      </w:r>
      <w:r>
        <w:rPr>
          <w:rFonts w:hint="eastAsia" w:ascii="仿宋" w:hAnsi="仿宋" w:eastAsia="仿宋" w:cs="微软雅黑"/>
          <w:color w:val="000000"/>
          <w:sz w:val="24"/>
          <w:szCs w:val="24"/>
          <w:lang w:eastAsia="zh-CN"/>
        </w:rPr>
        <w:t>20</w:t>
      </w:r>
      <w:r>
        <w:rPr>
          <w:rFonts w:hint="eastAsia" w:ascii="仿宋" w:hAnsi="仿宋" w:eastAsia="仿宋" w:cs="微软雅黑"/>
          <w:color w:val="000000"/>
          <w:sz w:val="24"/>
          <w:szCs w:val="24"/>
          <w:highlight w:val="yellow"/>
          <w:lang w:eastAsia="zh-CN"/>
        </w:rPr>
        <w:t>%。</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B6BB97"/>
    <w:multiLevelType w:val="singleLevel"/>
    <w:tmpl w:val="CEB6BB97"/>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mNTMzYTZjMzRjOTM0MDdhMjk3M2M4N2I4YTAzYzAifQ=="/>
  </w:docVars>
  <w:rsids>
    <w:rsidRoot w:val="2D060D69"/>
    <w:rsid w:val="2D060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pPr>
    <w:rPr>
      <w:rFonts w:ascii="Calibri" w:hAnsi="Calibri" w:eastAsia="宋体" w:cs="Times New Roman"/>
      <w:sz w:val="22"/>
      <w:szCs w:val="22"/>
      <w:lang w:val="en-US" w:eastAsia="en-US"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footer"/>
    <w:basedOn w:val="1"/>
    <w:unhideWhenUsed/>
    <w:qFormat/>
    <w:uiPriority w:val="99"/>
    <w:pPr>
      <w:tabs>
        <w:tab w:val="center" w:pos="4153"/>
        <w:tab w:val="right" w:pos="8306"/>
      </w:tabs>
      <w:snapToGrid w:val="0"/>
      <w:spacing w:line="240" w:lineRule="auto"/>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2023-09-26T04:39:00Z</dcterms:created>
  <dc:creator>S. u. n."</dc:creator>
  <cp:lastModifiedBy>S. u. n."</cp:lastModifiedBy>
  <dcterms:modified xsi:type="dcterms:W3CDTF">2023-09-26T04:39:42Z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EB5E0F7B2DE74497A6F9EE8DC1AC9EEB_11</vt:lpwstr>
  </property>
</Properties>
</file>