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57"/>
        <w:jc w:val="center"/>
        <w:outlineLvl w:val="0"/>
        <w:rPr>
          <w:rFonts w:hint="eastAsia" w:ascii="宋体" w:hAnsi="宋体" w:cs="宋体"/>
          <w:b/>
          <w:bCs/>
          <w:color w:val="auto"/>
          <w:sz w:val="52"/>
          <w:szCs w:val="52"/>
          <w:highlight w:val="none"/>
        </w:rPr>
      </w:pPr>
    </w:p>
    <w:p>
      <w:pPr>
        <w:pStyle w:val="5"/>
        <w:ind w:firstLine="0" w:firstLineChars="0"/>
        <w:jc w:val="center"/>
        <w:rPr>
          <w:rFonts w:hint="eastAsia" w:ascii="宋体" w:hAnsi="宋体" w:cs="宋体"/>
          <w:b/>
          <w:bCs/>
          <w:color w:val="auto"/>
          <w:sz w:val="72"/>
          <w:szCs w:val="72"/>
          <w:highlight w:val="none"/>
        </w:rPr>
      </w:pPr>
      <w:r>
        <w:rPr>
          <w:rFonts w:hint="eastAsia" w:ascii="宋体" w:hAnsi="宋体" w:cs="宋体"/>
          <w:b/>
          <w:color w:val="auto"/>
          <w:sz w:val="72"/>
          <w:szCs w:val="72"/>
          <w:highlight w:val="none"/>
        </w:rPr>
        <w:t xml:space="preserve"> 采购</w:t>
      </w:r>
      <w:r>
        <w:rPr>
          <w:rFonts w:hint="eastAsia" w:ascii="宋体" w:hAnsi="宋体" w:cs="宋体"/>
          <w:b/>
          <w:bCs/>
          <w:color w:val="auto"/>
          <w:sz w:val="72"/>
          <w:szCs w:val="72"/>
          <w:highlight w:val="none"/>
        </w:rPr>
        <w:t>文件</w:t>
      </w:r>
    </w:p>
    <w:p>
      <w:pPr>
        <w:spacing w:line="360" w:lineRule="auto"/>
        <w:jc w:val="center"/>
        <w:rPr>
          <w:rFonts w:hint="eastAsia" w:ascii="宋体" w:hAnsi="宋体" w:cs="宋体"/>
          <w:b/>
          <w:color w:val="auto"/>
          <w:sz w:val="84"/>
          <w:szCs w:val="84"/>
          <w:highlight w:val="none"/>
        </w:rPr>
      </w:pPr>
      <w:r>
        <w:rPr>
          <w:rFonts w:hint="eastAsia" w:ascii="宋体" w:hAnsi="宋体" w:cs="宋体"/>
          <w:b/>
          <w:color w:val="auto"/>
          <w:sz w:val="44"/>
          <w:highlight w:val="none"/>
        </w:rPr>
        <w:pict>
          <v:shape id="文本框 3" o:spid="_x0000_s1026" o:spt="202" type="#_x0000_t202" style="position:absolute;left:0pt;margin-left:152.5pt;margin-top:40.9pt;height:167.25pt;width:141.75pt;z-index:251659264;mso-width-relative:page;mso-height-relative:page;" fillcolor="#FFFFFF" filled="t" stroked="t" coordsize="21600,21600">
            <v:path/>
            <v:fill on="t" focussize="0,0"/>
            <v:stroke color="#FFFFFF" joinstyle="miter"/>
            <v:imagedata o:title=""/>
            <o:lock v:ext="edit"/>
            <v:textbox>
              <w:txbxContent>
                <w:p>
                  <w:r>
                    <w:rPr>
                      <w:rFonts w:hint="eastAsia" w:ascii="宋体" w:hAnsi="宋体" w:cs="宋体"/>
                      <w:b/>
                      <w:bCs/>
                      <w:kern w:val="0"/>
                      <w:sz w:val="28"/>
                      <w:szCs w:val="28"/>
                      <w:lang w:val="en-GB"/>
                    </w:rPr>
                    <w:pict>
                      <v:shape id="_x0000_i1025" o:spt="75" type="#_x0000_t75" style="height:159.3pt;width:159.3pt;" filled="f" o:preferrelative="t" stroked="f" coordsize="21600,21600">
                        <v:path/>
                        <v:fill on="f" focussize="0,0"/>
                        <v:stroke on="f" joinstyle="miter"/>
                        <v:imagedata r:id="rId12" embosscolor="#FFFFFF" o:title=""/>
                        <o:lock v:ext="edit" aspectratio="t"/>
                        <w10:wrap type="none"/>
                        <w10:anchorlock/>
                      </v:shape>
                    </w:pict>
                  </w:r>
                </w:p>
              </w:txbxContent>
            </v:textbox>
          </v:shape>
        </w:pict>
      </w:r>
    </w:p>
    <w:p>
      <w:pPr>
        <w:spacing w:line="480" w:lineRule="exact"/>
        <w:jc w:val="center"/>
        <w:rPr>
          <w:rFonts w:hint="eastAsia" w:ascii="宋体" w:hAnsi="宋体" w:cs="宋体"/>
          <w:b/>
          <w:color w:val="auto"/>
          <w:sz w:val="44"/>
          <w:highlight w:val="none"/>
        </w:rPr>
      </w:pPr>
    </w:p>
    <w:p>
      <w:pPr>
        <w:spacing w:line="480" w:lineRule="exact"/>
        <w:jc w:val="center"/>
        <w:rPr>
          <w:rFonts w:hint="eastAsia" w:ascii="宋体" w:hAnsi="宋体" w:cs="宋体"/>
          <w:b/>
          <w:color w:val="auto"/>
          <w:sz w:val="44"/>
          <w:highlight w:val="none"/>
        </w:rPr>
      </w:pPr>
    </w:p>
    <w:p>
      <w:pPr>
        <w:spacing w:line="480" w:lineRule="exact"/>
        <w:jc w:val="center"/>
        <w:rPr>
          <w:rFonts w:hint="eastAsia" w:ascii="宋体" w:hAnsi="宋体" w:cs="宋体"/>
          <w:b/>
          <w:color w:val="auto"/>
          <w:sz w:val="44"/>
          <w:highlight w:val="none"/>
        </w:rPr>
      </w:pPr>
    </w:p>
    <w:p>
      <w:pPr>
        <w:spacing w:line="480" w:lineRule="exact"/>
        <w:rPr>
          <w:rFonts w:hint="eastAsia" w:ascii="宋体" w:hAnsi="宋体" w:cs="宋体"/>
          <w:b/>
          <w:color w:val="auto"/>
          <w:sz w:val="44"/>
          <w:highlight w:val="none"/>
        </w:rPr>
      </w:pPr>
    </w:p>
    <w:p>
      <w:pPr>
        <w:spacing w:line="480" w:lineRule="exact"/>
        <w:rPr>
          <w:rFonts w:hint="eastAsia" w:ascii="宋体" w:hAnsi="宋体" w:cs="宋体"/>
          <w:b/>
          <w:color w:val="auto"/>
          <w:sz w:val="44"/>
          <w:highlight w:val="none"/>
        </w:rPr>
      </w:pPr>
    </w:p>
    <w:p>
      <w:pPr>
        <w:adjustRightInd w:val="0"/>
        <w:snapToGrid w:val="0"/>
        <w:spacing w:line="800" w:lineRule="exact"/>
        <w:rPr>
          <w:rStyle w:val="46"/>
          <w:rFonts w:hint="eastAsia" w:ascii="宋体" w:hAnsi="宋体" w:cs="宋体"/>
          <w:color w:val="auto"/>
          <w:sz w:val="36"/>
          <w:szCs w:val="36"/>
          <w:highlight w:val="none"/>
        </w:rPr>
      </w:pPr>
    </w:p>
    <w:p>
      <w:pPr>
        <w:adjustRightInd w:val="0"/>
        <w:snapToGrid w:val="0"/>
        <w:spacing w:line="800" w:lineRule="exact"/>
        <w:ind w:firstLine="1479" w:firstLineChars="411"/>
        <w:rPr>
          <w:rStyle w:val="46"/>
          <w:rFonts w:hint="eastAsia" w:ascii="宋体" w:hAnsi="宋体" w:cs="宋体"/>
          <w:color w:val="auto"/>
          <w:sz w:val="36"/>
          <w:szCs w:val="36"/>
          <w:highlight w:val="none"/>
        </w:rPr>
      </w:pPr>
    </w:p>
    <w:p>
      <w:pPr>
        <w:adjustRightInd w:val="0"/>
        <w:snapToGrid w:val="0"/>
        <w:spacing w:line="800" w:lineRule="exact"/>
        <w:ind w:firstLine="637" w:firstLineChars="177"/>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采购方式：竞争性磋商</w:t>
      </w:r>
    </w:p>
    <w:p>
      <w:pPr>
        <w:adjustRightInd w:val="0"/>
        <w:snapToGrid w:val="0"/>
        <w:spacing w:line="800" w:lineRule="exact"/>
        <w:ind w:firstLine="637" w:firstLineChars="177"/>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项目编号：HNTS-2023-056</w:t>
      </w:r>
    </w:p>
    <w:p>
      <w:pPr>
        <w:adjustRightInd w:val="0"/>
        <w:snapToGrid w:val="0"/>
        <w:spacing w:line="800" w:lineRule="exact"/>
        <w:ind w:left="2596" w:leftChars="304" w:right="529" w:rightChars="252" w:hanging="1958" w:hangingChars="544"/>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项目名称：2023年万宁市建成区及兴隆区、和乐镇病媒生物防制服务项目</w:t>
      </w:r>
    </w:p>
    <w:p>
      <w:pPr>
        <w:adjustRightInd w:val="0"/>
        <w:snapToGrid w:val="0"/>
        <w:spacing w:line="800" w:lineRule="exact"/>
        <w:ind w:right="-508" w:rightChars="-242" w:firstLine="637" w:firstLineChars="177"/>
        <w:rPr>
          <w:rStyle w:val="46"/>
          <w:rFonts w:hint="eastAsia" w:ascii="宋体" w:hAnsi="宋体" w:cs="宋体"/>
          <w:color w:val="auto"/>
          <w:sz w:val="36"/>
          <w:szCs w:val="36"/>
          <w:highlight w:val="none"/>
        </w:rPr>
      </w:pPr>
      <w:r>
        <w:rPr>
          <w:rStyle w:val="46"/>
          <w:rFonts w:hint="eastAsia" w:ascii="宋体" w:hAnsi="宋体" w:cs="宋体"/>
          <w:color w:val="auto"/>
          <w:sz w:val="36"/>
          <w:szCs w:val="36"/>
          <w:highlight w:val="none"/>
        </w:rPr>
        <w:t>采 购 人：万宁市卫生健康委员会</w:t>
      </w:r>
    </w:p>
    <w:p>
      <w:pPr>
        <w:ind w:right="57"/>
        <w:jc w:val="center"/>
        <w:outlineLvl w:val="0"/>
        <w:rPr>
          <w:rStyle w:val="46"/>
          <w:rFonts w:hint="eastAsia" w:ascii="宋体" w:hAnsi="宋体" w:cs="宋体"/>
          <w:color w:val="auto"/>
          <w:sz w:val="36"/>
          <w:szCs w:val="36"/>
          <w:highlight w:val="none"/>
        </w:rPr>
      </w:pPr>
    </w:p>
    <w:p>
      <w:pPr>
        <w:ind w:right="57"/>
        <w:jc w:val="center"/>
        <w:outlineLvl w:val="0"/>
        <w:rPr>
          <w:rStyle w:val="46"/>
          <w:rFonts w:hint="eastAsia" w:ascii="宋体" w:hAnsi="宋体" w:cs="宋体"/>
          <w:color w:val="auto"/>
          <w:sz w:val="36"/>
          <w:szCs w:val="36"/>
          <w:highlight w:val="none"/>
        </w:rPr>
      </w:pPr>
      <w:bookmarkStart w:id="0" w:name="_Toc3729"/>
      <w:bookmarkStart w:id="1" w:name="_Toc21073"/>
      <w:bookmarkStart w:id="2" w:name="_Toc20214"/>
      <w:r>
        <w:rPr>
          <w:rStyle w:val="46"/>
          <w:rFonts w:hint="eastAsia" w:ascii="宋体" w:hAnsi="宋体" w:cs="宋体"/>
          <w:color w:val="auto"/>
          <w:sz w:val="36"/>
          <w:szCs w:val="36"/>
          <w:highlight w:val="none"/>
        </w:rPr>
        <w:t>海南通尚工程管理有限公司编制</w:t>
      </w:r>
      <w:bookmarkEnd w:id="0"/>
      <w:bookmarkEnd w:id="1"/>
      <w:bookmarkEnd w:id="2"/>
    </w:p>
    <w:p>
      <w:pPr>
        <w:pStyle w:val="75"/>
        <w:jc w:val="center"/>
        <w:rPr>
          <w:rFonts w:ascii="黑体" w:hAnsi="黑体" w:eastAsia="黑体"/>
          <w:color w:val="auto"/>
          <w:sz w:val="48"/>
          <w:highlight w:val="none"/>
          <w:lang w:val="zh-CN"/>
        </w:rPr>
      </w:pPr>
      <w:r>
        <w:rPr>
          <w:rStyle w:val="46"/>
          <w:rFonts w:hint="eastAsia" w:ascii="宋体" w:hAnsi="宋体" w:cs="宋体"/>
          <w:b w:val="0"/>
          <w:bCs/>
          <w:color w:val="auto"/>
          <w:sz w:val="36"/>
          <w:szCs w:val="36"/>
          <w:highlight w:val="none"/>
        </w:rPr>
        <w:t>202</w:t>
      </w:r>
      <w:r>
        <w:rPr>
          <w:rStyle w:val="46"/>
          <w:rFonts w:hint="eastAsia" w:ascii="宋体" w:hAnsi="宋体" w:cs="宋体"/>
          <w:b w:val="0"/>
          <w:bCs/>
          <w:color w:val="auto"/>
          <w:sz w:val="36"/>
          <w:szCs w:val="36"/>
          <w:highlight w:val="none"/>
          <w:lang w:val="en-US" w:eastAsia="zh-CN"/>
        </w:rPr>
        <w:t>3</w:t>
      </w:r>
      <w:r>
        <w:rPr>
          <w:rStyle w:val="46"/>
          <w:rFonts w:hint="eastAsia" w:ascii="宋体" w:hAnsi="宋体" w:cs="宋体"/>
          <w:b w:val="0"/>
          <w:bCs/>
          <w:color w:val="auto"/>
          <w:sz w:val="36"/>
          <w:szCs w:val="36"/>
          <w:highlight w:val="none"/>
        </w:rPr>
        <w:t>年</w:t>
      </w:r>
      <w:r>
        <w:rPr>
          <w:rStyle w:val="46"/>
          <w:rFonts w:hint="eastAsia" w:ascii="宋体" w:hAnsi="宋体" w:cs="宋体"/>
          <w:b w:val="0"/>
          <w:bCs/>
          <w:color w:val="auto"/>
          <w:sz w:val="36"/>
          <w:szCs w:val="36"/>
          <w:highlight w:val="none"/>
          <w:lang w:val="en-US" w:eastAsia="zh-CN"/>
        </w:rPr>
        <w:t>9</w:t>
      </w:r>
      <w:r>
        <w:rPr>
          <w:rStyle w:val="46"/>
          <w:rFonts w:hint="eastAsia" w:ascii="宋体" w:hAnsi="宋体" w:cs="宋体"/>
          <w:b w:val="0"/>
          <w:bCs/>
          <w:color w:val="auto"/>
          <w:sz w:val="36"/>
          <w:szCs w:val="36"/>
          <w:highlight w:val="none"/>
        </w:rPr>
        <w:t>月</w:t>
      </w:r>
      <w:r>
        <w:rPr>
          <w:rFonts w:hint="eastAsia" w:ascii="宋体" w:hAnsi="宋体" w:cs="宋体"/>
          <w:b/>
          <w:bCs/>
          <w:color w:val="auto"/>
          <w:sz w:val="28"/>
          <w:szCs w:val="28"/>
          <w:highlight w:val="none"/>
        </w:rPr>
        <w:br w:type="page"/>
      </w:r>
      <w:r>
        <w:rPr>
          <w:rFonts w:ascii="黑体" w:hAnsi="黑体" w:eastAsia="黑体"/>
          <w:color w:val="auto"/>
          <w:sz w:val="48"/>
          <w:highlight w:val="none"/>
          <w:lang w:val="zh-CN"/>
        </w:rPr>
        <w:t>目</w:t>
      </w:r>
      <w:r>
        <w:rPr>
          <w:rFonts w:hint="eastAsia" w:ascii="黑体" w:hAnsi="黑体" w:eastAsia="黑体"/>
          <w:color w:val="auto"/>
          <w:sz w:val="48"/>
          <w:highlight w:val="none"/>
        </w:rPr>
        <w:t xml:space="preserve">  </w:t>
      </w:r>
      <w:r>
        <w:rPr>
          <w:rFonts w:ascii="黑体" w:hAnsi="黑体" w:eastAsia="黑体"/>
          <w:color w:val="auto"/>
          <w:sz w:val="48"/>
          <w:highlight w:val="none"/>
          <w:lang w:val="zh-CN"/>
        </w:rPr>
        <w:t>录</w:t>
      </w:r>
    </w:p>
    <w:p>
      <w:pPr>
        <w:rPr>
          <w:color w:val="auto"/>
          <w:highlight w:val="none"/>
          <w:lang w:val="zh-CN"/>
        </w:rPr>
      </w:pPr>
    </w:p>
    <w:p>
      <w:pPr>
        <w:rPr>
          <w:rFonts w:hint="eastAsia"/>
          <w:color w:val="auto"/>
          <w:highlight w:val="none"/>
          <w:lang w:val="zh-CN"/>
        </w:rPr>
      </w:pP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TOC \o "1-3" \h \z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_Toc30569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第一部分  磋商邀请函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_Toc30569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_Toc16038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第二部分  供应商须知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_Toc16038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_Toc28933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（一）总则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_Toc28933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_Toc32524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（二）</w:t>
      </w:r>
      <w:r>
        <w:rPr>
          <w:rFonts w:hint="eastAsia" w:ascii="宋体" w:hAnsi="宋体" w:eastAsia="宋体" w:cs="宋体"/>
          <w:bCs/>
          <w:sz w:val="28"/>
          <w:szCs w:val="28"/>
          <w:highlight w:val="none"/>
          <w:lang w:val="en-GB"/>
        </w:rPr>
        <w:t>竞争性磋商</w:t>
      </w:r>
      <w:r>
        <w:rPr>
          <w:rFonts w:hint="eastAsia" w:ascii="宋体" w:hAnsi="宋体" w:eastAsia="宋体" w:cs="宋体"/>
          <w:sz w:val="28"/>
          <w:szCs w:val="28"/>
          <w:highlight w:val="none"/>
        </w:rPr>
        <w:t>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_Toc32524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_Toc16625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（三）竞争性磋商文件的编制和数量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_Toc16625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_Toc8046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（四）响应文件的递交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_Toc8046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_Toc12451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lang w:val="en-GB"/>
        </w:rPr>
        <w:t>（五）响应文件的开启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_Toc12451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_Toc16522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（六）</w:t>
      </w:r>
      <w:r>
        <w:rPr>
          <w:rFonts w:hint="eastAsia" w:ascii="宋体" w:hAnsi="宋体" w:eastAsia="宋体" w:cs="宋体"/>
          <w:sz w:val="28"/>
          <w:szCs w:val="28"/>
          <w:highlight w:val="none"/>
          <w:lang w:val="en-GB"/>
        </w:rPr>
        <w:t>磋商、评审及成交</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_Toc16522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_Toc9769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第三部分  合同条款及格式</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仅供参考</w:t>
      </w:r>
      <w:r>
        <w:rPr>
          <w:rFonts w:hint="eastAsia" w:ascii="宋体" w:hAnsi="宋体" w:eastAsia="宋体" w:cs="宋体"/>
          <w:sz w:val="28"/>
          <w:szCs w:val="28"/>
          <w:highlight w:val="none"/>
          <w:lang w:eastAsia="zh-CN"/>
        </w:rPr>
        <w:t>）</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_Toc9769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_Toc23420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第四部分  响应文件内容及格式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_Toc23420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pStyle w:val="19"/>
        <w:keepNext w:val="0"/>
        <w:keepLines w:val="0"/>
        <w:pageBreakBefore w:val="0"/>
        <w:widowControl w:val="0"/>
        <w:tabs>
          <w:tab w:val="right" w:leader="dot" w:pos="8868"/>
        </w:tabs>
        <w:kinsoku/>
        <w:wordWrap/>
        <w:overflowPunct/>
        <w:topLinePunct w:val="0"/>
        <w:autoSpaceDE/>
        <w:autoSpaceDN/>
        <w:bidi w:val="0"/>
        <w:adjustRightInd/>
        <w:snapToGrid/>
        <w:spacing w:line="720" w:lineRule="auto"/>
        <w:textAlignment w:val="auto"/>
        <w:rPr>
          <w:rFonts w:hint="eastAsia" w:ascii="宋体" w:hAnsi="宋体" w:eastAsia="宋体" w:cs="宋体"/>
          <w:sz w:val="28"/>
          <w:szCs w:val="28"/>
        </w:rPr>
      </w:pPr>
      <w:r>
        <w:rPr>
          <w:rFonts w:hint="eastAsia" w:ascii="宋体" w:hAnsi="宋体" w:eastAsia="宋体" w:cs="宋体"/>
          <w:bCs/>
          <w:color w:val="auto"/>
          <w:sz w:val="28"/>
          <w:szCs w:val="28"/>
          <w:highlight w:val="none"/>
          <w:lang w:val="zh-CN"/>
        </w:rPr>
        <w:fldChar w:fldCharType="begin"/>
      </w:r>
      <w:r>
        <w:rPr>
          <w:rFonts w:hint="eastAsia" w:ascii="宋体" w:hAnsi="宋体" w:eastAsia="宋体" w:cs="宋体"/>
          <w:bCs/>
          <w:sz w:val="28"/>
          <w:szCs w:val="28"/>
          <w:highlight w:val="none"/>
          <w:lang w:val="zh-CN"/>
        </w:rPr>
        <w:instrText xml:space="preserve"> HYPERLINK \l _Toc350 </w:instrText>
      </w:r>
      <w:r>
        <w:rPr>
          <w:rFonts w:hint="eastAsia" w:ascii="宋体" w:hAnsi="宋体" w:eastAsia="宋体" w:cs="宋体"/>
          <w:bCs/>
          <w:sz w:val="28"/>
          <w:szCs w:val="28"/>
          <w:highlight w:val="none"/>
          <w:lang w:val="zh-CN"/>
        </w:rPr>
        <w:fldChar w:fldCharType="separate"/>
      </w:r>
      <w:r>
        <w:rPr>
          <w:rFonts w:hint="eastAsia" w:ascii="宋体" w:hAnsi="宋体" w:eastAsia="宋体" w:cs="宋体"/>
          <w:sz w:val="28"/>
          <w:szCs w:val="28"/>
          <w:highlight w:val="none"/>
        </w:rPr>
        <w:t>第五部分  用户需求书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_Toc350 \h </w:instrText>
      </w:r>
      <w:r>
        <w:rPr>
          <w:rFonts w:hint="eastAsia" w:ascii="宋体" w:hAnsi="宋体" w:eastAsia="宋体" w:cs="宋体"/>
          <w:sz w:val="28"/>
          <w:szCs w:val="28"/>
        </w:rPr>
        <w:fldChar w:fldCharType="separate"/>
      </w:r>
      <w:r>
        <w:rPr>
          <w:rFonts w:hint="eastAsia" w:ascii="宋体" w:hAnsi="宋体" w:eastAsia="宋体" w:cs="宋体"/>
          <w:sz w:val="28"/>
          <w:szCs w:val="28"/>
        </w:rPr>
        <w:t>39</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zh-CN"/>
        </w:rPr>
        <w:fldChar w:fldCharType="end"/>
      </w:r>
    </w:p>
    <w:p>
      <w:pPr>
        <w:spacing w:before="312" w:beforeLines="100" w:after="312" w:afterLines="100"/>
        <w:rPr>
          <w:color w:val="auto"/>
          <w:highlight w:val="none"/>
        </w:rPr>
      </w:pPr>
      <w:r>
        <w:rPr>
          <w:rFonts w:hint="eastAsia" w:ascii="宋体" w:hAnsi="宋体" w:eastAsia="宋体" w:cs="宋体"/>
          <w:bCs/>
          <w:color w:val="auto"/>
          <w:sz w:val="28"/>
          <w:szCs w:val="28"/>
          <w:highlight w:val="none"/>
          <w:lang w:val="zh-CN"/>
        </w:rPr>
        <w:fldChar w:fldCharType="end"/>
      </w:r>
    </w:p>
    <w:p>
      <w:pPr>
        <w:spacing w:line="360" w:lineRule="auto"/>
        <w:ind w:right="57"/>
        <w:rPr>
          <w:rStyle w:val="50"/>
          <w:rFonts w:hint="eastAsia" w:ascii="宋体" w:hAnsi="宋体" w:cs="宋体"/>
          <w:b/>
          <w:color w:val="auto"/>
          <w:sz w:val="24"/>
          <w:szCs w:val="24"/>
          <w:highlight w:val="none"/>
        </w:rPr>
      </w:pPr>
    </w:p>
    <w:p>
      <w:pPr>
        <w:spacing w:line="360" w:lineRule="auto"/>
        <w:jc w:val="center"/>
        <w:rPr>
          <w:rStyle w:val="50"/>
          <w:rFonts w:hint="eastAsia" w:ascii="宋体" w:hAnsi="宋体" w:cs="宋体"/>
          <w:b/>
          <w:color w:val="auto"/>
          <w:sz w:val="44"/>
          <w:szCs w:val="44"/>
          <w:highlight w:val="none"/>
        </w:rPr>
      </w:pPr>
    </w:p>
    <w:p>
      <w:pPr>
        <w:spacing w:line="360" w:lineRule="auto"/>
        <w:jc w:val="center"/>
        <w:rPr>
          <w:rStyle w:val="50"/>
          <w:rFonts w:hint="eastAsia" w:ascii="宋体" w:hAnsi="宋体" w:cs="宋体"/>
          <w:b/>
          <w:color w:val="auto"/>
          <w:sz w:val="44"/>
          <w:szCs w:val="44"/>
          <w:highlight w:val="none"/>
        </w:rPr>
        <w:sectPr>
          <w:footerReference r:id="rId3" w:type="default"/>
          <w:pgSz w:w="11906" w:h="16838"/>
          <w:pgMar w:top="1258" w:right="1519" w:bottom="1258" w:left="1519" w:header="907" w:footer="907" w:gutter="0"/>
          <w:pgBorders>
            <w:top w:val="none" w:sz="0" w:space="0"/>
            <w:left w:val="none" w:sz="0" w:space="0"/>
            <w:bottom w:val="none" w:sz="0" w:space="0"/>
            <w:right w:val="none" w:sz="0" w:space="0"/>
          </w:pgBorders>
          <w:cols w:space="708" w:num="1"/>
          <w:titlePg/>
          <w:docGrid w:type="lines" w:linePitch="312" w:charSpace="0"/>
        </w:sectPr>
      </w:pPr>
    </w:p>
    <w:p>
      <w:pPr>
        <w:spacing w:before="156" w:beforeLines="50" w:after="156" w:afterLines="50" w:line="360" w:lineRule="auto"/>
        <w:jc w:val="center"/>
        <w:outlineLvl w:val="0"/>
        <w:rPr>
          <w:rStyle w:val="50"/>
          <w:rFonts w:hint="eastAsia" w:ascii="宋体" w:hAnsi="宋体" w:cs="宋体"/>
          <w:b/>
          <w:color w:val="auto"/>
          <w:sz w:val="44"/>
          <w:szCs w:val="44"/>
          <w:highlight w:val="none"/>
        </w:rPr>
      </w:pPr>
      <w:bookmarkStart w:id="3" w:name="_Toc30569"/>
      <w:r>
        <w:rPr>
          <w:rStyle w:val="50"/>
          <w:rFonts w:hint="eastAsia" w:ascii="宋体" w:hAnsi="宋体" w:cs="宋体"/>
          <w:b/>
          <w:color w:val="auto"/>
          <w:sz w:val="44"/>
          <w:szCs w:val="44"/>
          <w:highlight w:val="none"/>
        </w:rPr>
        <w:t>第一部分  磋商邀请函</w:t>
      </w:r>
      <w:bookmarkEnd w:id="3"/>
    </w:p>
    <w:p>
      <w:pPr>
        <w:shd w:val="clear" w:color="auto" w:fill="FFFFFF"/>
        <w:spacing w:line="489" w:lineRule="atLeast"/>
        <w:ind w:firstLine="480"/>
        <w:rPr>
          <w:rFonts w:ascii="宋体" w:hAnsi="宋体" w:eastAsia="宋体"/>
          <w:b/>
          <w:bCs/>
          <w:color w:val="auto"/>
          <w:sz w:val="24"/>
        </w:rPr>
      </w:pPr>
      <w:r>
        <w:rPr>
          <w:rFonts w:hint="eastAsia" w:ascii="宋体" w:hAnsi="宋体" w:eastAsia="宋体"/>
          <w:b/>
          <w:bCs/>
          <w:color w:val="auto"/>
          <w:sz w:val="24"/>
        </w:rPr>
        <w:t>项目概况</w:t>
      </w:r>
    </w:p>
    <w:p>
      <w:pPr>
        <w:shd w:val="clear" w:color="auto" w:fill="FFFFFF"/>
        <w:spacing w:line="489" w:lineRule="atLeast"/>
        <w:ind w:firstLine="480"/>
        <w:rPr>
          <w:rFonts w:ascii="宋体" w:hAnsi="宋体" w:eastAsia="宋体"/>
          <w:color w:val="auto"/>
          <w:sz w:val="24"/>
        </w:rPr>
      </w:pPr>
      <w:r>
        <w:rPr>
          <w:rFonts w:hint="eastAsia" w:ascii="宋体" w:hAnsi="宋体" w:cs="宋体"/>
          <w:color w:val="auto"/>
          <w:sz w:val="24"/>
          <w:highlight w:val="none"/>
          <w:u w:val="single"/>
          <w:lang w:val="zh-CN"/>
        </w:rPr>
        <w:t>2023年万宁市建成区及兴隆区、和乐镇病媒生物防制服务项目</w:t>
      </w:r>
      <w:r>
        <w:rPr>
          <w:rFonts w:hint="eastAsia" w:ascii="宋体" w:hAnsi="宋体" w:eastAsia="宋体"/>
          <w:color w:val="auto"/>
          <w:sz w:val="24"/>
        </w:rPr>
        <w:t>的潜在投标人应</w:t>
      </w:r>
      <w:r>
        <w:rPr>
          <w:rFonts w:hint="eastAsia" w:ascii="宋体" w:hAnsi="宋体" w:eastAsia="宋体"/>
          <w:color w:val="auto"/>
          <w:sz w:val="24"/>
          <w:lang w:val="en-US" w:eastAsia="zh-CN"/>
        </w:rPr>
        <w:t>在</w:t>
      </w:r>
      <w:r>
        <w:rPr>
          <w:rFonts w:hint="eastAsia" w:ascii="宋体" w:hAnsi="宋体" w:eastAsia="宋体"/>
          <w:color w:val="auto"/>
          <w:sz w:val="24"/>
          <w:u w:val="single"/>
          <w:lang w:val="en-US" w:eastAsia="zh-CN"/>
        </w:rPr>
        <w:t>海南</w:t>
      </w:r>
      <w:r>
        <w:rPr>
          <w:rFonts w:hint="eastAsia" w:ascii="宋体" w:hAnsi="宋体"/>
          <w:color w:val="auto"/>
          <w:sz w:val="24"/>
          <w:u w:val="single"/>
          <w:lang w:val="en-US" w:eastAsia="zh-CN"/>
        </w:rPr>
        <w:t>省</w:t>
      </w:r>
      <w:r>
        <w:rPr>
          <w:rFonts w:hint="eastAsia" w:ascii="宋体" w:hAnsi="宋体" w:eastAsia="宋体"/>
          <w:color w:val="auto"/>
          <w:sz w:val="24"/>
          <w:u w:val="single"/>
          <w:lang w:val="en-US" w:eastAsia="zh-CN"/>
        </w:rPr>
        <w:t>政府采购网(www.ccgp-hainan.gov.cn)-海南省政府采购电子化交易管理系统(新)</w:t>
      </w:r>
      <w:r>
        <w:rPr>
          <w:rFonts w:hint="eastAsia" w:ascii="宋体" w:hAnsi="宋体" w:eastAsia="宋体"/>
          <w:color w:val="auto"/>
          <w:sz w:val="24"/>
          <w:lang w:val="en-US" w:eastAsia="zh-CN"/>
        </w:rPr>
        <w:t>获取采购</w:t>
      </w:r>
      <w:r>
        <w:rPr>
          <w:rFonts w:hint="eastAsia" w:ascii="宋体" w:hAnsi="宋体" w:eastAsia="宋体"/>
          <w:color w:val="auto"/>
          <w:sz w:val="24"/>
        </w:rPr>
        <w:t>文件，并于</w:t>
      </w:r>
      <w:r>
        <w:rPr>
          <w:rStyle w:val="82"/>
          <w:rFonts w:hint="eastAsia" w:ascii="宋体" w:hAnsi="宋体"/>
          <w:color w:val="auto"/>
          <w:sz w:val="24"/>
          <w:u w:val="single"/>
          <w:lang w:eastAsia="zh-CN"/>
        </w:rPr>
        <w:t>2023年09月22日14时30分</w:t>
      </w:r>
      <w:r>
        <w:rPr>
          <w:rFonts w:hint="eastAsia" w:ascii="宋体" w:hAnsi="宋体" w:eastAsia="宋体"/>
          <w:color w:val="auto"/>
          <w:sz w:val="24"/>
        </w:rPr>
        <w:t>（北京时间）前提交</w:t>
      </w:r>
      <w:r>
        <w:rPr>
          <w:rFonts w:hint="eastAsia" w:ascii="宋体" w:hAnsi="宋体" w:eastAsia="宋体"/>
          <w:color w:val="auto"/>
          <w:sz w:val="24"/>
          <w:lang w:val="en-US" w:eastAsia="zh-CN"/>
        </w:rPr>
        <w:t>响应</w:t>
      </w:r>
      <w:r>
        <w:rPr>
          <w:rFonts w:hint="eastAsia" w:ascii="宋体" w:hAnsi="宋体" w:eastAsia="宋体"/>
          <w:color w:val="auto"/>
          <w:sz w:val="24"/>
        </w:rPr>
        <w:t>文件。</w:t>
      </w:r>
    </w:p>
    <w:p>
      <w:pPr>
        <w:shd w:val="clear" w:color="auto" w:fill="FFFFFF"/>
        <w:spacing w:line="408" w:lineRule="atLeast"/>
        <w:ind w:firstLine="480"/>
        <w:outlineLvl w:val="1"/>
        <w:rPr>
          <w:rFonts w:ascii="宋体" w:hAnsi="宋体" w:eastAsia="宋体"/>
          <w:b/>
          <w:bCs/>
          <w:color w:val="auto"/>
          <w:sz w:val="24"/>
        </w:rPr>
      </w:pPr>
      <w:bookmarkStart w:id="4" w:name="_Toc24418"/>
      <w:bookmarkStart w:id="5" w:name="_Toc20413"/>
      <w:bookmarkStart w:id="6" w:name="_Toc4876"/>
      <w:bookmarkStart w:id="7" w:name="_Toc6028"/>
      <w:bookmarkStart w:id="8" w:name="_Toc30576"/>
      <w:r>
        <w:rPr>
          <w:rFonts w:hint="eastAsia" w:ascii="宋体" w:hAnsi="宋体" w:eastAsia="宋体"/>
          <w:b/>
          <w:bCs/>
          <w:color w:val="auto"/>
          <w:sz w:val="24"/>
        </w:rPr>
        <w:t>一、项目基本情况</w:t>
      </w:r>
      <w:bookmarkEnd w:id="4"/>
      <w:bookmarkEnd w:id="5"/>
      <w:bookmarkEnd w:id="6"/>
      <w:bookmarkEnd w:id="7"/>
      <w:bookmarkEnd w:id="8"/>
    </w:p>
    <w:p>
      <w:pPr>
        <w:shd w:val="clear" w:color="auto" w:fill="FFFFFF"/>
        <w:spacing w:line="489" w:lineRule="atLeast"/>
        <w:ind w:firstLine="480"/>
        <w:rPr>
          <w:rFonts w:hint="eastAsia" w:ascii="宋体" w:hAnsi="宋体" w:eastAsia="宋体"/>
          <w:color w:val="auto"/>
          <w:sz w:val="24"/>
          <w:lang w:eastAsia="zh-CN"/>
        </w:rPr>
      </w:pPr>
      <w:r>
        <w:rPr>
          <w:rFonts w:hint="eastAsia" w:ascii="宋体" w:hAnsi="宋体"/>
          <w:color w:val="auto"/>
          <w:sz w:val="24"/>
          <w:lang w:val="en-US" w:eastAsia="zh-CN"/>
        </w:rPr>
        <w:t>1.</w:t>
      </w:r>
      <w:r>
        <w:rPr>
          <w:rFonts w:hint="eastAsia" w:ascii="宋体" w:hAnsi="宋体" w:eastAsia="宋体"/>
          <w:color w:val="auto"/>
          <w:sz w:val="24"/>
        </w:rPr>
        <w:t>项目编号：</w:t>
      </w:r>
      <w:r>
        <w:rPr>
          <w:rStyle w:val="82"/>
          <w:rFonts w:hint="eastAsia" w:ascii="宋体" w:hAnsi="宋体"/>
          <w:color w:val="auto"/>
          <w:sz w:val="24"/>
          <w:u w:val="none"/>
          <w:lang w:eastAsia="zh-CN"/>
        </w:rPr>
        <w:t>HNTS-2023-056</w:t>
      </w:r>
    </w:p>
    <w:p>
      <w:pPr>
        <w:shd w:val="clear" w:color="auto" w:fill="FFFFFF"/>
        <w:spacing w:line="489" w:lineRule="atLeast"/>
        <w:ind w:firstLine="480"/>
        <w:rPr>
          <w:rStyle w:val="82"/>
          <w:rFonts w:hint="eastAsia" w:ascii="宋体" w:hAnsi="宋体" w:eastAsia="宋体"/>
          <w:color w:val="auto"/>
          <w:sz w:val="24"/>
          <w:u w:val="single"/>
          <w:lang w:eastAsia="zh-CN"/>
        </w:rPr>
      </w:pPr>
      <w:r>
        <w:rPr>
          <w:rFonts w:hint="eastAsia" w:ascii="宋体" w:hAnsi="宋体"/>
          <w:color w:val="auto"/>
          <w:sz w:val="24"/>
          <w:lang w:val="en-US" w:eastAsia="zh-CN"/>
        </w:rPr>
        <w:t>2.</w:t>
      </w:r>
      <w:r>
        <w:rPr>
          <w:rFonts w:hint="eastAsia" w:ascii="宋体" w:hAnsi="宋体" w:eastAsia="宋体"/>
          <w:color w:val="auto"/>
          <w:sz w:val="24"/>
        </w:rPr>
        <w:t>项目名称：</w:t>
      </w:r>
      <w:r>
        <w:rPr>
          <w:rFonts w:hint="eastAsia" w:ascii="宋体" w:hAnsi="宋体"/>
          <w:color w:val="auto"/>
          <w:sz w:val="24"/>
          <w:lang w:eastAsia="zh-CN"/>
        </w:rPr>
        <w:t>2023年万宁市建成区及兴隆区、和乐镇病媒生物防制服务项目</w:t>
      </w:r>
    </w:p>
    <w:p>
      <w:pPr>
        <w:shd w:val="clear" w:color="auto" w:fill="FFFFFF"/>
        <w:spacing w:line="489" w:lineRule="atLeast"/>
        <w:ind w:firstLine="480"/>
        <w:rPr>
          <w:rFonts w:hint="eastAsia" w:ascii="宋体" w:hAnsi="宋体" w:eastAsia="宋体"/>
          <w:color w:val="auto"/>
          <w:sz w:val="24"/>
        </w:rPr>
      </w:pPr>
      <w:r>
        <w:rPr>
          <w:rFonts w:hint="eastAsia" w:ascii="宋体" w:hAnsi="宋体"/>
          <w:color w:val="auto"/>
          <w:sz w:val="24"/>
          <w:lang w:val="en-US" w:eastAsia="zh-CN"/>
        </w:rPr>
        <w:t>3.</w:t>
      </w:r>
      <w:r>
        <w:rPr>
          <w:rFonts w:hint="eastAsia" w:ascii="宋体" w:hAnsi="宋体" w:eastAsia="宋体"/>
          <w:color w:val="auto"/>
          <w:sz w:val="24"/>
        </w:rPr>
        <w:t>预算金额：</w:t>
      </w:r>
      <w:r>
        <w:rPr>
          <w:rFonts w:hint="eastAsia" w:ascii="宋体" w:hAnsi="宋体" w:cs="宋体"/>
          <w:sz w:val="24"/>
        </w:rPr>
        <w:t>¥</w:t>
      </w:r>
      <w:r>
        <w:rPr>
          <w:rFonts w:hint="eastAsia" w:ascii="宋体" w:hAnsi="宋体"/>
          <w:color w:val="auto"/>
          <w:sz w:val="24"/>
          <w:lang w:eastAsia="zh-CN"/>
        </w:rPr>
        <w:t>2902000.00</w:t>
      </w:r>
      <w:r>
        <w:rPr>
          <w:rFonts w:hint="eastAsia" w:ascii="宋体" w:hAnsi="宋体" w:eastAsia="宋体"/>
          <w:color w:val="auto"/>
          <w:sz w:val="24"/>
        </w:rPr>
        <w:t>元</w:t>
      </w:r>
      <w:r>
        <w:rPr>
          <w:rFonts w:hint="eastAsia" w:ascii="宋体" w:hAnsi="宋体"/>
          <w:color w:val="auto"/>
          <w:sz w:val="24"/>
          <w:lang w:eastAsia="zh-CN"/>
        </w:rPr>
        <w:t>，</w:t>
      </w:r>
      <w:r>
        <w:rPr>
          <w:rFonts w:hint="eastAsia" w:ascii="宋体" w:hAnsi="宋体"/>
          <w:color w:val="auto"/>
          <w:sz w:val="24"/>
          <w:lang w:val="en-US" w:eastAsia="zh-CN"/>
        </w:rPr>
        <w:t>其中，A包</w:t>
      </w:r>
      <w:r>
        <w:rPr>
          <w:rFonts w:hint="eastAsia" w:ascii="宋体" w:hAnsi="宋体" w:cs="宋体"/>
          <w:sz w:val="24"/>
        </w:rPr>
        <w:t>¥</w:t>
      </w:r>
      <w:r>
        <w:rPr>
          <w:rFonts w:hint="eastAsia" w:ascii="宋体" w:hAnsi="宋体"/>
          <w:color w:val="auto"/>
          <w:sz w:val="24"/>
          <w:lang w:val="en-US" w:eastAsia="zh-CN"/>
        </w:rPr>
        <w:t>1251000.00元，B包</w:t>
      </w:r>
      <w:r>
        <w:rPr>
          <w:rFonts w:hint="eastAsia" w:ascii="宋体" w:hAnsi="宋体" w:cs="宋体"/>
          <w:sz w:val="24"/>
        </w:rPr>
        <w:t>¥</w:t>
      </w:r>
      <w:r>
        <w:rPr>
          <w:rFonts w:hint="eastAsia" w:ascii="宋体" w:hAnsi="宋体"/>
          <w:color w:val="auto"/>
          <w:sz w:val="24"/>
          <w:lang w:val="en-US" w:eastAsia="zh-CN"/>
        </w:rPr>
        <w:t>1251000.00元</w:t>
      </w:r>
      <w:r>
        <w:rPr>
          <w:rFonts w:hint="eastAsia" w:ascii="宋体" w:hAnsi="宋体" w:eastAsia="宋体"/>
          <w:color w:val="auto"/>
          <w:sz w:val="24"/>
        </w:rPr>
        <w:t>（投标报价不得高于采购预算或最高限价，否则按无效投标处理）</w:t>
      </w:r>
    </w:p>
    <w:tbl>
      <w:tblPr>
        <w:tblStyle w:val="24"/>
        <w:tblW w:w="31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2357"/>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pct"/>
            <w:noWrap w:val="0"/>
            <w:vAlign w:val="center"/>
          </w:tcPr>
          <w:p>
            <w:pPr>
              <w:widowControl/>
              <w:spacing w:line="500" w:lineRule="exact"/>
              <w:jc w:val="center"/>
              <w:rPr>
                <w:rFonts w:hint="eastAsia" w:ascii="宋体" w:hAnsi="宋体" w:cs="微软雅黑"/>
                <w:szCs w:val="21"/>
              </w:rPr>
            </w:pPr>
            <w:r>
              <w:rPr>
                <w:rFonts w:hint="eastAsia" w:ascii="宋体" w:hAnsi="宋体" w:cs="微软雅黑"/>
                <w:b/>
                <w:kern w:val="0"/>
                <w:szCs w:val="21"/>
                <w:lang w:bidi="ar"/>
              </w:rPr>
              <w:t>标包名称</w:t>
            </w:r>
          </w:p>
        </w:tc>
        <w:tc>
          <w:tcPr>
            <w:tcW w:w="1954"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预算金额(元)</w:t>
            </w:r>
          </w:p>
        </w:tc>
        <w:tc>
          <w:tcPr>
            <w:tcW w:w="1930"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A包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30"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5"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B包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30"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bl>
    <w:p>
      <w:pPr>
        <w:shd w:val="clear" w:color="auto" w:fill="FFFFFF"/>
        <w:spacing w:line="489" w:lineRule="atLeast"/>
        <w:ind w:firstLine="480"/>
        <w:rPr>
          <w:rFonts w:hint="eastAsia" w:ascii="宋体" w:hAnsi="宋体" w:eastAsia="宋体"/>
          <w:color w:val="auto"/>
          <w:sz w:val="24"/>
        </w:rPr>
      </w:pPr>
      <w:r>
        <w:rPr>
          <w:rFonts w:hint="eastAsia" w:ascii="宋体" w:hAnsi="宋体"/>
          <w:color w:val="auto"/>
          <w:sz w:val="24"/>
          <w:lang w:val="en-US" w:eastAsia="zh-CN"/>
        </w:rPr>
        <w:t>4.</w:t>
      </w:r>
      <w:r>
        <w:rPr>
          <w:rFonts w:hint="eastAsia" w:ascii="宋体" w:hAnsi="宋体" w:eastAsia="宋体"/>
          <w:color w:val="auto"/>
          <w:sz w:val="24"/>
        </w:rPr>
        <w:t>最高限价：</w:t>
      </w:r>
      <w:r>
        <w:rPr>
          <w:rFonts w:hint="eastAsia" w:ascii="宋体" w:hAnsi="宋体" w:cs="宋体"/>
          <w:sz w:val="24"/>
        </w:rPr>
        <w:t>¥</w:t>
      </w:r>
      <w:r>
        <w:rPr>
          <w:rFonts w:hint="eastAsia" w:ascii="宋体" w:hAnsi="宋体"/>
          <w:color w:val="auto"/>
          <w:sz w:val="24"/>
          <w:lang w:eastAsia="zh-CN"/>
        </w:rPr>
        <w:t>2902000.00</w:t>
      </w:r>
      <w:r>
        <w:rPr>
          <w:rFonts w:hint="eastAsia" w:ascii="宋体" w:hAnsi="宋体" w:eastAsia="宋体"/>
          <w:color w:val="auto"/>
          <w:sz w:val="24"/>
        </w:rPr>
        <w:t>元</w:t>
      </w:r>
      <w:r>
        <w:rPr>
          <w:rFonts w:hint="eastAsia" w:ascii="宋体" w:hAnsi="宋体"/>
          <w:color w:val="auto"/>
          <w:sz w:val="24"/>
          <w:lang w:eastAsia="zh-CN"/>
        </w:rPr>
        <w:t>，</w:t>
      </w:r>
      <w:r>
        <w:rPr>
          <w:rFonts w:hint="eastAsia" w:ascii="宋体" w:hAnsi="宋体"/>
          <w:color w:val="auto"/>
          <w:sz w:val="24"/>
          <w:lang w:val="en-US" w:eastAsia="zh-CN"/>
        </w:rPr>
        <w:t>其中，A包</w:t>
      </w:r>
      <w:r>
        <w:rPr>
          <w:rFonts w:hint="eastAsia" w:ascii="宋体" w:hAnsi="宋体" w:cs="宋体"/>
          <w:sz w:val="24"/>
        </w:rPr>
        <w:t>¥</w:t>
      </w:r>
      <w:r>
        <w:rPr>
          <w:rFonts w:hint="eastAsia" w:ascii="宋体" w:hAnsi="宋体"/>
          <w:color w:val="auto"/>
          <w:sz w:val="24"/>
          <w:lang w:val="en-US" w:eastAsia="zh-CN"/>
        </w:rPr>
        <w:t>1251000.00元，B包</w:t>
      </w:r>
      <w:r>
        <w:rPr>
          <w:rFonts w:hint="eastAsia" w:ascii="宋体" w:hAnsi="宋体" w:cs="宋体"/>
          <w:sz w:val="24"/>
        </w:rPr>
        <w:t>¥</w:t>
      </w:r>
      <w:r>
        <w:rPr>
          <w:rFonts w:hint="eastAsia" w:ascii="宋体" w:hAnsi="宋体"/>
          <w:color w:val="auto"/>
          <w:sz w:val="24"/>
          <w:lang w:val="en-US" w:eastAsia="zh-CN"/>
        </w:rPr>
        <w:t>1251000.00元</w:t>
      </w:r>
      <w:r>
        <w:rPr>
          <w:rFonts w:hint="eastAsia" w:ascii="宋体" w:hAnsi="宋体" w:eastAsia="宋体"/>
          <w:color w:val="auto"/>
          <w:sz w:val="24"/>
        </w:rPr>
        <w:t>（投标报价不得高于采购预算或最高限价，否则按无效投标处理）</w:t>
      </w:r>
    </w:p>
    <w:tbl>
      <w:tblPr>
        <w:tblStyle w:val="24"/>
        <w:tblW w:w="31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2357"/>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pct"/>
            <w:noWrap w:val="0"/>
            <w:vAlign w:val="center"/>
          </w:tcPr>
          <w:p>
            <w:pPr>
              <w:widowControl/>
              <w:spacing w:line="500" w:lineRule="exact"/>
              <w:jc w:val="center"/>
              <w:rPr>
                <w:rFonts w:hint="eastAsia" w:ascii="宋体" w:hAnsi="宋体" w:cs="微软雅黑"/>
                <w:szCs w:val="21"/>
              </w:rPr>
            </w:pPr>
            <w:r>
              <w:rPr>
                <w:rFonts w:hint="eastAsia" w:ascii="宋体" w:hAnsi="宋体" w:cs="微软雅黑"/>
                <w:b/>
                <w:kern w:val="0"/>
                <w:szCs w:val="21"/>
                <w:lang w:bidi="ar"/>
              </w:rPr>
              <w:t>标包名称</w:t>
            </w:r>
          </w:p>
        </w:tc>
        <w:tc>
          <w:tcPr>
            <w:tcW w:w="1954"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预算金额(元)</w:t>
            </w:r>
          </w:p>
        </w:tc>
        <w:tc>
          <w:tcPr>
            <w:tcW w:w="1929" w:type="pct"/>
            <w:noWrap w:val="0"/>
            <w:vAlign w:val="center"/>
          </w:tcPr>
          <w:p>
            <w:pPr>
              <w:widowControl/>
              <w:spacing w:line="500" w:lineRule="exact"/>
              <w:ind w:firstLine="422" w:firstLineChars="200"/>
              <w:rPr>
                <w:rFonts w:hint="eastAsia" w:ascii="宋体" w:hAnsi="宋体" w:cs="微软雅黑"/>
                <w:szCs w:val="21"/>
              </w:rPr>
            </w:pPr>
            <w:r>
              <w:rPr>
                <w:rFonts w:hint="eastAsia" w:ascii="宋体" w:hAnsi="宋体" w:cs="微软雅黑"/>
                <w:b/>
                <w:kern w:val="0"/>
                <w:szCs w:val="21"/>
                <w:lang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6"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A包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pct"/>
            <w:noWrap w:val="0"/>
            <w:vAlign w:val="center"/>
          </w:tcPr>
          <w:p>
            <w:pPr>
              <w:widowControl/>
              <w:tabs>
                <w:tab w:val="left" w:pos="420"/>
              </w:tabs>
              <w:spacing w:line="500" w:lineRule="exact"/>
              <w:ind w:firstLine="420" w:firstLineChars="200"/>
              <w:rPr>
                <w:rFonts w:hint="eastAsia" w:ascii="宋体" w:hAnsi="宋体" w:cs="微软雅黑"/>
                <w:szCs w:val="21"/>
              </w:rPr>
            </w:pPr>
            <w:r>
              <w:rPr>
                <w:rFonts w:hint="eastAsia" w:ascii="宋体" w:hAnsi="宋体" w:cs="微软雅黑"/>
                <w:kern w:val="0"/>
                <w:szCs w:val="21"/>
                <w:lang w:bidi="ar"/>
              </w:rPr>
              <w:t>B包</w:t>
            </w:r>
          </w:p>
        </w:tc>
        <w:tc>
          <w:tcPr>
            <w:tcW w:w="1954"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c>
          <w:tcPr>
            <w:tcW w:w="1929" w:type="pct"/>
            <w:noWrap w:val="0"/>
            <w:vAlign w:val="center"/>
          </w:tcPr>
          <w:p>
            <w:pPr>
              <w:pStyle w:val="21"/>
              <w:spacing w:before="0" w:beforeAutospacing="0" w:after="0" w:afterAutospacing="0" w:line="500" w:lineRule="exact"/>
              <w:ind w:firstLine="480" w:firstLineChars="200"/>
              <w:jc w:val="both"/>
              <w:textAlignment w:val="baseline"/>
              <w:rPr>
                <w:rFonts w:hint="eastAsia" w:cs="微软雅黑"/>
                <w:color w:val="auto"/>
                <w:sz w:val="21"/>
                <w:szCs w:val="21"/>
              </w:rPr>
            </w:pPr>
            <w:r>
              <w:rPr>
                <w:rFonts w:hint="eastAsia" w:ascii="宋体" w:hAnsi="宋体" w:cs="宋体"/>
                <w:sz w:val="24"/>
              </w:rPr>
              <w:t>¥</w:t>
            </w:r>
            <w:r>
              <w:rPr>
                <w:rFonts w:hint="eastAsia" w:cs="微软雅黑"/>
                <w:color w:val="auto"/>
                <w:sz w:val="21"/>
                <w:szCs w:val="21"/>
              </w:rPr>
              <w:t>1251000.00</w:t>
            </w:r>
          </w:p>
        </w:tc>
      </w:tr>
    </w:tbl>
    <w:p>
      <w:pPr>
        <w:shd w:val="clear" w:color="auto" w:fill="FFFFFF"/>
        <w:spacing w:line="489" w:lineRule="atLeast"/>
        <w:ind w:firstLine="480"/>
        <w:rPr>
          <w:rFonts w:ascii="宋体" w:hAnsi="宋体" w:eastAsia="宋体"/>
          <w:color w:val="auto"/>
          <w:sz w:val="24"/>
        </w:rPr>
      </w:pPr>
      <w:r>
        <w:rPr>
          <w:rFonts w:hint="eastAsia" w:ascii="宋体" w:hAnsi="宋体"/>
          <w:color w:val="auto"/>
          <w:sz w:val="24"/>
          <w:lang w:val="en-US" w:eastAsia="zh-CN"/>
        </w:rPr>
        <w:t>5.</w:t>
      </w:r>
      <w:r>
        <w:rPr>
          <w:rFonts w:hint="eastAsia" w:ascii="宋体" w:hAnsi="宋体" w:eastAsia="宋体"/>
          <w:color w:val="auto"/>
          <w:sz w:val="24"/>
        </w:rPr>
        <w:t>采购需求：具体要求详见</w:t>
      </w:r>
      <w:r>
        <w:rPr>
          <w:rFonts w:hint="eastAsia" w:ascii="宋体" w:hAnsi="宋体" w:eastAsia="宋体"/>
          <w:color w:val="auto"/>
          <w:sz w:val="24"/>
          <w:lang w:val="en-US" w:eastAsia="zh-CN"/>
        </w:rPr>
        <w:t>采购</w:t>
      </w:r>
      <w:r>
        <w:rPr>
          <w:rFonts w:hint="eastAsia" w:ascii="宋体" w:hAnsi="宋体" w:eastAsia="宋体"/>
          <w:color w:val="auto"/>
          <w:sz w:val="24"/>
        </w:rPr>
        <w:t>文件（第五部分用户需求书）；</w:t>
      </w:r>
    </w:p>
    <w:p>
      <w:pPr>
        <w:shd w:val="clear" w:color="auto" w:fill="FFFFFF"/>
        <w:spacing w:line="489" w:lineRule="atLeast"/>
        <w:ind w:firstLine="480"/>
        <w:rPr>
          <w:rFonts w:ascii="宋体" w:hAnsi="宋体" w:eastAsia="宋体"/>
          <w:color w:val="auto"/>
          <w:sz w:val="24"/>
        </w:rPr>
      </w:pPr>
      <w:r>
        <w:rPr>
          <w:rFonts w:hint="eastAsia" w:ascii="宋体" w:hAnsi="宋体" w:cs="宋体"/>
          <w:color w:val="auto"/>
          <w:sz w:val="24"/>
          <w:highlight w:val="none"/>
          <w:lang w:val="en-US" w:eastAsia="zh-CN"/>
        </w:rPr>
        <w:t>6.合同履行期限</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eastAsia="zh-CN"/>
        </w:rPr>
        <w:t>自合同签订生效之日起壹年</w:t>
      </w:r>
      <w:r>
        <w:rPr>
          <w:rFonts w:hint="eastAsia" w:ascii="宋体" w:hAnsi="宋体" w:eastAsia="宋体"/>
          <w:color w:val="auto"/>
          <w:sz w:val="24"/>
        </w:rPr>
        <w:t xml:space="preserve">； </w:t>
      </w:r>
    </w:p>
    <w:p>
      <w:pPr>
        <w:shd w:val="clear" w:color="auto" w:fill="FFFFFF"/>
        <w:spacing w:line="489" w:lineRule="atLeast"/>
        <w:ind w:firstLine="480"/>
        <w:rPr>
          <w:rFonts w:ascii="宋体" w:hAnsi="宋体" w:eastAsia="宋体"/>
          <w:color w:val="auto"/>
          <w:sz w:val="24"/>
        </w:rPr>
      </w:pPr>
      <w:r>
        <w:rPr>
          <w:rFonts w:hint="eastAsia" w:ascii="宋体" w:hAnsi="宋体"/>
          <w:color w:val="auto"/>
          <w:sz w:val="24"/>
          <w:lang w:val="en-US" w:eastAsia="zh-CN"/>
        </w:rPr>
        <w:t>7.</w:t>
      </w:r>
      <w:r>
        <w:rPr>
          <w:rFonts w:hint="eastAsia" w:ascii="宋体" w:hAnsi="宋体" w:eastAsia="宋体"/>
          <w:color w:val="auto"/>
          <w:sz w:val="24"/>
        </w:rPr>
        <w:t>本项目（是/否）接受联合体投标：否</w:t>
      </w:r>
    </w:p>
    <w:p>
      <w:pPr>
        <w:spacing w:line="408" w:lineRule="atLeast"/>
        <w:ind w:firstLine="480"/>
        <w:outlineLvl w:val="1"/>
        <w:rPr>
          <w:rFonts w:ascii="宋体" w:hAnsi="宋体" w:eastAsia="宋体"/>
          <w:b/>
          <w:bCs/>
          <w:color w:val="auto"/>
          <w:sz w:val="24"/>
          <w:shd w:val="clear" w:color="auto" w:fill="FFFFFF"/>
        </w:rPr>
      </w:pPr>
      <w:bookmarkStart w:id="9" w:name="_Toc18279"/>
      <w:bookmarkStart w:id="10" w:name="_Toc12375"/>
      <w:bookmarkStart w:id="11" w:name="_Toc6479"/>
      <w:bookmarkStart w:id="12" w:name="_Toc15575"/>
      <w:bookmarkStart w:id="13" w:name="_Toc18653"/>
      <w:r>
        <w:rPr>
          <w:rFonts w:hint="eastAsia" w:ascii="宋体" w:hAnsi="宋体" w:eastAsia="宋体"/>
          <w:b/>
          <w:bCs/>
          <w:color w:val="auto"/>
          <w:sz w:val="24"/>
          <w:shd w:val="clear" w:color="auto" w:fill="FFFFFF"/>
        </w:rPr>
        <w:t>二、</w:t>
      </w:r>
      <w:r>
        <w:rPr>
          <w:rFonts w:hint="eastAsia" w:ascii="宋体" w:hAnsi="宋体" w:eastAsia="宋体"/>
          <w:b/>
          <w:bCs/>
          <w:color w:val="auto"/>
          <w:sz w:val="24"/>
          <w:shd w:val="clear" w:color="auto" w:fill="FFFFFF"/>
          <w:lang w:val="en-US" w:eastAsia="zh-CN"/>
        </w:rPr>
        <w:t>供应商</w:t>
      </w:r>
      <w:r>
        <w:rPr>
          <w:rFonts w:hint="eastAsia" w:ascii="宋体" w:hAnsi="宋体" w:eastAsia="宋体"/>
          <w:b/>
          <w:bCs/>
          <w:color w:val="auto"/>
          <w:sz w:val="24"/>
          <w:shd w:val="clear" w:color="auto" w:fill="FFFFFF"/>
        </w:rPr>
        <w:t>的资格要求：</w:t>
      </w:r>
      <w:bookmarkEnd w:id="9"/>
      <w:bookmarkEnd w:id="10"/>
      <w:bookmarkEnd w:id="11"/>
      <w:bookmarkEnd w:id="12"/>
      <w:bookmarkEnd w:id="13"/>
    </w:p>
    <w:p>
      <w:pPr>
        <w:spacing w:line="489" w:lineRule="atLeast"/>
        <w:ind w:firstLine="480"/>
        <w:rPr>
          <w:rFonts w:ascii="宋体" w:hAnsi="宋体" w:eastAsia="宋体"/>
          <w:color w:val="auto"/>
          <w:sz w:val="24"/>
          <w:shd w:val="clear" w:color="auto" w:fill="FFFFFF"/>
        </w:rPr>
      </w:pPr>
      <w:r>
        <w:rPr>
          <w:rFonts w:hint="eastAsia" w:ascii="宋体" w:hAnsi="宋体" w:eastAsia="宋体"/>
          <w:color w:val="auto"/>
          <w:sz w:val="24"/>
          <w:shd w:val="clear" w:color="auto" w:fill="FFFFFF"/>
        </w:rPr>
        <w:t>1.满足《中华人民共和国政府采购法》第二十二条规定；</w:t>
      </w:r>
    </w:p>
    <w:p>
      <w:pPr>
        <w:spacing w:line="408" w:lineRule="atLeast"/>
        <w:ind w:firstLine="480"/>
        <w:rPr>
          <w:rFonts w:ascii="宋体" w:hAnsi="宋体" w:cs="宋体"/>
          <w:color w:val="auto"/>
          <w:sz w:val="24"/>
        </w:rPr>
      </w:pPr>
      <w:bookmarkStart w:id="14" w:name="_Toc16237"/>
      <w:r>
        <w:rPr>
          <w:rFonts w:ascii="宋体" w:hAnsi="宋体" w:cs="宋体"/>
          <w:color w:val="auto"/>
          <w:sz w:val="24"/>
        </w:rPr>
        <w:t>2.落实政府采购政策需满足的资格要求：无</w:t>
      </w:r>
    </w:p>
    <w:p>
      <w:pPr>
        <w:spacing w:line="408" w:lineRule="atLeast"/>
        <w:ind w:firstLine="480"/>
        <w:rPr>
          <w:rFonts w:ascii="宋体" w:hAnsi="宋体" w:cs="宋体"/>
          <w:color w:val="auto"/>
          <w:sz w:val="24"/>
        </w:rPr>
      </w:pPr>
      <w:r>
        <w:rPr>
          <w:rFonts w:ascii="宋体" w:hAnsi="宋体" w:cs="宋体"/>
          <w:color w:val="auto"/>
          <w:sz w:val="24"/>
        </w:rPr>
        <w:t>3.本项目的特定资格要求：</w:t>
      </w:r>
    </w:p>
    <w:p>
      <w:pPr>
        <w:snapToGrid w:val="0"/>
        <w:spacing w:line="440" w:lineRule="exact"/>
        <w:ind w:firstLine="480" w:firstLineChars="200"/>
        <w:rPr>
          <w:rFonts w:hint="eastAsia" w:ascii="宋体" w:hAnsi="宋体" w:cs="宋体"/>
          <w:bCs/>
          <w:color w:val="auto"/>
          <w:kern w:val="0"/>
          <w:sz w:val="24"/>
          <w:highlight w:val="none"/>
          <w:lang w:val="zh-CN"/>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zh-CN"/>
        </w:rPr>
        <w:t>1、在中华人民共和国注册的、具有独立承担民事责任能力（需提供营业执照副本复印件、税务登记证复印件、组织机构代码证复印件,如是三证合一的只需提供营业执照或事业单位法人证书复印件加盖单位公章；保险、石油石化、电力、电信运营商等有行业特殊情况的，其分支机构可参与投标 ）；</w:t>
      </w:r>
    </w:p>
    <w:p>
      <w:pPr>
        <w:snapToGrid w:val="0"/>
        <w:spacing w:line="440" w:lineRule="exact"/>
        <w:ind w:firstLine="480" w:firstLineChars="200"/>
        <w:rPr>
          <w:rFonts w:hint="eastAsia" w:ascii="宋体" w:hAnsi="宋体" w:cs="宋体"/>
          <w:bCs/>
          <w:color w:val="auto"/>
          <w:kern w:val="0"/>
          <w:sz w:val="24"/>
          <w:highlight w:val="none"/>
          <w:lang w:val="zh-CN"/>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zh-CN"/>
        </w:rPr>
        <w:t>2、具有良好的商业信誉和健全的财务会计制度（需提供</w:t>
      </w:r>
      <w:r>
        <w:rPr>
          <w:rFonts w:hint="eastAsia" w:ascii="宋体" w:hAnsi="宋体" w:cs="宋体"/>
          <w:color w:val="auto"/>
          <w:sz w:val="24"/>
          <w:highlight w:val="none"/>
          <w:lang w:val="zh-CN"/>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年</w:t>
      </w:r>
      <w:r>
        <w:rPr>
          <w:rFonts w:hint="eastAsia" w:ascii="宋体" w:hAnsi="宋体" w:cs="宋体"/>
          <w:color w:val="auto"/>
          <w:sz w:val="24"/>
          <w:highlight w:val="none"/>
          <w:lang w:val="en-US" w:eastAsia="zh-CN"/>
        </w:rPr>
        <w:t>1月</w:t>
      </w:r>
      <w:r>
        <w:rPr>
          <w:rFonts w:hint="eastAsia" w:ascii="宋体" w:hAnsi="宋体" w:cs="宋体"/>
          <w:color w:val="auto"/>
          <w:sz w:val="24"/>
          <w:highlight w:val="none"/>
          <w:lang w:val="zh-CN"/>
        </w:rPr>
        <w:t>至今</w:t>
      </w:r>
      <w:r>
        <w:rPr>
          <w:rFonts w:hint="eastAsia" w:ascii="宋体" w:hAnsi="宋体" w:cs="宋体"/>
          <w:bCs/>
          <w:color w:val="auto"/>
          <w:kern w:val="0"/>
          <w:sz w:val="24"/>
          <w:highlight w:val="none"/>
          <w:lang w:val="zh-CN"/>
        </w:rPr>
        <w:t>任意</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lang w:val="zh-CN"/>
        </w:rPr>
        <w:t>个月（或季度）的财务报表或者</w:t>
      </w:r>
      <w:r>
        <w:rPr>
          <w:rFonts w:hint="eastAsia" w:ascii="宋体" w:hAnsi="宋体" w:cs="宋体"/>
          <w:bCs/>
          <w:color w:val="auto"/>
          <w:kern w:val="0"/>
          <w:sz w:val="24"/>
          <w:highlight w:val="none"/>
        </w:rPr>
        <w:t>202</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rPr>
        <w:t>年度</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lang w:val="en-US" w:eastAsia="zh-CN"/>
        </w:rPr>
        <w:t>或2022年度</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财务审计报告</w:t>
      </w:r>
      <w:r>
        <w:rPr>
          <w:rFonts w:hint="eastAsia" w:ascii="宋体" w:hAnsi="宋体" w:cs="宋体"/>
          <w:bCs/>
          <w:color w:val="auto"/>
          <w:kern w:val="0"/>
          <w:sz w:val="24"/>
          <w:highlight w:val="none"/>
          <w:lang w:val="zh-CN"/>
        </w:rPr>
        <w:t>并加盖公章）；</w:t>
      </w:r>
    </w:p>
    <w:p>
      <w:pPr>
        <w:snapToGrid w:val="0"/>
        <w:spacing w:line="44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3、有依法缴纳税收和社会保障资金的良好记录（提供202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rPr>
        <w:t>年</w:t>
      </w:r>
      <w:r>
        <w:rPr>
          <w:rFonts w:hint="eastAsia" w:ascii="宋体" w:hAnsi="宋体" w:cs="宋体"/>
          <w:bCs/>
          <w:color w:val="auto"/>
          <w:kern w:val="0"/>
          <w:sz w:val="24"/>
          <w:highlight w:val="none"/>
          <w:lang w:val="en-US" w:eastAsia="zh-CN"/>
        </w:rPr>
        <w:t>1</w:t>
      </w:r>
      <w:r>
        <w:rPr>
          <w:rFonts w:hint="eastAsia" w:ascii="宋体" w:hAnsi="宋体" w:cs="宋体"/>
          <w:bCs/>
          <w:color w:val="auto"/>
          <w:kern w:val="0"/>
          <w:sz w:val="24"/>
          <w:highlight w:val="none"/>
        </w:rPr>
        <w:t>月至今任意1个月的企业纳税证明及社保缴费记录证明并加盖公章）；</w:t>
      </w:r>
    </w:p>
    <w:p>
      <w:pPr>
        <w:snapToGrid w:val="0"/>
        <w:spacing w:line="44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zh-CN"/>
        </w:rPr>
        <w:t>4、</w:t>
      </w:r>
      <w:r>
        <w:rPr>
          <w:rFonts w:hint="eastAsia" w:ascii="宋体" w:hAnsi="宋体" w:cs="宋体"/>
          <w:bCs/>
          <w:color w:val="auto"/>
          <w:kern w:val="0"/>
          <w:sz w:val="24"/>
          <w:highlight w:val="none"/>
        </w:rPr>
        <w:t>参加政府采购活动前三年内，在经营活动中没有重大违法记录（需提供供应商书面声明）；</w:t>
      </w:r>
    </w:p>
    <w:p>
      <w:pPr>
        <w:pStyle w:val="83"/>
        <w:ind w:firstLine="480" w:firstLineChars="200"/>
        <w:rPr>
          <w:rFonts w:hint="eastAsia"/>
          <w:color w:val="auto"/>
          <w:highlight w:val="none"/>
          <w:lang w:val="zh-CN"/>
        </w:rPr>
      </w:pPr>
      <w:r>
        <w:rPr>
          <w:rFonts w:hint="eastAsia" w:ascii="宋体" w:hAnsi="宋体" w:cs="宋体"/>
          <w:bCs/>
          <w:color w:val="auto"/>
          <w:kern w:val="0"/>
          <w:sz w:val="24"/>
          <w:highlight w:val="none"/>
          <w:lang w:val="en-US" w:eastAsia="zh-CN"/>
        </w:rPr>
        <w:t>3.</w:t>
      </w:r>
      <w:r>
        <w:rPr>
          <w:rFonts w:hint="eastAsia"/>
          <w:color w:val="auto"/>
          <w:highlight w:val="none"/>
          <w:lang w:val="en-US" w:eastAsia="zh-CN"/>
        </w:rPr>
        <w:t>5、</w:t>
      </w:r>
      <w:r>
        <w:rPr>
          <w:rFonts w:hint="eastAsia"/>
          <w:color w:val="auto"/>
          <w:highlight w:val="none"/>
          <w:lang w:val="zh-CN"/>
        </w:rPr>
        <w:t>具有履行合同所必需的设备和专业技术能力（提供声明函）；</w:t>
      </w:r>
    </w:p>
    <w:p>
      <w:pPr>
        <w:pStyle w:val="83"/>
        <w:ind w:firstLine="480" w:firstLineChars="200"/>
        <w:rPr>
          <w:rFonts w:hint="eastAsia"/>
          <w:color w:val="auto"/>
          <w:highlight w:val="none"/>
          <w:lang w:val="zh-CN"/>
        </w:rPr>
      </w:pPr>
      <w:r>
        <w:rPr>
          <w:rFonts w:hint="eastAsia" w:ascii="宋体" w:hAnsi="宋体" w:cs="宋体"/>
          <w:bCs/>
          <w:color w:val="auto"/>
          <w:kern w:val="0"/>
          <w:sz w:val="24"/>
          <w:highlight w:val="none"/>
          <w:lang w:val="en-US" w:eastAsia="zh-CN"/>
        </w:rPr>
        <w:t>3.</w:t>
      </w:r>
      <w:r>
        <w:rPr>
          <w:rFonts w:hint="eastAsia"/>
          <w:color w:val="auto"/>
          <w:highlight w:val="none"/>
          <w:lang w:val="en-US" w:eastAsia="zh-CN"/>
        </w:rPr>
        <w:t>6、</w:t>
      </w:r>
      <w:r>
        <w:rPr>
          <w:rFonts w:hint="eastAsia"/>
          <w:color w:val="auto"/>
          <w:highlight w:val="none"/>
          <w:lang w:val="zh-CN"/>
        </w:rPr>
        <w:t>具备法律、行政法规规定的其他条件（提供资格承诺函）；</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Cs/>
          <w:color w:val="auto"/>
          <w:kern w:val="0"/>
          <w:sz w:val="24"/>
          <w:highlight w:val="none"/>
          <w:lang w:val="en-US" w:eastAsia="zh-CN"/>
        </w:rPr>
        <w:t>3.7</w:t>
      </w:r>
      <w:r>
        <w:rPr>
          <w:rFonts w:hint="eastAsia" w:ascii="宋体" w:hAnsi="宋体" w:cs="宋体"/>
          <w:bCs/>
          <w:color w:val="auto"/>
          <w:kern w:val="0"/>
          <w:sz w:val="24"/>
          <w:highlight w:val="none"/>
        </w:rPr>
        <w:t>、投标人必须为未被列入信用中国网站(www.</w:t>
      </w:r>
      <w:bookmarkStart w:id="179" w:name="_GoBack"/>
      <w:r>
        <w:rPr>
          <w:rFonts w:hint="eastAsia" w:ascii="宋体" w:hAnsi="宋体" w:cs="宋体"/>
          <w:bCs/>
          <w:color w:val="auto"/>
          <w:kern w:val="0"/>
          <w:sz w:val="24"/>
          <w:highlight w:val="none"/>
        </w:rPr>
        <w:t>c</w:t>
      </w:r>
      <w:bookmarkEnd w:id="179"/>
      <w:r>
        <w:rPr>
          <w:rFonts w:hint="eastAsia" w:ascii="宋体" w:hAnsi="宋体" w:cs="宋体"/>
          <w:bCs/>
          <w:color w:val="auto"/>
          <w:kern w:val="0"/>
          <w:sz w:val="24"/>
          <w:highlight w:val="none"/>
        </w:rPr>
        <w:t>reditchina.gov.cn)的“重大税收违法</w:t>
      </w:r>
      <w:r>
        <w:rPr>
          <w:rFonts w:hint="eastAsia" w:ascii="宋体" w:hAnsi="宋体" w:cs="宋体"/>
          <w:bCs/>
          <w:color w:val="auto"/>
          <w:kern w:val="0"/>
          <w:sz w:val="24"/>
          <w:highlight w:val="none"/>
          <w:lang w:val="en-US" w:eastAsia="zh-CN"/>
        </w:rPr>
        <w:t>失信主体</w:t>
      </w:r>
      <w:r>
        <w:rPr>
          <w:rFonts w:hint="eastAsia" w:ascii="宋体" w:hAnsi="宋体" w:cs="宋体"/>
          <w:bCs/>
          <w:color w:val="auto"/>
          <w:kern w:val="0"/>
          <w:sz w:val="24"/>
          <w:highlight w:val="none"/>
        </w:rPr>
        <w:t>”和中国政府采购网(www.ccgp.gov.cn) 的“政府采购严重违法失信行为记录名单”以及中国执行信息公开网（http://zxgk.court.gov.cn/shixin/）的“失信被执行人”的供应商（需提供承诺书，并由采购人和代理机构于开标现场实时查询核实）</w:t>
      </w:r>
      <w:r>
        <w:rPr>
          <w:rFonts w:hint="eastAsia" w:ascii="宋体" w:hAnsi="宋体" w:cs="宋体"/>
          <w:color w:val="auto"/>
          <w:sz w:val="24"/>
          <w:highlight w:val="none"/>
        </w:rPr>
        <w:t>；</w:t>
      </w:r>
    </w:p>
    <w:p>
      <w:pPr>
        <w:snapToGrid w:val="0"/>
        <w:spacing w:line="40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3.8</w:t>
      </w:r>
      <w:r>
        <w:rPr>
          <w:rFonts w:hint="eastAsia" w:ascii="宋体" w:hAnsi="宋体" w:cs="宋体"/>
          <w:bCs/>
          <w:color w:val="auto"/>
          <w:kern w:val="0"/>
          <w:sz w:val="24"/>
          <w:highlight w:val="none"/>
        </w:rPr>
        <w:t>、本项目不接受联合体投标。</w:t>
      </w:r>
    </w:p>
    <w:p>
      <w:pPr>
        <w:snapToGrid w:val="0"/>
        <w:spacing w:line="40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lang w:val="en-US" w:eastAsia="zh-CN"/>
        </w:rPr>
        <w:t>3.9</w:t>
      </w:r>
      <w:r>
        <w:rPr>
          <w:rFonts w:hint="eastAsia" w:ascii="宋体" w:hAnsi="宋体" w:cs="宋体"/>
          <w:bCs/>
          <w:color w:val="auto"/>
          <w:kern w:val="0"/>
          <w:sz w:val="24"/>
          <w:highlight w:val="none"/>
        </w:rPr>
        <w:t>、单位负责人为同一人或者存在直接控股、管理关系的不同投标人，不得参加同一合同项下的政府采购活动；为本项目提供整体设计、规范编制或者项目管理、监理、检测等服务的投标人，不得再参加该项目的其他采购活动（提供承诺书，格式自拟）；</w:t>
      </w:r>
    </w:p>
    <w:p>
      <w:pPr>
        <w:snapToGrid w:val="0"/>
        <w:spacing w:line="400" w:lineRule="exact"/>
        <w:ind w:firstLine="480" w:firstLineChars="200"/>
        <w:rPr>
          <w:rFonts w:hint="default"/>
          <w:lang w:val="en-US" w:eastAsia="zh-CN"/>
        </w:rPr>
      </w:pPr>
      <w:r>
        <w:rPr>
          <w:rFonts w:hint="eastAsia" w:ascii="宋体" w:hAnsi="宋体" w:eastAsia="宋体" w:cs="宋体"/>
          <w:bCs/>
          <w:color w:val="auto"/>
          <w:kern w:val="0"/>
          <w:sz w:val="24"/>
          <w:highlight w:val="none"/>
          <w:lang w:val="en-US" w:eastAsia="zh-CN"/>
        </w:rPr>
        <w:t>3.10参加政府采购活动前一年内，无环保类行政处罚记录（提供声明函，格式自拟）。</w:t>
      </w:r>
    </w:p>
    <w:p>
      <w:pPr>
        <w:spacing w:line="408" w:lineRule="atLeast"/>
        <w:ind w:firstLine="480"/>
        <w:outlineLvl w:val="1"/>
        <w:rPr>
          <w:rFonts w:hint="eastAsia" w:ascii="宋体" w:hAnsi="宋体" w:eastAsia="宋体"/>
          <w:b/>
          <w:bCs/>
          <w:color w:val="auto"/>
          <w:sz w:val="24"/>
          <w:shd w:val="clear" w:color="auto" w:fill="FFFFFF"/>
        </w:rPr>
      </w:pPr>
      <w:bookmarkStart w:id="15" w:name="_Toc14055"/>
      <w:bookmarkStart w:id="16" w:name="_Toc29389"/>
      <w:bookmarkStart w:id="17" w:name="_Toc2161"/>
      <w:bookmarkStart w:id="18" w:name="_Toc25475"/>
      <w:r>
        <w:rPr>
          <w:rFonts w:hint="eastAsia" w:ascii="宋体" w:hAnsi="宋体" w:eastAsia="宋体"/>
          <w:b/>
          <w:bCs/>
          <w:color w:val="auto"/>
          <w:sz w:val="24"/>
          <w:shd w:val="clear" w:color="auto" w:fill="FFFFFF"/>
        </w:rPr>
        <w:t>三、</w:t>
      </w:r>
      <w:bookmarkEnd w:id="14"/>
      <w:bookmarkStart w:id="19" w:name="_Toc101"/>
      <w:r>
        <w:rPr>
          <w:rFonts w:hint="eastAsia" w:ascii="宋体" w:hAnsi="宋体" w:eastAsia="宋体"/>
          <w:b/>
          <w:bCs/>
          <w:color w:val="auto"/>
          <w:sz w:val="24"/>
          <w:shd w:val="clear" w:color="auto" w:fill="FFFFFF"/>
        </w:rPr>
        <w:t>获取</w:t>
      </w:r>
      <w:r>
        <w:rPr>
          <w:rFonts w:hint="eastAsia" w:ascii="宋体" w:hAnsi="宋体" w:eastAsia="宋体"/>
          <w:b/>
          <w:bCs/>
          <w:color w:val="auto"/>
          <w:sz w:val="24"/>
          <w:shd w:val="clear" w:color="auto" w:fill="FFFFFF"/>
          <w:lang w:val="en-US" w:eastAsia="zh-CN"/>
        </w:rPr>
        <w:t>采购</w:t>
      </w:r>
      <w:r>
        <w:rPr>
          <w:rFonts w:hint="eastAsia" w:ascii="宋体" w:hAnsi="宋体" w:eastAsia="宋体"/>
          <w:b/>
          <w:bCs/>
          <w:color w:val="auto"/>
          <w:sz w:val="24"/>
          <w:shd w:val="clear" w:color="auto" w:fill="FFFFFF"/>
        </w:rPr>
        <w:t>文件</w:t>
      </w:r>
      <w:bookmarkEnd w:id="15"/>
      <w:bookmarkEnd w:id="16"/>
      <w:bookmarkEnd w:id="17"/>
      <w:bookmarkEnd w:id="18"/>
      <w:r>
        <w:rPr>
          <w:rFonts w:hint="eastAsia" w:ascii="宋体" w:hAnsi="宋体" w:eastAsia="宋体"/>
          <w:b/>
          <w:bCs/>
          <w:color w:val="auto"/>
          <w:sz w:val="24"/>
          <w:shd w:val="clear" w:color="auto" w:fill="FFFFFF"/>
        </w:rPr>
        <w:t xml:space="preserve"> </w:t>
      </w:r>
    </w:p>
    <w:p>
      <w:pPr>
        <w:spacing w:line="408" w:lineRule="atLeast"/>
        <w:ind w:firstLine="480"/>
        <w:rPr>
          <w:rFonts w:hint="eastAsia" w:ascii="宋体" w:hAnsi="宋体" w:eastAsia="宋体" w:cs="宋体"/>
          <w:color w:val="auto"/>
          <w:sz w:val="24"/>
          <w:lang w:eastAsia="zh-CN"/>
        </w:rPr>
      </w:pPr>
      <w:r>
        <w:rPr>
          <w:rFonts w:hint="eastAsia" w:ascii="宋体" w:hAnsi="宋体" w:cs="宋体"/>
          <w:color w:val="auto"/>
          <w:sz w:val="24"/>
        </w:rPr>
        <w:t>时间：</w:t>
      </w:r>
      <w:r>
        <w:rPr>
          <w:rFonts w:hint="eastAsia" w:ascii="宋体" w:hAnsi="宋体" w:cs="宋体"/>
          <w:bCs/>
          <w:color w:val="auto"/>
          <w:kern w:val="0"/>
          <w:sz w:val="24"/>
          <w:highlight w:val="none"/>
        </w:rPr>
        <w:t>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08</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01</w:t>
      </w:r>
      <w:r>
        <w:rPr>
          <w:rFonts w:hint="eastAsia" w:ascii="宋体" w:hAnsi="宋体" w:cs="宋体"/>
          <w:bCs/>
          <w:color w:val="auto"/>
          <w:kern w:val="0"/>
          <w:sz w:val="24"/>
          <w:highlight w:val="none"/>
          <w:lang w:val="en-GB"/>
        </w:rPr>
        <w:t>日至202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08</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07</w:t>
      </w:r>
      <w:r>
        <w:rPr>
          <w:rFonts w:hint="eastAsia" w:ascii="宋体" w:hAnsi="宋体" w:cs="宋体"/>
          <w:bCs/>
          <w:color w:val="auto"/>
          <w:kern w:val="0"/>
          <w:sz w:val="24"/>
          <w:highlight w:val="none"/>
          <w:lang w:val="en-GB"/>
        </w:rPr>
        <w:t>日</w:t>
      </w:r>
      <w:r>
        <w:rPr>
          <w:rFonts w:hint="eastAsia" w:ascii="宋体" w:hAnsi="宋体" w:cs="宋体"/>
          <w:color w:val="auto"/>
          <w:sz w:val="24"/>
        </w:rPr>
        <w:t>00:00:00</w:t>
      </w:r>
      <w:r>
        <w:rPr>
          <w:rFonts w:hint="eastAsia" w:ascii="宋体" w:hAnsi="宋体" w:cs="宋体"/>
          <w:color w:val="auto"/>
          <w:sz w:val="24"/>
          <w:lang w:val="en-US" w:eastAsia="zh-CN"/>
        </w:rPr>
        <w:t>至</w:t>
      </w:r>
      <w:r>
        <w:rPr>
          <w:rFonts w:hint="eastAsia" w:ascii="宋体" w:hAnsi="宋体" w:cs="宋体"/>
          <w:color w:val="auto"/>
          <w:sz w:val="24"/>
        </w:rPr>
        <w:t xml:space="preserve">23:59:59（北京时间） </w:t>
      </w:r>
      <w:r>
        <w:rPr>
          <w:rFonts w:hint="eastAsia" w:ascii="宋体" w:hAnsi="宋体" w:cs="宋体"/>
          <w:color w:val="auto"/>
          <w:sz w:val="24"/>
          <w:lang w:eastAsia="zh-CN"/>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地点：海南政府采购网(www.ccgp-hainan.gov.cn)-海南省政府采购电子化交易管理系统(新)</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方式：网上下载</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售价：</w:t>
      </w:r>
      <w:r>
        <w:rPr>
          <w:rFonts w:hint="eastAsia" w:eastAsia="宋体" w:cs="宋体"/>
          <w:i w:val="0"/>
          <w:iCs w:val="0"/>
          <w:caps w:val="0"/>
          <w:color w:val="auto"/>
          <w:spacing w:val="0"/>
          <w:sz w:val="24"/>
          <w:szCs w:val="24"/>
          <w:highlight w:val="none"/>
          <w:shd w:val="clear" w:color="auto" w:fill="FFFFFF"/>
          <w:vertAlign w:val="baseline"/>
          <w:lang w:val="en-US" w:eastAsia="zh-CN"/>
        </w:rPr>
        <w:t>0</w:t>
      </w:r>
      <w:r>
        <w:rPr>
          <w:rFonts w:hint="eastAsia" w:ascii="宋体" w:hAnsi="宋体" w:eastAsia="宋体" w:cs="宋体"/>
          <w:i w:val="0"/>
          <w:iCs w:val="0"/>
          <w:caps w:val="0"/>
          <w:color w:val="auto"/>
          <w:spacing w:val="0"/>
          <w:sz w:val="24"/>
          <w:szCs w:val="24"/>
          <w:highlight w:val="none"/>
          <w:shd w:val="clear" w:color="auto" w:fill="FFFFFF"/>
          <w:vertAlign w:val="baseline"/>
        </w:rPr>
        <w:t>元</w:t>
      </w:r>
    </w:p>
    <w:bookmarkEnd w:id="19"/>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20" w:name="_Toc11623"/>
      <w:bookmarkStart w:id="21" w:name="_Toc20380"/>
      <w:bookmarkStart w:id="22" w:name="_Toc15464"/>
      <w:bookmarkStart w:id="23" w:name="_Toc21079"/>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四、响应文件提交</w:t>
      </w:r>
      <w:bookmarkEnd w:id="20"/>
      <w:bookmarkEnd w:id="21"/>
      <w:bookmarkEnd w:id="22"/>
      <w:bookmarkEnd w:id="23"/>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截止时间：</w:t>
      </w:r>
      <w:r>
        <w:rPr>
          <w:rFonts w:hint="eastAsia"/>
          <w:color w:val="auto"/>
          <w:sz w:val="24"/>
          <w:u w:val="single"/>
          <w:shd w:val="clear" w:color="auto" w:fill="FFFFFF"/>
          <w:lang w:eastAsia="zh-CN"/>
        </w:rPr>
        <w:t>2023年09月22日14时30分</w:t>
      </w:r>
      <w:r>
        <w:rPr>
          <w:rFonts w:hint="eastAsia" w:ascii="宋体" w:hAnsi="宋体" w:eastAsia="宋体" w:cs="宋体"/>
          <w:i w:val="0"/>
          <w:iCs w:val="0"/>
          <w:caps w:val="0"/>
          <w:color w:val="auto"/>
          <w:spacing w:val="0"/>
          <w:sz w:val="24"/>
          <w:szCs w:val="24"/>
          <w:highlight w:val="none"/>
          <w:shd w:val="clear" w:color="auto" w:fill="FFFFFF"/>
          <w:vertAlign w:val="baseline"/>
        </w:rPr>
        <w:t>（北京时间）（如有变动，另行通知）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地点：</w:t>
      </w:r>
      <w:r>
        <w:rPr>
          <w:rFonts w:hint="eastAsia"/>
          <w:color w:val="auto"/>
          <w:sz w:val="24"/>
          <w:u w:val="single"/>
          <w:shd w:val="clear" w:color="auto" w:fill="FFFFFF"/>
          <w:lang w:eastAsia="zh-CN"/>
        </w:rPr>
        <w:t>海口市海秀东路74号鸿泰大厦14层开标室2</w:t>
      </w:r>
      <w:r>
        <w:rPr>
          <w:rFonts w:hint="eastAsia" w:ascii="宋体" w:hAnsi="宋体" w:eastAsia="宋体" w:cs="宋体"/>
          <w:i w:val="0"/>
          <w:iCs w:val="0"/>
          <w:caps w:val="0"/>
          <w:color w:val="auto"/>
          <w:spacing w:val="0"/>
          <w:sz w:val="24"/>
          <w:szCs w:val="24"/>
          <w:highlight w:val="none"/>
          <w:shd w:val="clear" w:color="auto" w:fill="FFFFFF"/>
          <w:vertAlign w:val="baseline"/>
        </w:rPr>
        <w:t>（如有变动，另行通知）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24" w:name="_Toc5885"/>
      <w:bookmarkStart w:id="25" w:name="_Toc16165"/>
      <w:bookmarkStart w:id="26" w:name="_Toc25378"/>
      <w:bookmarkStart w:id="27" w:name="_Toc30271"/>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五、开启</w:t>
      </w:r>
      <w:bookmarkEnd w:id="24"/>
      <w:bookmarkEnd w:id="25"/>
      <w:bookmarkEnd w:id="26"/>
      <w:bookmarkEnd w:id="27"/>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时间：</w:t>
      </w:r>
      <w:r>
        <w:rPr>
          <w:rFonts w:hint="eastAsia"/>
          <w:color w:val="auto"/>
          <w:sz w:val="24"/>
          <w:u w:val="single"/>
          <w:shd w:val="clear" w:color="auto" w:fill="FFFFFF"/>
          <w:lang w:eastAsia="zh-CN"/>
        </w:rPr>
        <w:t>2023年09月22日14时30分（</w:t>
      </w:r>
      <w:r>
        <w:rPr>
          <w:rFonts w:hint="eastAsia" w:ascii="宋体" w:hAnsi="宋体" w:eastAsia="宋体" w:cs="宋体"/>
          <w:i w:val="0"/>
          <w:iCs w:val="0"/>
          <w:caps w:val="0"/>
          <w:color w:val="auto"/>
          <w:spacing w:val="0"/>
          <w:sz w:val="24"/>
          <w:szCs w:val="24"/>
          <w:highlight w:val="none"/>
          <w:shd w:val="clear" w:color="auto" w:fill="FFFFFF"/>
          <w:vertAlign w:val="baseline"/>
        </w:rPr>
        <w:t>北京时间）（如有变动，另行通知）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地点：</w:t>
      </w:r>
      <w:r>
        <w:rPr>
          <w:rFonts w:hint="eastAsia"/>
          <w:color w:val="auto"/>
          <w:sz w:val="24"/>
          <w:u w:val="single"/>
          <w:shd w:val="clear" w:color="auto" w:fill="FFFFFF"/>
          <w:lang w:eastAsia="zh-CN"/>
        </w:rPr>
        <w:t>海口市海秀东路74号鸿泰大厦14层开标室2</w:t>
      </w:r>
      <w:r>
        <w:rPr>
          <w:rFonts w:hint="eastAsia" w:ascii="宋体" w:hAnsi="宋体" w:eastAsia="宋体" w:cs="宋体"/>
          <w:i w:val="0"/>
          <w:iCs w:val="0"/>
          <w:caps w:val="0"/>
          <w:color w:val="auto"/>
          <w:spacing w:val="0"/>
          <w:sz w:val="24"/>
          <w:szCs w:val="24"/>
          <w:highlight w:val="none"/>
          <w:shd w:val="clear" w:color="auto" w:fill="FFFFFF"/>
          <w:vertAlign w:val="baseline"/>
        </w:rPr>
        <w:t>（如有变动，另行通知）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28" w:name="_Toc59"/>
      <w:bookmarkStart w:id="29" w:name="_Toc3648"/>
      <w:bookmarkStart w:id="30" w:name="_Toc26967"/>
      <w:bookmarkStart w:id="31" w:name="_Toc28552"/>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六、公告期限</w:t>
      </w:r>
      <w:bookmarkEnd w:id="28"/>
      <w:bookmarkEnd w:id="29"/>
      <w:bookmarkEnd w:id="30"/>
      <w:bookmarkEnd w:id="31"/>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自本公告发布之日起</w:t>
      </w:r>
      <w:r>
        <w:rPr>
          <w:rFonts w:hint="eastAsia" w:eastAsia="宋体" w:cs="宋体"/>
          <w:i w:val="0"/>
          <w:iCs w:val="0"/>
          <w:caps w:val="0"/>
          <w:color w:val="auto"/>
          <w:spacing w:val="0"/>
          <w:sz w:val="24"/>
          <w:szCs w:val="24"/>
          <w:highlight w:val="none"/>
          <w:shd w:val="clear" w:color="auto" w:fill="FFFFFF"/>
          <w:vertAlign w:val="baseline"/>
          <w:lang w:val="en-US" w:eastAsia="zh-CN"/>
        </w:rPr>
        <w:t>3</w:t>
      </w:r>
      <w:r>
        <w:rPr>
          <w:rFonts w:hint="eastAsia" w:ascii="宋体" w:hAnsi="宋体" w:eastAsia="宋体" w:cs="宋体"/>
          <w:i w:val="0"/>
          <w:iCs w:val="0"/>
          <w:caps w:val="0"/>
          <w:color w:val="auto"/>
          <w:spacing w:val="0"/>
          <w:sz w:val="24"/>
          <w:szCs w:val="24"/>
          <w:highlight w:val="none"/>
          <w:shd w:val="clear" w:color="auto" w:fill="FFFFFF"/>
          <w:vertAlign w:val="baseline"/>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32" w:name="_Toc18415"/>
      <w:bookmarkStart w:id="33" w:name="_Toc26374"/>
      <w:bookmarkStart w:id="34" w:name="_Toc12667"/>
      <w:bookmarkStart w:id="35" w:name="_Toc22101"/>
      <w:r>
        <w:rPr>
          <w:rFonts w:hint="eastAsia" w:ascii="宋体" w:hAnsi="宋体" w:eastAsia="宋体" w:cs="宋体"/>
          <w:b/>
          <w:bCs/>
          <w:i w:val="0"/>
          <w:iCs w:val="0"/>
          <w:caps w:val="0"/>
          <w:color w:val="auto"/>
          <w:spacing w:val="0"/>
          <w:sz w:val="24"/>
          <w:szCs w:val="24"/>
          <w:highlight w:val="none"/>
          <w:shd w:val="clear" w:color="auto" w:fill="FFFFFF"/>
          <w:vertAlign w:val="baseline"/>
        </w:rPr>
        <w:t>七、</w:t>
      </w:r>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其他补充事宜</w:t>
      </w:r>
      <w:bookmarkEnd w:id="32"/>
      <w:bookmarkEnd w:id="33"/>
      <w:bookmarkEnd w:id="34"/>
      <w:bookmarkEnd w:id="35"/>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shd w:val="clear" w:color="auto" w:fill="FFFFFF"/>
          <w:vertAlign w:val="baseline"/>
        </w:rPr>
      </w:pPr>
      <w:r>
        <w:rPr>
          <w:rFonts w:hint="eastAsia" w:cs="宋体"/>
          <w:i w:val="0"/>
          <w:iCs w:val="0"/>
          <w:caps w:val="0"/>
          <w:color w:val="auto"/>
          <w:spacing w:val="0"/>
          <w:sz w:val="24"/>
          <w:szCs w:val="24"/>
          <w:highlight w:val="none"/>
          <w:shd w:val="clear" w:color="auto" w:fill="FFFFFF"/>
          <w:vertAlign w:val="baseline"/>
          <w:lang w:val="en-US" w:eastAsia="zh-CN"/>
        </w:rPr>
        <w:t>1.</w:t>
      </w:r>
      <w:r>
        <w:rPr>
          <w:rFonts w:hint="eastAsia" w:ascii="宋体" w:hAnsi="宋体" w:eastAsia="宋体" w:cs="宋体"/>
          <w:i w:val="0"/>
          <w:iCs w:val="0"/>
          <w:caps w:val="0"/>
          <w:color w:val="auto"/>
          <w:spacing w:val="0"/>
          <w:sz w:val="24"/>
          <w:szCs w:val="24"/>
          <w:highlight w:val="none"/>
          <w:shd w:val="clear" w:color="auto" w:fill="FFFFFF"/>
          <w:vertAlign w:val="baseline"/>
        </w:rPr>
        <w:t>公告发布媒介：海南省政府采购网</w:t>
      </w:r>
    </w:p>
    <w:p>
      <w:pPr>
        <w:pStyle w:val="21"/>
        <w:shd w:val="clear" w:color="auto" w:fill="FFFFFF"/>
        <w:spacing w:before="0" w:beforeAutospacing="0" w:after="0" w:afterAutospacing="0" w:line="480" w:lineRule="exact"/>
        <w:ind w:firstLine="480" w:firstLineChars="200"/>
        <w:textAlignment w:val="baseline"/>
        <w:rPr>
          <w:rFonts w:hint="default" w:ascii="宋体" w:hAnsi="宋体" w:eastAsia="宋体" w:cs="宋体"/>
          <w:i w:val="0"/>
          <w:iCs w:val="0"/>
          <w:caps w:val="0"/>
          <w:color w:val="auto"/>
          <w:spacing w:val="0"/>
          <w:sz w:val="24"/>
          <w:szCs w:val="24"/>
          <w:highlight w:val="none"/>
          <w:shd w:val="clear" w:color="auto" w:fill="FFFFFF"/>
          <w:vertAlign w:val="baseline"/>
          <w:lang w:val="en-US" w:eastAsia="zh-CN"/>
        </w:rPr>
      </w:pPr>
      <w:r>
        <w:rPr>
          <w:rFonts w:hint="eastAsia" w:cs="宋体"/>
          <w:i w:val="0"/>
          <w:iCs w:val="0"/>
          <w:caps w:val="0"/>
          <w:color w:val="auto"/>
          <w:spacing w:val="0"/>
          <w:sz w:val="24"/>
          <w:szCs w:val="24"/>
          <w:highlight w:val="none"/>
          <w:shd w:val="clear" w:color="auto" w:fill="FFFFFF"/>
          <w:vertAlign w:val="baseline"/>
          <w:lang w:val="en-US" w:eastAsia="zh-CN"/>
        </w:rPr>
        <w:t>2.</w:t>
      </w:r>
      <w:r>
        <w:rPr>
          <w:rFonts w:hint="eastAsia" w:cs="微软雅黑"/>
          <w:color w:val="auto"/>
          <w:shd w:val="clear" w:color="auto" w:fill="FFFFFF"/>
        </w:rPr>
        <w:t>注：本次招标分为</w:t>
      </w:r>
      <w:r>
        <w:rPr>
          <w:rFonts w:hint="eastAsia" w:cs="微软雅黑"/>
          <w:color w:val="auto"/>
          <w:shd w:val="clear" w:color="auto" w:fill="FFFFFF"/>
          <w:lang w:val="en-US" w:eastAsia="zh-CN"/>
        </w:rPr>
        <w:t>2</w:t>
      </w:r>
      <w:r>
        <w:rPr>
          <w:rFonts w:hint="eastAsia" w:cs="微软雅黑"/>
          <w:color w:val="auto"/>
          <w:shd w:val="clear" w:color="auto" w:fill="FFFFFF"/>
        </w:rPr>
        <w:t>个包，分别为：A包、B包，同一个投标人只能对本项目的一个包号进行投标，重复投标将视为无效投标。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2" w:firstLineChars="200"/>
        <w:textAlignment w:val="baseline"/>
        <w:rPr>
          <w:rFonts w:hint="eastAsia" w:ascii="宋体" w:hAnsi="宋体" w:eastAsia="宋体" w:cs="宋体"/>
          <w:b/>
          <w:bCs/>
          <w:i w:val="0"/>
          <w:iCs w:val="0"/>
          <w:caps w:val="0"/>
          <w:color w:val="auto"/>
          <w:spacing w:val="0"/>
          <w:sz w:val="24"/>
          <w:szCs w:val="24"/>
          <w:highlight w:val="none"/>
        </w:rPr>
      </w:pPr>
      <w:bookmarkStart w:id="36" w:name="_Toc31202"/>
      <w:bookmarkStart w:id="37" w:name="_Toc3882"/>
      <w:bookmarkStart w:id="38" w:name="_Toc21611"/>
      <w:bookmarkStart w:id="39" w:name="_Toc25986"/>
      <w:r>
        <w:rPr>
          <w:rStyle w:val="27"/>
          <w:rFonts w:hint="eastAsia" w:ascii="宋体" w:hAnsi="宋体" w:eastAsia="宋体" w:cs="宋体"/>
          <w:b/>
          <w:bCs/>
          <w:i w:val="0"/>
          <w:iCs w:val="0"/>
          <w:caps w:val="0"/>
          <w:color w:val="auto"/>
          <w:spacing w:val="0"/>
          <w:sz w:val="24"/>
          <w:szCs w:val="24"/>
          <w:highlight w:val="none"/>
          <w:shd w:val="clear" w:color="auto" w:fill="FFFFFF"/>
          <w:vertAlign w:val="baseline"/>
        </w:rPr>
        <w:t>八、凡对本次采购提出询问，请按以下方式联系。</w:t>
      </w:r>
      <w:bookmarkEnd w:id="36"/>
      <w:bookmarkEnd w:id="37"/>
      <w:bookmarkEnd w:id="38"/>
      <w:bookmarkEnd w:id="39"/>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bookmarkStart w:id="40" w:name="_Toc30567"/>
      <w:bookmarkStart w:id="41" w:name="_Toc31962"/>
      <w:bookmarkStart w:id="42" w:name="_Toc7975"/>
      <w:bookmarkStart w:id="43" w:name="_Toc32218"/>
      <w:r>
        <w:rPr>
          <w:rFonts w:hint="eastAsia" w:ascii="宋体" w:hAnsi="宋体" w:eastAsia="宋体" w:cs="宋体"/>
          <w:b w:val="0"/>
          <w:bCs w:val="0"/>
          <w:i w:val="0"/>
          <w:iCs w:val="0"/>
          <w:caps w:val="0"/>
          <w:color w:val="auto"/>
          <w:spacing w:val="0"/>
          <w:sz w:val="24"/>
          <w:szCs w:val="24"/>
          <w:highlight w:val="none"/>
          <w:shd w:val="clear" w:color="auto" w:fill="FFFFFF"/>
          <w:vertAlign w:val="baseline"/>
        </w:rPr>
        <w:t>1.采购人信息</w:t>
      </w:r>
      <w:bookmarkEnd w:id="40"/>
      <w:bookmarkEnd w:id="41"/>
      <w:bookmarkEnd w:id="42"/>
      <w:bookmarkEnd w:id="43"/>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u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名    </w:t>
      </w:r>
      <w:r>
        <w:rPr>
          <w:rFonts w:hint="eastAsia" w:ascii="宋体" w:hAnsi="宋体" w:eastAsia="宋体" w:cs="宋体"/>
          <w:b w:val="0"/>
          <w:bCs w:val="0"/>
          <w:i w:val="0"/>
          <w:iCs w:val="0"/>
          <w:caps w:val="0"/>
          <w:color w:val="auto"/>
          <w:spacing w:val="0"/>
          <w:sz w:val="24"/>
          <w:szCs w:val="24"/>
          <w:highlight w:val="none"/>
          <w:u w:val="none"/>
          <w:shd w:val="clear" w:color="auto" w:fill="FFFFFF"/>
          <w:vertAlign w:val="baseline"/>
        </w:rPr>
        <w:t>称：</w:t>
      </w:r>
      <w:r>
        <w:rPr>
          <w:rFonts w:hint="eastAsia" w:cs="宋体"/>
          <w:bCs/>
          <w:color w:val="auto"/>
          <w:kern w:val="0"/>
          <w:sz w:val="24"/>
          <w:highlight w:val="none"/>
          <w:lang w:val="en-GB" w:eastAsia="zh-CN"/>
        </w:rPr>
        <w:t>万宁市卫生健康委员会</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u w:val="none"/>
          <w:lang w:eastAsia="zh-CN"/>
        </w:rPr>
      </w:pPr>
      <w:r>
        <w:rPr>
          <w:rFonts w:hint="eastAsia" w:ascii="宋体" w:hAnsi="宋体" w:eastAsia="宋体" w:cs="宋体"/>
          <w:b w:val="0"/>
          <w:bCs w:val="0"/>
          <w:i w:val="0"/>
          <w:iCs w:val="0"/>
          <w:caps w:val="0"/>
          <w:color w:val="auto"/>
          <w:spacing w:val="0"/>
          <w:sz w:val="24"/>
          <w:szCs w:val="24"/>
          <w:highlight w:val="none"/>
          <w:u w:val="none"/>
          <w:shd w:val="clear" w:color="auto" w:fill="FFFFFF"/>
          <w:vertAlign w:val="baseline"/>
        </w:rPr>
        <w:t>地    址：</w:t>
      </w:r>
      <w:r>
        <w:rPr>
          <w:rFonts w:hint="eastAsia" w:cs="宋体"/>
          <w:b w:val="0"/>
          <w:bCs w:val="0"/>
          <w:i w:val="0"/>
          <w:iCs w:val="0"/>
          <w:caps w:val="0"/>
          <w:color w:val="auto"/>
          <w:spacing w:val="0"/>
          <w:sz w:val="24"/>
          <w:szCs w:val="24"/>
          <w:highlight w:val="none"/>
          <w:u w:val="none"/>
          <w:shd w:val="clear" w:color="auto" w:fill="FFFFFF"/>
          <w:vertAlign w:val="baseline"/>
          <w:lang w:eastAsia="zh-CN"/>
        </w:rPr>
        <w:t>万宁市万城镇红专西街</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u w:val="none"/>
          <w:lang w:eastAsia="zh-CN"/>
        </w:rPr>
      </w:pPr>
      <w:r>
        <w:rPr>
          <w:rFonts w:hint="eastAsia" w:ascii="宋体" w:hAnsi="宋体" w:eastAsia="宋体" w:cs="宋体"/>
          <w:b w:val="0"/>
          <w:bCs w:val="0"/>
          <w:i w:val="0"/>
          <w:iCs w:val="0"/>
          <w:caps w:val="0"/>
          <w:color w:val="auto"/>
          <w:spacing w:val="0"/>
          <w:sz w:val="24"/>
          <w:szCs w:val="24"/>
          <w:highlight w:val="none"/>
          <w:u w:val="none"/>
          <w:shd w:val="clear" w:color="auto" w:fill="FFFFFF"/>
          <w:vertAlign w:val="baseline"/>
        </w:rPr>
        <w:t>联系方式：</w:t>
      </w:r>
      <w:r>
        <w:rPr>
          <w:rFonts w:hint="eastAsia" w:cs="宋体"/>
          <w:b w:val="0"/>
          <w:bCs w:val="0"/>
          <w:i w:val="0"/>
          <w:iCs w:val="0"/>
          <w:caps w:val="0"/>
          <w:color w:val="auto"/>
          <w:spacing w:val="0"/>
          <w:sz w:val="24"/>
          <w:szCs w:val="24"/>
          <w:highlight w:val="none"/>
          <w:u w:val="none"/>
          <w:shd w:val="clear" w:color="auto" w:fill="FFFFFF"/>
          <w:vertAlign w:val="baseline"/>
          <w:lang w:eastAsia="zh-CN"/>
        </w:rPr>
        <w:t>0898-62216766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bookmarkStart w:id="44" w:name="_Toc2980"/>
      <w:bookmarkStart w:id="45" w:name="_Toc11981"/>
      <w:bookmarkStart w:id="46" w:name="_Toc15135"/>
      <w:bookmarkStart w:id="47" w:name="_Toc12648"/>
      <w:r>
        <w:rPr>
          <w:rFonts w:hint="eastAsia" w:ascii="宋体" w:hAnsi="宋体" w:eastAsia="宋体" w:cs="宋体"/>
          <w:b w:val="0"/>
          <w:bCs w:val="0"/>
          <w:i w:val="0"/>
          <w:iCs w:val="0"/>
          <w:caps w:val="0"/>
          <w:color w:val="auto"/>
          <w:spacing w:val="0"/>
          <w:sz w:val="24"/>
          <w:szCs w:val="24"/>
          <w:highlight w:val="none"/>
          <w:shd w:val="clear" w:color="auto" w:fill="FFFFFF"/>
          <w:vertAlign w:val="baseline"/>
        </w:rPr>
        <w:t>2.采购代理机构信息</w:t>
      </w:r>
      <w:bookmarkEnd w:id="44"/>
      <w:bookmarkEnd w:id="45"/>
      <w:bookmarkEnd w:id="46"/>
      <w:bookmarkEnd w:id="47"/>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名    称：</w:t>
      </w:r>
      <w:r>
        <w:rPr>
          <w:rFonts w:hint="eastAsia" w:ascii="宋体" w:hAnsi="宋体" w:eastAsia="宋体" w:cs="宋体"/>
          <w:b w:val="0"/>
          <w:bCs w:val="0"/>
          <w:color w:val="auto"/>
          <w:sz w:val="24"/>
          <w:szCs w:val="24"/>
          <w:highlight w:val="none"/>
        </w:rPr>
        <w:t>海南通尚工程管理有限公司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地　　址：</w:t>
      </w:r>
      <w:r>
        <w:rPr>
          <w:rFonts w:hint="eastAsia" w:ascii="宋体" w:hAnsi="宋体" w:eastAsia="宋体" w:cs="宋体"/>
          <w:b w:val="0"/>
          <w:bCs w:val="0"/>
          <w:color w:val="auto"/>
          <w:sz w:val="24"/>
          <w:szCs w:val="24"/>
          <w:highlight w:val="none"/>
        </w:rPr>
        <w:t>海南省海口市琼山区城区海航豪庭南苑一区7栋1602室</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color="auto" w:fill="FFFFFF"/>
          <w:vertAlign w:val="baseline"/>
        </w:rPr>
        <w:t>联系方式：</w:t>
      </w:r>
      <w:r>
        <w:rPr>
          <w:rFonts w:hint="eastAsia" w:ascii="宋体" w:hAnsi="宋体" w:eastAsia="宋体" w:cs="宋体"/>
          <w:b w:val="0"/>
          <w:bCs w:val="0"/>
          <w:color w:val="auto"/>
          <w:sz w:val="24"/>
          <w:szCs w:val="24"/>
          <w:highlight w:val="none"/>
        </w:rPr>
        <w:t>0898-65881061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b w:val="0"/>
          <w:bCs w:val="0"/>
          <w:i w:val="0"/>
          <w:iCs w:val="0"/>
          <w:caps w:val="0"/>
          <w:color w:val="auto"/>
          <w:spacing w:val="0"/>
          <w:sz w:val="24"/>
          <w:szCs w:val="24"/>
          <w:highlight w:val="none"/>
        </w:rPr>
      </w:pPr>
      <w:bookmarkStart w:id="48" w:name="_Toc27258"/>
      <w:bookmarkStart w:id="49" w:name="_Toc28239"/>
      <w:bookmarkStart w:id="50" w:name="_Toc1650"/>
      <w:bookmarkStart w:id="51" w:name="_Toc31015"/>
      <w:r>
        <w:rPr>
          <w:rFonts w:hint="eastAsia" w:ascii="宋体" w:hAnsi="宋体" w:eastAsia="宋体" w:cs="宋体"/>
          <w:b w:val="0"/>
          <w:bCs w:val="0"/>
          <w:i w:val="0"/>
          <w:iCs w:val="0"/>
          <w:caps w:val="0"/>
          <w:color w:val="auto"/>
          <w:spacing w:val="0"/>
          <w:sz w:val="24"/>
          <w:szCs w:val="24"/>
          <w:highlight w:val="none"/>
          <w:shd w:val="clear" w:color="auto" w:fill="FFFFFF"/>
          <w:vertAlign w:val="baseline"/>
        </w:rPr>
        <w:t>3.项目联系方式</w:t>
      </w:r>
      <w:bookmarkEnd w:id="48"/>
      <w:bookmarkEnd w:id="49"/>
      <w:bookmarkEnd w:id="50"/>
      <w:bookmarkEnd w:id="51"/>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default"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vertAlign w:val="baseline"/>
        </w:rPr>
        <w:t>项目联系人：</w:t>
      </w:r>
      <w:r>
        <w:rPr>
          <w:rFonts w:hint="eastAsia" w:cs="宋体"/>
          <w:color w:val="auto"/>
          <w:sz w:val="24"/>
          <w:szCs w:val="24"/>
          <w:highlight w:val="none"/>
          <w:lang w:val="en-US" w:eastAsia="zh-CN"/>
        </w:rPr>
        <w:t>莫工</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0" w:firstLine="480" w:firstLineChars="200"/>
        <w:textAlignment w:val="baseline"/>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shd w:val="clear" w:color="auto" w:fill="FFFFFF"/>
          <w:vertAlign w:val="baseline"/>
        </w:rPr>
        <w:t xml:space="preserve">电　　 </w:t>
      </w:r>
      <w:r>
        <w:rPr>
          <w:rFonts w:hint="eastAsia" w:eastAsia="宋体" w:cs="宋体"/>
          <w:i w:val="0"/>
          <w:iCs w:val="0"/>
          <w:caps w:val="0"/>
          <w:color w:val="auto"/>
          <w:spacing w:val="0"/>
          <w:sz w:val="24"/>
          <w:szCs w:val="24"/>
          <w:highlight w:val="none"/>
          <w:shd w:val="clear" w:color="auto" w:fill="FFFFFF"/>
          <w:vertAlign w:val="baseline"/>
          <w:lang w:val="en-US" w:eastAsia="zh-CN"/>
        </w:rPr>
        <w:t xml:space="preserve"> </w:t>
      </w:r>
      <w:r>
        <w:rPr>
          <w:rFonts w:hint="eastAsia" w:ascii="宋体" w:hAnsi="宋体" w:eastAsia="宋体" w:cs="宋体"/>
          <w:i w:val="0"/>
          <w:iCs w:val="0"/>
          <w:caps w:val="0"/>
          <w:color w:val="auto"/>
          <w:spacing w:val="0"/>
          <w:sz w:val="24"/>
          <w:szCs w:val="24"/>
          <w:highlight w:val="none"/>
          <w:shd w:val="clear" w:color="auto" w:fill="FFFFFF"/>
          <w:vertAlign w:val="baseline"/>
        </w:rPr>
        <w:t>话：</w:t>
      </w:r>
      <w:r>
        <w:rPr>
          <w:rFonts w:hint="eastAsia" w:ascii="宋体" w:hAnsi="宋体" w:eastAsia="宋体" w:cs="宋体"/>
          <w:color w:val="auto"/>
          <w:sz w:val="24"/>
          <w:szCs w:val="24"/>
          <w:highlight w:val="none"/>
        </w:rPr>
        <w:t>0898-65881061</w:t>
      </w:r>
    </w:p>
    <w:p>
      <w:pPr>
        <w:spacing w:line="440" w:lineRule="exact"/>
        <w:rPr>
          <w:rFonts w:hint="eastAsia" w:ascii="宋体" w:hAnsi="宋体" w:eastAsia="宋体" w:cs="宋体"/>
          <w:bCs/>
          <w:color w:val="auto"/>
          <w:kern w:val="0"/>
          <w:sz w:val="24"/>
          <w:highlight w:val="none"/>
          <w:lang w:val="en-GB" w:eastAsia="zh-CN"/>
        </w:rPr>
      </w:pPr>
    </w:p>
    <w:p>
      <w:pPr>
        <w:pStyle w:val="65"/>
        <w:spacing w:line="390" w:lineRule="atLeast"/>
        <w:ind w:firstLine="890"/>
        <w:jc w:val="both"/>
        <w:rPr>
          <w:rFonts w:ascii="Arial" w:hAnsi="Arial" w:cs="Arial"/>
          <w:color w:val="auto"/>
          <w:highlight w:val="none"/>
        </w:rPr>
      </w:pPr>
      <w:r>
        <w:rPr>
          <w:rFonts w:hint="eastAsia" w:cs="Arial"/>
          <w:color w:val="auto"/>
          <w:highlight w:val="none"/>
        </w:rPr>
        <w:t> </w:t>
      </w:r>
    </w:p>
    <w:p>
      <w:pPr>
        <w:rPr>
          <w:rFonts w:ascii="宋体" w:hAnsi="宋体" w:cs="宋体"/>
          <w:color w:val="auto"/>
          <w:kern w:val="0"/>
          <w:sz w:val="24"/>
          <w:highlight w:val="none"/>
        </w:rPr>
      </w:pPr>
      <w:r>
        <w:rPr>
          <w:rFonts w:hint="eastAsia" w:cs="Arial"/>
          <w:color w:val="auto"/>
          <w:highlight w:val="none"/>
        </w:rPr>
        <w:t xml:space="preserve">   </w:t>
      </w:r>
      <w:r>
        <w:rPr>
          <w:rFonts w:hint="eastAsia" w:ascii="宋体" w:hAnsi="宋体" w:cs="Arial"/>
          <w:color w:val="auto"/>
          <w:kern w:val="0"/>
          <w:sz w:val="24"/>
          <w:highlight w:val="none"/>
        </w:rPr>
        <w:t xml:space="preserve">  </w:t>
      </w:r>
    </w:p>
    <w:p>
      <w:pPr>
        <w:spacing w:before="156" w:beforeLines="50" w:after="156" w:afterLines="50" w:line="360" w:lineRule="auto"/>
        <w:jc w:val="center"/>
        <w:outlineLvl w:val="0"/>
        <w:rPr>
          <w:rFonts w:hint="eastAsia" w:ascii="宋体" w:hAnsi="宋体" w:cs="宋体"/>
          <w:b/>
          <w:color w:val="auto"/>
          <w:sz w:val="30"/>
          <w:szCs w:val="30"/>
          <w:highlight w:val="none"/>
        </w:rPr>
      </w:pPr>
      <w:r>
        <w:rPr>
          <w:rFonts w:ascii="宋体" w:hAnsi="宋体" w:cs="宋体"/>
          <w:b/>
          <w:color w:val="auto"/>
          <w:sz w:val="44"/>
          <w:szCs w:val="44"/>
          <w:highlight w:val="none"/>
        </w:rPr>
        <w:br w:type="page"/>
      </w:r>
      <w:bookmarkStart w:id="52" w:name="_Toc16038"/>
      <w:r>
        <w:rPr>
          <w:rFonts w:hint="eastAsia" w:ascii="宋体" w:hAnsi="宋体" w:cs="宋体"/>
          <w:b/>
          <w:color w:val="auto"/>
          <w:sz w:val="44"/>
          <w:szCs w:val="44"/>
          <w:highlight w:val="none"/>
        </w:rPr>
        <w:t>第二部分  供应商须知</w:t>
      </w:r>
      <w:bookmarkEnd w:id="52"/>
    </w:p>
    <w:p>
      <w:pPr>
        <w:spacing w:before="156" w:beforeLines="50" w:after="156" w:afterLines="50" w:line="440" w:lineRule="exact"/>
        <w:outlineLvl w:val="0"/>
        <w:rPr>
          <w:rFonts w:hint="eastAsia" w:ascii="宋体" w:hAnsi="宋体" w:cs="宋体"/>
          <w:b/>
          <w:color w:val="auto"/>
          <w:sz w:val="28"/>
          <w:szCs w:val="28"/>
          <w:highlight w:val="none"/>
        </w:rPr>
      </w:pPr>
      <w:bookmarkStart w:id="53" w:name="_Toc28933"/>
      <w:r>
        <w:rPr>
          <w:rFonts w:hint="eastAsia" w:ascii="宋体" w:hAnsi="宋体" w:cs="宋体"/>
          <w:b/>
          <w:color w:val="auto"/>
          <w:sz w:val="28"/>
          <w:szCs w:val="28"/>
          <w:highlight w:val="none"/>
        </w:rPr>
        <w:t>（一）总则</w:t>
      </w:r>
      <w:bookmarkEnd w:id="53"/>
    </w:p>
    <w:p>
      <w:pPr>
        <w:spacing w:line="440" w:lineRule="exact"/>
        <w:outlineLvl w:val="1"/>
        <w:rPr>
          <w:rFonts w:hint="eastAsia" w:ascii="宋体" w:hAnsi="宋体" w:cs="宋体"/>
          <w:b/>
          <w:bCs/>
          <w:color w:val="auto"/>
          <w:sz w:val="24"/>
          <w:highlight w:val="none"/>
        </w:rPr>
      </w:pPr>
      <w:bookmarkStart w:id="54" w:name="_Toc20699"/>
      <w:bookmarkStart w:id="55" w:name="_Toc29960"/>
      <w:bookmarkStart w:id="56" w:name="_Toc2690"/>
      <w:bookmarkStart w:id="57" w:name="_Toc433126984"/>
      <w:r>
        <w:rPr>
          <w:rFonts w:hint="eastAsia" w:ascii="宋体" w:hAnsi="宋体" w:cs="宋体"/>
          <w:b/>
          <w:bCs/>
          <w:color w:val="auto"/>
          <w:sz w:val="24"/>
          <w:highlight w:val="none"/>
        </w:rPr>
        <w:t>1、适用范围</w:t>
      </w:r>
      <w:bookmarkEnd w:id="54"/>
      <w:bookmarkEnd w:id="55"/>
      <w:bookmarkEnd w:id="56"/>
      <w:bookmarkEnd w:id="57"/>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文件仅适用于</w:t>
      </w:r>
      <w:r>
        <w:rPr>
          <w:rFonts w:hint="eastAsia" w:ascii="宋体" w:hAnsi="宋体" w:cs="宋体"/>
          <w:bCs/>
          <w:color w:val="auto"/>
          <w:kern w:val="0"/>
          <w:sz w:val="24"/>
          <w:highlight w:val="none"/>
          <w:lang w:val="en-GB"/>
        </w:rPr>
        <w:t>本次磋商邀请中所叙述项目的货物或服务性</w:t>
      </w:r>
      <w:r>
        <w:rPr>
          <w:rFonts w:ascii="宋体" w:hAnsi="宋体" w:cs="宋体"/>
          <w:bCs/>
          <w:color w:val="auto"/>
          <w:kern w:val="0"/>
          <w:sz w:val="24"/>
          <w:highlight w:val="none"/>
          <w:lang w:val="en-GB"/>
        </w:rPr>
        <w:t>磋商</w:t>
      </w:r>
      <w:r>
        <w:rPr>
          <w:rFonts w:hint="eastAsia" w:ascii="宋体" w:hAnsi="宋体" w:cs="宋体"/>
          <w:bCs/>
          <w:color w:val="auto"/>
          <w:kern w:val="0"/>
          <w:sz w:val="24"/>
          <w:highlight w:val="none"/>
          <w:lang w:val="en-GB"/>
        </w:rPr>
        <w:t>。</w:t>
      </w:r>
    </w:p>
    <w:p>
      <w:pPr>
        <w:tabs>
          <w:tab w:val="left" w:pos="7665"/>
        </w:tabs>
        <w:spacing w:line="440" w:lineRule="exact"/>
        <w:outlineLvl w:val="1"/>
        <w:rPr>
          <w:rFonts w:hint="eastAsia" w:ascii="宋体" w:hAnsi="宋体" w:cs="宋体"/>
          <w:b/>
          <w:color w:val="auto"/>
          <w:sz w:val="24"/>
          <w:highlight w:val="none"/>
        </w:rPr>
      </w:pPr>
      <w:bookmarkStart w:id="58" w:name="_Toc17722"/>
      <w:bookmarkStart w:id="59" w:name="_Toc16557"/>
      <w:bookmarkStart w:id="60" w:name="_Toc18980"/>
      <w:bookmarkStart w:id="61" w:name="_Toc433126985"/>
      <w:r>
        <w:rPr>
          <w:rFonts w:hint="eastAsia" w:ascii="宋体" w:hAnsi="宋体" w:cs="宋体"/>
          <w:b/>
          <w:color w:val="auto"/>
          <w:sz w:val="24"/>
          <w:highlight w:val="none"/>
        </w:rPr>
        <w:t>2、有关定义及相应职责</w:t>
      </w:r>
      <w:bookmarkEnd w:id="58"/>
      <w:bookmarkEnd w:id="59"/>
      <w:bookmarkEnd w:id="60"/>
      <w:bookmarkEnd w:id="61"/>
    </w:p>
    <w:p>
      <w:pPr>
        <w:tabs>
          <w:tab w:val="left" w:pos="7665"/>
        </w:tabs>
        <w:spacing w:line="440" w:lineRule="exact"/>
        <w:ind w:firstLine="480" w:firstLineChars="200"/>
        <w:rPr>
          <w:rFonts w:hint="eastAsia" w:ascii="宋体" w:hAnsi="宋体" w:cs="宋体"/>
          <w:color w:val="auto"/>
          <w:sz w:val="24"/>
          <w:highlight w:val="none"/>
        </w:rPr>
      </w:pPr>
      <w:bookmarkStart w:id="62" w:name="_Toc217446037"/>
      <w:bookmarkStart w:id="63" w:name="_Toc183582208"/>
      <w:bookmarkStart w:id="64" w:name="_Toc183682345"/>
      <w:r>
        <w:rPr>
          <w:rFonts w:hint="eastAsia" w:ascii="宋体" w:hAnsi="宋体" w:cs="宋体"/>
          <w:color w:val="auto"/>
          <w:sz w:val="24"/>
          <w:highlight w:val="none"/>
        </w:rPr>
        <w:t>2.1 “采购人”系指依法进行政府采购的国家机关、事业单位、团体组织。本次</w:t>
      </w:r>
      <w:r>
        <w:rPr>
          <w:rFonts w:hint="eastAsia" w:ascii="宋体" w:hAnsi="宋体" w:cs="宋体"/>
          <w:bCs/>
          <w:color w:val="auto"/>
          <w:kern w:val="0"/>
          <w:sz w:val="24"/>
          <w:highlight w:val="none"/>
          <w:lang w:val="en-GB"/>
        </w:rPr>
        <w:t>竞争性磋商的</w:t>
      </w:r>
      <w:r>
        <w:rPr>
          <w:rFonts w:hint="eastAsia" w:ascii="宋体" w:hAnsi="宋体" w:cs="宋体"/>
          <w:color w:val="auto"/>
          <w:sz w:val="24"/>
          <w:highlight w:val="none"/>
        </w:rPr>
        <w:t>采购人是</w:t>
      </w:r>
      <w:r>
        <w:rPr>
          <w:rFonts w:hint="eastAsia" w:ascii="宋体" w:hAnsi="宋体" w:cs="宋体"/>
          <w:b/>
          <w:bCs/>
          <w:color w:val="auto"/>
          <w:sz w:val="24"/>
          <w:highlight w:val="none"/>
          <w:lang w:val="en-GB" w:eastAsia="zh-CN"/>
        </w:rPr>
        <w:t>万宁市卫生健康委员会</w:t>
      </w:r>
      <w:r>
        <w:rPr>
          <w:rFonts w:hint="eastAsia" w:ascii="宋体" w:hAnsi="宋体" w:cs="宋体"/>
          <w:color w:val="auto"/>
          <w:sz w:val="24"/>
          <w:highlight w:val="none"/>
        </w:rPr>
        <w:t>。</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2.2 “采购代理机构”系指受采购人的委托依法办理</w:t>
      </w:r>
      <w:r>
        <w:rPr>
          <w:rFonts w:hint="eastAsia" w:ascii="宋体" w:hAnsi="宋体" w:cs="宋体"/>
          <w:bCs/>
          <w:color w:val="auto"/>
          <w:kern w:val="0"/>
          <w:sz w:val="24"/>
          <w:highlight w:val="none"/>
          <w:lang w:val="en-GB"/>
        </w:rPr>
        <w:t>采购</w:t>
      </w:r>
      <w:r>
        <w:rPr>
          <w:rFonts w:hint="eastAsia" w:ascii="宋体" w:hAnsi="宋体" w:cs="宋体"/>
          <w:color w:val="auto"/>
          <w:sz w:val="24"/>
          <w:highlight w:val="none"/>
        </w:rPr>
        <w:t>事宜的机构。本次</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的采购代理机构</w:t>
      </w:r>
      <w:r>
        <w:rPr>
          <w:rFonts w:hint="eastAsia" w:ascii="宋体" w:hAnsi="宋体" w:cs="宋体"/>
          <w:color w:val="auto"/>
          <w:sz w:val="24"/>
          <w:highlight w:val="none"/>
          <w:lang w:val="en-GB"/>
        </w:rPr>
        <w:t>是</w:t>
      </w:r>
      <w:r>
        <w:rPr>
          <w:rFonts w:hint="eastAsia" w:ascii="宋体" w:hAnsi="宋体" w:cs="宋体"/>
          <w:b/>
          <w:bCs/>
          <w:color w:val="auto"/>
          <w:sz w:val="24"/>
          <w:highlight w:val="none"/>
          <w:lang w:val="en-GB"/>
        </w:rPr>
        <w:t>海南通尚工程管理有限公司</w:t>
      </w:r>
      <w:r>
        <w:rPr>
          <w:rFonts w:hint="eastAsia" w:ascii="宋体" w:hAnsi="宋体" w:cs="宋体"/>
          <w:color w:val="auto"/>
          <w:sz w:val="24"/>
          <w:highlight w:val="none"/>
        </w:rPr>
        <w:t>。</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 “供应商”系指实名购买</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文件拟参加竞争性磋商和拟向采购人提供货物或服务的供应商。其职责如下：</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2.3.1 对</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文件错、漏之处提出澄清、说明要求或质疑；</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2.3.2 按要求缴纳磋商保证金；</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2.3.3 按要求编制响应文件；</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2.3.4 派磋商代表递交响应文件，参加磋商活动，对评审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2.3.5 配合相关职能部门就</w:t>
      </w:r>
      <w:r>
        <w:rPr>
          <w:rFonts w:hint="eastAsia" w:ascii="宋体" w:hAnsi="宋体" w:cs="宋体"/>
          <w:bCs/>
          <w:color w:val="auto"/>
          <w:kern w:val="0"/>
          <w:sz w:val="24"/>
          <w:highlight w:val="none"/>
          <w:lang w:val="en-GB"/>
        </w:rPr>
        <w:t>竞争性磋商采购</w:t>
      </w:r>
      <w:r>
        <w:rPr>
          <w:rFonts w:hint="eastAsia" w:ascii="宋体" w:hAnsi="宋体" w:cs="宋体"/>
          <w:color w:val="auto"/>
          <w:sz w:val="24"/>
          <w:highlight w:val="none"/>
        </w:rPr>
        <w:t>项目的质疑、投诉和举报的处理工作；</w:t>
      </w:r>
    </w:p>
    <w:p>
      <w:pPr>
        <w:tabs>
          <w:tab w:val="left" w:pos="3060"/>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2.3.6 与采购人签订采购合同，按照合同规定向采购人提供货物或服务；</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2.3.7 </w:t>
      </w:r>
      <w:bookmarkStart w:id="65" w:name="_Toc217390843"/>
      <w:bookmarkStart w:id="66" w:name="_Toc217446036"/>
      <w:bookmarkStart w:id="67" w:name="_Toc183682344"/>
      <w:bookmarkStart w:id="68" w:name="_Toc183582207"/>
      <w:r>
        <w:rPr>
          <w:rFonts w:hint="eastAsia" w:ascii="宋体" w:hAnsi="宋体" w:cs="宋体"/>
          <w:color w:val="auto"/>
          <w:sz w:val="24"/>
          <w:highlight w:val="none"/>
        </w:rPr>
        <w:t>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2.4 合格的</w:t>
      </w:r>
      <w:bookmarkEnd w:id="65"/>
      <w:bookmarkEnd w:id="66"/>
      <w:bookmarkEnd w:id="67"/>
      <w:bookmarkEnd w:id="68"/>
      <w:r>
        <w:rPr>
          <w:rFonts w:hint="eastAsia" w:ascii="宋体" w:hAnsi="宋体" w:cs="宋体"/>
          <w:color w:val="auto"/>
          <w:sz w:val="24"/>
          <w:highlight w:val="none"/>
        </w:rPr>
        <w:t xml:space="preserve">供应商 </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2.4.1 </w:t>
      </w:r>
      <w:r>
        <w:rPr>
          <w:rFonts w:hint="eastAsia" w:ascii="宋体" w:hAnsi="宋体" w:cs="宋体"/>
          <w:bCs/>
          <w:color w:val="auto"/>
          <w:kern w:val="0"/>
          <w:sz w:val="24"/>
          <w:highlight w:val="none"/>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2.4.2 </w:t>
      </w:r>
      <w:r>
        <w:rPr>
          <w:rFonts w:hint="eastAsia" w:ascii="宋体" w:hAnsi="宋体" w:cs="宋体"/>
          <w:bCs/>
          <w:color w:val="auto"/>
          <w:kern w:val="0"/>
          <w:sz w:val="24"/>
          <w:highlight w:val="none"/>
          <w:lang w:val="en-GB"/>
        </w:rPr>
        <w:t>符合竞争性磋商</w:t>
      </w:r>
      <w:r>
        <w:rPr>
          <w:rFonts w:hint="eastAsia" w:ascii="宋体" w:hAnsi="宋体" w:cs="宋体"/>
          <w:color w:val="auto"/>
          <w:sz w:val="24"/>
          <w:highlight w:val="none"/>
        </w:rPr>
        <w:t>文件</w:t>
      </w:r>
      <w:r>
        <w:rPr>
          <w:rFonts w:hint="eastAsia" w:ascii="宋体" w:hAnsi="宋体" w:cs="宋体"/>
          <w:bCs/>
          <w:color w:val="auto"/>
          <w:kern w:val="0"/>
          <w:sz w:val="24"/>
          <w:highlight w:val="none"/>
          <w:lang w:val="en-GB"/>
        </w:rPr>
        <w:t>规定的资格要求，有能力提供满足竞争性磋商</w:t>
      </w:r>
      <w:r>
        <w:rPr>
          <w:rFonts w:hint="eastAsia" w:ascii="宋体" w:hAnsi="宋体" w:cs="宋体"/>
          <w:color w:val="auto"/>
          <w:sz w:val="24"/>
          <w:highlight w:val="none"/>
        </w:rPr>
        <w:t>文件</w:t>
      </w:r>
      <w:r>
        <w:rPr>
          <w:rFonts w:hint="eastAsia" w:ascii="宋体" w:hAnsi="宋体" w:cs="宋体"/>
          <w:bCs/>
          <w:color w:val="auto"/>
          <w:kern w:val="0"/>
          <w:sz w:val="24"/>
          <w:highlight w:val="none"/>
          <w:lang w:val="en-GB"/>
        </w:rPr>
        <w:t>要求的相关</w:t>
      </w:r>
      <w:r>
        <w:rPr>
          <w:rFonts w:hint="eastAsia" w:ascii="宋体" w:hAnsi="宋体" w:cs="宋体"/>
          <w:color w:val="auto"/>
          <w:sz w:val="24"/>
          <w:highlight w:val="none"/>
        </w:rPr>
        <w:t>货物或服务</w:t>
      </w:r>
      <w:r>
        <w:rPr>
          <w:rFonts w:hint="eastAsia" w:ascii="宋体" w:hAnsi="宋体" w:cs="宋体"/>
          <w:bCs/>
          <w:color w:val="auto"/>
          <w:kern w:val="0"/>
          <w:sz w:val="24"/>
          <w:highlight w:val="none"/>
          <w:lang w:val="en-GB"/>
        </w:rPr>
        <w:t>的法人实体。</w:t>
      </w:r>
    </w:p>
    <w:p>
      <w:pPr>
        <w:tabs>
          <w:tab w:val="left" w:pos="7665"/>
        </w:tabs>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color w:val="auto"/>
          <w:sz w:val="24"/>
          <w:highlight w:val="none"/>
        </w:rPr>
        <w:t xml:space="preserve">2.5 </w:t>
      </w:r>
      <w:r>
        <w:rPr>
          <w:rFonts w:hint="eastAsia" w:ascii="宋体" w:hAnsi="宋体" w:cs="宋体"/>
          <w:bCs/>
          <w:color w:val="auto"/>
          <w:kern w:val="0"/>
          <w:sz w:val="24"/>
          <w:highlight w:val="none"/>
          <w:lang w:val="en-GB"/>
        </w:rPr>
        <w:t>“成交供应商”按照磋商文件确定的评审标准和方法，对响应文件进行评审，推荐合格的成交候选人，采购人根据磋商小组提出的书面评审报告和推荐的成交候选人确定成交供应商。</w:t>
      </w:r>
    </w:p>
    <w:p>
      <w:pPr>
        <w:pStyle w:val="12"/>
        <w:spacing w:line="440" w:lineRule="exact"/>
        <w:outlineLvl w:val="1"/>
        <w:rPr>
          <w:rFonts w:hint="eastAsia" w:hAnsi="宋体" w:cs="宋体"/>
          <w:bCs/>
          <w:color w:val="auto"/>
          <w:kern w:val="0"/>
          <w:sz w:val="24"/>
          <w:highlight w:val="none"/>
          <w:lang w:val="en-GB"/>
        </w:rPr>
      </w:pPr>
      <w:bookmarkStart w:id="69" w:name="_Toc27108"/>
      <w:bookmarkStart w:id="70" w:name="_Toc6392"/>
      <w:bookmarkStart w:id="71" w:name="_Toc433126986"/>
      <w:bookmarkStart w:id="72" w:name="_Toc14776"/>
      <w:r>
        <w:rPr>
          <w:rFonts w:hint="eastAsia" w:hAnsi="宋体" w:cs="宋体"/>
          <w:b/>
          <w:color w:val="auto"/>
          <w:sz w:val="24"/>
          <w:highlight w:val="none"/>
        </w:rPr>
        <w:t>3</w:t>
      </w:r>
      <w:r>
        <w:rPr>
          <w:rFonts w:hint="eastAsia" w:hAnsi="宋体" w:cs="宋体"/>
          <w:b/>
          <w:color w:val="auto"/>
          <w:sz w:val="24"/>
          <w:highlight w:val="none"/>
          <w:lang w:val="en-GB"/>
        </w:rPr>
        <w:t>、合格的货物和服务</w:t>
      </w:r>
      <w:bookmarkEnd w:id="69"/>
      <w:bookmarkEnd w:id="70"/>
      <w:bookmarkEnd w:id="71"/>
      <w:bookmarkEnd w:id="72"/>
    </w:p>
    <w:bookmarkEnd w:id="62"/>
    <w:bookmarkEnd w:id="63"/>
    <w:bookmarkEnd w:id="64"/>
    <w:p>
      <w:pPr>
        <w:adjustRightInd w:val="0"/>
        <w:snapToGrid w:val="0"/>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.1</w:t>
      </w:r>
      <w:r>
        <w:rPr>
          <w:rFonts w:hint="eastAsia" w:ascii="宋体" w:hAnsi="宋体" w:cs="宋体"/>
          <w:bCs/>
          <w:color w:val="auto"/>
          <w:kern w:val="0"/>
          <w:sz w:val="24"/>
          <w:highlight w:val="none"/>
        </w:rPr>
        <w:t xml:space="preserve"> </w:t>
      </w:r>
      <w:r>
        <w:rPr>
          <w:rFonts w:hint="eastAsia" w:ascii="宋体" w:hAnsi="宋体" w:cs="宋体"/>
          <w:bCs/>
          <w:color w:val="auto"/>
          <w:kern w:val="0"/>
          <w:sz w:val="24"/>
          <w:highlight w:val="none"/>
          <w:lang w:val="en-GB"/>
        </w:rPr>
        <w:t>“货物”系指供应商制造或组织符合磋商文件要求的货物等。所投货物必须是合法生产的合格货物，并能够按照货物合同规定的品牌、产地、质量、价格和有效期等。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.2 “服务”系指除货物以外的其他政府采购对象，其中包括：卖方须承担的运输、安装、技术支持与升级、培训、验收以及其它类似附加服务的义务。</w:t>
      </w:r>
    </w:p>
    <w:p>
      <w:pPr>
        <w:pStyle w:val="12"/>
        <w:spacing w:line="440" w:lineRule="exact"/>
        <w:outlineLvl w:val="1"/>
        <w:rPr>
          <w:rFonts w:hint="eastAsia" w:hAnsi="宋体" w:cs="宋体"/>
          <w:b/>
          <w:color w:val="auto"/>
          <w:sz w:val="24"/>
          <w:highlight w:val="none"/>
          <w:lang w:val="en-GB"/>
        </w:rPr>
      </w:pPr>
      <w:bookmarkStart w:id="73" w:name="_Toc6405"/>
      <w:bookmarkStart w:id="74" w:name="_Toc22432"/>
      <w:bookmarkStart w:id="75" w:name="_Toc30001"/>
      <w:r>
        <w:rPr>
          <w:rFonts w:hint="eastAsia" w:hAnsi="宋体" w:cs="宋体"/>
          <w:b/>
          <w:color w:val="auto"/>
          <w:sz w:val="24"/>
          <w:highlight w:val="none"/>
        </w:rPr>
        <w:t>4、本磋商文件由采购人及采购代理机构负责解释。</w:t>
      </w:r>
      <w:bookmarkEnd w:id="73"/>
      <w:bookmarkEnd w:id="74"/>
      <w:bookmarkEnd w:id="75"/>
    </w:p>
    <w:p>
      <w:pPr>
        <w:tabs>
          <w:tab w:val="left" w:pos="7665"/>
        </w:tabs>
        <w:spacing w:line="440" w:lineRule="exact"/>
        <w:outlineLvl w:val="1"/>
        <w:rPr>
          <w:rFonts w:hint="eastAsia" w:ascii="宋体" w:hAnsi="宋体" w:cs="宋体"/>
          <w:b/>
          <w:color w:val="auto"/>
          <w:sz w:val="24"/>
          <w:highlight w:val="none"/>
        </w:rPr>
      </w:pPr>
      <w:bookmarkStart w:id="76" w:name="_Toc23871"/>
      <w:bookmarkStart w:id="77" w:name="_Toc3320"/>
      <w:bookmarkStart w:id="78" w:name="_Toc24407"/>
      <w:bookmarkStart w:id="79" w:name="_Toc433126987"/>
      <w:r>
        <w:rPr>
          <w:rFonts w:hint="eastAsia" w:ascii="宋体" w:hAnsi="宋体" w:cs="宋体"/>
          <w:b/>
          <w:color w:val="auto"/>
          <w:sz w:val="24"/>
          <w:highlight w:val="none"/>
        </w:rPr>
        <w:t>5、投标费用</w:t>
      </w:r>
      <w:bookmarkEnd w:id="76"/>
      <w:bookmarkEnd w:id="77"/>
      <w:bookmarkEnd w:id="78"/>
      <w:bookmarkEnd w:id="79"/>
    </w:p>
    <w:p>
      <w:pPr>
        <w:spacing w:line="440" w:lineRule="exact"/>
        <w:rPr>
          <w:rFonts w:hint="eastAsia" w:ascii="宋体" w:hAnsi="宋体" w:cs="宋体"/>
          <w:color w:val="auto"/>
          <w:sz w:val="24"/>
          <w:highlight w:val="none"/>
        </w:rPr>
      </w:pPr>
      <w:bookmarkStart w:id="80" w:name="_Toc183682347"/>
      <w:bookmarkStart w:id="81" w:name="_Toc183582210"/>
      <w:bookmarkStart w:id="82" w:name="_Toc217446039"/>
      <w:r>
        <w:rPr>
          <w:rFonts w:hint="eastAsia" w:ascii="宋体" w:hAnsi="宋体" w:cs="宋体"/>
          <w:color w:val="auto"/>
          <w:sz w:val="24"/>
          <w:highlight w:val="none"/>
        </w:rPr>
        <w:t xml:space="preserve">    5.1 供应商应承担所有与准备和参加磋商有关的费用。不论磋商的结果如何，采购代理机构和采购人均无义务和责任承担这些费用。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5.2 </w:t>
      </w:r>
      <w:r>
        <w:rPr>
          <w:rFonts w:hint="eastAsia" w:ascii="宋体" w:hAnsi="宋体" w:cs="宋体"/>
          <w:b/>
          <w:bCs/>
          <w:color w:val="auto"/>
          <w:sz w:val="24"/>
          <w:highlight w:val="none"/>
        </w:rPr>
        <w:t>采购代理机构参照国家计价格 [2002]1980号文收费标准</w:t>
      </w:r>
      <w:r>
        <w:rPr>
          <w:rFonts w:hint="eastAsia" w:ascii="宋体" w:hAnsi="宋体" w:cs="宋体"/>
          <w:b/>
          <w:bCs/>
          <w:color w:val="auto"/>
          <w:sz w:val="24"/>
          <w:highlight w:val="none"/>
          <w:lang w:val="en-US" w:eastAsia="zh-CN"/>
        </w:rPr>
        <w:t>后的9折</w:t>
      </w:r>
      <w:r>
        <w:rPr>
          <w:rFonts w:hint="eastAsia" w:ascii="宋体" w:hAnsi="宋体" w:cs="宋体"/>
          <w:b/>
          <w:bCs/>
          <w:color w:val="auto"/>
          <w:sz w:val="24"/>
          <w:highlight w:val="none"/>
        </w:rPr>
        <w:t>向中标人收取。</w:t>
      </w:r>
      <w:r>
        <w:rPr>
          <w:rFonts w:hint="eastAsia" w:ascii="宋体" w:hAnsi="宋体" w:cs="宋体"/>
          <w:color w:val="auto"/>
          <w:sz w:val="24"/>
          <w:highlight w:val="none"/>
        </w:rPr>
        <w:t>成交供应商须在成交公告之日起至领取《成交通知书》前向采购代理机构支付代理服务费，逾期未付，每日按代理费的百分之五收取违约金，且采购代理机构有权拒绝向成交供应商发放《成交通知书》、在成交合同上拒签或盖章，因此造成的法律责任均由成交供应商承担。</w:t>
      </w:r>
    </w:p>
    <w:p>
      <w:pPr>
        <w:pStyle w:val="23"/>
        <w:rPr>
          <w:rFonts w:hint="eastAsia"/>
          <w:color w:val="auto"/>
        </w:rPr>
      </w:pPr>
    </w:p>
    <w:p>
      <w:pPr>
        <w:tabs>
          <w:tab w:val="left" w:pos="7665"/>
        </w:tabs>
        <w:spacing w:before="156" w:beforeLines="50" w:after="156" w:afterLines="50" w:line="440" w:lineRule="exact"/>
        <w:outlineLvl w:val="0"/>
        <w:rPr>
          <w:rFonts w:hint="eastAsia" w:ascii="宋体" w:hAnsi="宋体" w:cs="宋体"/>
          <w:b/>
          <w:color w:val="auto"/>
          <w:sz w:val="28"/>
          <w:szCs w:val="28"/>
          <w:highlight w:val="none"/>
        </w:rPr>
      </w:pPr>
      <w:bookmarkStart w:id="83" w:name="_Toc32524"/>
      <w:r>
        <w:rPr>
          <w:rFonts w:hint="eastAsia" w:ascii="宋体" w:hAnsi="宋体" w:cs="宋体"/>
          <w:b/>
          <w:color w:val="auto"/>
          <w:sz w:val="28"/>
          <w:szCs w:val="28"/>
          <w:highlight w:val="none"/>
        </w:rPr>
        <w:t>（二）</w:t>
      </w:r>
      <w:r>
        <w:rPr>
          <w:rFonts w:hint="eastAsia" w:ascii="宋体" w:hAnsi="宋体" w:cs="宋体"/>
          <w:b/>
          <w:bCs/>
          <w:color w:val="auto"/>
          <w:sz w:val="28"/>
          <w:szCs w:val="28"/>
          <w:highlight w:val="none"/>
          <w:lang w:val="en-GB"/>
        </w:rPr>
        <w:t>竞争性磋商</w:t>
      </w:r>
      <w:r>
        <w:rPr>
          <w:rFonts w:hint="eastAsia" w:ascii="宋体" w:hAnsi="宋体" w:cs="宋体"/>
          <w:b/>
          <w:color w:val="auto"/>
          <w:sz w:val="28"/>
          <w:szCs w:val="28"/>
          <w:highlight w:val="none"/>
        </w:rPr>
        <w:t>文件</w:t>
      </w:r>
      <w:bookmarkEnd w:id="83"/>
    </w:p>
    <w:p>
      <w:pPr>
        <w:pStyle w:val="12"/>
        <w:spacing w:line="440" w:lineRule="exact"/>
        <w:outlineLvl w:val="1"/>
        <w:rPr>
          <w:rFonts w:hint="eastAsia" w:hAnsi="宋体" w:cs="宋体"/>
          <w:b/>
          <w:bCs/>
          <w:color w:val="auto"/>
          <w:sz w:val="24"/>
          <w:highlight w:val="none"/>
        </w:rPr>
      </w:pPr>
      <w:bookmarkStart w:id="84" w:name="_Toc433126990"/>
      <w:bookmarkStart w:id="85" w:name="_Toc26915"/>
      <w:bookmarkStart w:id="86" w:name="_Toc23383"/>
      <w:bookmarkStart w:id="87" w:name="_Toc21818"/>
      <w:r>
        <w:rPr>
          <w:rFonts w:hint="eastAsia" w:hAnsi="宋体" w:cs="宋体"/>
          <w:b/>
          <w:bCs/>
          <w:color w:val="auto"/>
          <w:sz w:val="24"/>
          <w:highlight w:val="none"/>
        </w:rPr>
        <w:t>6、竞争性磋商文件的构成</w:t>
      </w:r>
      <w:bookmarkEnd w:id="84"/>
      <w:bookmarkEnd w:id="85"/>
      <w:bookmarkEnd w:id="86"/>
      <w:bookmarkEnd w:id="87"/>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 xml:space="preserve">6.1 </w:t>
      </w:r>
      <w:r>
        <w:rPr>
          <w:rFonts w:hint="eastAsia" w:hAnsi="宋体"/>
          <w:color w:val="auto"/>
          <w:sz w:val="24"/>
          <w:highlight w:val="none"/>
        </w:rPr>
        <w:t>竞争性</w:t>
      </w:r>
      <w:r>
        <w:rPr>
          <w:rFonts w:hAnsi="宋体"/>
          <w:color w:val="auto"/>
          <w:sz w:val="24"/>
          <w:highlight w:val="none"/>
        </w:rPr>
        <w:t>磋商</w:t>
      </w:r>
      <w:r>
        <w:rPr>
          <w:rFonts w:hint="eastAsia" w:hAnsi="宋体"/>
          <w:color w:val="auto"/>
          <w:sz w:val="24"/>
          <w:highlight w:val="none"/>
        </w:rPr>
        <w:t>文件</w:t>
      </w:r>
      <w:r>
        <w:rPr>
          <w:rFonts w:hint="eastAsia" w:hAnsi="宋体" w:cs="宋体"/>
          <w:color w:val="auto"/>
          <w:sz w:val="24"/>
          <w:highlight w:val="none"/>
        </w:rPr>
        <w:t>由下列文件以及在磋商过程中发出的修正和补充文件组成：</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 xml:space="preserve">第一部分  </w:t>
      </w:r>
      <w:r>
        <w:rPr>
          <w:rFonts w:hint="eastAsia" w:ascii="宋体" w:hAnsi="宋体" w:cs="宋体"/>
          <w:color w:val="auto"/>
          <w:sz w:val="24"/>
          <w:highlight w:val="none"/>
        </w:rPr>
        <w:t>磋商邀请函</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第二部分  供应商须知</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第三部分  合同内容及条款</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第四部分  响应文件内容及格式</w:t>
      </w:r>
    </w:p>
    <w:p>
      <w:pPr>
        <w:spacing w:line="360" w:lineRule="auto"/>
        <w:ind w:firstLine="960" w:firstLineChars="400"/>
        <w:rPr>
          <w:rFonts w:hint="eastAsia" w:ascii="宋体" w:hAnsi="宋体"/>
          <w:color w:val="auto"/>
          <w:sz w:val="24"/>
          <w:highlight w:val="none"/>
        </w:rPr>
      </w:pPr>
      <w:r>
        <w:rPr>
          <w:rFonts w:hint="eastAsia" w:ascii="宋体" w:hAnsi="宋体"/>
          <w:color w:val="auto"/>
          <w:sz w:val="24"/>
          <w:highlight w:val="none"/>
        </w:rPr>
        <w:t>第五部分  用户需求书</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注：请仔细检查竞争性</w:t>
      </w:r>
      <w:r>
        <w:rPr>
          <w:rFonts w:ascii="宋体" w:hAnsi="宋体"/>
          <w:b/>
          <w:color w:val="auto"/>
          <w:sz w:val="24"/>
          <w:highlight w:val="none"/>
        </w:rPr>
        <w:t>磋商</w:t>
      </w:r>
      <w:r>
        <w:rPr>
          <w:rFonts w:hint="eastAsia" w:ascii="宋体" w:hAnsi="宋体"/>
          <w:b/>
          <w:color w:val="auto"/>
          <w:sz w:val="24"/>
          <w:highlight w:val="none"/>
        </w:rPr>
        <w:t>文件是否齐全，如有缺漏，请立即与采购代理联系解决。</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6.2 6.2供应商须认真阅读磋商文件中所有的事项、格式、条款和技术规范等。供应商没有按照磋商文件要求提交全部资料，或者供应商没有对磋商文件在各方面都做出实质性响应，可能导致其响应被拒绝或无效响应等风险均由供应商承担。</w:t>
      </w:r>
    </w:p>
    <w:p>
      <w:pPr>
        <w:pStyle w:val="12"/>
        <w:spacing w:line="440" w:lineRule="exact"/>
        <w:outlineLvl w:val="1"/>
        <w:rPr>
          <w:rFonts w:hint="eastAsia" w:hAnsi="宋体" w:cs="宋体"/>
          <w:b/>
          <w:bCs/>
          <w:color w:val="auto"/>
          <w:sz w:val="24"/>
          <w:highlight w:val="none"/>
        </w:rPr>
      </w:pPr>
      <w:bookmarkStart w:id="88" w:name="_Toc433126991"/>
      <w:bookmarkStart w:id="89" w:name="_Toc9033"/>
      <w:bookmarkStart w:id="90" w:name="_Toc13398"/>
      <w:bookmarkStart w:id="91" w:name="_Toc9465"/>
      <w:r>
        <w:rPr>
          <w:rFonts w:hint="eastAsia" w:hAnsi="宋体" w:cs="宋体"/>
          <w:b/>
          <w:bCs/>
          <w:color w:val="auto"/>
          <w:sz w:val="24"/>
          <w:highlight w:val="none"/>
        </w:rPr>
        <w:t>7、竞争性磋商文件的澄清</w:t>
      </w:r>
      <w:bookmarkEnd w:id="88"/>
      <w:bookmarkEnd w:id="89"/>
      <w:bookmarkEnd w:id="90"/>
      <w:bookmarkEnd w:id="91"/>
    </w:p>
    <w:p>
      <w:pPr>
        <w:pStyle w:val="12"/>
        <w:adjustRightInd w:val="0"/>
        <w:snapToGrid w:val="0"/>
        <w:spacing w:line="440" w:lineRule="exact"/>
        <w:ind w:firstLine="480" w:firstLineChars="200"/>
        <w:rPr>
          <w:rFonts w:hint="eastAsia" w:hAnsi="宋体"/>
          <w:color w:val="auto"/>
          <w:sz w:val="24"/>
          <w:highlight w:val="none"/>
        </w:rPr>
      </w:pPr>
      <w:bookmarkStart w:id="92" w:name="_Toc433126992"/>
      <w:r>
        <w:rPr>
          <w:rFonts w:hint="eastAsia" w:hAnsi="宋体"/>
          <w:color w:val="auto"/>
          <w:sz w:val="24"/>
          <w:highlight w:val="none"/>
        </w:rPr>
        <w:t>应于递交响应文件截止时间前（逾期不受理）以书面形式向代理机构提出，采购代理机构将以书面形式进行答复，同时采购代理机构有权将答复内容分发给所有购买了本磋商文件的供应商。否则视为完全接受磋商文件所有条款及规定。</w:t>
      </w:r>
    </w:p>
    <w:p>
      <w:pPr>
        <w:pStyle w:val="12"/>
        <w:spacing w:line="440" w:lineRule="exact"/>
        <w:outlineLvl w:val="1"/>
        <w:rPr>
          <w:rFonts w:hint="eastAsia" w:hAnsi="宋体" w:cs="宋体"/>
          <w:b/>
          <w:bCs/>
          <w:color w:val="auto"/>
          <w:sz w:val="24"/>
          <w:highlight w:val="none"/>
        </w:rPr>
      </w:pPr>
      <w:bookmarkStart w:id="93" w:name="_Toc10322"/>
      <w:bookmarkStart w:id="94" w:name="_Toc1768"/>
      <w:bookmarkStart w:id="95" w:name="_Toc8038"/>
      <w:r>
        <w:rPr>
          <w:rFonts w:hint="eastAsia" w:hAnsi="宋体" w:cs="宋体"/>
          <w:b/>
          <w:bCs/>
          <w:color w:val="auto"/>
          <w:sz w:val="24"/>
          <w:highlight w:val="none"/>
        </w:rPr>
        <w:t>8、竞争性磋商文件的修改</w:t>
      </w:r>
      <w:bookmarkEnd w:id="92"/>
      <w:bookmarkEnd w:id="93"/>
      <w:bookmarkEnd w:id="94"/>
      <w:bookmarkEnd w:id="95"/>
    </w:p>
    <w:bookmarkEnd w:id="80"/>
    <w:bookmarkEnd w:id="81"/>
    <w:bookmarkEnd w:id="82"/>
    <w:p>
      <w:pPr>
        <w:pStyle w:val="12"/>
        <w:adjustRightInd w:val="0"/>
        <w:snapToGrid w:val="0"/>
        <w:spacing w:line="440" w:lineRule="exact"/>
        <w:ind w:firstLine="480" w:firstLineChars="200"/>
        <w:rPr>
          <w:rFonts w:hint="eastAsia" w:hAnsi="宋体" w:cs="宋体"/>
          <w:color w:val="auto"/>
          <w:sz w:val="24"/>
          <w:highlight w:val="none"/>
        </w:rPr>
      </w:pPr>
      <w:bookmarkStart w:id="96" w:name="_Toc183582215"/>
      <w:bookmarkStart w:id="97" w:name="_Toc183682352"/>
      <w:bookmarkStart w:id="98" w:name="_Toc217446043"/>
      <w:r>
        <w:rPr>
          <w:rFonts w:hint="eastAsia" w:hAnsi="宋体" w:cs="宋体"/>
          <w:color w:val="auto"/>
          <w:sz w:val="24"/>
          <w:highlight w:val="none"/>
        </w:rPr>
        <w:t>8.l 在响应文件提交截止时间5天前，采购代理机构和采购人可主动或在解答供应商提出的澄清问题时对磋商文件进行修改。</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8.3 为使供应商准备响应文件时有充分的时间对磋商文件修改部分进行研究，采购代理机构和采购人可适当推迟响应文件提交截止时间。</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Ansi="宋体" w:cs="宋体"/>
          <w:color w:val="auto"/>
          <w:sz w:val="24"/>
          <w:highlight w:val="none"/>
        </w:rPr>
        <w:t>8</w:t>
      </w:r>
      <w:r>
        <w:rPr>
          <w:rFonts w:hint="eastAsia" w:hAnsi="宋体" w:cs="宋体"/>
          <w:color w:val="auto"/>
          <w:sz w:val="24"/>
          <w:highlight w:val="none"/>
        </w:rPr>
        <w:t>.4 本</w:t>
      </w:r>
      <w:r>
        <w:rPr>
          <w:rFonts w:hint="eastAsia" w:hAnsi="宋体" w:cs="宋体"/>
          <w:bCs/>
          <w:color w:val="auto"/>
          <w:kern w:val="0"/>
          <w:sz w:val="24"/>
          <w:highlight w:val="none"/>
          <w:lang w:val="en-GB"/>
        </w:rPr>
        <w:t>竞争性磋商文件</w:t>
      </w:r>
      <w:r>
        <w:rPr>
          <w:rFonts w:hint="eastAsia" w:hAnsi="宋体" w:cs="宋体"/>
          <w:color w:val="auto"/>
          <w:sz w:val="24"/>
          <w:highlight w:val="none"/>
        </w:rPr>
        <w:t>的解释权属于采购代理机构和采购人。</w:t>
      </w:r>
    </w:p>
    <w:p>
      <w:pPr>
        <w:snapToGrid w:val="0"/>
        <w:spacing w:before="156" w:beforeLines="50" w:after="156" w:afterLines="50" w:line="440" w:lineRule="exact"/>
        <w:outlineLvl w:val="0"/>
        <w:rPr>
          <w:rFonts w:hint="eastAsia" w:ascii="宋体" w:hAnsi="宋体" w:cs="宋体"/>
          <w:b/>
          <w:color w:val="auto"/>
          <w:sz w:val="28"/>
          <w:szCs w:val="28"/>
          <w:highlight w:val="none"/>
        </w:rPr>
      </w:pPr>
      <w:bookmarkStart w:id="99" w:name="_Toc16625"/>
      <w:r>
        <w:rPr>
          <w:rFonts w:hint="eastAsia" w:ascii="宋体" w:hAnsi="宋体" w:cs="宋体"/>
          <w:b/>
          <w:color w:val="auto"/>
          <w:sz w:val="28"/>
          <w:szCs w:val="28"/>
          <w:highlight w:val="none"/>
        </w:rPr>
        <w:t>（三）竞争性磋商文件的编制和数量</w:t>
      </w:r>
      <w:bookmarkEnd w:id="99"/>
    </w:p>
    <w:p>
      <w:pPr>
        <w:pStyle w:val="12"/>
        <w:spacing w:line="440" w:lineRule="exact"/>
        <w:outlineLvl w:val="1"/>
        <w:rPr>
          <w:rFonts w:hint="eastAsia" w:hAnsi="宋体" w:cs="宋体"/>
          <w:b/>
          <w:bCs/>
          <w:color w:val="auto"/>
          <w:sz w:val="24"/>
          <w:highlight w:val="none"/>
        </w:rPr>
      </w:pPr>
      <w:bookmarkStart w:id="100" w:name="_Toc16127"/>
      <w:bookmarkStart w:id="101" w:name="_Toc433126994"/>
      <w:bookmarkStart w:id="102" w:name="_Toc24135"/>
      <w:bookmarkStart w:id="103" w:name="_Toc10152"/>
      <w:r>
        <w:rPr>
          <w:rFonts w:hint="eastAsia" w:hAnsi="宋体" w:cs="宋体"/>
          <w:b/>
          <w:bCs/>
          <w:color w:val="auto"/>
          <w:sz w:val="24"/>
          <w:highlight w:val="none"/>
        </w:rPr>
        <w:t>9、响应文件的语言</w:t>
      </w:r>
      <w:bookmarkEnd w:id="100"/>
      <w:bookmarkEnd w:id="101"/>
      <w:bookmarkEnd w:id="102"/>
      <w:bookmarkEnd w:id="103"/>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12"/>
        <w:spacing w:line="440" w:lineRule="exact"/>
        <w:outlineLvl w:val="1"/>
        <w:rPr>
          <w:rFonts w:hint="eastAsia" w:hAnsi="宋体" w:cs="宋体"/>
          <w:color w:val="auto"/>
          <w:sz w:val="24"/>
          <w:highlight w:val="none"/>
        </w:rPr>
      </w:pPr>
      <w:bookmarkStart w:id="104" w:name="_Toc16872"/>
      <w:bookmarkStart w:id="105" w:name="_Toc17183"/>
      <w:bookmarkStart w:id="106" w:name="_Toc14751"/>
      <w:bookmarkStart w:id="107" w:name="_Toc433126995"/>
      <w:r>
        <w:rPr>
          <w:rFonts w:hint="eastAsia" w:hAnsi="宋体" w:cs="宋体"/>
          <w:b/>
          <w:bCs/>
          <w:color w:val="auto"/>
          <w:sz w:val="24"/>
          <w:highlight w:val="none"/>
        </w:rPr>
        <w:t>10、响应文件的构成</w:t>
      </w:r>
      <w:bookmarkEnd w:id="104"/>
      <w:bookmarkEnd w:id="105"/>
      <w:bookmarkEnd w:id="106"/>
      <w:bookmarkEnd w:id="107"/>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10．1响应文件应包括</w:t>
      </w:r>
      <w:r>
        <w:rPr>
          <w:rFonts w:hint="eastAsia" w:ascii="宋体" w:hAnsi="宋体" w:cs="宋体"/>
          <w:bCs/>
          <w:color w:val="auto"/>
          <w:kern w:val="0"/>
          <w:sz w:val="24"/>
          <w:highlight w:val="none"/>
          <w:lang w:val="en-GB"/>
        </w:rPr>
        <w:t>资格</w:t>
      </w:r>
      <w:r>
        <w:rPr>
          <w:rFonts w:hint="eastAsia" w:ascii="宋体" w:hAnsi="宋体"/>
          <w:color w:val="auto"/>
          <w:sz w:val="24"/>
          <w:highlight w:val="none"/>
        </w:rPr>
        <w:t>部分、商务部分、技术部分、第一次报价等内容（</w:t>
      </w:r>
      <w:r>
        <w:rPr>
          <w:rFonts w:hint="eastAsia" w:ascii="宋体" w:hAnsi="宋体"/>
          <w:b/>
          <w:color w:val="auto"/>
          <w:sz w:val="24"/>
          <w:highlight w:val="none"/>
        </w:rPr>
        <w:t>凡有具体格式要求详见竞争性磋商文件“第四章 响应文件内容</w:t>
      </w:r>
      <w:r>
        <w:rPr>
          <w:rFonts w:ascii="宋体" w:hAnsi="宋体"/>
          <w:b/>
          <w:color w:val="auto"/>
          <w:sz w:val="24"/>
          <w:highlight w:val="none"/>
        </w:rPr>
        <w:t>及</w:t>
      </w:r>
      <w:r>
        <w:rPr>
          <w:rFonts w:hint="eastAsia" w:ascii="宋体" w:hAnsi="宋体"/>
          <w:b/>
          <w:color w:val="auto"/>
          <w:sz w:val="24"/>
          <w:highlight w:val="none"/>
        </w:rPr>
        <w:t>格式”，本竞争性</w:t>
      </w:r>
      <w:r>
        <w:rPr>
          <w:rFonts w:ascii="宋体" w:hAnsi="宋体"/>
          <w:b/>
          <w:color w:val="auto"/>
          <w:sz w:val="24"/>
          <w:highlight w:val="none"/>
        </w:rPr>
        <w:t>磋商</w:t>
      </w:r>
      <w:r>
        <w:rPr>
          <w:rFonts w:hint="eastAsia" w:ascii="宋体" w:hAnsi="宋体"/>
          <w:b/>
          <w:color w:val="auto"/>
          <w:sz w:val="24"/>
          <w:highlight w:val="none"/>
        </w:rPr>
        <w:t>文件没有具体规定和要求的内容格式不限，由供应商自拟</w:t>
      </w:r>
      <w:r>
        <w:rPr>
          <w:rFonts w:hint="eastAsia" w:ascii="宋体" w:hAnsi="宋体"/>
          <w:color w:val="auto"/>
          <w:sz w:val="24"/>
          <w:highlight w:val="none"/>
        </w:rPr>
        <w:t>）。</w:t>
      </w:r>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10．2 若供应商未按竞争性磋商文件的要求提供资料，或未对竞争性磋商文件做出实质性响应，将作为无效响应文件。</w:t>
      </w:r>
    </w:p>
    <w:p>
      <w:pPr>
        <w:spacing w:line="360" w:lineRule="auto"/>
        <w:ind w:firstLine="420"/>
        <w:rPr>
          <w:rFonts w:hint="eastAsia" w:ascii="宋体" w:hAnsi="宋体"/>
          <w:color w:val="auto"/>
          <w:sz w:val="24"/>
          <w:highlight w:val="none"/>
        </w:rPr>
      </w:pPr>
      <w:r>
        <w:rPr>
          <w:rFonts w:hint="eastAsia" w:ascii="宋体" w:hAnsi="宋体"/>
          <w:color w:val="auto"/>
          <w:sz w:val="24"/>
          <w:highlight w:val="none"/>
        </w:rPr>
        <w:t>10.3资格的证明文件</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响应</w:t>
      </w:r>
      <w:r>
        <w:rPr>
          <w:rFonts w:hint="eastAsia"/>
          <w:color w:val="auto"/>
          <w:sz w:val="24"/>
          <w:highlight w:val="none"/>
        </w:rPr>
        <w:t>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rFonts w:hint="eastAsia"/>
          <w:b/>
          <w:color w:val="auto"/>
          <w:sz w:val="24"/>
          <w:highlight w:val="none"/>
        </w:rPr>
      </w:pPr>
      <w:r>
        <w:rPr>
          <w:rFonts w:hint="eastAsia"/>
          <w:b/>
          <w:color w:val="auto"/>
          <w:sz w:val="24"/>
          <w:highlight w:val="none"/>
        </w:rPr>
        <w:t>10.4</w:t>
      </w:r>
      <w:r>
        <w:rPr>
          <w:b/>
          <w:color w:val="auto"/>
          <w:sz w:val="24"/>
          <w:highlight w:val="none"/>
        </w:rPr>
        <w:t>编制</w:t>
      </w:r>
      <w:r>
        <w:rPr>
          <w:rFonts w:hint="eastAsia"/>
          <w:b/>
          <w:color w:val="auto"/>
          <w:sz w:val="24"/>
          <w:highlight w:val="none"/>
        </w:rPr>
        <w:t>在响应文件中的</w:t>
      </w:r>
      <w:r>
        <w:rPr>
          <w:b/>
          <w:color w:val="auto"/>
          <w:sz w:val="24"/>
          <w:highlight w:val="none"/>
        </w:rPr>
        <w:t>以上所需的各种证书、证件、证明等若系复印件，须在复印件上加盖</w:t>
      </w:r>
      <w:r>
        <w:rPr>
          <w:rFonts w:hint="eastAsia"/>
          <w:b/>
          <w:color w:val="auto"/>
          <w:sz w:val="24"/>
          <w:highlight w:val="none"/>
        </w:rPr>
        <w:t>供应商</w:t>
      </w:r>
      <w:r>
        <w:rPr>
          <w:b/>
          <w:color w:val="auto"/>
          <w:sz w:val="24"/>
          <w:highlight w:val="none"/>
        </w:rPr>
        <w:t>单位公章</w:t>
      </w:r>
      <w:r>
        <w:rPr>
          <w:rFonts w:hint="eastAsia"/>
          <w:b/>
          <w:color w:val="auto"/>
          <w:sz w:val="24"/>
          <w:highlight w:val="none"/>
        </w:rPr>
        <w:t>。</w:t>
      </w:r>
    </w:p>
    <w:p>
      <w:pPr>
        <w:pStyle w:val="12"/>
        <w:adjustRightInd w:val="0"/>
        <w:snapToGrid w:val="0"/>
        <w:spacing w:line="440" w:lineRule="exact"/>
        <w:outlineLvl w:val="1"/>
        <w:rPr>
          <w:rFonts w:hint="eastAsia" w:hAnsi="宋体" w:cs="宋体"/>
          <w:b/>
          <w:color w:val="auto"/>
          <w:sz w:val="24"/>
          <w:highlight w:val="none"/>
          <w:lang w:val="en-GB"/>
        </w:rPr>
      </w:pPr>
      <w:bookmarkStart w:id="108" w:name="_Toc27090"/>
      <w:bookmarkStart w:id="109" w:name="_Toc433126996"/>
      <w:bookmarkStart w:id="110" w:name="_Toc2278"/>
      <w:bookmarkStart w:id="111" w:name="_Toc19017"/>
      <w:r>
        <w:rPr>
          <w:rFonts w:hint="eastAsia" w:hAnsi="宋体" w:cs="宋体"/>
          <w:b/>
          <w:color w:val="auto"/>
          <w:sz w:val="24"/>
          <w:highlight w:val="none"/>
          <w:lang w:val="en-GB"/>
        </w:rPr>
        <w:t>11、响应文件编制</w:t>
      </w:r>
      <w:bookmarkEnd w:id="108"/>
      <w:bookmarkEnd w:id="109"/>
      <w:bookmarkEnd w:id="110"/>
      <w:bookmarkEnd w:id="111"/>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11.</w:t>
      </w:r>
      <w:r>
        <w:rPr>
          <w:rFonts w:ascii="宋体" w:hAnsi="宋体" w:cs="宋体"/>
          <w:bCs/>
          <w:color w:val="auto"/>
          <w:sz w:val="24"/>
          <w:highlight w:val="none"/>
          <w:lang w:val="en-GB"/>
        </w:rPr>
        <w:t>1</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供应商应完整地填写磋商文件中提供的《磋商承诺函》、《报价一览表》等磋商文件中规定的所有内容。</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bCs/>
          <w:color w:val="auto"/>
          <w:sz w:val="24"/>
          <w:highlight w:val="none"/>
          <w:lang w:val="en-GB"/>
        </w:rPr>
        <w:t>11.</w:t>
      </w:r>
      <w:r>
        <w:rPr>
          <w:rFonts w:hAnsi="宋体" w:cs="宋体"/>
          <w:bCs/>
          <w:color w:val="auto"/>
          <w:sz w:val="24"/>
          <w:highlight w:val="none"/>
          <w:lang w:val="en-GB"/>
        </w:rPr>
        <w:t>2</w:t>
      </w:r>
      <w:r>
        <w:rPr>
          <w:rFonts w:hint="eastAsia" w:hAnsi="宋体" w:cs="宋体"/>
          <w:bCs/>
          <w:color w:val="auto"/>
          <w:sz w:val="24"/>
          <w:highlight w:val="none"/>
        </w:rPr>
        <w:t xml:space="preserve"> </w:t>
      </w:r>
      <w:r>
        <w:rPr>
          <w:rFonts w:hint="eastAsia" w:hAnsi="宋体" w:cs="宋体"/>
          <w:bCs/>
          <w:color w:val="auto"/>
          <w:sz w:val="24"/>
          <w:highlight w:val="none"/>
          <w:lang w:val="en-GB"/>
        </w:rPr>
        <w:t>供应商必须保证响应文件所提供的全部资料真实可靠，并接受采购代理机构对其中任何资料进一步审查的要求。</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bCs/>
          <w:color w:val="auto"/>
          <w:sz w:val="24"/>
          <w:highlight w:val="none"/>
          <w:lang w:val="en-GB"/>
        </w:rPr>
        <w:t>11.</w:t>
      </w:r>
      <w:r>
        <w:rPr>
          <w:rFonts w:hAnsi="宋体" w:cs="宋体"/>
          <w:bCs/>
          <w:color w:val="auto"/>
          <w:sz w:val="24"/>
          <w:highlight w:val="none"/>
          <w:lang w:val="en-GB"/>
        </w:rPr>
        <w:t>3</w:t>
      </w:r>
      <w:r>
        <w:rPr>
          <w:rFonts w:hint="eastAsia" w:hAnsi="宋体" w:cs="宋体"/>
          <w:bCs/>
          <w:color w:val="auto"/>
          <w:sz w:val="24"/>
          <w:highlight w:val="none"/>
        </w:rPr>
        <w:t xml:space="preserve"> </w:t>
      </w:r>
      <w:r>
        <w:rPr>
          <w:rFonts w:hint="eastAsia" w:hAnsi="宋体" w:cs="宋体"/>
          <w:bCs/>
          <w:color w:val="auto"/>
          <w:sz w:val="24"/>
          <w:highlight w:val="none"/>
          <w:lang w:val="en-GB"/>
        </w:rPr>
        <w:t>如果响应文件填报的内容不详，或没有提供磋商文件中所要求的全部资料及数据，使磋商小组无法正常评审的，由此产生的结果由供应商承担。</w:t>
      </w:r>
    </w:p>
    <w:p>
      <w:pPr>
        <w:pStyle w:val="68"/>
        <w:spacing w:before="0" w:after="0" w:line="440" w:lineRule="exact"/>
        <w:ind w:firstLine="480" w:firstLineChars="200"/>
        <w:jc w:val="both"/>
        <w:rPr>
          <w:rFonts w:hint="eastAsia" w:ascii="宋体" w:hAnsi="宋体" w:cs="宋体"/>
          <w:bCs w:val="0"/>
          <w:color w:val="auto"/>
          <w:spacing w:val="0"/>
          <w:szCs w:val="24"/>
          <w:highlight w:val="none"/>
          <w:lang w:val="en-GB"/>
        </w:rPr>
      </w:pPr>
      <w:r>
        <w:rPr>
          <w:rFonts w:hint="eastAsia" w:ascii="宋体" w:hAnsi="宋体" w:cs="宋体"/>
          <w:color w:val="auto"/>
          <w:spacing w:val="0"/>
          <w:kern w:val="2"/>
          <w:szCs w:val="24"/>
          <w:highlight w:val="none"/>
          <w:lang w:val="en-GB"/>
        </w:rPr>
        <w:t>11.</w:t>
      </w:r>
      <w:r>
        <w:rPr>
          <w:rFonts w:ascii="宋体" w:hAnsi="宋体" w:cs="宋体"/>
          <w:color w:val="auto"/>
          <w:spacing w:val="0"/>
          <w:kern w:val="2"/>
          <w:szCs w:val="24"/>
          <w:highlight w:val="none"/>
          <w:lang w:val="en-GB"/>
        </w:rPr>
        <w:t>4</w:t>
      </w:r>
      <w:r>
        <w:rPr>
          <w:rFonts w:hint="eastAsia" w:ascii="宋体" w:hAnsi="宋体" w:cs="宋体"/>
          <w:color w:val="auto"/>
          <w:spacing w:val="0"/>
          <w:kern w:val="2"/>
          <w:szCs w:val="24"/>
          <w:highlight w:val="none"/>
        </w:rPr>
        <w:t xml:space="preserve"> </w:t>
      </w:r>
      <w:r>
        <w:rPr>
          <w:rFonts w:hint="eastAsia" w:ascii="宋体" w:hAnsi="宋体" w:cs="宋体"/>
          <w:color w:val="auto"/>
          <w:spacing w:val="0"/>
          <w:kern w:val="2"/>
          <w:szCs w:val="24"/>
          <w:highlight w:val="none"/>
          <w:lang w:val="en-GB"/>
        </w:rPr>
        <w:t>响应文件外形尺寸应统一为A4纸规格，</w:t>
      </w:r>
      <w:r>
        <w:rPr>
          <w:rFonts w:hint="eastAsia" w:ascii="宋体" w:hAnsi="宋体" w:cs="宋体"/>
          <w:bCs w:val="0"/>
          <w:color w:val="auto"/>
          <w:spacing w:val="0"/>
          <w:szCs w:val="24"/>
          <w:highlight w:val="none"/>
          <w:lang w:val="en-GB"/>
        </w:rPr>
        <w:t>文件所使用的印章必须为企业公章，且与供应商名称完全一致，不能以其它业务章或附属机构印章代替。需签名之处必须由当事人亲笔签署。</w:t>
      </w:r>
    </w:p>
    <w:p>
      <w:pPr>
        <w:pStyle w:val="68"/>
        <w:spacing w:before="0" w:after="0" w:line="440" w:lineRule="exact"/>
        <w:ind w:firstLine="480" w:firstLineChars="200"/>
        <w:jc w:val="both"/>
        <w:rPr>
          <w:rFonts w:hint="eastAsia"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ascii="宋体" w:hAnsi="宋体" w:cs="宋体"/>
          <w:bCs w:val="0"/>
          <w:color w:val="auto"/>
          <w:spacing w:val="0"/>
          <w:szCs w:val="24"/>
          <w:highlight w:val="none"/>
        </w:rPr>
        <w:t>5</w:t>
      </w:r>
      <w:r>
        <w:rPr>
          <w:rFonts w:hint="eastAsia" w:ascii="宋体" w:hAnsi="宋体" w:cs="宋体"/>
          <w:bCs w:val="0"/>
          <w:color w:val="auto"/>
          <w:spacing w:val="0"/>
          <w:szCs w:val="24"/>
          <w:highlight w:val="none"/>
        </w:rPr>
        <w:t xml:space="preserve"> </w:t>
      </w:r>
      <w:r>
        <w:rPr>
          <w:rFonts w:hint="eastAsia" w:ascii="宋体" w:hAnsi="宋体" w:cs="宋体"/>
          <w:bCs w:val="0"/>
          <w:color w:val="auto"/>
          <w:spacing w:val="0"/>
          <w:szCs w:val="24"/>
          <w:highlight w:val="none"/>
          <w:lang w:val="en-GB"/>
        </w:rPr>
        <w:t>响应文件自制部分必须打印，每页须按顺序加注页码，装订牢固且不会轻易脱落</w:t>
      </w:r>
      <w:r>
        <w:rPr>
          <w:rFonts w:hint="eastAsia" w:ascii="宋体" w:hAnsi="宋体" w:cs="宋体"/>
          <w:b/>
          <w:color w:val="auto"/>
          <w:spacing w:val="0"/>
          <w:szCs w:val="24"/>
          <w:highlight w:val="none"/>
          <w:lang w:val="en-GB"/>
        </w:rPr>
        <w:t>（注：如胶装）</w:t>
      </w:r>
      <w:r>
        <w:rPr>
          <w:rFonts w:hint="eastAsia" w:ascii="宋体" w:hAnsi="宋体" w:cs="宋体"/>
          <w:bCs w:val="0"/>
          <w:color w:val="auto"/>
          <w:spacing w:val="0"/>
          <w:szCs w:val="24"/>
          <w:highlight w:val="none"/>
          <w:lang w:val="en-GB"/>
        </w:rPr>
        <w:t>。如因装订问题而出现漏页或缺页，由此产生的一切后果由供应商自行承担。</w:t>
      </w:r>
    </w:p>
    <w:p>
      <w:pPr>
        <w:pStyle w:val="68"/>
        <w:spacing w:before="0" w:after="0" w:line="440" w:lineRule="exact"/>
        <w:ind w:firstLine="480" w:firstLineChars="200"/>
        <w:jc w:val="both"/>
        <w:rPr>
          <w:rFonts w:hint="eastAsia"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ascii="宋体" w:hAnsi="宋体" w:cs="宋体"/>
          <w:bCs w:val="0"/>
          <w:color w:val="auto"/>
          <w:spacing w:val="0"/>
          <w:szCs w:val="24"/>
          <w:highlight w:val="none"/>
        </w:rPr>
        <w:t>6</w:t>
      </w:r>
      <w:r>
        <w:rPr>
          <w:rFonts w:hint="eastAsia" w:ascii="宋体" w:hAnsi="宋体" w:cs="宋体"/>
          <w:bCs w:val="0"/>
          <w:color w:val="auto"/>
          <w:spacing w:val="0"/>
          <w:szCs w:val="24"/>
          <w:highlight w:val="none"/>
        </w:rPr>
        <w:t xml:space="preserve"> </w:t>
      </w:r>
      <w:r>
        <w:rPr>
          <w:rFonts w:hint="eastAsia" w:ascii="宋体" w:hAnsi="宋体" w:cs="宋体"/>
          <w:bCs w:val="0"/>
          <w:color w:val="auto"/>
          <w:spacing w:val="0"/>
          <w:szCs w:val="24"/>
          <w:highlight w:val="none"/>
          <w:lang w:val="en-GB"/>
        </w:rPr>
        <w:t>任何行间插字、涂改和增删，必须由供应商授权代表在旁边签字或盖章后方可有效。</w:t>
      </w:r>
    </w:p>
    <w:p>
      <w:pPr>
        <w:pStyle w:val="12"/>
        <w:adjustRightInd w:val="0"/>
        <w:snapToGrid w:val="0"/>
        <w:spacing w:line="440" w:lineRule="exact"/>
        <w:outlineLvl w:val="1"/>
        <w:rPr>
          <w:rFonts w:hint="eastAsia" w:hAnsi="宋体" w:cs="宋体"/>
          <w:b/>
          <w:color w:val="auto"/>
          <w:sz w:val="24"/>
          <w:highlight w:val="none"/>
          <w:lang w:val="en-GB"/>
        </w:rPr>
      </w:pPr>
      <w:bookmarkStart w:id="112" w:name="_Toc7436"/>
      <w:bookmarkStart w:id="113" w:name="_Toc9418"/>
      <w:bookmarkStart w:id="114" w:name="_Toc433126997"/>
      <w:bookmarkStart w:id="115" w:name="_Toc11110"/>
      <w:r>
        <w:rPr>
          <w:rFonts w:hint="eastAsia" w:hAnsi="宋体" w:cs="宋体"/>
          <w:b/>
          <w:color w:val="auto"/>
          <w:sz w:val="24"/>
          <w:highlight w:val="none"/>
          <w:lang w:val="en-GB"/>
        </w:rPr>
        <w:t>12、报价</w:t>
      </w:r>
      <w:bookmarkEnd w:id="112"/>
      <w:bookmarkEnd w:id="113"/>
      <w:bookmarkEnd w:id="114"/>
      <w:bookmarkEnd w:id="115"/>
    </w:p>
    <w:p>
      <w:pPr>
        <w:shd w:val="clear" w:color="auto" w:fill="FFFFFF"/>
        <w:spacing w:line="489" w:lineRule="atLeast"/>
        <w:ind w:firstLine="480"/>
        <w:rPr>
          <w:rFonts w:hint="eastAsia" w:ascii="宋体" w:hAnsi="宋体" w:eastAsia="宋体" w:cs="宋体"/>
          <w:color w:val="auto"/>
          <w:spacing w:val="0"/>
          <w:szCs w:val="24"/>
          <w:highlight w:val="none"/>
          <w:lang w:eastAsia="zh-CN"/>
        </w:rPr>
      </w:pPr>
      <w:r>
        <w:rPr>
          <w:rFonts w:hint="eastAsia" w:ascii="宋体" w:hAnsi="宋体" w:cs="宋体"/>
          <w:color w:val="auto"/>
          <w:spacing w:val="0"/>
          <w:szCs w:val="24"/>
          <w:highlight w:val="none"/>
        </w:rPr>
        <w:t>12.1本项目的采购预算金额为¥</w:t>
      </w:r>
      <w:r>
        <w:rPr>
          <w:rFonts w:hint="eastAsia" w:ascii="宋体" w:hAnsi="宋体" w:cs="宋体"/>
          <w:color w:val="auto"/>
          <w:spacing w:val="0"/>
          <w:szCs w:val="24"/>
          <w:highlight w:val="none"/>
          <w:lang w:eastAsia="zh-CN"/>
        </w:rPr>
        <w:t xml:space="preserve">2902000.00 </w:t>
      </w:r>
      <w:r>
        <w:rPr>
          <w:rFonts w:hint="eastAsia" w:ascii="宋体" w:hAnsi="宋体" w:cs="宋体"/>
          <w:color w:val="auto"/>
          <w:spacing w:val="0"/>
          <w:szCs w:val="24"/>
          <w:highlight w:val="none"/>
        </w:rPr>
        <w:t>元</w:t>
      </w:r>
      <w:r>
        <w:rPr>
          <w:rFonts w:hint="eastAsia" w:ascii="宋体" w:hAnsi="宋体" w:cs="宋体"/>
          <w:color w:val="auto"/>
          <w:spacing w:val="0"/>
          <w:szCs w:val="24"/>
          <w:highlight w:val="none"/>
          <w:lang w:eastAsia="zh-CN"/>
        </w:rPr>
        <w:t>。</w:t>
      </w:r>
      <w:r>
        <w:rPr>
          <w:rFonts w:hint="eastAsia" w:ascii="宋体" w:hAnsi="宋体" w:cs="宋体"/>
          <w:color w:val="auto"/>
          <w:spacing w:val="0"/>
          <w:szCs w:val="24"/>
          <w:highlight w:val="none"/>
          <w:lang w:val="en-US" w:eastAsia="zh-CN"/>
        </w:rPr>
        <w:t>其中，A包</w:t>
      </w:r>
      <w:r>
        <w:rPr>
          <w:rFonts w:hint="eastAsia" w:ascii="宋体" w:hAnsi="宋体" w:cs="宋体"/>
          <w:color w:val="auto"/>
          <w:spacing w:val="0"/>
          <w:szCs w:val="24"/>
          <w:highlight w:val="none"/>
        </w:rPr>
        <w:t>¥</w:t>
      </w:r>
      <w:r>
        <w:rPr>
          <w:rFonts w:hint="eastAsia" w:ascii="宋体" w:hAnsi="宋体" w:cs="宋体"/>
          <w:color w:val="auto"/>
          <w:spacing w:val="0"/>
          <w:szCs w:val="24"/>
          <w:highlight w:val="none"/>
          <w:lang w:val="en-US" w:eastAsia="zh-CN"/>
        </w:rPr>
        <w:t>1251000.00元，B包</w:t>
      </w:r>
      <w:r>
        <w:rPr>
          <w:rFonts w:hint="eastAsia" w:ascii="宋体" w:hAnsi="宋体" w:cs="宋体"/>
          <w:color w:val="auto"/>
          <w:spacing w:val="0"/>
          <w:szCs w:val="24"/>
          <w:highlight w:val="none"/>
        </w:rPr>
        <w:t>¥</w:t>
      </w:r>
      <w:r>
        <w:rPr>
          <w:rFonts w:hint="eastAsia" w:ascii="宋体" w:hAnsi="宋体" w:cs="宋体"/>
          <w:color w:val="auto"/>
          <w:spacing w:val="0"/>
          <w:szCs w:val="24"/>
          <w:highlight w:val="none"/>
          <w:lang w:val="en-US" w:eastAsia="zh-CN"/>
        </w:rPr>
        <w:t>1251000.00元</w:t>
      </w:r>
      <w:r>
        <w:rPr>
          <w:rFonts w:hint="eastAsia" w:ascii="宋体" w:hAnsi="宋体" w:cs="宋体"/>
          <w:color w:val="auto"/>
          <w:spacing w:val="0"/>
          <w:szCs w:val="24"/>
          <w:highlight w:val="none"/>
        </w:rPr>
        <w:t>（投标报价不得高于采购预算或最高限价，否则按无效投标处理）</w:t>
      </w:r>
      <w:r>
        <w:rPr>
          <w:rFonts w:hint="eastAsia" w:ascii="宋体" w:hAnsi="宋体" w:cs="宋体"/>
          <w:color w:val="auto"/>
          <w:spacing w:val="0"/>
          <w:szCs w:val="24"/>
          <w:highlight w:val="none"/>
          <w:lang w:eastAsia="zh-CN"/>
        </w:rPr>
        <w:t>。</w:t>
      </w:r>
    </w:p>
    <w:p>
      <w:pPr>
        <w:pStyle w:val="68"/>
        <w:spacing w:before="0" w:after="0" w:line="440" w:lineRule="exact"/>
        <w:ind w:firstLine="480" w:firstLineChars="200"/>
        <w:jc w:val="both"/>
        <w:rPr>
          <w:rFonts w:hint="eastAsia" w:ascii="宋体" w:hAnsi="宋体" w:cs="宋体"/>
          <w:bCs w:val="0"/>
          <w:color w:val="auto"/>
          <w:spacing w:val="0"/>
          <w:szCs w:val="24"/>
          <w:highlight w:val="none"/>
        </w:rPr>
      </w:pPr>
      <w:r>
        <w:rPr>
          <w:rFonts w:hint="eastAsia" w:ascii="宋体" w:hAnsi="宋体" w:cs="宋体"/>
          <w:bCs w:val="0"/>
          <w:color w:val="auto"/>
          <w:spacing w:val="0"/>
          <w:szCs w:val="24"/>
          <w:highlight w:val="none"/>
        </w:rPr>
        <w:t>12.</w:t>
      </w:r>
      <w:r>
        <w:rPr>
          <w:rFonts w:ascii="宋体" w:hAnsi="宋体" w:cs="宋体"/>
          <w:bCs w:val="0"/>
          <w:color w:val="auto"/>
          <w:spacing w:val="0"/>
          <w:szCs w:val="24"/>
          <w:highlight w:val="none"/>
        </w:rPr>
        <w:t>2</w:t>
      </w:r>
      <w:r>
        <w:rPr>
          <w:rFonts w:hint="eastAsia" w:ascii="宋体" w:hAnsi="宋体" w:cs="宋体"/>
          <w:bCs w:val="0"/>
          <w:color w:val="auto"/>
          <w:spacing w:val="0"/>
          <w:szCs w:val="24"/>
          <w:highlight w:val="none"/>
        </w:rPr>
        <w:t xml:space="preserve"> 供应商应按报价一览表的要求报价。</w:t>
      </w:r>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color w:val="auto"/>
          <w:sz w:val="24"/>
          <w:highlight w:val="none"/>
        </w:rPr>
        <w:t>12.</w:t>
      </w:r>
      <w:r>
        <w:rPr>
          <w:rFonts w:hAnsi="宋体" w:cs="宋体"/>
          <w:color w:val="auto"/>
          <w:sz w:val="24"/>
          <w:highlight w:val="none"/>
        </w:rPr>
        <w:t>3</w:t>
      </w:r>
      <w:r>
        <w:rPr>
          <w:rFonts w:hint="eastAsia" w:hAnsi="宋体" w:cs="宋体"/>
          <w:color w:val="auto"/>
          <w:sz w:val="24"/>
          <w:highlight w:val="none"/>
        </w:rPr>
        <w:t xml:space="preserve"> 候选成交供应商的报价如超过预算且采购人不能支付的，采购人有权拒绝而递选下一个顺位的候选成交供应商。</w:t>
      </w:r>
    </w:p>
    <w:p>
      <w:pPr>
        <w:adjustRightInd w:val="0"/>
        <w:snapToGrid w:val="0"/>
        <w:spacing w:line="440" w:lineRule="exact"/>
        <w:outlineLvl w:val="1"/>
        <w:rPr>
          <w:rFonts w:hint="eastAsia" w:ascii="宋体" w:hAnsi="宋体" w:cs="宋体"/>
          <w:b/>
          <w:color w:val="auto"/>
          <w:sz w:val="24"/>
          <w:highlight w:val="none"/>
          <w:lang w:val="en-GB"/>
        </w:rPr>
      </w:pPr>
      <w:bookmarkStart w:id="116" w:name="_Toc433126998"/>
      <w:bookmarkStart w:id="117" w:name="_Toc23635"/>
      <w:bookmarkStart w:id="118" w:name="_Toc21007"/>
      <w:bookmarkStart w:id="119" w:name="_Toc8915"/>
      <w:r>
        <w:rPr>
          <w:rFonts w:hint="eastAsia" w:ascii="宋体" w:hAnsi="宋体" w:cs="宋体"/>
          <w:b/>
          <w:color w:val="auto"/>
          <w:sz w:val="24"/>
          <w:highlight w:val="none"/>
          <w:lang w:val="en-GB"/>
        </w:rPr>
        <w:t>13、备选方案</w:t>
      </w:r>
      <w:bookmarkEnd w:id="116"/>
      <w:bookmarkEnd w:id="117"/>
      <w:bookmarkEnd w:id="118"/>
      <w:bookmarkEnd w:id="119"/>
    </w:p>
    <w:p>
      <w:pPr>
        <w:pStyle w:val="12"/>
        <w:adjustRightInd w:val="0"/>
        <w:snapToGrid w:val="0"/>
        <w:spacing w:line="440" w:lineRule="exact"/>
        <w:ind w:firstLine="480" w:firstLineChars="200"/>
        <w:rPr>
          <w:rFonts w:hint="eastAsia" w:hAnsi="宋体" w:cs="宋体"/>
          <w:bCs/>
          <w:color w:val="auto"/>
          <w:sz w:val="24"/>
          <w:highlight w:val="none"/>
          <w:lang w:val="en-GB"/>
        </w:rPr>
      </w:pPr>
      <w:r>
        <w:rPr>
          <w:rFonts w:hint="eastAsia" w:hAnsi="宋体" w:cs="宋体"/>
          <w:bCs/>
          <w:color w:val="auto"/>
          <w:sz w:val="24"/>
          <w:highlight w:val="none"/>
          <w:lang w:val="en-GB"/>
        </w:rPr>
        <w:t>本次竞争性磋商只允许供应商有一个响应方案，否则视其响应文件无效。</w:t>
      </w:r>
    </w:p>
    <w:p>
      <w:pPr>
        <w:adjustRightInd w:val="0"/>
        <w:snapToGrid w:val="0"/>
        <w:spacing w:line="440" w:lineRule="exact"/>
        <w:outlineLvl w:val="1"/>
        <w:rPr>
          <w:rFonts w:hint="eastAsia" w:ascii="宋体" w:hAnsi="宋体" w:cs="宋体"/>
          <w:b/>
          <w:color w:val="auto"/>
          <w:sz w:val="24"/>
          <w:highlight w:val="none"/>
          <w:lang w:val="en-GB"/>
        </w:rPr>
      </w:pPr>
      <w:bookmarkStart w:id="120" w:name="_Toc26312"/>
      <w:bookmarkStart w:id="121" w:name="_Toc3282"/>
      <w:bookmarkStart w:id="122" w:name="_Toc433126999"/>
      <w:bookmarkStart w:id="123" w:name="_Toc12289"/>
      <w:r>
        <w:rPr>
          <w:rFonts w:hint="eastAsia" w:ascii="宋体" w:hAnsi="宋体" w:cs="宋体"/>
          <w:b/>
          <w:color w:val="auto"/>
          <w:sz w:val="24"/>
          <w:highlight w:val="none"/>
        </w:rPr>
        <w:t>14、</w:t>
      </w:r>
      <w:r>
        <w:rPr>
          <w:rFonts w:hint="eastAsia" w:ascii="宋体" w:hAnsi="宋体" w:cs="宋体"/>
          <w:b/>
          <w:color w:val="auto"/>
          <w:sz w:val="24"/>
          <w:highlight w:val="none"/>
          <w:lang w:val="en-GB"/>
        </w:rPr>
        <w:t>磋商保证金</w:t>
      </w:r>
      <w:bookmarkEnd w:id="120"/>
      <w:bookmarkEnd w:id="121"/>
      <w:bookmarkEnd w:id="122"/>
      <w:bookmarkEnd w:id="123"/>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14.1 磋商保证金是参加本项目磋商的必要条件，每个参与响应</w:t>
      </w:r>
      <w:r>
        <w:rPr>
          <w:rFonts w:ascii="宋体" w:hAnsi="宋体" w:cs="宋体"/>
          <w:color w:val="auto"/>
          <w:sz w:val="24"/>
          <w:highlight w:val="none"/>
        </w:rPr>
        <w:t>的供应商</w:t>
      </w:r>
      <w:r>
        <w:rPr>
          <w:rFonts w:hint="eastAsia" w:ascii="宋体" w:hAnsi="宋体" w:cs="宋体"/>
          <w:color w:val="auto"/>
          <w:sz w:val="24"/>
          <w:highlight w:val="none"/>
          <w:lang w:val="en-US" w:eastAsia="zh-CN"/>
        </w:rPr>
        <w:t>A包</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lang w:eastAsia="zh-CN"/>
        </w:rPr>
        <w:t>000.00</w:t>
      </w:r>
      <w:r>
        <w:rPr>
          <w:rFonts w:hint="eastAsia" w:ascii="宋体" w:hAnsi="宋体" w:cs="宋体"/>
          <w:b/>
          <w:bCs/>
          <w:color w:val="auto"/>
          <w:sz w:val="24"/>
          <w:highlight w:val="none"/>
        </w:rPr>
        <w:t>元（</w:t>
      </w:r>
      <w:r>
        <w:rPr>
          <w:rFonts w:hint="eastAsia" w:ascii="宋体" w:hAnsi="宋体" w:cs="宋体"/>
          <w:b/>
          <w:bCs/>
          <w:color w:val="auto"/>
          <w:sz w:val="24"/>
          <w:highlight w:val="none"/>
          <w:lang w:val="en-US" w:eastAsia="zh-CN"/>
        </w:rPr>
        <w:t>伍仟元整</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B包</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US" w:eastAsia="zh-CN"/>
        </w:rPr>
        <w:t>5</w:t>
      </w:r>
      <w:r>
        <w:rPr>
          <w:rFonts w:hint="eastAsia" w:ascii="宋体" w:hAnsi="宋体" w:cs="宋体"/>
          <w:b/>
          <w:bCs/>
          <w:color w:val="auto"/>
          <w:sz w:val="24"/>
          <w:highlight w:val="none"/>
          <w:u w:val="single"/>
          <w:lang w:eastAsia="zh-CN"/>
        </w:rPr>
        <w:t>000.00</w:t>
      </w:r>
      <w:r>
        <w:rPr>
          <w:rFonts w:hint="eastAsia" w:ascii="宋体" w:hAnsi="宋体" w:cs="宋体"/>
          <w:b/>
          <w:bCs/>
          <w:color w:val="auto"/>
          <w:sz w:val="24"/>
          <w:highlight w:val="none"/>
        </w:rPr>
        <w:t>元（</w:t>
      </w:r>
      <w:r>
        <w:rPr>
          <w:rFonts w:hint="eastAsia" w:ascii="宋体" w:hAnsi="宋体" w:cs="宋体"/>
          <w:b/>
          <w:bCs/>
          <w:color w:val="auto"/>
          <w:sz w:val="24"/>
          <w:highlight w:val="none"/>
          <w:lang w:val="en-US" w:eastAsia="zh-CN"/>
        </w:rPr>
        <w:t>伍仟元整</w:t>
      </w:r>
      <w:r>
        <w:rPr>
          <w:rFonts w:hint="eastAsia" w:ascii="宋体" w:hAnsi="宋体" w:cs="宋体"/>
          <w:b/>
          <w:bCs/>
          <w:color w:val="auto"/>
          <w:sz w:val="24"/>
          <w:highlight w:val="none"/>
        </w:rPr>
        <w:t>）</w:t>
      </w:r>
      <w:r>
        <w:rPr>
          <w:rFonts w:hint="eastAsia" w:ascii="宋体" w:hAnsi="宋体" w:cs="宋体"/>
          <w:b w:val="0"/>
          <w:bCs w:val="0"/>
          <w:color w:val="auto"/>
          <w:sz w:val="24"/>
          <w:highlight w:val="none"/>
        </w:rPr>
        <w:t>。</w:t>
      </w:r>
    </w:p>
    <w:p>
      <w:pPr>
        <w:spacing w:line="440" w:lineRule="exact"/>
        <w:ind w:firstLine="480" w:firstLineChars="200"/>
        <w:rPr>
          <w:rFonts w:hint="eastAsia" w:ascii="宋体" w:hAnsi="宋体" w:cs="宋体"/>
          <w:b/>
          <w:bCs/>
          <w:color w:val="auto"/>
          <w:sz w:val="24"/>
          <w:highlight w:val="none"/>
        </w:rPr>
      </w:pPr>
      <w:r>
        <w:rPr>
          <w:rFonts w:hint="eastAsia" w:ascii="宋体" w:hAnsi="宋体" w:cs="宋体"/>
          <w:color w:val="auto"/>
          <w:sz w:val="24"/>
          <w:highlight w:val="none"/>
        </w:rPr>
        <w:t>14.2投标</w:t>
      </w:r>
      <w:r>
        <w:rPr>
          <w:rFonts w:hint="eastAsia" w:ascii="宋体" w:hAnsi="宋体" w:cs="宋体"/>
          <w:color w:val="auto"/>
          <w:sz w:val="24"/>
          <w:highlight w:val="none"/>
          <w:lang w:val="en-GB"/>
        </w:rPr>
        <w:t>保证金</w:t>
      </w:r>
      <w:r>
        <w:rPr>
          <w:rFonts w:hint="eastAsia" w:ascii="宋体" w:hAnsi="宋体" w:cs="宋体"/>
          <w:bCs/>
          <w:color w:val="auto"/>
          <w:sz w:val="24"/>
          <w:highlight w:val="none"/>
        </w:rPr>
        <w:t>形式：</w:t>
      </w:r>
      <w:r>
        <w:rPr>
          <w:rFonts w:hint="eastAsia" w:ascii="宋体" w:hAnsi="宋体" w:cs="宋体"/>
          <w:b/>
          <w:color w:val="auto"/>
          <w:sz w:val="24"/>
          <w:highlight w:val="none"/>
        </w:rPr>
        <w:t>银行转账或银行保函支付等</w:t>
      </w:r>
      <w:r>
        <w:rPr>
          <w:rFonts w:hint="eastAsia" w:ascii="宋体" w:hAnsi="宋体" w:cs="宋体"/>
          <w:bCs/>
          <w:color w:val="auto"/>
          <w:sz w:val="24"/>
          <w:highlight w:val="none"/>
        </w:rPr>
        <w:t>，如银行转账</w:t>
      </w:r>
      <w:r>
        <w:rPr>
          <w:rFonts w:hint="eastAsia" w:ascii="宋体" w:hAnsi="宋体" w:cs="宋体"/>
          <w:color w:val="auto"/>
          <w:sz w:val="24"/>
          <w:highlight w:val="none"/>
          <w:lang w:val="en-GB"/>
        </w:rPr>
        <w:t>应在</w:t>
      </w:r>
      <w:r>
        <w:rPr>
          <w:rFonts w:hint="eastAsia" w:ascii="宋体" w:hAnsi="宋体" w:cs="宋体"/>
          <w:b/>
          <w:color w:val="auto"/>
          <w:sz w:val="24"/>
          <w:highlight w:val="none"/>
          <w:u w:val="single"/>
          <w:lang w:eastAsia="zh-CN"/>
        </w:rPr>
        <w:t>2023年</w:t>
      </w:r>
      <w:r>
        <w:rPr>
          <w:rFonts w:hint="eastAsia" w:ascii="宋体" w:hAnsi="宋体" w:cs="宋体"/>
          <w:b/>
          <w:color w:val="auto"/>
          <w:sz w:val="24"/>
          <w:highlight w:val="none"/>
          <w:u w:val="single"/>
          <w:lang w:val="en-US" w:eastAsia="zh-CN"/>
        </w:rPr>
        <w:t>09</w:t>
      </w:r>
      <w:r>
        <w:rPr>
          <w:rFonts w:hint="eastAsia" w:ascii="宋体" w:hAnsi="宋体" w:cs="宋体"/>
          <w:b/>
          <w:color w:val="auto"/>
          <w:sz w:val="24"/>
          <w:highlight w:val="none"/>
          <w:u w:val="single"/>
          <w:lang w:eastAsia="zh-CN"/>
        </w:rPr>
        <w:t>月</w:t>
      </w:r>
      <w:r>
        <w:rPr>
          <w:rFonts w:hint="eastAsia" w:ascii="宋体" w:hAnsi="宋体" w:cs="宋体"/>
          <w:b/>
          <w:color w:val="auto"/>
          <w:sz w:val="24"/>
          <w:highlight w:val="none"/>
          <w:u w:val="single"/>
          <w:lang w:val="en-US" w:eastAsia="zh-CN"/>
        </w:rPr>
        <w:t>22</w:t>
      </w:r>
      <w:r>
        <w:rPr>
          <w:rFonts w:hint="eastAsia" w:ascii="宋体" w:hAnsi="宋体" w:cs="宋体"/>
          <w:b/>
          <w:color w:val="auto"/>
          <w:sz w:val="24"/>
          <w:highlight w:val="none"/>
          <w:u w:val="single"/>
          <w:lang w:eastAsia="zh-CN"/>
        </w:rPr>
        <w:t>日</w:t>
      </w:r>
      <w:r>
        <w:rPr>
          <w:rFonts w:hint="eastAsia" w:ascii="宋体" w:hAnsi="宋体" w:cs="宋体"/>
          <w:b/>
          <w:color w:val="auto"/>
          <w:sz w:val="24"/>
          <w:highlight w:val="none"/>
          <w:u w:val="single"/>
          <w:lang w:val="en-US" w:eastAsia="zh-CN"/>
        </w:rPr>
        <w:t>14</w:t>
      </w:r>
      <w:r>
        <w:rPr>
          <w:rFonts w:hint="eastAsia" w:ascii="宋体" w:hAnsi="宋体" w:cs="宋体"/>
          <w:b/>
          <w:color w:val="auto"/>
          <w:sz w:val="24"/>
          <w:highlight w:val="none"/>
          <w:u w:val="single"/>
          <w:lang w:eastAsia="zh-CN"/>
        </w:rPr>
        <w:t>:30</w:t>
      </w:r>
      <w:r>
        <w:rPr>
          <w:rFonts w:hint="eastAsia" w:ascii="宋体" w:hAnsi="宋体" w:cs="宋体"/>
          <w:b/>
          <w:color w:val="auto"/>
          <w:sz w:val="24"/>
          <w:highlight w:val="none"/>
          <w:u w:val="single"/>
          <w:lang w:val="en-US" w:eastAsia="zh-CN"/>
        </w:rPr>
        <w:t>分</w:t>
      </w:r>
      <w:r>
        <w:rPr>
          <w:rFonts w:hint="eastAsia" w:ascii="宋体" w:hAnsi="宋体" w:cs="宋体"/>
          <w:bCs/>
          <w:color w:val="auto"/>
          <w:sz w:val="24"/>
          <w:highlight w:val="none"/>
        </w:rPr>
        <w:t>前</w:t>
      </w:r>
      <w:r>
        <w:rPr>
          <w:rFonts w:hint="eastAsia" w:ascii="宋体" w:hAnsi="宋体" w:cs="宋体"/>
          <w:color w:val="auto"/>
          <w:sz w:val="24"/>
          <w:highlight w:val="none"/>
          <w:lang w:val="en-GB"/>
        </w:rPr>
        <w:t>划入或存入采购代理机构指定的账户</w:t>
      </w:r>
      <w:r>
        <w:rPr>
          <w:rFonts w:hint="eastAsia" w:ascii="宋体" w:hAnsi="宋体" w:cs="宋体"/>
          <w:color w:val="auto"/>
          <w:sz w:val="24"/>
          <w:highlight w:val="none"/>
        </w:rPr>
        <w:t>并注明汇款单位。</w:t>
      </w:r>
      <w:r>
        <w:rPr>
          <w:rFonts w:hint="eastAsia" w:ascii="宋体" w:hAnsi="宋体" w:cs="宋体"/>
          <w:color w:val="auto"/>
          <w:sz w:val="24"/>
          <w:highlight w:val="none"/>
          <w:lang w:val="en-GB"/>
        </w:rPr>
        <w:t>供应商投标保证金未按要求到账的，视为无效投标并不接收响应文件。如</w:t>
      </w:r>
      <w:r>
        <w:rPr>
          <w:rFonts w:hint="eastAsia" w:ascii="宋体" w:hAnsi="宋体" w:cs="宋体"/>
          <w:b/>
          <w:color w:val="auto"/>
          <w:sz w:val="24"/>
          <w:highlight w:val="none"/>
        </w:rPr>
        <w:t>银行保函支付</w:t>
      </w:r>
      <w:r>
        <w:rPr>
          <w:rFonts w:hint="eastAsia" w:ascii="宋体" w:hAnsi="宋体" w:cs="宋体"/>
          <w:bCs/>
          <w:color w:val="auto"/>
          <w:sz w:val="24"/>
          <w:highlight w:val="none"/>
        </w:rPr>
        <w:t>应携带银行保函原件到开标现场提交给采购代理机构工作人员。</w:t>
      </w:r>
      <w:r>
        <w:rPr>
          <w:rFonts w:hint="eastAsia" w:ascii="宋体" w:hAnsi="宋体" w:cs="宋体"/>
          <w:color w:val="auto"/>
          <w:sz w:val="24"/>
          <w:highlight w:val="none"/>
        </w:rPr>
        <w:t xml:space="preserve">   </w:t>
      </w:r>
    </w:p>
    <w:p>
      <w:pPr>
        <w:spacing w:line="440" w:lineRule="exact"/>
        <w:rPr>
          <w:rFonts w:hint="eastAsia" w:ascii="宋体" w:hAnsi="宋体" w:cs="宋体"/>
          <w:b/>
          <w:bCs/>
          <w:color w:val="auto"/>
          <w:sz w:val="24"/>
          <w:highlight w:val="none"/>
          <w:lang w:val="en-GB"/>
        </w:rPr>
      </w:pPr>
      <w:r>
        <w:rPr>
          <w:rFonts w:hint="eastAsia" w:ascii="宋体" w:hAnsi="宋体" w:cs="宋体"/>
          <w:b/>
          <w:color w:val="auto"/>
          <w:sz w:val="24"/>
          <w:highlight w:val="none"/>
        </w:rPr>
        <w:t>支付形式：银行转账或银行保函支付等；须备注项目名称或项目编号</w:t>
      </w:r>
    </w:p>
    <w:p>
      <w:pPr>
        <w:spacing w:line="440" w:lineRule="exact"/>
        <w:outlineLvl w:val="0"/>
        <w:rPr>
          <w:rFonts w:hint="eastAsia" w:ascii="宋体" w:hAnsi="宋体" w:cs="宋体"/>
          <w:b/>
          <w:bCs/>
          <w:color w:val="auto"/>
          <w:sz w:val="24"/>
          <w:highlight w:val="none"/>
          <w:lang w:val="en-GB"/>
        </w:rPr>
      </w:pPr>
      <w:bookmarkStart w:id="124" w:name="_Toc27135"/>
      <w:bookmarkStart w:id="125" w:name="_Toc30282"/>
      <w:bookmarkStart w:id="126" w:name="_Toc31810"/>
      <w:r>
        <w:rPr>
          <w:rFonts w:hint="eastAsia" w:ascii="宋体" w:hAnsi="宋体" w:cs="宋体"/>
          <w:b/>
          <w:bCs/>
          <w:color w:val="auto"/>
          <w:sz w:val="24"/>
          <w:highlight w:val="none"/>
          <w:lang w:val="en-GB"/>
        </w:rPr>
        <w:t>开户名称：海南通尚工程管理有限公司</w:t>
      </w:r>
      <w:bookmarkEnd w:id="124"/>
      <w:bookmarkEnd w:id="125"/>
      <w:bookmarkEnd w:id="126"/>
    </w:p>
    <w:p>
      <w:pPr>
        <w:spacing w:line="440" w:lineRule="exact"/>
        <w:jc w:val="lef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银行账号：4605 0100 2537 0000 0096</w:t>
      </w:r>
    </w:p>
    <w:p>
      <w:pPr>
        <w:pStyle w:val="12"/>
        <w:adjustRightInd w:val="0"/>
        <w:snapToGrid w:val="0"/>
        <w:spacing w:line="440" w:lineRule="exact"/>
        <w:rPr>
          <w:rFonts w:hint="eastAsia" w:hAnsi="宋体" w:cs="宋体"/>
          <w:b/>
          <w:bCs/>
          <w:color w:val="auto"/>
          <w:sz w:val="24"/>
          <w:highlight w:val="none"/>
          <w:lang w:val="en-GB" w:eastAsia="zh-CN"/>
        </w:rPr>
      </w:pPr>
      <w:r>
        <w:rPr>
          <w:rFonts w:hint="eastAsia" w:hAnsi="宋体" w:cs="宋体"/>
          <w:b/>
          <w:bCs/>
          <w:color w:val="auto"/>
          <w:sz w:val="24"/>
          <w:highlight w:val="none"/>
          <w:lang w:val="en-GB"/>
        </w:rPr>
        <w:t>开户银行：</w:t>
      </w:r>
      <w:r>
        <w:rPr>
          <w:rFonts w:hint="eastAsia" w:hAnsi="宋体" w:cs="宋体"/>
          <w:b/>
          <w:bCs/>
          <w:color w:val="auto"/>
          <w:sz w:val="24"/>
          <w:highlight w:val="none"/>
          <w:lang w:val="en-GB" w:eastAsia="zh-CN"/>
        </w:rPr>
        <w:t>中国建设银行股份有限公司海口国兴大道支行</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14.3 磋商保证金的退还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14.3.l 成交供应商的磋商保证金在其与采购人签订合同后5个工作日内无息退还。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14.3.2 落选的供应商的磋商保证金将在采购代理机构发出中标通知书后5个工作日内无息退还。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14.4 发生下列情况之一者，磋商保证金将不予退还：</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（1）供应商在有效期内撤回其响应文件的；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（2）供应商不按本章规定签订合同的；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（3）供应商提供虚假材料谋取中标、成交的；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rPr>
        <w:t>（4）与采购人、其它供应商或者采购代理机构恶意串通的；</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（5）向采购人、采购代理机构、磋商小组成员行贿或者提供其他不正当利益的；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kern w:val="0"/>
          <w:sz w:val="24"/>
          <w:highlight w:val="none"/>
        </w:rPr>
        <w:t>采取不正当手段诋毁、排挤其他投标人的；</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（7）逾期未支付招标代理服务费的。</w:t>
      </w:r>
    </w:p>
    <w:p>
      <w:pPr>
        <w:pStyle w:val="12"/>
        <w:adjustRightInd w:val="0"/>
        <w:snapToGrid w:val="0"/>
        <w:spacing w:line="440" w:lineRule="exact"/>
        <w:ind w:firstLine="480" w:firstLineChars="200"/>
        <w:rPr>
          <w:rFonts w:hint="eastAsia" w:hAnsi="宋体" w:cs="宋体"/>
          <w:color w:val="auto"/>
          <w:sz w:val="24"/>
          <w:highlight w:val="none"/>
        </w:rPr>
      </w:pPr>
      <w:r>
        <w:rPr>
          <w:rFonts w:hint="eastAsia" w:hAnsi="宋体" w:cs="宋体"/>
          <w:color w:val="auto"/>
          <w:sz w:val="24"/>
          <w:highlight w:val="none"/>
          <w:lang w:val="en-US" w:eastAsia="zh-CN"/>
        </w:rPr>
        <w:t>14.5</w:t>
      </w:r>
      <w:r>
        <w:rPr>
          <w:rFonts w:hint="eastAsia" w:hAnsi="宋体" w:cs="宋体"/>
          <w:color w:val="auto"/>
          <w:sz w:val="24"/>
          <w:highlight w:val="none"/>
        </w:rPr>
        <w:t>响应文件有效期</w:t>
      </w:r>
    </w:p>
    <w:p>
      <w:pPr>
        <w:pStyle w:val="12"/>
        <w:adjustRightInd w:val="0"/>
        <w:snapToGrid w:val="0"/>
        <w:spacing w:line="440" w:lineRule="exact"/>
        <w:ind w:firstLine="480" w:firstLineChars="200"/>
        <w:rPr>
          <w:rFonts w:hAnsi="宋体" w:cs="宋体"/>
          <w:color w:val="auto"/>
          <w:sz w:val="24"/>
          <w:highlight w:val="none"/>
          <w:lang w:val="en-US" w:eastAsia="zh-CN"/>
        </w:rPr>
      </w:pPr>
      <w:r>
        <w:rPr>
          <w:rFonts w:hint="eastAsia" w:hAnsi="宋体" w:cs="宋体"/>
          <w:color w:val="auto"/>
          <w:sz w:val="24"/>
          <w:highlight w:val="none"/>
          <w:lang w:val="en-US" w:eastAsia="zh-CN"/>
        </w:rPr>
        <w:t xml:space="preserve">14.5.1 </w:t>
      </w:r>
      <w:r>
        <w:rPr>
          <w:rFonts w:hAnsi="宋体" w:cs="宋体"/>
          <w:color w:val="auto"/>
          <w:sz w:val="24"/>
          <w:highlight w:val="none"/>
        </w:rPr>
        <w:t>响应文件有效期为从</w:t>
      </w:r>
      <w:r>
        <w:rPr>
          <w:rFonts w:hint="eastAsia" w:hAnsi="宋体" w:cs="宋体"/>
          <w:color w:val="auto"/>
          <w:sz w:val="24"/>
          <w:highlight w:val="none"/>
        </w:rPr>
        <w:t>首次响应文件</w:t>
      </w:r>
      <w:r>
        <w:rPr>
          <w:rFonts w:hAnsi="宋体" w:cs="宋体"/>
          <w:color w:val="auto"/>
          <w:sz w:val="24"/>
          <w:highlight w:val="none"/>
        </w:rPr>
        <w:t>提交截止之日起计算的</w:t>
      </w:r>
      <w:r>
        <w:rPr>
          <w:rFonts w:hint="eastAsia" w:hAnsi="宋体" w:cs="宋体"/>
          <w:color w:val="auto"/>
          <w:sz w:val="24"/>
          <w:highlight w:val="none"/>
          <w:lang w:val="en-US" w:eastAsia="zh-CN"/>
        </w:rPr>
        <w:t>90</w:t>
      </w:r>
      <w:r>
        <w:rPr>
          <w:rFonts w:hAnsi="宋体" w:cs="宋体"/>
          <w:color w:val="auto"/>
          <w:sz w:val="24"/>
          <w:highlight w:val="none"/>
        </w:rPr>
        <w:t>天</w:t>
      </w:r>
      <w:r>
        <w:rPr>
          <w:rFonts w:hint="eastAsia" w:hAnsi="宋体" w:cs="宋体"/>
          <w:color w:val="auto"/>
          <w:sz w:val="24"/>
          <w:highlight w:val="none"/>
        </w:rPr>
        <w:t xml:space="preserve"> </w:t>
      </w:r>
      <w:r>
        <w:rPr>
          <w:rFonts w:hAnsi="宋体" w:cs="宋体"/>
          <w:color w:val="auto"/>
          <w:sz w:val="24"/>
          <w:highlight w:val="none"/>
        </w:rPr>
        <w:t>，</w:t>
      </w:r>
      <w:r>
        <w:rPr>
          <w:rFonts w:hint="eastAsia" w:hAnsi="宋体" w:cs="宋体"/>
          <w:color w:val="auto"/>
          <w:sz w:val="24"/>
          <w:highlight w:val="none"/>
        </w:rPr>
        <w:t>在此期间</w:t>
      </w:r>
      <w:r>
        <w:rPr>
          <w:rFonts w:hAnsi="宋体" w:cs="宋体"/>
          <w:color w:val="auto"/>
          <w:sz w:val="24"/>
          <w:highlight w:val="none"/>
        </w:rPr>
        <w:t>响应文件</w:t>
      </w:r>
      <w:r>
        <w:rPr>
          <w:rFonts w:hint="eastAsia" w:hAnsi="宋体" w:cs="宋体"/>
          <w:color w:val="auto"/>
          <w:sz w:val="24"/>
          <w:highlight w:val="none"/>
        </w:rPr>
        <w:t>对供应商具有法律约束力，</w:t>
      </w:r>
      <w:r>
        <w:rPr>
          <w:rFonts w:hAnsi="宋体" w:cs="宋体"/>
          <w:color w:val="auto"/>
          <w:sz w:val="24"/>
          <w:highlight w:val="none"/>
        </w:rPr>
        <w:t>有效期短于此规定的响应文件将被视为无效</w:t>
      </w:r>
      <w:r>
        <w:rPr>
          <w:rFonts w:hint="eastAsia" w:hAnsi="宋体" w:cs="宋体"/>
          <w:color w:val="auto"/>
          <w:sz w:val="24"/>
          <w:highlight w:val="none"/>
        </w:rPr>
        <w:t>。如成交，有效期延长至双方合同义务完全履行后截止。</w:t>
      </w:r>
    </w:p>
    <w:p>
      <w:pPr>
        <w:autoSpaceDE w:val="0"/>
        <w:autoSpaceDN w:val="0"/>
        <w:adjustRightInd w:val="0"/>
        <w:snapToGrid w:val="0"/>
        <w:spacing w:line="440" w:lineRule="exact"/>
        <w:ind w:left="-420" w:leftChars="-200" w:right="34" w:firstLine="482" w:firstLineChars="200"/>
        <w:outlineLvl w:val="1"/>
        <w:rPr>
          <w:rFonts w:hint="eastAsia" w:ascii="宋体" w:hAnsi="宋体" w:cs="宋体"/>
          <w:bCs/>
          <w:color w:val="auto"/>
          <w:sz w:val="24"/>
          <w:highlight w:val="none"/>
          <w:lang w:val="en-GB"/>
        </w:rPr>
      </w:pPr>
      <w:bookmarkStart w:id="127" w:name="_Toc16740"/>
      <w:bookmarkStart w:id="128" w:name="_Toc27272"/>
      <w:bookmarkStart w:id="129" w:name="_Toc13369"/>
      <w:bookmarkStart w:id="130" w:name="_Toc433127000"/>
      <w:r>
        <w:rPr>
          <w:rFonts w:hint="eastAsia" w:ascii="宋体" w:hAnsi="宋体" w:cs="宋体"/>
          <w:b/>
          <w:color w:val="auto"/>
          <w:sz w:val="24"/>
          <w:highlight w:val="none"/>
        </w:rPr>
        <w:t>1</w:t>
      </w:r>
      <w:r>
        <w:rPr>
          <w:rFonts w:ascii="宋体" w:hAnsi="宋体" w:cs="宋体"/>
          <w:b/>
          <w:color w:val="auto"/>
          <w:sz w:val="24"/>
          <w:highlight w:val="none"/>
        </w:rPr>
        <w:t>5</w:t>
      </w:r>
      <w:r>
        <w:rPr>
          <w:rFonts w:hint="eastAsia" w:ascii="宋体" w:hAnsi="宋体" w:cs="宋体"/>
          <w:b/>
          <w:color w:val="auto"/>
          <w:sz w:val="24"/>
          <w:highlight w:val="none"/>
        </w:rPr>
        <w:t>、</w:t>
      </w:r>
      <w:r>
        <w:rPr>
          <w:rFonts w:hint="eastAsia" w:ascii="宋体" w:hAnsi="宋体" w:cs="宋体"/>
          <w:b/>
          <w:color w:val="auto"/>
          <w:sz w:val="24"/>
          <w:highlight w:val="none"/>
          <w:lang w:val="en-GB"/>
        </w:rPr>
        <w:t>响应文件的数量和签署</w:t>
      </w:r>
      <w:bookmarkEnd w:id="127"/>
      <w:bookmarkEnd w:id="128"/>
      <w:bookmarkEnd w:id="129"/>
      <w:bookmarkEnd w:id="130"/>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lang w:val="en-GB"/>
        </w:rPr>
        <w:t>1</w:t>
      </w:r>
      <w:r>
        <w:rPr>
          <w:rFonts w:ascii="宋体" w:hAnsi="宋体" w:cs="宋体"/>
          <w:b/>
          <w:color w:val="auto"/>
          <w:sz w:val="24"/>
          <w:highlight w:val="none"/>
        </w:rPr>
        <w:t>5</w:t>
      </w:r>
      <w:r>
        <w:rPr>
          <w:rFonts w:hint="eastAsia" w:ascii="宋体" w:hAnsi="宋体" w:cs="宋体"/>
          <w:b/>
          <w:color w:val="auto"/>
          <w:sz w:val="24"/>
          <w:highlight w:val="none"/>
          <w:lang w:val="en-GB"/>
        </w:rPr>
        <w:t>.1 响应文件</w:t>
      </w:r>
      <w:r>
        <w:rPr>
          <w:rFonts w:hint="eastAsia" w:ascii="宋体" w:hAnsi="宋体" w:cs="宋体"/>
          <w:b/>
          <w:color w:val="auto"/>
          <w:sz w:val="24"/>
          <w:highlight w:val="none"/>
        </w:rPr>
        <w:t>一式叁份（正本一份，副本贰份），固定装订（注：胶装）。报价一览表一份，响应文件电子版二份：其中U盘壹份、光盘壹份，与报价一览表一起密封。</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5</w:t>
      </w:r>
      <w:r>
        <w:rPr>
          <w:rFonts w:hint="eastAsia" w:ascii="宋体" w:hAnsi="宋体" w:cs="宋体"/>
          <w:bCs/>
          <w:color w:val="auto"/>
          <w:sz w:val="24"/>
          <w:highlight w:val="none"/>
          <w:lang w:val="en-GB"/>
        </w:rPr>
        <w:t>.2 响应文件须按磋商文件的要求执行，每份响应文件均须在封面上清楚标明“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”或“</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”字样，“正本”和“副本”具有同等的法律效力；“正本”和“副本”之间如有差异，以“正本”为准。</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5</w:t>
      </w:r>
      <w:r>
        <w:rPr>
          <w:rFonts w:hint="eastAsia" w:ascii="宋体" w:hAnsi="宋体" w:cs="宋体"/>
          <w:bCs/>
          <w:color w:val="auto"/>
          <w:sz w:val="24"/>
          <w:highlight w:val="none"/>
          <w:lang w:val="en-GB"/>
        </w:rPr>
        <w:t>.3 响应文件正本中，文字材料需打印或用不褪色墨水书写。响应文件的正本需签名之处必须由法定代表人或授权代表亲笔签署，</w:t>
      </w:r>
      <w:r>
        <w:rPr>
          <w:rFonts w:hint="eastAsia" w:ascii="宋体" w:hAnsi="宋体" w:cs="宋体"/>
          <w:bCs/>
          <w:color w:val="auto"/>
          <w:sz w:val="24"/>
          <w:highlight w:val="none"/>
        </w:rPr>
        <w:t>正本须</w:t>
      </w:r>
      <w:r>
        <w:rPr>
          <w:rFonts w:hint="eastAsia" w:ascii="宋体" w:hAnsi="宋体" w:cs="宋体"/>
          <w:bCs/>
          <w:color w:val="auto"/>
          <w:sz w:val="24"/>
          <w:highlight w:val="none"/>
          <w:lang w:val="en-GB"/>
        </w:rPr>
        <w:t>逐页盖章，未按照要求的投标</w:t>
      </w:r>
      <w:r>
        <w:rPr>
          <w:rFonts w:hint="eastAsia" w:ascii="宋体" w:hAnsi="宋体" w:cs="宋体"/>
          <w:bCs/>
          <w:color w:val="auto"/>
          <w:sz w:val="24"/>
          <w:highlight w:val="none"/>
        </w:rPr>
        <w:t>文件将于</w:t>
      </w:r>
      <w:r>
        <w:rPr>
          <w:rFonts w:hint="eastAsia" w:ascii="宋体" w:hAnsi="宋体" w:cs="宋体"/>
          <w:bCs/>
          <w:color w:val="auto"/>
          <w:sz w:val="24"/>
          <w:highlight w:val="none"/>
          <w:lang w:val="en-GB"/>
        </w:rPr>
        <w:t>予否决。投标文件的副本</w:t>
      </w:r>
      <w:r>
        <w:rPr>
          <w:rFonts w:hint="eastAsia" w:ascii="宋体" w:hAnsi="宋体" w:cs="宋体"/>
          <w:bCs/>
          <w:color w:val="auto"/>
          <w:sz w:val="24"/>
          <w:highlight w:val="none"/>
          <w:lang w:val="en-US" w:eastAsia="zh-CN"/>
        </w:rPr>
        <w:t>可</w:t>
      </w:r>
      <w:r>
        <w:rPr>
          <w:rFonts w:hint="eastAsia" w:ascii="宋体" w:hAnsi="宋体" w:cs="宋体"/>
          <w:bCs/>
          <w:color w:val="auto"/>
          <w:sz w:val="24"/>
          <w:highlight w:val="none"/>
          <w:lang w:val="en-GB"/>
        </w:rPr>
        <w:t>为正本的复印件，</w:t>
      </w:r>
      <w:r>
        <w:rPr>
          <w:rFonts w:hint="eastAsia" w:ascii="宋体" w:hAnsi="宋体" w:cs="宋体"/>
          <w:bCs/>
          <w:color w:val="auto"/>
          <w:sz w:val="24"/>
          <w:highlight w:val="none"/>
        </w:rPr>
        <w:t>副本加盖骑缝章即可</w:t>
      </w:r>
      <w:r>
        <w:rPr>
          <w:rFonts w:hint="eastAsia" w:ascii="宋体" w:hAnsi="宋体" w:cs="宋体"/>
          <w:bCs/>
          <w:color w:val="auto"/>
          <w:sz w:val="24"/>
          <w:highlight w:val="none"/>
          <w:lang w:val="en-GB"/>
        </w:rPr>
        <w:t>。</w:t>
      </w:r>
    </w:p>
    <w:p>
      <w:pPr>
        <w:snapToGrid w:val="0"/>
        <w:spacing w:before="156" w:beforeLines="50" w:after="156" w:afterLines="50" w:line="440" w:lineRule="exact"/>
        <w:outlineLvl w:val="0"/>
        <w:rPr>
          <w:rFonts w:hint="eastAsia" w:ascii="宋体" w:hAnsi="宋体" w:cs="宋体"/>
          <w:b/>
          <w:color w:val="auto"/>
          <w:sz w:val="28"/>
          <w:szCs w:val="28"/>
          <w:highlight w:val="none"/>
        </w:rPr>
      </w:pPr>
      <w:bookmarkStart w:id="131" w:name="_Toc8046"/>
      <w:r>
        <w:rPr>
          <w:rFonts w:hint="eastAsia" w:ascii="宋体" w:hAnsi="宋体" w:cs="宋体"/>
          <w:b/>
          <w:color w:val="auto"/>
          <w:sz w:val="28"/>
          <w:szCs w:val="28"/>
          <w:highlight w:val="none"/>
        </w:rPr>
        <w:t>（四）响应文件的递交</w:t>
      </w:r>
      <w:bookmarkEnd w:id="131"/>
    </w:p>
    <w:p>
      <w:pPr>
        <w:spacing w:line="440" w:lineRule="exact"/>
        <w:outlineLvl w:val="1"/>
        <w:rPr>
          <w:rFonts w:hint="eastAsia" w:ascii="宋体" w:hAnsi="宋体" w:cs="宋体"/>
          <w:b/>
          <w:color w:val="auto"/>
          <w:sz w:val="24"/>
          <w:highlight w:val="none"/>
        </w:rPr>
      </w:pPr>
      <w:bookmarkStart w:id="132" w:name="_Toc14319"/>
      <w:bookmarkStart w:id="133" w:name="_Toc8492"/>
      <w:bookmarkStart w:id="134" w:name="_Toc433127002"/>
      <w:bookmarkStart w:id="135" w:name="_Toc30833"/>
      <w:r>
        <w:rPr>
          <w:rFonts w:hint="eastAsia" w:ascii="宋体" w:hAnsi="宋体" w:cs="宋体"/>
          <w:b/>
          <w:color w:val="auto"/>
          <w:sz w:val="24"/>
          <w:highlight w:val="none"/>
        </w:rPr>
        <w:t>1</w:t>
      </w:r>
      <w:r>
        <w:rPr>
          <w:rFonts w:ascii="宋体" w:hAnsi="宋体" w:cs="宋体"/>
          <w:b/>
          <w:color w:val="auto"/>
          <w:sz w:val="24"/>
          <w:highlight w:val="none"/>
        </w:rPr>
        <w:t>6</w:t>
      </w:r>
      <w:r>
        <w:rPr>
          <w:rFonts w:hint="eastAsia" w:ascii="宋体" w:hAnsi="宋体" w:cs="宋体"/>
          <w:b/>
          <w:color w:val="auto"/>
          <w:sz w:val="24"/>
          <w:highlight w:val="none"/>
        </w:rPr>
        <w:t>、响应文件的密封及标记</w:t>
      </w:r>
      <w:bookmarkEnd w:id="132"/>
      <w:bookmarkEnd w:id="133"/>
      <w:bookmarkEnd w:id="134"/>
      <w:bookmarkEnd w:id="135"/>
    </w:p>
    <w:p>
      <w:pPr>
        <w:spacing w:line="440" w:lineRule="exact"/>
        <w:ind w:firstLine="480" w:firstLineChars="200"/>
        <w:rPr>
          <w:rFonts w:hint="eastAsia" w:ascii="宋体" w:hAnsi="宋体" w:cs="宋体"/>
          <w:bCs/>
          <w:color w:val="auto"/>
          <w:sz w:val="24"/>
          <w:highlight w:val="none"/>
          <w:lang w:val="en-GB"/>
        </w:rPr>
      </w:pPr>
      <w:r>
        <w:rPr>
          <w:rFonts w:ascii="宋体" w:hAnsi="宋体" w:cs="宋体"/>
          <w:bCs/>
          <w:color w:val="auto"/>
          <w:sz w:val="24"/>
          <w:highlight w:val="none"/>
          <w:lang w:val="en-GB"/>
        </w:rPr>
        <w:t>16</w:t>
      </w:r>
      <w:r>
        <w:rPr>
          <w:rFonts w:hint="eastAsia" w:ascii="宋体" w:hAnsi="宋体" w:cs="宋体"/>
          <w:bCs/>
          <w:color w:val="auto"/>
          <w:sz w:val="24"/>
          <w:highlight w:val="none"/>
          <w:lang w:val="en-GB"/>
        </w:rPr>
        <w:t>.l 供应商应将响应文件正本和所有副本分别密封在两个专用袋（箱）中</w:t>
      </w:r>
      <w:r>
        <w:rPr>
          <w:rFonts w:hint="eastAsia" w:ascii="宋体" w:hAnsi="宋体" w:cs="宋体"/>
          <w:b/>
          <w:color w:val="auto"/>
          <w:sz w:val="24"/>
          <w:highlight w:val="none"/>
          <w:lang w:val="en-GB"/>
        </w:rPr>
        <w:t>（正本一份共一袋，副本贰份共一袋）</w:t>
      </w:r>
      <w:r>
        <w:rPr>
          <w:rFonts w:hint="eastAsia" w:ascii="宋体" w:hAnsi="宋体" w:cs="宋体"/>
          <w:bCs/>
          <w:color w:val="auto"/>
          <w:sz w:val="24"/>
          <w:highlight w:val="none"/>
          <w:lang w:val="en-GB"/>
        </w:rPr>
        <w:t>及</w:t>
      </w:r>
      <w:r>
        <w:rPr>
          <w:rFonts w:hint="eastAsia" w:ascii="宋体" w:hAnsi="宋体" w:cs="宋体"/>
          <w:b/>
          <w:color w:val="auto"/>
          <w:sz w:val="24"/>
          <w:highlight w:val="none"/>
          <w:lang w:val="en-GB"/>
        </w:rPr>
        <w:t>报价一览表</w:t>
      </w:r>
      <w:r>
        <w:rPr>
          <w:rFonts w:hint="eastAsia" w:ascii="宋体" w:hAnsi="宋体" w:cs="宋体"/>
          <w:b/>
          <w:color w:val="auto"/>
          <w:sz w:val="24"/>
          <w:highlight w:val="none"/>
        </w:rPr>
        <w:t>及响应文件电子版</w:t>
      </w:r>
      <w:r>
        <w:rPr>
          <w:rFonts w:hint="eastAsia" w:ascii="宋体" w:hAnsi="宋体" w:cs="宋体"/>
          <w:b/>
          <w:color w:val="auto"/>
          <w:sz w:val="24"/>
          <w:highlight w:val="none"/>
          <w:lang w:val="en-GB"/>
        </w:rPr>
        <w:t>（独立信封另密封一份）</w:t>
      </w:r>
      <w:r>
        <w:rPr>
          <w:rFonts w:hint="eastAsia" w:ascii="宋体" w:hAnsi="宋体" w:cs="宋体"/>
          <w:bCs/>
          <w:color w:val="auto"/>
          <w:sz w:val="24"/>
          <w:highlight w:val="none"/>
          <w:lang w:val="en-GB"/>
        </w:rPr>
        <w:t>，并在专用袋（箱）上标明“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报价一览表</w:t>
      </w:r>
      <w:r>
        <w:rPr>
          <w:rFonts w:hint="eastAsia" w:ascii="宋体" w:hAnsi="宋体" w:cs="宋体"/>
          <w:b/>
          <w:color w:val="auto"/>
          <w:sz w:val="24"/>
          <w:highlight w:val="none"/>
        </w:rPr>
        <w:t>及响应文件电子版</w:t>
      </w:r>
      <w:r>
        <w:rPr>
          <w:rFonts w:hint="eastAsia" w:ascii="宋体" w:hAnsi="宋体" w:cs="宋体"/>
          <w:bCs/>
          <w:color w:val="auto"/>
          <w:sz w:val="24"/>
          <w:highlight w:val="none"/>
          <w:lang w:val="en-GB"/>
        </w:rPr>
        <w:t>”字样，封口处应加盖</w:t>
      </w:r>
      <w:r>
        <w:rPr>
          <w:rFonts w:hint="eastAsia" w:ascii="宋体" w:hAnsi="宋体" w:cs="宋体"/>
          <w:bCs/>
          <w:color w:val="auto"/>
          <w:sz w:val="24"/>
          <w:highlight w:val="none"/>
        </w:rPr>
        <w:t>公</w:t>
      </w:r>
      <w:r>
        <w:rPr>
          <w:rFonts w:hint="eastAsia" w:ascii="宋体" w:hAnsi="宋体" w:cs="宋体"/>
          <w:bCs/>
          <w:color w:val="auto"/>
          <w:sz w:val="24"/>
          <w:highlight w:val="none"/>
          <w:lang w:val="en-GB"/>
        </w:rPr>
        <w:t>章。封皮上均应写明：</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致：海南通尚工程管理有限公司</w:t>
      </w:r>
    </w:p>
    <w:p>
      <w:pPr>
        <w:spacing w:line="440" w:lineRule="exact"/>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b/>
          <w:color w:val="auto"/>
          <w:sz w:val="24"/>
          <w:highlight w:val="none"/>
          <w:lang w:val="en-GB" w:eastAsia="zh-CN"/>
        </w:rPr>
        <w:t>2023年万宁市建成区及兴隆区、和乐镇病媒生物防制服务项目</w:t>
      </w:r>
    </w:p>
    <w:p>
      <w:pPr>
        <w:spacing w:line="440" w:lineRule="exact"/>
        <w:ind w:firstLine="482" w:firstLineChars="200"/>
        <w:rPr>
          <w:rFonts w:hint="eastAsia" w:ascii="宋体" w:hAnsi="宋体" w:cs="宋体"/>
          <w:b/>
          <w:color w:val="auto"/>
          <w:sz w:val="24"/>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HNTS-2023-056</w:t>
      </w:r>
    </w:p>
    <w:p>
      <w:pPr>
        <w:spacing w:line="440" w:lineRule="exact"/>
        <w:ind w:firstLine="482" w:firstLineChars="200"/>
        <w:rPr>
          <w:rFonts w:hint="default" w:ascii="宋体" w:hAnsi="宋体" w:cs="宋体"/>
          <w:b/>
          <w:color w:val="auto"/>
          <w:sz w:val="24"/>
          <w:highlight w:val="none"/>
          <w:lang w:val="en-US" w:eastAsia="zh-CN"/>
        </w:rPr>
      </w:pPr>
      <w:r>
        <w:rPr>
          <w:rFonts w:hint="eastAsia" w:ascii="宋体" w:hAnsi="宋体" w:cs="宋体"/>
          <w:b/>
          <w:color w:val="auto"/>
          <w:sz w:val="24"/>
          <w:highlight w:val="none"/>
          <w:lang w:eastAsia="zh-CN"/>
        </w:rPr>
        <w:t>包号：A包/B包</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注明：“请勿在</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年</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月</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日</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时</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rPr>
        <w:t>分之前启封”</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供应商名称、联系人姓名和电话</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16.2</w:t>
      </w:r>
      <w:r>
        <w:rPr>
          <w:rFonts w:hint="eastAsia" w:ascii="宋体" w:hAnsi="宋体" w:cs="宋体"/>
          <w:bCs/>
          <w:color w:val="auto"/>
          <w:sz w:val="24"/>
          <w:highlight w:val="none"/>
          <w:lang w:val="en-GB"/>
        </w:rPr>
        <w:t>响应文件电子版密封方式：</w:t>
      </w:r>
      <w:r>
        <w:rPr>
          <w:rFonts w:hint="eastAsia" w:ascii="宋体" w:hAnsi="宋体" w:cs="宋体"/>
          <w:bCs/>
          <w:color w:val="auto"/>
          <w:sz w:val="24"/>
          <w:highlight w:val="none"/>
        </w:rPr>
        <w:t>存储介质表面</w:t>
      </w:r>
      <w:r>
        <w:rPr>
          <w:rFonts w:hint="eastAsia" w:ascii="宋体" w:hAnsi="宋体" w:cs="宋体"/>
          <w:bCs/>
          <w:color w:val="auto"/>
          <w:sz w:val="24"/>
          <w:highlight w:val="none"/>
          <w:lang w:val="en-GB"/>
        </w:rPr>
        <w:t>上应用标贴</w:t>
      </w:r>
      <w:r>
        <w:rPr>
          <w:rFonts w:hint="eastAsia" w:ascii="宋体" w:hAnsi="宋体" w:cs="宋体"/>
          <w:bCs/>
          <w:color w:val="auto"/>
          <w:sz w:val="24"/>
          <w:highlight w:val="none"/>
        </w:rPr>
        <w:t>或不褪色水笔</w:t>
      </w:r>
      <w:r>
        <w:rPr>
          <w:rFonts w:hint="eastAsia" w:ascii="宋体" w:hAnsi="宋体" w:cs="宋体"/>
          <w:bCs/>
          <w:color w:val="auto"/>
          <w:sz w:val="24"/>
          <w:highlight w:val="none"/>
          <w:lang w:val="en-GB"/>
        </w:rPr>
        <w:t>标记项目编号，</w:t>
      </w:r>
      <w:r>
        <w:rPr>
          <w:rFonts w:hint="eastAsia" w:ascii="宋体" w:hAnsi="宋体" w:cs="宋体"/>
          <w:bCs/>
          <w:color w:val="auto"/>
          <w:sz w:val="24"/>
          <w:highlight w:val="none"/>
        </w:rPr>
        <w:t>与报价一览表一起</w:t>
      </w:r>
      <w:r>
        <w:rPr>
          <w:rFonts w:hint="eastAsia" w:ascii="宋体" w:hAnsi="宋体" w:cs="宋体"/>
          <w:bCs/>
          <w:color w:val="auto"/>
          <w:sz w:val="24"/>
          <w:highlight w:val="none"/>
          <w:lang w:val="en-GB"/>
        </w:rPr>
        <w:t>放入</w:t>
      </w:r>
      <w:r>
        <w:rPr>
          <w:rFonts w:hint="eastAsia" w:ascii="宋体" w:hAnsi="宋体" w:cs="宋体"/>
          <w:bCs/>
          <w:color w:val="auto"/>
          <w:sz w:val="24"/>
          <w:highlight w:val="none"/>
        </w:rPr>
        <w:t>同</w:t>
      </w:r>
      <w:r>
        <w:rPr>
          <w:rFonts w:hint="eastAsia" w:ascii="宋体" w:hAnsi="宋体" w:cs="宋体"/>
          <w:bCs/>
          <w:color w:val="auto"/>
          <w:sz w:val="24"/>
          <w:highlight w:val="none"/>
          <w:lang w:val="en-GB"/>
        </w:rPr>
        <w:t>一个密封袋中</w:t>
      </w:r>
      <w:r>
        <w:rPr>
          <w:rFonts w:hint="eastAsia" w:ascii="宋体" w:hAnsi="宋体" w:cs="宋体"/>
          <w:bCs/>
          <w:color w:val="auto"/>
          <w:sz w:val="24"/>
          <w:highlight w:val="none"/>
        </w:rPr>
        <w:t>进行密封</w:t>
      </w:r>
      <w:r>
        <w:rPr>
          <w:rFonts w:hint="eastAsia" w:ascii="宋体" w:hAnsi="宋体" w:cs="宋体"/>
          <w:bCs/>
          <w:color w:val="auto"/>
          <w:sz w:val="24"/>
          <w:highlight w:val="none"/>
          <w:lang w:val="en-GB"/>
        </w:rPr>
        <w:t>。</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6</w:t>
      </w:r>
      <w:r>
        <w:rPr>
          <w:rFonts w:hint="eastAsia" w:ascii="宋体" w:hAnsi="宋体" w:cs="宋体"/>
          <w:bCs/>
          <w:color w:val="auto"/>
          <w:sz w:val="24"/>
          <w:highlight w:val="none"/>
          <w:lang w:val="en-GB"/>
        </w:rPr>
        <w:t>.</w:t>
      </w:r>
      <w:r>
        <w:rPr>
          <w:rFonts w:hint="eastAsia" w:ascii="宋体" w:hAnsi="宋体" w:cs="宋体"/>
          <w:bCs/>
          <w:color w:val="auto"/>
          <w:sz w:val="24"/>
          <w:highlight w:val="none"/>
        </w:rPr>
        <w:t>3</w:t>
      </w:r>
      <w:r>
        <w:rPr>
          <w:rFonts w:hint="eastAsia" w:ascii="宋体" w:hAnsi="宋体" w:cs="宋体"/>
          <w:bCs/>
          <w:color w:val="auto"/>
          <w:sz w:val="24"/>
          <w:highlight w:val="none"/>
          <w:lang w:val="en-GB"/>
        </w:rPr>
        <w:t xml:space="preserve"> 响应文件未按上述规定书写标记和密封者，采购代理机构不对响应文件被错放或先期启封负责，采购代理机构</w:t>
      </w:r>
      <w:r>
        <w:rPr>
          <w:rFonts w:hint="eastAsia" w:ascii="宋体" w:hAnsi="宋体" w:cs="宋体"/>
          <w:bCs/>
          <w:color w:val="auto"/>
          <w:sz w:val="24"/>
          <w:highlight w:val="none"/>
        </w:rPr>
        <w:t>有权</w:t>
      </w:r>
      <w:r>
        <w:rPr>
          <w:rFonts w:hint="eastAsia" w:ascii="宋体" w:hAnsi="宋体" w:cs="宋体"/>
          <w:bCs/>
          <w:color w:val="auto"/>
          <w:sz w:val="24"/>
          <w:highlight w:val="none"/>
          <w:lang w:val="en-GB"/>
        </w:rPr>
        <w:t>拒绝接收。</w:t>
      </w:r>
    </w:p>
    <w:bookmarkEnd w:id="96"/>
    <w:bookmarkEnd w:id="97"/>
    <w:bookmarkEnd w:id="98"/>
    <w:p>
      <w:pPr>
        <w:spacing w:line="440" w:lineRule="exact"/>
        <w:outlineLvl w:val="1"/>
        <w:rPr>
          <w:rFonts w:hint="eastAsia" w:ascii="宋体" w:hAnsi="宋体" w:cs="宋体"/>
          <w:b/>
          <w:color w:val="auto"/>
          <w:sz w:val="24"/>
          <w:highlight w:val="none"/>
        </w:rPr>
      </w:pPr>
      <w:bookmarkStart w:id="136" w:name="_Toc433127003"/>
      <w:bookmarkStart w:id="137" w:name="_Toc23643"/>
      <w:bookmarkStart w:id="138" w:name="_Toc11989"/>
      <w:bookmarkStart w:id="139" w:name="_Toc30079"/>
      <w:r>
        <w:rPr>
          <w:rFonts w:hint="eastAsia" w:ascii="宋体" w:hAnsi="宋体" w:cs="宋体"/>
          <w:b/>
          <w:color w:val="auto"/>
          <w:sz w:val="24"/>
          <w:highlight w:val="none"/>
        </w:rPr>
        <w:t>1</w:t>
      </w:r>
      <w:r>
        <w:rPr>
          <w:rFonts w:ascii="宋体" w:hAnsi="宋体" w:cs="宋体"/>
          <w:b/>
          <w:color w:val="auto"/>
          <w:sz w:val="24"/>
          <w:highlight w:val="none"/>
        </w:rPr>
        <w:t>7</w:t>
      </w:r>
      <w:r>
        <w:rPr>
          <w:rFonts w:hint="eastAsia" w:ascii="宋体" w:hAnsi="宋体" w:cs="宋体"/>
          <w:b/>
          <w:color w:val="auto"/>
          <w:sz w:val="24"/>
          <w:highlight w:val="none"/>
        </w:rPr>
        <w:t>、响应文件</w:t>
      </w:r>
      <w:r>
        <w:rPr>
          <w:rFonts w:ascii="宋体" w:hAnsi="宋体" w:cs="宋体"/>
          <w:b/>
          <w:color w:val="auto"/>
          <w:sz w:val="24"/>
          <w:highlight w:val="none"/>
        </w:rPr>
        <w:t>提交</w:t>
      </w:r>
      <w:r>
        <w:rPr>
          <w:rFonts w:hint="eastAsia" w:ascii="宋体" w:hAnsi="宋体" w:cs="宋体"/>
          <w:b/>
          <w:color w:val="auto"/>
          <w:sz w:val="24"/>
          <w:highlight w:val="none"/>
        </w:rPr>
        <w:t>截止时间</w:t>
      </w:r>
      <w:bookmarkEnd w:id="136"/>
      <w:bookmarkEnd w:id="137"/>
      <w:bookmarkEnd w:id="138"/>
      <w:bookmarkEnd w:id="139"/>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7</w:t>
      </w:r>
      <w:r>
        <w:rPr>
          <w:rFonts w:hint="eastAsia" w:ascii="宋体" w:hAnsi="宋体" w:cs="宋体"/>
          <w:bCs/>
          <w:color w:val="auto"/>
          <w:sz w:val="24"/>
          <w:highlight w:val="none"/>
          <w:lang w:val="en-GB"/>
        </w:rPr>
        <w:t>.l 供应商须在响应文件提交截止时间前将响应文件送达采购代理机构规定的地点。</w:t>
      </w:r>
    </w:p>
    <w:p>
      <w:pPr>
        <w:spacing w:line="440" w:lineRule="exact"/>
        <w:ind w:firstLine="482" w:firstLineChars="200"/>
        <w:rPr>
          <w:rFonts w:ascii="宋体" w:hAnsi="宋体" w:cs="宋体"/>
          <w:b/>
          <w:color w:val="auto"/>
          <w:sz w:val="24"/>
          <w:highlight w:val="none"/>
          <w:lang w:val="en-GB"/>
        </w:rPr>
      </w:pPr>
      <w:r>
        <w:rPr>
          <w:rFonts w:ascii="宋体" w:hAnsi="宋体" w:cs="宋体"/>
          <w:b/>
          <w:color w:val="auto"/>
          <w:sz w:val="24"/>
          <w:highlight w:val="none"/>
          <w:lang w:val="en-GB"/>
        </w:rPr>
        <w:t>1</w:t>
      </w:r>
      <w:r>
        <w:rPr>
          <w:rFonts w:ascii="宋体" w:hAnsi="宋体" w:cs="宋体"/>
          <w:b/>
          <w:color w:val="auto"/>
          <w:sz w:val="24"/>
          <w:highlight w:val="none"/>
        </w:rPr>
        <w:t>7</w:t>
      </w:r>
      <w:r>
        <w:rPr>
          <w:rFonts w:ascii="宋体" w:hAnsi="宋体" w:cs="宋体"/>
          <w:b/>
          <w:color w:val="auto"/>
          <w:sz w:val="24"/>
          <w:highlight w:val="none"/>
          <w:lang w:val="en-GB"/>
        </w:rPr>
        <w:t xml:space="preserve">.2 </w:t>
      </w:r>
      <w:r>
        <w:rPr>
          <w:rFonts w:hint="eastAsia" w:ascii="宋体" w:hAnsi="宋体" w:cs="宋体"/>
          <w:b/>
          <w:color w:val="auto"/>
          <w:sz w:val="24"/>
          <w:highlight w:val="none"/>
          <w:lang w:val="en-GB"/>
        </w:rPr>
        <w:t>供应商</w:t>
      </w:r>
      <w:r>
        <w:rPr>
          <w:rFonts w:ascii="宋体" w:hAnsi="宋体" w:cs="宋体"/>
          <w:b/>
          <w:color w:val="auto"/>
          <w:sz w:val="24"/>
          <w:highlight w:val="none"/>
          <w:lang w:val="en-GB"/>
        </w:rPr>
        <w:t>的授权</w:t>
      </w:r>
      <w:r>
        <w:rPr>
          <w:rFonts w:hint="eastAsia" w:ascii="宋体" w:hAnsi="宋体" w:cs="宋体"/>
          <w:b/>
          <w:color w:val="auto"/>
          <w:sz w:val="24"/>
          <w:highlight w:val="none"/>
          <w:lang w:val="en-GB"/>
        </w:rPr>
        <w:t>代表</w:t>
      </w:r>
      <w:r>
        <w:rPr>
          <w:rFonts w:ascii="宋体" w:hAnsi="宋体" w:cs="宋体"/>
          <w:b/>
          <w:color w:val="auto"/>
          <w:sz w:val="24"/>
          <w:highlight w:val="none"/>
          <w:lang w:val="en-GB"/>
        </w:rPr>
        <w:t>须携带《法定代表人授权书》及保证金转</w:t>
      </w:r>
      <w:r>
        <w:rPr>
          <w:rFonts w:hint="eastAsia" w:ascii="宋体" w:hAnsi="宋体" w:cs="宋体"/>
          <w:b/>
          <w:color w:val="auto"/>
          <w:sz w:val="24"/>
          <w:highlight w:val="none"/>
          <w:lang w:val="en-GB"/>
        </w:rPr>
        <w:t>账</w:t>
      </w:r>
      <w:r>
        <w:rPr>
          <w:rFonts w:ascii="宋体" w:hAnsi="宋体" w:cs="宋体"/>
          <w:b/>
          <w:color w:val="auto"/>
          <w:sz w:val="24"/>
          <w:highlight w:val="none"/>
          <w:lang w:val="en-GB"/>
        </w:rPr>
        <w:t>汇款的银行回单（均要求复印件</w:t>
      </w:r>
      <w:r>
        <w:rPr>
          <w:rFonts w:hint="eastAsia" w:ascii="宋体" w:hAnsi="宋体" w:cs="宋体"/>
          <w:b/>
          <w:color w:val="auto"/>
          <w:sz w:val="24"/>
          <w:highlight w:val="none"/>
          <w:lang w:val="en-GB"/>
        </w:rPr>
        <w:t>加盖公章</w:t>
      </w:r>
      <w:r>
        <w:rPr>
          <w:rFonts w:ascii="宋体" w:hAnsi="宋体" w:cs="宋体"/>
          <w:b/>
          <w:color w:val="auto"/>
          <w:sz w:val="24"/>
          <w:highlight w:val="none"/>
          <w:lang w:val="en-GB"/>
        </w:rPr>
        <w:t>）</w:t>
      </w:r>
      <w:r>
        <w:rPr>
          <w:rFonts w:hint="eastAsia" w:ascii="宋体" w:hAnsi="宋体" w:cs="宋体"/>
          <w:b/>
          <w:color w:val="auto"/>
          <w:sz w:val="24"/>
          <w:highlight w:val="none"/>
          <w:lang w:val="en-GB"/>
        </w:rPr>
        <w:t>或银行保函，</w:t>
      </w:r>
      <w:r>
        <w:rPr>
          <w:rFonts w:ascii="宋体" w:hAnsi="宋体" w:cs="宋体"/>
          <w:b/>
          <w:color w:val="auto"/>
          <w:sz w:val="24"/>
          <w:highlight w:val="none"/>
          <w:lang w:val="en-GB"/>
        </w:rPr>
        <w:t>及个人身份证</w:t>
      </w:r>
      <w:r>
        <w:rPr>
          <w:rFonts w:hint="eastAsia" w:ascii="宋体" w:hAnsi="宋体" w:cs="宋体"/>
          <w:b/>
          <w:color w:val="auto"/>
          <w:sz w:val="24"/>
          <w:highlight w:val="none"/>
          <w:lang w:val="en-GB"/>
        </w:rPr>
        <w:t>原件</w:t>
      </w:r>
      <w:r>
        <w:rPr>
          <w:rFonts w:ascii="宋体" w:hAnsi="宋体" w:cs="宋体"/>
          <w:b/>
          <w:color w:val="auto"/>
          <w:sz w:val="24"/>
          <w:highlight w:val="none"/>
          <w:lang w:val="en-GB"/>
        </w:rPr>
        <w:t>亲临</w:t>
      </w:r>
      <w:r>
        <w:rPr>
          <w:rFonts w:hint="eastAsia" w:ascii="宋体" w:hAnsi="宋体" w:cs="宋体"/>
          <w:b/>
          <w:color w:val="auto"/>
          <w:sz w:val="24"/>
          <w:highlight w:val="none"/>
          <w:lang w:val="en-GB"/>
        </w:rPr>
        <w:t>磋商活动</w:t>
      </w:r>
      <w:r>
        <w:rPr>
          <w:rFonts w:ascii="宋体" w:hAnsi="宋体" w:cs="宋体"/>
          <w:b/>
          <w:color w:val="auto"/>
          <w:sz w:val="24"/>
          <w:highlight w:val="none"/>
          <w:lang w:val="en-GB"/>
        </w:rPr>
        <w:t>现场以备查验。其现场所签署确认的文件均代表</w:t>
      </w:r>
      <w:r>
        <w:rPr>
          <w:rFonts w:hint="eastAsia" w:ascii="宋体" w:hAnsi="宋体" w:cs="宋体"/>
          <w:b/>
          <w:color w:val="auto"/>
          <w:sz w:val="24"/>
          <w:highlight w:val="none"/>
          <w:lang w:val="en-GB"/>
        </w:rPr>
        <w:t>供应商</w:t>
      </w:r>
      <w:r>
        <w:rPr>
          <w:rFonts w:ascii="宋体" w:hAnsi="宋体" w:cs="宋体"/>
          <w:b/>
          <w:color w:val="auto"/>
          <w:sz w:val="24"/>
          <w:highlight w:val="none"/>
          <w:lang w:val="en-GB"/>
        </w:rPr>
        <w:t>的决定，并作为</w:t>
      </w:r>
      <w:r>
        <w:rPr>
          <w:rFonts w:hint="eastAsia" w:ascii="宋体" w:hAnsi="宋体" w:cs="宋体"/>
          <w:b/>
          <w:color w:val="auto"/>
          <w:sz w:val="24"/>
          <w:highlight w:val="none"/>
          <w:lang w:val="en-GB"/>
        </w:rPr>
        <w:t>响应</w:t>
      </w:r>
      <w:r>
        <w:rPr>
          <w:rFonts w:ascii="宋体" w:hAnsi="宋体" w:cs="宋体"/>
          <w:b/>
          <w:color w:val="auto"/>
          <w:sz w:val="24"/>
          <w:highlight w:val="none"/>
          <w:lang w:val="en-GB"/>
        </w:rPr>
        <w:t>文件的补充内容，具有同等法律效力。</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7</w:t>
      </w:r>
      <w:r>
        <w:rPr>
          <w:rFonts w:hint="eastAsia" w:ascii="宋体" w:hAnsi="宋体" w:cs="宋体"/>
          <w:bCs/>
          <w:color w:val="auto"/>
          <w:sz w:val="24"/>
          <w:highlight w:val="none"/>
          <w:lang w:val="en-GB"/>
        </w:rPr>
        <w:t>.</w:t>
      </w:r>
      <w:r>
        <w:rPr>
          <w:rFonts w:hint="eastAsia" w:ascii="宋体" w:hAnsi="宋体" w:cs="宋体"/>
          <w:bCs/>
          <w:color w:val="auto"/>
          <w:sz w:val="24"/>
          <w:highlight w:val="none"/>
        </w:rPr>
        <w:t>3</w:t>
      </w:r>
      <w:r>
        <w:rPr>
          <w:rFonts w:hint="eastAsia" w:ascii="宋体" w:hAnsi="宋体" w:cs="宋体"/>
          <w:bCs/>
          <w:color w:val="auto"/>
          <w:sz w:val="24"/>
          <w:highlight w:val="none"/>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ascii="宋体" w:hAnsi="宋体" w:cs="宋体"/>
          <w:bCs/>
          <w:color w:val="auto"/>
          <w:sz w:val="24"/>
          <w:highlight w:val="none"/>
        </w:rPr>
        <w:t>7</w:t>
      </w:r>
      <w:r>
        <w:rPr>
          <w:rFonts w:hint="eastAsia" w:ascii="宋体" w:hAnsi="宋体" w:cs="宋体"/>
          <w:bCs/>
          <w:color w:val="auto"/>
          <w:sz w:val="24"/>
          <w:highlight w:val="none"/>
          <w:lang w:val="en-GB"/>
        </w:rPr>
        <w:t>.</w:t>
      </w:r>
      <w:r>
        <w:rPr>
          <w:rFonts w:hint="eastAsia" w:ascii="宋体" w:hAnsi="宋体" w:cs="宋体"/>
          <w:bCs/>
          <w:color w:val="auto"/>
          <w:sz w:val="24"/>
          <w:highlight w:val="none"/>
        </w:rPr>
        <w:t>4</w:t>
      </w:r>
      <w:r>
        <w:rPr>
          <w:rFonts w:hint="eastAsia" w:ascii="宋体" w:hAnsi="宋体" w:cs="宋体"/>
          <w:bCs/>
          <w:color w:val="auto"/>
          <w:sz w:val="24"/>
          <w:highlight w:val="none"/>
          <w:lang w:val="en-GB"/>
        </w:rPr>
        <w:t xml:space="preserve"> 在响应文件提交截止时间后递交的响应文件，采购代理机构将拒绝接收。</w:t>
      </w:r>
    </w:p>
    <w:p>
      <w:pPr>
        <w:snapToGrid w:val="0"/>
        <w:spacing w:before="156" w:beforeLines="50" w:after="156" w:afterLines="50" w:line="440" w:lineRule="exact"/>
        <w:outlineLvl w:val="0"/>
        <w:rPr>
          <w:rFonts w:hint="eastAsia" w:ascii="宋体" w:hAnsi="宋体" w:cs="宋体"/>
          <w:b/>
          <w:color w:val="auto"/>
          <w:sz w:val="28"/>
          <w:szCs w:val="28"/>
          <w:highlight w:val="none"/>
          <w:lang w:val="en-GB"/>
        </w:rPr>
      </w:pPr>
      <w:bookmarkStart w:id="140" w:name="_Toc12451"/>
      <w:r>
        <w:rPr>
          <w:rFonts w:hint="eastAsia" w:ascii="宋体" w:hAnsi="宋体" w:cs="宋体"/>
          <w:b/>
          <w:color w:val="auto"/>
          <w:sz w:val="28"/>
          <w:szCs w:val="28"/>
          <w:highlight w:val="none"/>
          <w:lang w:val="en-GB"/>
        </w:rPr>
        <w:t>（五）响应文件的开启</w:t>
      </w:r>
      <w:bookmarkEnd w:id="140"/>
    </w:p>
    <w:p>
      <w:pPr>
        <w:spacing w:line="440" w:lineRule="exact"/>
        <w:rPr>
          <w:rFonts w:hint="eastAsia" w:ascii="宋体" w:hAnsi="宋体" w:cs="宋体"/>
          <w:b/>
          <w:color w:val="auto"/>
          <w:sz w:val="24"/>
          <w:highlight w:val="none"/>
        </w:rPr>
      </w:pPr>
      <w:r>
        <w:rPr>
          <w:rFonts w:hint="eastAsia" w:ascii="宋体" w:hAnsi="宋体" w:cs="宋体"/>
          <w:b/>
          <w:color w:val="auto"/>
          <w:sz w:val="24"/>
          <w:highlight w:val="none"/>
        </w:rPr>
        <w:t>18、</w:t>
      </w:r>
      <w:r>
        <w:rPr>
          <w:rFonts w:hint="eastAsia" w:ascii="宋体" w:hAnsi="宋体" w:cs="宋体"/>
          <w:b/>
          <w:color w:val="auto"/>
          <w:sz w:val="24"/>
          <w:highlight w:val="none"/>
          <w:lang w:val="en-GB"/>
        </w:rPr>
        <w:t>响应文件的开启</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.l 采购代理机构按“磋商公告”或“磋商邀请函”中规定的时间和地点组织开标，采购人代表、采购代理机构有关工作人员参加。供应商应委派授权代表参加开标活动，参加开标的代表须持本人身份证及相关授权证明材料签名报到以证明其出席。未派授权代表或不能证明其授权代表身份的，采购代理机构对响应文件的处理不承担责任。</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.3 开标时，供应商授权代表将查验响应文件的密封情况，确认无误后拆封唱标，公布每份响应文件中“报价一览表”中采购代理机构认为合适的内容，采购代理机构将作开标记录。</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.4 若响应文件未密封，采购代理机构将拒绝接收该供应商的响应文件。</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18.5</w:t>
      </w:r>
      <w:r>
        <w:rPr>
          <w:rFonts w:hint="eastAsia" w:ascii="宋体" w:hAnsi="宋体" w:cs="宋体"/>
          <w:color w:val="auto"/>
          <w:sz w:val="24"/>
          <w:highlight w:val="none"/>
        </w:rPr>
        <w:t xml:space="preserve"> </w:t>
      </w:r>
      <w:r>
        <w:rPr>
          <w:rFonts w:hint="eastAsia" w:ascii="宋体" w:hAnsi="宋体" w:cs="宋体"/>
          <w:bCs/>
          <w:color w:val="auto"/>
          <w:sz w:val="24"/>
          <w:highlight w:val="none"/>
        </w:rPr>
        <w:t>根据财库〔2015〕124号《财政部关于政府采购竞争性磋商采购方式管理暂行办法有关问题的补充通知</w:t>
      </w:r>
      <w:r>
        <w:rPr>
          <w:rFonts w:hint="eastAsia" w:ascii="宋体" w:hAnsi="宋体" w:cs="宋体"/>
          <w:color w:val="auto"/>
          <w:sz w:val="24"/>
          <w:highlight w:val="none"/>
        </w:rPr>
        <w:t>》在采购过程中符合要求的供应商（社会资本）只有2家的，竞争性磋商采购活动可以继续进行。</w:t>
      </w:r>
    </w:p>
    <w:p>
      <w:pPr>
        <w:snapToGrid w:val="0"/>
        <w:spacing w:before="156" w:beforeLines="50" w:after="156" w:afterLines="50" w:line="440" w:lineRule="exact"/>
        <w:outlineLvl w:val="0"/>
        <w:rPr>
          <w:rFonts w:hint="eastAsia" w:ascii="宋体" w:hAnsi="宋体" w:cs="宋体"/>
          <w:b/>
          <w:color w:val="auto"/>
          <w:sz w:val="28"/>
          <w:szCs w:val="28"/>
          <w:highlight w:val="none"/>
          <w:lang w:val="en-GB"/>
        </w:rPr>
      </w:pPr>
      <w:bookmarkStart w:id="141" w:name="_Toc16522"/>
      <w:r>
        <w:rPr>
          <w:rFonts w:hint="eastAsia" w:ascii="宋体" w:hAnsi="宋体" w:cs="宋体"/>
          <w:b/>
          <w:color w:val="auto"/>
          <w:sz w:val="28"/>
          <w:szCs w:val="28"/>
          <w:highlight w:val="none"/>
        </w:rPr>
        <w:t>（六）</w:t>
      </w:r>
      <w:r>
        <w:rPr>
          <w:rFonts w:hint="eastAsia" w:ascii="宋体" w:hAnsi="宋体" w:cs="宋体"/>
          <w:b/>
          <w:color w:val="auto"/>
          <w:sz w:val="28"/>
          <w:szCs w:val="28"/>
          <w:highlight w:val="none"/>
          <w:lang w:val="en-GB"/>
        </w:rPr>
        <w:t>磋商、评审及成交</w:t>
      </w:r>
      <w:bookmarkEnd w:id="141"/>
    </w:p>
    <w:p>
      <w:pPr>
        <w:spacing w:line="440" w:lineRule="exact"/>
        <w:outlineLvl w:val="1"/>
        <w:rPr>
          <w:rFonts w:hint="eastAsia" w:ascii="宋体" w:hAnsi="宋体" w:cs="宋体"/>
          <w:b/>
          <w:color w:val="auto"/>
          <w:sz w:val="24"/>
          <w:highlight w:val="none"/>
        </w:rPr>
      </w:pPr>
      <w:bookmarkStart w:id="142" w:name="_Toc17295"/>
      <w:bookmarkStart w:id="143" w:name="_Toc20430"/>
      <w:bookmarkStart w:id="144" w:name="_Toc433127005"/>
      <w:r>
        <w:rPr>
          <w:rFonts w:ascii="宋体" w:hAnsi="宋体" w:cs="宋体"/>
          <w:b/>
          <w:color w:val="auto"/>
          <w:sz w:val="24"/>
          <w:highlight w:val="none"/>
        </w:rPr>
        <w:t>1</w:t>
      </w:r>
      <w:r>
        <w:rPr>
          <w:rFonts w:hint="eastAsia" w:ascii="宋体" w:hAnsi="宋体" w:cs="宋体"/>
          <w:b/>
          <w:color w:val="auto"/>
          <w:sz w:val="24"/>
          <w:highlight w:val="none"/>
        </w:rPr>
        <w:t>9、</w:t>
      </w:r>
      <w:r>
        <w:rPr>
          <w:rFonts w:hint="eastAsia" w:ascii="宋体" w:hAnsi="宋体" w:cs="宋体"/>
          <w:b/>
          <w:color w:val="auto"/>
          <w:sz w:val="24"/>
          <w:highlight w:val="none"/>
          <w:lang w:val="en-GB"/>
        </w:rPr>
        <w:t>磋商小组的组成</w:t>
      </w:r>
      <w:bookmarkEnd w:id="142"/>
      <w:bookmarkEnd w:id="143"/>
      <w:bookmarkEnd w:id="144"/>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磋商小组由采购人代表和从海南省综合评标专家库中随机抽取的相关专家共3人以上单数组成，其中，技术、经济等方面的专家人数不得少于成员总数的2/3。</w:t>
      </w:r>
      <w:r>
        <w:rPr>
          <w:rFonts w:ascii="宋体" w:hAnsi="宋体"/>
          <w:color w:val="auto"/>
          <w:sz w:val="24"/>
          <w:highlight w:val="none"/>
        </w:rPr>
        <w:t>磋商小组成员</w:t>
      </w:r>
      <w:r>
        <w:rPr>
          <w:rFonts w:hint="eastAsia" w:ascii="宋体" w:hAnsi="宋体"/>
          <w:color w:val="auto"/>
          <w:sz w:val="24"/>
          <w:highlight w:val="none"/>
        </w:rPr>
        <w:t>将</w:t>
      </w:r>
      <w:r>
        <w:rPr>
          <w:rFonts w:ascii="宋体" w:hAnsi="宋体"/>
          <w:color w:val="auto"/>
          <w:sz w:val="24"/>
          <w:highlight w:val="none"/>
        </w:rPr>
        <w:t>按照客观、公正、审慎的原则，根据磋商文件规定的评审程序、评审方法和评审标准进行独立评审。</w:t>
      </w:r>
    </w:p>
    <w:p>
      <w:pPr>
        <w:numPr>
          <w:ilvl w:val="0"/>
          <w:numId w:val="2"/>
        </w:numPr>
        <w:spacing w:line="440" w:lineRule="exact"/>
        <w:ind w:firstLine="482"/>
        <w:outlineLvl w:val="1"/>
        <w:rPr>
          <w:rFonts w:ascii="宋体" w:hAnsi="宋体" w:cs="宋体"/>
          <w:b/>
          <w:color w:val="auto"/>
          <w:sz w:val="24"/>
          <w:highlight w:val="none"/>
        </w:rPr>
      </w:pPr>
      <w:bookmarkStart w:id="145" w:name="_Toc10317"/>
      <w:bookmarkStart w:id="146" w:name="_Toc433127006"/>
      <w:bookmarkStart w:id="147" w:name="_Toc18594"/>
      <w:r>
        <w:rPr>
          <w:rFonts w:ascii="宋体" w:hAnsi="宋体" w:cs="宋体"/>
          <w:b/>
          <w:color w:val="auto"/>
          <w:sz w:val="24"/>
          <w:highlight w:val="none"/>
        </w:rPr>
        <w:t>评审方法</w:t>
      </w:r>
      <w:r>
        <w:rPr>
          <w:rFonts w:hint="eastAsia" w:ascii="宋体" w:hAnsi="宋体" w:cs="宋体"/>
          <w:b/>
          <w:color w:val="auto"/>
          <w:sz w:val="24"/>
          <w:highlight w:val="none"/>
        </w:rPr>
        <w:t>及</w:t>
      </w:r>
      <w:r>
        <w:rPr>
          <w:rFonts w:ascii="宋体" w:hAnsi="宋体" w:cs="宋体"/>
          <w:b/>
          <w:color w:val="auto"/>
          <w:sz w:val="24"/>
          <w:highlight w:val="none"/>
        </w:rPr>
        <w:t>评审程序</w:t>
      </w:r>
      <w:bookmarkEnd w:id="145"/>
      <w:bookmarkEnd w:id="146"/>
      <w:bookmarkEnd w:id="147"/>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s="宋体"/>
          <w:bCs/>
          <w:color w:val="auto"/>
          <w:sz w:val="24"/>
          <w:lang w:val="en-US" w:eastAsia="zh-CN"/>
        </w:rPr>
        <w:t>20.1</w:t>
      </w:r>
      <w:r>
        <w:rPr>
          <w:rFonts w:hint="eastAsia" w:ascii="宋体" w:hAnsi="宋体" w:cs="宋体"/>
          <w:bCs/>
          <w:color w:val="auto"/>
          <w:sz w:val="24"/>
        </w:rPr>
        <w:t>中小企业（含中型、小型、微型企业）是指同时符合：1、符合中小企业划分标准；2、提供本企业制造的货物、承担的工程或者服务，或者提供其他中小企业制造的货物。本项所指货物不包括使用大型企业注册商标的货物。中小企业报价应提供《中小微企业声明函》。</w:t>
      </w:r>
      <w:r>
        <w:rPr>
          <w:rFonts w:hint="eastAsia" w:ascii="宋体" w:hAnsi="宋体"/>
          <w:color w:val="auto"/>
          <w:sz w:val="24"/>
        </w:rPr>
        <w:t>根据</w:t>
      </w:r>
      <w:r>
        <w:rPr>
          <w:rFonts w:hint="eastAsia" w:ascii="Times New Roman" w:hAnsi="Times New Roman"/>
          <w:color w:val="auto"/>
          <w:sz w:val="24"/>
        </w:rPr>
        <w:t>《政府采购促进中小企业发展管理办法》（财库﹝2020﹞46号）第九条</w:t>
      </w:r>
      <w:r>
        <w:rPr>
          <w:rFonts w:hint="eastAsia" w:ascii="宋体" w:hAnsi="宋体"/>
          <w:color w:val="auto"/>
          <w:sz w:val="24"/>
        </w:rPr>
        <w:t>规定，对小、微企业予以价格评分适当优惠。若供应商为小型或微型企业者，其参与评分的投标报价取值按投标报价的90%计算（即按投标报价扣除10%后计算）。</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20.2</w:t>
      </w:r>
      <w:r>
        <w:rPr>
          <w:rFonts w:hint="eastAsia" w:ascii="宋体" w:hAnsi="宋体"/>
          <w:color w:val="auto"/>
          <w:sz w:val="24"/>
        </w:rPr>
        <w:t>根据财政部、国家发展和改革委员会文件2004年12月17日颁布《关于印发[节能产品政府采购实施意见]的通知》财库[2004]185号规定，属于节能清单中的产品有效时间以国家节能产品认证证书有效截止日期为准，超过认证证书有效截止日期的自动失效。政府采购属于节能清单中产品时，在性能、技术、服务等指标同等条件下，应当优先采购节能清单所列的节能产品。（需提供相关证明材料）</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20.3</w:t>
      </w:r>
      <w:r>
        <w:rPr>
          <w:rFonts w:hint="eastAsia" w:ascii="宋体" w:hAnsi="宋体"/>
          <w:color w:val="auto"/>
          <w:sz w:val="24"/>
        </w:rPr>
        <w:t>根据财政部 生态环境部《关于印发环境标志产品政府采购品目清单的通知》（财库〔2019〕18 号）文件规定，属于“环境标志产品政府采购品目清单”中的产品有效时间以中国环境标志产品认证证书有效截止日期为准，超过认证证书有效截止日期的自动失效。采购人采购的产品属于“环境标志产品政府采购品目清单”中品目的，在性能、技术、服务等指标同等条件下，应当优先采购“环境标志产品政府采购品目清单”中的产品。（需提供相关证明材料）。</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20.4</w:t>
      </w:r>
      <w:r>
        <w:rPr>
          <w:rFonts w:hint="eastAsia" w:ascii="宋体" w:hAnsi="宋体"/>
          <w:color w:val="auto"/>
          <w:sz w:val="24"/>
        </w:rPr>
        <w:t>根据财库〔2014〕68 号《财政部司 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报价时，提供由省级以上监狱管理局、戒毒管理局(含新疆生产建设兵团)出具的属于监狱企业的证明文件，不再提供《中小微企业声明函》。</w:t>
      </w:r>
    </w:p>
    <w:p>
      <w:pPr>
        <w:shd w:val="clear" w:color="auto" w:fill="FFFFFF"/>
        <w:tabs>
          <w:tab w:val="left" w:pos="720"/>
        </w:tabs>
        <w:snapToGrid w:val="0"/>
        <w:spacing w:line="440" w:lineRule="exact"/>
        <w:ind w:firstLine="480" w:firstLineChars="200"/>
        <w:rPr>
          <w:rFonts w:ascii="宋体" w:hAnsi="宋体"/>
          <w:color w:val="auto"/>
          <w:sz w:val="24"/>
        </w:rPr>
      </w:pPr>
      <w:r>
        <w:rPr>
          <w:rFonts w:hint="eastAsia" w:ascii="宋体" w:hAnsi="宋体"/>
          <w:color w:val="auto"/>
          <w:sz w:val="24"/>
          <w:lang w:val="en-US" w:eastAsia="zh-CN"/>
        </w:rPr>
        <w:t>20.5</w:t>
      </w:r>
      <w:r>
        <w:rPr>
          <w:rFonts w:hint="eastAsia" w:ascii="宋体" w:hAnsi="宋体"/>
          <w:color w:val="auto"/>
          <w:sz w:val="24"/>
        </w:rPr>
        <w:t>根据财库〔2017〕141号《财政部 民政部中国残疾人联合会关于促进残疾人就业政府采购政策的通知》，在政府采购活动中，残疾人福利性单位视同小型、微型企业，享受政府采购支持政策的残疾人福利性单位应当同时满足《财政部 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440" w:lineRule="exact"/>
        <w:ind w:firstLine="480" w:firstLineChars="200"/>
        <w:rPr>
          <w:rFonts w:ascii="宋体" w:hAnsi="宋体"/>
          <w:color w:val="auto"/>
          <w:sz w:val="24"/>
        </w:rPr>
      </w:pPr>
      <w:r>
        <w:rPr>
          <w:rFonts w:hint="eastAsia" w:ascii="宋体" w:hAnsi="宋体"/>
          <w:color w:val="auto"/>
          <w:sz w:val="24"/>
          <w:lang w:val="en-US" w:eastAsia="zh-CN"/>
        </w:rPr>
        <w:t>20.6</w:t>
      </w:r>
      <w:r>
        <w:rPr>
          <w:rFonts w:hint="eastAsia" w:ascii="宋体" w:hAnsi="宋体"/>
          <w:color w:val="auto"/>
          <w:sz w:val="24"/>
        </w:rPr>
        <w:t>根据财库[2010]48号《关于信息安全产品实施政府采购的通知》财政部、工业和信息化部、质检总局、认监委文件，在政府采购活动中采购信息安全产品的，应当采购经国家认证的信息安全产品。产品供应商提供由中国信息安全认证中心按国家标准认证颁发的有效认证证书。</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w:t>
      </w:r>
      <w:r>
        <w:rPr>
          <w:rFonts w:ascii="宋体" w:hAnsi="宋体" w:cs="宋体"/>
          <w:bCs/>
          <w:color w:val="auto"/>
          <w:sz w:val="24"/>
          <w:highlight w:val="none"/>
        </w:rPr>
        <w:t>.</w:t>
      </w:r>
      <w:r>
        <w:rPr>
          <w:rFonts w:hint="eastAsia" w:ascii="宋体" w:hAnsi="宋体" w:cs="宋体"/>
          <w:bCs/>
          <w:color w:val="auto"/>
          <w:sz w:val="24"/>
          <w:highlight w:val="none"/>
          <w:lang w:val="en-US" w:eastAsia="zh-CN"/>
        </w:rPr>
        <w:t>7</w:t>
      </w:r>
      <w:r>
        <w:rPr>
          <w:rFonts w:hint="eastAsia" w:ascii="宋体" w:hAnsi="宋体" w:cs="宋体"/>
          <w:bCs/>
          <w:color w:val="auto"/>
          <w:sz w:val="24"/>
          <w:highlight w:val="none"/>
          <w:lang w:val="en-GB"/>
        </w:rPr>
        <w:t>本次评审</w:t>
      </w:r>
      <w:r>
        <w:rPr>
          <w:rFonts w:hint="eastAsia" w:ascii="宋体" w:hAnsi="宋体" w:cs="宋体"/>
          <w:b/>
          <w:bCs/>
          <w:color w:val="auto"/>
          <w:sz w:val="24"/>
          <w:highlight w:val="none"/>
          <w:u w:val="single"/>
          <w:lang w:val="en-GB"/>
        </w:rPr>
        <w:t>采用综合评分法</w:t>
      </w:r>
      <w:r>
        <w:rPr>
          <w:rFonts w:hint="eastAsia" w:ascii="宋体" w:hAnsi="宋体" w:cs="宋体"/>
          <w:bCs/>
          <w:color w:val="auto"/>
          <w:sz w:val="24"/>
          <w:highlight w:val="none"/>
          <w:lang w:val="en-GB"/>
        </w:rPr>
        <w:t>。</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20</w:t>
      </w:r>
      <w:r>
        <w:rPr>
          <w:rFonts w:hint="eastAsia" w:ascii="宋体" w:hAnsi="宋体" w:cs="宋体"/>
          <w:bCs/>
          <w:color w:val="auto"/>
          <w:sz w:val="24"/>
          <w:highlight w:val="none"/>
          <w:lang w:val="en-GB"/>
        </w:rPr>
        <w:t>.</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 xml:space="preserve"> </w:t>
      </w:r>
      <w:r>
        <w:rPr>
          <w:rFonts w:ascii="宋体" w:hAnsi="宋体" w:cs="宋体"/>
          <w:bCs/>
          <w:color w:val="auto"/>
          <w:sz w:val="24"/>
          <w:highlight w:val="none"/>
        </w:rPr>
        <w:t>综合评分法，是指响应文件满足磋商文件全部实质性要求且按评审因素的量化指标评审得分最高的供应商为成交候选供应商的评审方法。综合评分法评审标准中的分值设置与评审因素的量化指标相对应。</w:t>
      </w:r>
    </w:p>
    <w:p>
      <w:pPr>
        <w:spacing w:line="440" w:lineRule="exact"/>
        <w:ind w:firstLine="480" w:firstLineChars="200"/>
        <w:rPr>
          <w:rFonts w:hint="eastAsia" w:ascii="宋体" w:hAnsi="宋体" w:cs="宋体"/>
          <w:bCs/>
          <w:color w:val="auto"/>
          <w:sz w:val="24"/>
          <w:highlight w:val="none"/>
          <w:lang w:val="en-GB"/>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9</w:t>
      </w:r>
      <w:r>
        <w:rPr>
          <w:rFonts w:ascii="宋体" w:hAnsi="宋体" w:cs="宋体"/>
          <w:bCs/>
          <w:color w:val="auto"/>
          <w:sz w:val="24"/>
          <w:highlight w:val="none"/>
        </w:rPr>
        <w:t>评审时，磋商小组各成员独立对每个有效响应的文件进行评价、打分，然后汇总每个供应商每项评分因素的得分。</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10</w:t>
      </w:r>
      <w:r>
        <w:rPr>
          <w:rFonts w:ascii="宋体" w:hAnsi="宋体" w:cs="宋体"/>
          <w:bCs/>
          <w:color w:val="auto"/>
          <w:sz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w:t>
      </w:r>
      <w:r>
        <w:rPr>
          <w:rFonts w:ascii="宋体" w:hAnsi="宋体" w:cs="宋体"/>
          <w:bCs/>
          <w:color w:val="auto"/>
          <w:sz w:val="24"/>
          <w:highlight w:val="none"/>
        </w:rPr>
        <w:t>.</w:t>
      </w:r>
      <w:r>
        <w:rPr>
          <w:rFonts w:hint="eastAsia" w:ascii="宋体" w:hAnsi="宋体" w:cs="宋体"/>
          <w:bCs/>
          <w:color w:val="auto"/>
          <w:sz w:val="24"/>
          <w:highlight w:val="none"/>
          <w:lang w:val="en-US" w:eastAsia="zh-CN"/>
        </w:rPr>
        <w:t>11</w:t>
      </w:r>
      <w:r>
        <w:rPr>
          <w:rFonts w:ascii="宋体" w:hAnsi="宋体" w:cs="宋体"/>
          <w:bCs/>
          <w:color w:val="auto"/>
          <w:sz w:val="24"/>
          <w:highlight w:val="none"/>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bCs/>
          <w:color w:val="auto"/>
          <w:sz w:val="24"/>
          <w:highlight w:val="none"/>
          <w:lang w:val="en-GB"/>
        </w:rPr>
        <w:t>20</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12</w:t>
      </w:r>
      <w:r>
        <w:rPr>
          <w:rFonts w:hint="eastAsia" w:ascii="宋体" w:hAnsi="宋体" w:cs="宋体"/>
          <w:color w:val="auto"/>
          <w:sz w:val="24"/>
          <w:highlight w:val="none"/>
          <w:lang w:val="en-GB"/>
        </w:rPr>
        <w:t>资格审查：</w:t>
      </w:r>
      <w:r>
        <w:rPr>
          <w:rFonts w:hint="eastAsia" w:ascii="宋体" w:hAnsi="宋体" w:cs="宋体"/>
          <w:color w:val="auto"/>
          <w:sz w:val="24"/>
          <w:highlight w:val="none"/>
        </w:rPr>
        <w:t>评审小组</w:t>
      </w:r>
      <w:r>
        <w:rPr>
          <w:rFonts w:hint="eastAsia" w:ascii="宋体" w:hAnsi="宋体" w:cs="宋体"/>
          <w:color w:val="auto"/>
          <w:sz w:val="24"/>
          <w:highlight w:val="none"/>
          <w:lang w:val="en-GB"/>
        </w:rPr>
        <w:t>根据国家相关法律法规和</w:t>
      </w:r>
      <w:r>
        <w:rPr>
          <w:rFonts w:hint="eastAsia" w:ascii="宋体" w:hAnsi="宋体" w:cs="宋体"/>
          <w:color w:val="auto"/>
          <w:sz w:val="24"/>
          <w:highlight w:val="none"/>
        </w:rPr>
        <w:t>磋商</w:t>
      </w:r>
      <w:r>
        <w:rPr>
          <w:rFonts w:hint="eastAsia" w:ascii="宋体" w:hAnsi="宋体" w:cs="宋体"/>
          <w:color w:val="auto"/>
          <w:sz w:val="24"/>
          <w:highlight w:val="none"/>
          <w:lang w:val="en-GB"/>
        </w:rPr>
        <w:t>文件的规定，对供应商的资格证明文件进行资格性和符合性审查，如供应商不具备磋商资格，</w:t>
      </w:r>
      <w:r>
        <w:rPr>
          <w:rFonts w:hint="eastAsia" w:ascii="宋体" w:hAnsi="宋体" w:cs="宋体"/>
          <w:color w:val="auto"/>
          <w:sz w:val="24"/>
          <w:highlight w:val="none"/>
        </w:rPr>
        <w:t>评审小组</w:t>
      </w:r>
      <w:r>
        <w:rPr>
          <w:rFonts w:hint="eastAsia" w:ascii="宋体" w:hAnsi="宋体" w:cs="宋体"/>
          <w:color w:val="auto"/>
          <w:sz w:val="24"/>
          <w:highlight w:val="none"/>
          <w:lang w:val="en-GB"/>
        </w:rPr>
        <w:t>可按投票方式决定是否作无效响应处理（详见</w:t>
      </w:r>
      <w:r>
        <w:rPr>
          <w:rFonts w:hint="eastAsia" w:ascii="宋体" w:hAnsi="宋体" w:cs="宋体"/>
          <w:color w:val="auto"/>
          <w:sz w:val="24"/>
          <w:highlight w:val="none"/>
        </w:rPr>
        <w:t>附表1</w:t>
      </w:r>
      <w:r>
        <w:rPr>
          <w:rFonts w:hint="eastAsia" w:ascii="宋体" w:hAnsi="宋体" w:cs="宋体"/>
          <w:color w:val="auto"/>
          <w:sz w:val="24"/>
          <w:highlight w:val="none"/>
          <w:lang w:val="en-GB"/>
        </w:rPr>
        <w:t>）。</w:t>
      </w:r>
    </w:p>
    <w:p>
      <w:pPr>
        <w:spacing w:before="156" w:beforeLines="50" w:after="156" w:afterLines="50" w:line="440" w:lineRule="exact"/>
        <w:rPr>
          <w:rFonts w:hint="eastAsia" w:ascii="宋体" w:hAnsi="宋体" w:cs="宋体"/>
          <w:color w:val="auto"/>
          <w:sz w:val="24"/>
          <w:highlight w:val="none"/>
          <w:lang w:val="en-GB"/>
        </w:rPr>
      </w:pPr>
      <w:r>
        <w:rPr>
          <w:rFonts w:hint="eastAsia" w:ascii="宋体" w:hAnsi="宋体" w:cs="宋体"/>
          <w:b/>
          <w:color w:val="auto"/>
          <w:sz w:val="24"/>
          <w:highlight w:val="none"/>
        </w:rPr>
        <w:br w:type="page"/>
      </w:r>
      <w:r>
        <w:rPr>
          <w:rFonts w:hint="eastAsia" w:ascii="宋体" w:hAnsi="宋体" w:cs="宋体"/>
          <w:b/>
          <w:color w:val="auto"/>
          <w:sz w:val="24"/>
          <w:highlight w:val="none"/>
        </w:rPr>
        <w:t>（附表1）</w:t>
      </w:r>
    </w:p>
    <w:p>
      <w:pPr>
        <w:spacing w:before="156" w:beforeLines="50" w:after="156" w:afterLines="50" w:line="440" w:lineRule="exact"/>
        <w:jc w:val="center"/>
        <w:rPr>
          <w:rFonts w:hint="eastAsia" w:ascii="宋体" w:hAnsi="宋体" w:cs="宋体"/>
          <w:b/>
          <w:bCs/>
          <w:color w:val="auto"/>
          <w:sz w:val="36"/>
          <w:szCs w:val="36"/>
          <w:highlight w:val="none"/>
          <w:lang w:val="en-GB"/>
        </w:rPr>
      </w:pPr>
      <w:r>
        <w:rPr>
          <w:rFonts w:hint="eastAsia" w:ascii="宋体" w:hAnsi="宋体" w:cs="宋体"/>
          <w:b/>
          <w:bCs/>
          <w:color w:val="auto"/>
          <w:sz w:val="36"/>
          <w:szCs w:val="36"/>
          <w:highlight w:val="none"/>
          <w:lang w:val="en-GB"/>
        </w:rPr>
        <w:t>资格审查表</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HNTS-2023-056</w:t>
      </w:r>
      <w:r>
        <w:rPr>
          <w:rFonts w:hint="eastAsia" w:ascii="宋体" w:hAnsi="宋体" w:cs="宋体"/>
          <w:b/>
          <w:color w:val="auto"/>
          <w:sz w:val="24"/>
          <w:highlight w:val="none"/>
          <w:lang w:val="en-US" w:eastAsia="zh-CN"/>
        </w:rPr>
        <w:t xml:space="preserve">                          </w:t>
      </w:r>
      <w:r>
        <w:rPr>
          <w:rFonts w:hint="eastAsia" w:ascii="宋体" w:hAnsi="宋体" w:cs="宋体"/>
          <w:b/>
          <w:color w:val="auto"/>
          <w:sz w:val="24"/>
          <w:highlight w:val="none"/>
          <w:lang w:eastAsia="zh-CN"/>
        </w:rPr>
        <w:t>包号：A</w:t>
      </w:r>
      <w:r>
        <w:rPr>
          <w:rFonts w:hint="eastAsia" w:ascii="宋体" w:hAnsi="宋体" w:cs="宋体"/>
          <w:b/>
          <w:color w:val="auto"/>
          <w:sz w:val="24"/>
          <w:highlight w:val="none"/>
          <w:lang w:val="en-US" w:eastAsia="zh-CN"/>
        </w:rPr>
        <w:t>包</w:t>
      </w:r>
      <w:r>
        <w:rPr>
          <w:rFonts w:hint="eastAsia" w:ascii="宋体" w:hAnsi="宋体" w:cs="宋体"/>
          <w:b/>
          <w:color w:val="auto"/>
          <w:sz w:val="24"/>
          <w:highlight w:val="none"/>
          <w:lang w:eastAsia="zh-CN"/>
        </w:rPr>
        <w:t>/B包</w:t>
      </w:r>
    </w:p>
    <w:p>
      <w:pPr>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项目名称：</w:t>
      </w:r>
      <w:r>
        <w:rPr>
          <w:rFonts w:hint="eastAsia" w:ascii="宋体" w:hAnsi="宋体" w:cs="宋体"/>
          <w:b/>
          <w:color w:val="auto"/>
          <w:sz w:val="24"/>
          <w:highlight w:val="none"/>
          <w:lang w:eastAsia="zh-CN"/>
        </w:rPr>
        <w:t>2023年万宁市建成区及兴隆区、和乐镇病媒生物防制服务项目</w:t>
      </w:r>
      <w:r>
        <w:rPr>
          <w:rFonts w:hint="eastAsia" w:ascii="宋体" w:hAnsi="宋体" w:cs="宋体"/>
          <w:b/>
          <w:color w:val="auto"/>
          <w:sz w:val="24"/>
          <w:highlight w:val="none"/>
        </w:rPr>
        <w:t xml:space="preserve">                             </w:t>
      </w:r>
    </w:p>
    <w:tbl>
      <w:tblPr>
        <w:tblStyle w:val="24"/>
        <w:tblW w:w="0" w:type="auto"/>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842"/>
        <w:gridCol w:w="344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序号</w:t>
            </w:r>
          </w:p>
        </w:tc>
        <w:tc>
          <w:tcPr>
            <w:tcW w:w="184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审查项目</w:t>
            </w:r>
          </w:p>
        </w:tc>
        <w:tc>
          <w:tcPr>
            <w:tcW w:w="344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供应商1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供应商2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4" w:beforeLines="30" w:after="94"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1</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供应商的资格</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是否符合供应商资格要求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2</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响应文件的有效性、完整性</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是否符合磋商文件的样式和签署要求且内容完整无缺漏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3</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报价项目完整性</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4</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投标有效期</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5</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合同履行期限</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6</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响应文件数量</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是否满足磋商文件要求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jc w:val="center"/>
              <w:rPr>
                <w:rFonts w:hint="eastAsia" w:ascii="宋体" w:hAnsi="宋体"/>
                <w:b/>
                <w:bCs/>
                <w:color w:val="auto"/>
                <w:sz w:val="24"/>
                <w:highlight w:val="none"/>
              </w:rPr>
            </w:pPr>
            <w:r>
              <w:rPr>
                <w:rFonts w:hint="eastAsia" w:ascii="宋体" w:hAnsi="宋体"/>
                <w:b/>
                <w:bCs/>
                <w:color w:val="auto"/>
                <w:sz w:val="24"/>
                <w:highlight w:val="none"/>
              </w:rPr>
              <w:t>7</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保证金</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是否按照文件要求缴纳保证金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b/>
                <w:bCs/>
                <w:color w:val="auto"/>
                <w:sz w:val="24"/>
                <w:highlight w:val="none"/>
              </w:rPr>
            </w:pPr>
            <w:r>
              <w:rPr>
                <w:rFonts w:hint="eastAsia" w:ascii="宋体" w:hAnsi="宋体"/>
                <w:b/>
                <w:bCs/>
                <w:color w:val="auto"/>
                <w:sz w:val="24"/>
                <w:highlight w:val="none"/>
              </w:rPr>
              <w:t>8</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其它</w:t>
            </w:r>
          </w:p>
        </w:tc>
        <w:tc>
          <w:tcPr>
            <w:tcW w:w="3442" w:type="dxa"/>
            <w:tcBorders>
              <w:top w:val="single" w:color="auto" w:sz="4" w:space="0"/>
              <w:left w:val="single" w:color="auto" w:sz="4" w:space="0"/>
              <w:bottom w:val="single" w:color="auto" w:sz="4" w:space="0"/>
              <w:right w:val="single" w:color="auto" w:sz="4" w:space="0"/>
            </w:tcBorders>
            <w:vAlign w:val="center"/>
          </w:tcPr>
          <w:p>
            <w:pPr>
              <w:widowControl/>
              <w:spacing w:before="94" w:beforeLines="30" w:after="94" w:afterLines="30" w:line="440" w:lineRule="exact"/>
              <w:rPr>
                <w:rFonts w:hint="eastAsia" w:ascii="宋体" w:hAnsi="宋体"/>
                <w:color w:val="auto"/>
                <w:sz w:val="24"/>
                <w:highlight w:val="none"/>
              </w:rPr>
            </w:pPr>
            <w:r>
              <w:rPr>
                <w:rFonts w:hint="eastAsia" w:ascii="宋体" w:hAnsi="宋体"/>
                <w:color w:val="auto"/>
                <w:sz w:val="24"/>
                <w:highlight w:val="none"/>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color w:val="auto"/>
                <w:sz w:val="24"/>
                <w:highlight w:val="none"/>
              </w:rPr>
            </w:pPr>
            <w:r>
              <w:rPr>
                <w:rFonts w:hint="eastAsia" w:ascii="宋体" w:hAnsi="宋体"/>
                <w:b/>
                <w:bCs/>
                <w:color w:val="auto"/>
                <w:sz w:val="24"/>
                <w:highlight w:val="none"/>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r>
              <w:rPr>
                <w:rFonts w:hint="eastAsia" w:ascii="宋体" w:hAnsi="宋体"/>
                <w:color w:val="auto"/>
                <w:sz w:val="24"/>
                <w:highlight w:val="none"/>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r>
              <w:rPr>
                <w:rFonts w:hint="eastAsia" w:ascii="宋体" w:hAnsi="宋体"/>
                <w:color w:val="auto"/>
                <w:sz w:val="24"/>
                <w:highlight w:val="none"/>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highlight w:val="none"/>
              </w:rPr>
            </w:pPr>
            <w:r>
              <w:rPr>
                <w:rFonts w:hint="eastAsia" w:ascii="宋体" w:hAnsi="宋体"/>
                <w:color w:val="auto"/>
                <w:sz w:val="24"/>
                <w:highlight w:val="none"/>
              </w:rPr>
              <w:t> </w:t>
            </w:r>
          </w:p>
        </w:tc>
      </w:tr>
    </w:tbl>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b/>
          <w:bCs/>
          <w:color w:val="auto"/>
          <w:sz w:val="28"/>
          <w:szCs w:val="28"/>
          <w:highlight w:val="none"/>
          <w:lang w:val="en-US" w:eastAsia="zh-CN"/>
        </w:rPr>
        <w:t>磋商</w:t>
      </w:r>
      <w:r>
        <w:rPr>
          <w:rFonts w:hint="eastAsia" w:ascii="宋体" w:hAnsi="宋体" w:cs="宋体"/>
          <w:b/>
          <w:bCs/>
          <w:color w:val="auto"/>
          <w:sz w:val="28"/>
          <w:szCs w:val="28"/>
          <w:highlight w:val="none"/>
        </w:rPr>
        <w:t>小组签字：</w:t>
      </w:r>
    </w:p>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1、表中只需填写“√”通过或“×”不通过；</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3、结论是合格的，才能进入下一轮，不合格的被淘汰。</w:t>
      </w:r>
    </w:p>
    <w:p>
      <w:pPr>
        <w:spacing w:line="440" w:lineRule="exact"/>
        <w:ind w:firstLine="480" w:firstLineChars="200"/>
        <w:rPr>
          <w:rFonts w:hint="eastAsia" w:ascii="宋体" w:hAnsi="宋体" w:cs="宋体"/>
          <w:bCs/>
          <w:color w:val="auto"/>
          <w:sz w:val="24"/>
          <w:highlight w:val="none"/>
        </w:rPr>
      </w:pPr>
    </w:p>
    <w:p>
      <w:pPr>
        <w:pStyle w:val="2"/>
        <w:rPr>
          <w:rFonts w:hint="eastAsia"/>
        </w:rPr>
      </w:pP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.1 磋商小组根据《资格审查表》对响应文件的资格性和符合性进行审查，只有对《资格审查表》所列各项作出实质性响应的响应文件才能通过初步评审。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（1）供应商未能满足供应商资格要求的；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（2）供应商未提交法人授权委托书的； </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（3）供应商未按磋商文件要求的金额提交磋商保证金的；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）响应文件未按磋商文件规定要求填写响应内容及签名盖章的；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）报价不是固定价或者报价不是唯一的；</w:t>
      </w:r>
    </w:p>
    <w:p>
      <w:pPr>
        <w:adjustRightInd w:val="0"/>
        <w:snapToGrid w:val="0"/>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）不符合磋商文件规定的其它条件。</w:t>
      </w:r>
    </w:p>
    <w:p>
      <w:pPr>
        <w:adjustRightInd w:val="0"/>
        <w:snapToGrid w:val="0"/>
        <w:spacing w:line="440" w:lineRule="exact"/>
        <w:ind w:firstLine="480" w:firstLineChars="200"/>
        <w:rPr>
          <w:rFonts w:hint="eastAsia" w:ascii="宋体" w:hAnsi="宋体" w:cs="宋体"/>
          <w:color w:val="auto"/>
          <w:sz w:val="24"/>
          <w:highlight w:val="none"/>
        </w:rPr>
      </w:pPr>
      <w:r>
        <w:rPr>
          <w:rFonts w:hint="eastAsia" w:ascii="宋体" w:hAnsi="宋体"/>
          <w:color w:val="auto"/>
          <w:sz w:val="24"/>
          <w:highlight w:val="none"/>
        </w:rPr>
        <w:t>20.</w:t>
      </w:r>
      <w:r>
        <w:rPr>
          <w:rFonts w:hint="eastAsia" w:ascii="宋体" w:hAnsi="宋体"/>
          <w:color w:val="auto"/>
          <w:sz w:val="24"/>
          <w:highlight w:val="none"/>
          <w:lang w:val="en-US" w:eastAsia="zh-CN"/>
        </w:rPr>
        <w:t>12</w:t>
      </w:r>
      <w:r>
        <w:rPr>
          <w:rFonts w:hint="eastAsia" w:ascii="宋体" w:hAnsi="宋体"/>
          <w:color w:val="auto"/>
          <w:sz w:val="24"/>
          <w:highlight w:val="none"/>
        </w:rPr>
        <w:t>.2提供相同品牌产品且通过资格审查、符合性审查的不同供应商参加同一合同项下报价的，按一家供应商计算；</w:t>
      </w:r>
      <w:r>
        <w:rPr>
          <w:rFonts w:hint="eastAsia" w:ascii="宋体" w:hAnsi="宋体" w:cs="宋体"/>
          <w:color w:val="auto"/>
          <w:sz w:val="24"/>
          <w:highlight w:val="none"/>
        </w:rPr>
        <w:t>非单一产品采购项目，根据采购项目技术构成、产品价格比重等合理确定核心产品，并在磋商文件中载明。多家供应商提供的核心产品品牌相同的，按前上述规定处理。</w:t>
      </w:r>
    </w:p>
    <w:p>
      <w:pPr>
        <w:spacing w:line="440" w:lineRule="exact"/>
        <w:ind w:firstLine="480" w:firstLineChars="200"/>
        <w:rPr>
          <w:rFonts w:ascii="宋体" w:hAnsi="宋体" w:cs="宋体"/>
          <w:bCs/>
          <w:color w:val="auto"/>
          <w:sz w:val="24"/>
          <w:highlight w:val="none"/>
        </w:rPr>
      </w:pPr>
      <w:r>
        <w:rPr>
          <w:rFonts w:hint="eastAsia" w:ascii="宋体" w:hAnsi="宋体"/>
          <w:color w:val="auto"/>
          <w:sz w:val="24"/>
          <w:highlight w:val="none"/>
        </w:rPr>
        <w:t>20.</w:t>
      </w:r>
      <w:r>
        <w:rPr>
          <w:rFonts w:hint="eastAsia" w:ascii="宋体" w:hAnsi="宋体"/>
          <w:color w:val="auto"/>
          <w:sz w:val="24"/>
          <w:highlight w:val="none"/>
          <w:lang w:val="en-US" w:eastAsia="zh-CN"/>
        </w:rPr>
        <w:t>12</w:t>
      </w:r>
      <w:r>
        <w:rPr>
          <w:rFonts w:hint="eastAsia" w:ascii="宋体" w:hAnsi="宋体"/>
          <w:color w:val="auto"/>
          <w:sz w:val="24"/>
          <w:highlight w:val="none"/>
        </w:rPr>
        <w:t>.3 磋商小组在初审中</w:t>
      </w:r>
      <w:r>
        <w:rPr>
          <w:rFonts w:hint="eastAsia" w:ascii="宋体" w:hAnsi="宋体" w:cs="宋体"/>
          <w:bCs/>
          <w:color w:val="auto"/>
          <w:sz w:val="24"/>
          <w:highlight w:val="none"/>
        </w:rPr>
        <w:t>响应文件报价出现前后不一致的，除磋商文件另有规定外，按照下列规定修正：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（1）响应文件中报价一览表内容与响应文件中相应内容不一致的，以报价一览表（为准；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（3）单价金额小数点或者百分比有明显错位的，以报价一览表的总价为准，并修改单价；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（5）若供应商不同意以上修正，其响应文件将视为无效。</w:t>
      </w:r>
    </w:p>
    <w:p>
      <w:pPr>
        <w:spacing w:line="44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20.</w:t>
      </w:r>
      <w:r>
        <w:rPr>
          <w:rFonts w:hint="eastAsia" w:ascii="宋体" w:hAnsi="宋体" w:cs="宋体"/>
          <w:bCs/>
          <w:color w:val="auto"/>
          <w:sz w:val="24"/>
          <w:highlight w:val="none"/>
          <w:lang w:val="en-US" w:eastAsia="zh-CN"/>
        </w:rPr>
        <w:t>13</w:t>
      </w:r>
      <w:r>
        <w:rPr>
          <w:rFonts w:hint="eastAsia" w:ascii="宋体" w:hAnsi="宋体" w:cs="宋体"/>
          <w:color w:val="auto"/>
          <w:sz w:val="24"/>
          <w:highlight w:val="none"/>
        </w:rPr>
        <w:t>避免出现供应商为达到成交目的而刻意削价竞争，可能影响服务质量或者不能诚信履约。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磋商小组成员对需要共同认定的事项存在争议的，应当按照少数服从多数的原则作出结论。持不同意见的磋商小组成员应当在评审报告上签署不同意见及理由，否则视为同意评审报告。</w:t>
      </w:r>
    </w:p>
    <w:p>
      <w:pPr>
        <w:spacing w:line="440" w:lineRule="exact"/>
        <w:ind w:firstLine="480" w:firstLineChars="200"/>
        <w:rPr>
          <w:rFonts w:hint="eastAsia" w:ascii="宋体" w:hAnsi="宋体" w:cs="宋体"/>
          <w:color w:val="auto"/>
          <w:sz w:val="24"/>
          <w:highlight w:val="none"/>
        </w:rPr>
      </w:pPr>
      <w:r>
        <w:rPr>
          <w:rFonts w:hint="eastAsia" w:ascii="宋体" w:hAnsi="宋体" w:cs="宋体"/>
          <w:bCs/>
          <w:color w:val="auto"/>
          <w:sz w:val="24"/>
          <w:highlight w:val="none"/>
        </w:rPr>
        <w:t>20</w:t>
      </w:r>
      <w:r>
        <w:rPr>
          <w:rFonts w:ascii="宋体" w:hAnsi="宋体" w:cs="宋体"/>
          <w:bCs/>
          <w:color w:val="auto"/>
          <w:sz w:val="24"/>
          <w:highlight w:val="none"/>
        </w:rPr>
        <w:t>.</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5</w:t>
      </w:r>
      <w:r>
        <w:rPr>
          <w:rFonts w:hint="eastAsia" w:ascii="宋体" w:hAnsi="宋体" w:cs="宋体"/>
          <w:bCs/>
          <w:color w:val="auto"/>
          <w:sz w:val="24"/>
          <w:highlight w:val="none"/>
        </w:rPr>
        <w:t>磋商小组对响应文件进行审核后，与各家供应商进行单独磋商。</w:t>
      </w:r>
      <w:r>
        <w:rPr>
          <w:rFonts w:ascii="宋体" w:hAnsi="宋体" w:cs="宋体"/>
          <w:bCs/>
          <w:color w:val="auto"/>
          <w:sz w:val="24"/>
          <w:highlight w:val="none"/>
        </w:rPr>
        <w:t>经磋商</w:t>
      </w:r>
      <w:r>
        <w:rPr>
          <w:rFonts w:hint="eastAsia" w:ascii="宋体" w:hAnsi="宋体" w:cs="宋体"/>
          <w:bCs/>
          <w:color w:val="auto"/>
          <w:sz w:val="24"/>
          <w:highlight w:val="none"/>
        </w:rPr>
        <w:t>后</w:t>
      </w:r>
      <w:r>
        <w:rPr>
          <w:rFonts w:ascii="宋体" w:hAnsi="宋体" w:cs="宋体"/>
          <w:bCs/>
          <w:color w:val="auto"/>
          <w:sz w:val="24"/>
          <w:highlight w:val="none"/>
        </w:rPr>
        <w:t>确定最终采购需求</w:t>
      </w:r>
      <w:r>
        <w:rPr>
          <w:rFonts w:hint="eastAsia" w:ascii="宋体" w:hAnsi="宋体" w:cs="宋体"/>
          <w:bCs/>
          <w:color w:val="auto"/>
          <w:sz w:val="24"/>
          <w:highlight w:val="none"/>
        </w:rPr>
        <w:t>，</w:t>
      </w:r>
      <w:r>
        <w:rPr>
          <w:rFonts w:ascii="宋体" w:hAnsi="宋体" w:cs="宋体"/>
          <w:bCs/>
          <w:color w:val="auto"/>
          <w:sz w:val="24"/>
          <w:highlight w:val="none"/>
        </w:rPr>
        <w:t>供应商</w:t>
      </w:r>
      <w:r>
        <w:rPr>
          <w:rFonts w:hint="eastAsia" w:ascii="宋体" w:hAnsi="宋体" w:cs="宋体"/>
          <w:bCs/>
          <w:color w:val="auto"/>
          <w:sz w:val="24"/>
          <w:highlight w:val="none"/>
        </w:rPr>
        <w:t>可选择是否提交最终报价</w:t>
      </w:r>
      <w:r>
        <w:rPr>
          <w:rFonts w:ascii="宋体" w:hAnsi="宋体" w:cs="宋体"/>
          <w:bCs/>
          <w:color w:val="auto"/>
          <w:sz w:val="24"/>
          <w:highlight w:val="none"/>
        </w:rPr>
        <w:t>，</w:t>
      </w:r>
      <w:r>
        <w:rPr>
          <w:rFonts w:hint="eastAsia" w:ascii="宋体" w:hAnsi="宋体" w:cs="宋体"/>
          <w:bCs/>
          <w:color w:val="auto"/>
          <w:sz w:val="24"/>
          <w:highlight w:val="none"/>
        </w:rPr>
        <w:t>不提交最终报价视为放弃本次磋商。</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lang w:val="en-GB"/>
        </w:rPr>
        <w:t>量化评审</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.1 磋商小组根据评审办法对通过初步评审的响应文件进行详细评审，并进行技术和商务的评审打分。</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.2 技术、商务评分：具体评审的内容详见（附表2）。</w:t>
      </w:r>
    </w:p>
    <w:p>
      <w:pPr>
        <w:spacing w:line="440" w:lineRule="exact"/>
        <w:ind w:firstLine="480" w:firstLineChars="200"/>
        <w:rPr>
          <w:rFonts w:hint="eastAsia" w:ascii="宋体" w:hAnsi="宋体" w:cs="宋体"/>
          <w:bCs/>
          <w:color w:val="auto"/>
          <w:sz w:val="24"/>
          <w:highlight w:val="none"/>
        </w:rPr>
      </w:pPr>
      <w:r>
        <w:rPr>
          <w:rFonts w:hint="eastAsia" w:ascii="宋体" w:hAnsi="宋体"/>
          <w:color w:val="auto"/>
          <w:sz w:val="24"/>
          <w:highlight w:val="none"/>
        </w:rPr>
        <w:t>20</w:t>
      </w:r>
      <w:r>
        <w:rPr>
          <w:rFonts w:hint="eastAsia" w:ascii="宋体" w:hAnsi="宋体" w:cs="宋体"/>
          <w:bCs/>
          <w:color w:val="auto"/>
          <w:sz w:val="24"/>
          <w:highlight w:val="none"/>
        </w:rPr>
        <w:t>.1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w:t>
      </w:r>
      <w:r>
        <w:rPr>
          <w:rFonts w:ascii="宋体" w:hAnsi="宋体" w:cs="宋体"/>
          <w:bCs/>
          <w:color w:val="auto"/>
          <w:sz w:val="24"/>
          <w:highlight w:val="none"/>
        </w:rPr>
        <w:t>3</w:t>
      </w:r>
      <w:r>
        <w:rPr>
          <w:rFonts w:hint="eastAsia" w:ascii="宋体" w:hAnsi="宋体" w:cs="宋体"/>
          <w:bCs/>
          <w:color w:val="auto"/>
          <w:sz w:val="24"/>
          <w:highlight w:val="none"/>
        </w:rPr>
        <w:t xml:space="preserve"> 价格分统一采用低价优先法计算，将通过初步评审的所有供应商的报价，即满足磋商文件要求且价格最低的报价为磋商基准价，</w:t>
      </w:r>
      <w:r>
        <w:rPr>
          <w:rFonts w:hint="eastAsia" w:ascii="宋体" w:hAnsi="宋体" w:cs="宋体"/>
          <w:bCs/>
          <w:color w:val="auto"/>
          <w:sz w:val="24"/>
          <w:highlight w:val="none"/>
          <w:lang w:val="en-GB"/>
        </w:rPr>
        <w:t>其价格分为满分（</w:t>
      </w:r>
      <w:r>
        <w:rPr>
          <w:rFonts w:hint="eastAsia" w:ascii="宋体" w:hAnsi="宋体" w:cs="宋体"/>
          <w:bCs/>
          <w:color w:val="auto"/>
          <w:sz w:val="24"/>
          <w:highlight w:val="none"/>
          <w:lang w:val="en-US" w:eastAsia="zh-CN"/>
        </w:rPr>
        <w:t>10</w:t>
      </w:r>
      <w:r>
        <w:rPr>
          <w:rFonts w:hint="eastAsia" w:ascii="宋体" w:hAnsi="宋体" w:cs="宋体"/>
          <w:bCs/>
          <w:color w:val="auto"/>
          <w:sz w:val="24"/>
          <w:highlight w:val="none"/>
          <w:lang w:val="en-GB"/>
        </w:rPr>
        <w:t>分）</w:t>
      </w:r>
      <w:r>
        <w:rPr>
          <w:rFonts w:hint="eastAsia" w:ascii="宋体" w:hAnsi="宋体" w:cs="宋体"/>
          <w:bCs/>
          <w:color w:val="auto"/>
          <w:sz w:val="24"/>
          <w:highlight w:val="none"/>
        </w:rPr>
        <w:t>。其他供应商的价格分统一按照下列公式计算：</w:t>
      </w:r>
    </w:p>
    <w:p>
      <w:pPr>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价格分=（基准价／报价）×价格权值×100</w:t>
      </w:r>
    </w:p>
    <w:p>
      <w:pPr>
        <w:spacing w:after="156" w:afterLines="50"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20.1</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w:t>
      </w:r>
      <w:r>
        <w:rPr>
          <w:rFonts w:ascii="宋体" w:hAnsi="宋体" w:cs="宋体"/>
          <w:bCs/>
          <w:color w:val="auto"/>
          <w:sz w:val="24"/>
          <w:highlight w:val="none"/>
        </w:rPr>
        <w:t>4</w:t>
      </w:r>
      <w:r>
        <w:rPr>
          <w:rFonts w:hint="eastAsia" w:ascii="宋体" w:hAnsi="宋体" w:cs="宋体"/>
          <w:bCs/>
          <w:color w:val="auto"/>
          <w:sz w:val="24"/>
          <w:highlight w:val="none"/>
        </w:rPr>
        <w:t xml:space="preserve"> 技术、商务及价格权重分配</w:t>
      </w:r>
    </w:p>
    <w:tbl>
      <w:tblPr>
        <w:tblStyle w:val="24"/>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451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shd w:val="clear" w:color="auto" w:fill="D9D9D9"/>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评分项目</w:t>
            </w:r>
          </w:p>
        </w:tc>
        <w:tc>
          <w:tcPr>
            <w:tcW w:w="4510" w:type="dxa"/>
            <w:shd w:val="clear" w:color="auto" w:fill="D9D9D9"/>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技术、商务项</w:t>
            </w:r>
          </w:p>
        </w:tc>
        <w:tc>
          <w:tcPr>
            <w:tcW w:w="2220" w:type="dxa"/>
            <w:shd w:val="clear" w:color="auto" w:fill="D9D9D9"/>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vAlign w:val="center"/>
          </w:tcPr>
          <w:p>
            <w:pPr>
              <w:spacing w:before="94" w:beforeLines="30" w:after="94" w:afterLines="30" w:line="440" w:lineRule="exact"/>
              <w:jc w:val="center"/>
              <w:rPr>
                <w:rFonts w:hint="eastAsia" w:ascii="宋体" w:hAnsi="宋体" w:cs="宋体"/>
                <w:color w:val="auto"/>
                <w:sz w:val="24"/>
                <w:highlight w:val="none"/>
                <w:lang w:val="en-GB"/>
              </w:rPr>
            </w:pPr>
            <w:r>
              <w:rPr>
                <w:rFonts w:hint="eastAsia" w:ascii="宋体" w:hAnsi="宋体" w:cs="宋体"/>
                <w:b/>
                <w:bCs/>
                <w:color w:val="auto"/>
                <w:sz w:val="24"/>
                <w:highlight w:val="none"/>
                <w:lang w:val="en-GB"/>
              </w:rPr>
              <w:t>权重</w:t>
            </w:r>
          </w:p>
        </w:tc>
        <w:tc>
          <w:tcPr>
            <w:tcW w:w="4510" w:type="dxa"/>
            <w:vAlign w:val="center"/>
          </w:tcPr>
          <w:p>
            <w:pPr>
              <w:spacing w:before="94" w:beforeLines="30" w:after="94" w:afterLines="30" w:line="440" w:lineRule="exact"/>
              <w:jc w:val="center"/>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90</w:t>
            </w:r>
            <w:r>
              <w:rPr>
                <w:rFonts w:hint="eastAsia" w:ascii="宋体" w:hAnsi="宋体" w:cs="宋体"/>
                <w:color w:val="auto"/>
                <w:sz w:val="24"/>
                <w:highlight w:val="none"/>
              </w:rPr>
              <w:t>%</w:t>
            </w:r>
          </w:p>
        </w:tc>
        <w:tc>
          <w:tcPr>
            <w:tcW w:w="2220" w:type="dxa"/>
            <w:vAlign w:val="center"/>
          </w:tcPr>
          <w:p>
            <w:pPr>
              <w:spacing w:before="94" w:beforeLines="30" w:after="94" w:afterLines="30" w:line="440" w:lineRule="exact"/>
              <w:jc w:val="center"/>
              <w:rPr>
                <w:rFonts w:hint="eastAsia" w:ascii="宋体" w:hAnsi="宋体" w:cs="宋体"/>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0</w:t>
            </w:r>
            <w:r>
              <w:rPr>
                <w:rFonts w:hint="eastAsia" w:ascii="宋体" w:hAnsi="宋体" w:cs="宋体"/>
                <w:color w:val="auto"/>
                <w:sz w:val="24"/>
                <w:highlight w:val="none"/>
                <w:lang w:val="en-GB"/>
              </w:rPr>
              <w:t>%</w:t>
            </w:r>
          </w:p>
        </w:tc>
      </w:tr>
    </w:tbl>
    <w:p>
      <w:pPr>
        <w:spacing w:before="156" w:before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提交最终报价后，</w:t>
      </w:r>
      <w:r>
        <w:rPr>
          <w:rFonts w:ascii="宋体" w:hAnsi="宋体" w:cs="宋体"/>
          <w:color w:val="auto"/>
          <w:sz w:val="24"/>
          <w:highlight w:val="none"/>
        </w:rPr>
        <w:t>由磋商小组采用综合评分法对提交最后报价的供应商的响应文件和最后报价进行综合评分。磋商小组根据综合评分情况，按照评审得分由高到低顺序推荐</w:t>
      </w:r>
      <w:r>
        <w:rPr>
          <w:rFonts w:hint="eastAsia" w:ascii="宋体" w:hAnsi="宋体" w:cs="宋体"/>
          <w:color w:val="auto"/>
          <w:sz w:val="24"/>
          <w:highlight w:val="none"/>
        </w:rPr>
        <w:t>2名以上</w:t>
      </w:r>
      <w:r>
        <w:rPr>
          <w:rFonts w:ascii="宋体" w:hAnsi="宋体" w:cs="宋体"/>
          <w:color w:val="auto"/>
          <w:sz w:val="24"/>
          <w:highlight w:val="none"/>
        </w:rPr>
        <w:t>成交候选供应商，并编写评审报告。评审得分相同的，按照最后报价由低到高的顺序推荐。评审得分且最后报价相同的，按照</w:t>
      </w:r>
      <w:r>
        <w:rPr>
          <w:rFonts w:hint="eastAsia" w:ascii="宋体" w:hAnsi="宋体" w:cs="宋体"/>
          <w:color w:val="auto"/>
          <w:sz w:val="24"/>
          <w:highlight w:val="none"/>
        </w:rPr>
        <w:t>技术</w:t>
      </w:r>
      <w:r>
        <w:rPr>
          <w:rFonts w:ascii="宋体" w:hAnsi="宋体" w:cs="宋体"/>
          <w:color w:val="auto"/>
          <w:sz w:val="24"/>
          <w:highlight w:val="none"/>
        </w:rPr>
        <w:t>指标优劣顺序推荐。</w:t>
      </w:r>
    </w:p>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技术项得分=（∑各评委所审技术参数得分）/（评委人数）；</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商务项得分=（∑各评委所审商务参数得分）/（评委人数）；</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价格项得分</w:t>
      </w:r>
      <w:r>
        <w:rPr>
          <w:rFonts w:hint="eastAsia" w:ascii="宋体" w:hAnsi="宋体" w:cs="宋体"/>
          <w:color w:val="auto"/>
          <w:sz w:val="24"/>
          <w:highlight w:val="none"/>
        </w:rPr>
        <w:t>=（基准价／报价）×价格权值×100</w:t>
      </w:r>
      <w:r>
        <w:rPr>
          <w:rFonts w:hint="eastAsia" w:ascii="宋体" w:hAnsi="宋体" w:cs="宋体"/>
          <w:color w:val="auto"/>
          <w:sz w:val="24"/>
          <w:highlight w:val="none"/>
          <w:lang w:val="en-GB"/>
        </w:rPr>
        <w:t>；</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供应商综合得分=技术项得分+商务项得分+价格项得分（保留二位小数）。</w:t>
      </w:r>
    </w:p>
    <w:p>
      <w:pPr>
        <w:spacing w:before="156" w:beforeLines="50" w:after="156" w:afterLines="50" w:line="440" w:lineRule="exact"/>
        <w:rPr>
          <w:rFonts w:hint="eastAsia" w:ascii="宋体" w:hAnsi="宋体" w:cs="宋体"/>
          <w:b/>
          <w:bCs/>
          <w:color w:val="auto"/>
          <w:sz w:val="24"/>
          <w:highlight w:val="none"/>
        </w:rPr>
      </w:pPr>
      <w:r>
        <w:rPr>
          <w:rFonts w:hint="eastAsia" w:ascii="宋体" w:hAnsi="宋体" w:cs="宋体"/>
          <w:color w:val="auto"/>
          <w:sz w:val="24"/>
          <w:highlight w:val="none"/>
        </w:rPr>
        <w:br w:type="page"/>
      </w:r>
      <w:r>
        <w:rPr>
          <w:rFonts w:hint="eastAsia" w:ascii="宋体" w:hAnsi="宋体" w:cs="宋体"/>
          <w:b/>
          <w:color w:val="auto"/>
          <w:sz w:val="24"/>
          <w:highlight w:val="none"/>
        </w:rPr>
        <w:t>(附表2)</w:t>
      </w: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rPr>
        <w:t>评分细则表</w:t>
      </w:r>
    </w:p>
    <w:tbl>
      <w:tblPr>
        <w:tblStyle w:val="24"/>
        <w:tblW w:w="47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11"/>
        <w:gridCol w:w="6752"/>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0" w:type="pct"/>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b/>
              </w:rPr>
            </w:pPr>
            <w:r>
              <w:rPr>
                <w:rFonts w:hint="eastAsia"/>
                <w:b/>
              </w:rPr>
              <w:t>一、商务评分标准（共</w:t>
            </w:r>
            <w:r>
              <w:rPr>
                <w:rFonts w:hint="eastAsia"/>
                <w:b/>
                <w:lang w:val="en-US" w:eastAsia="zh-CN"/>
              </w:rPr>
              <w:t>20</w:t>
            </w:r>
            <w:r>
              <w:rPr>
                <w:rFonts w:hint="eastAsia"/>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b/>
              </w:rPr>
            </w:pPr>
            <w:r>
              <w:rPr>
                <w:rFonts w:hint="eastAsia" w:ascii="宋体" w:hAnsi="宋体" w:cs="Arial"/>
                <w:b/>
                <w:bCs/>
                <w:kern w:val="0"/>
                <w:szCs w:val="21"/>
              </w:rPr>
              <w:t>序号</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b/>
              </w:rPr>
            </w:pPr>
            <w:r>
              <w:rPr>
                <w:rFonts w:hint="eastAsia" w:ascii="宋体" w:hAnsi="宋体" w:cs="Arial"/>
                <w:b/>
                <w:bCs/>
                <w:kern w:val="0"/>
                <w:szCs w:val="21"/>
              </w:rPr>
              <w:t>评分项</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b/>
              </w:rPr>
            </w:pPr>
            <w:r>
              <w:rPr>
                <w:rFonts w:hint="eastAsia" w:ascii="宋体" w:hAnsi="宋体" w:cs="Arial"/>
                <w:b/>
                <w:bCs/>
                <w:kern w:val="0"/>
                <w:szCs w:val="21"/>
              </w:rPr>
              <w:t>评分内容</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eastAsia="宋体"/>
                <w:b/>
                <w:lang w:eastAsia="zh-CN"/>
              </w:rPr>
            </w:pPr>
            <w:r>
              <w:rPr>
                <w:rFonts w:hint="eastAsia" w:ascii="宋体" w:hAnsi="宋体" w:cs="Arial"/>
                <w:b/>
                <w:bCs/>
                <w:kern w:val="0"/>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p>
          <w:p>
            <w:pPr>
              <w:spacing w:line="440" w:lineRule="exact"/>
              <w:jc w:val="center"/>
              <w:rPr>
                <w:rFonts w:hint="eastAsia" w:ascii="宋体" w:hAnsi="宋体" w:cs="宋体"/>
                <w:bCs/>
                <w:kern w:val="0"/>
                <w:szCs w:val="21"/>
              </w:rPr>
            </w:pP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rPr>
            </w:pPr>
            <w:r>
              <w:rPr>
                <w:rFonts w:hint="eastAsia" w:ascii="宋体" w:hAnsi="宋体" w:cs="宋体"/>
              </w:rPr>
              <w:t>企业</w:t>
            </w:r>
          </w:p>
          <w:p>
            <w:pPr>
              <w:spacing w:line="440" w:lineRule="exact"/>
              <w:jc w:val="center"/>
              <w:rPr>
                <w:rFonts w:hint="eastAsia" w:ascii="宋体" w:hAnsi="宋体" w:cs="宋体"/>
              </w:rPr>
            </w:pPr>
            <w:r>
              <w:rPr>
                <w:rFonts w:hint="eastAsia" w:ascii="宋体" w:hAnsi="宋体" w:cs="宋体"/>
              </w:rPr>
              <w:t>实力</w:t>
            </w:r>
          </w:p>
          <w:p>
            <w:pPr>
              <w:spacing w:line="440" w:lineRule="exact"/>
              <w:jc w:val="center"/>
              <w:rPr>
                <w:rFonts w:hint="eastAsia" w:ascii="宋体" w:hAnsi="宋体" w:cs="宋体"/>
                <w:b/>
              </w:rPr>
            </w:pPr>
          </w:p>
        </w:tc>
        <w:tc>
          <w:tcPr>
            <w:tcW w:w="3734"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pStyle w:val="84"/>
              <w:spacing w:before="0" w:after="0" w:line="440" w:lineRule="exact"/>
              <w:jc w:val="left"/>
              <w:rPr>
                <w:rFonts w:hint="eastAsia" w:ascii="宋体" w:hAnsi="宋体" w:eastAsia="宋体" w:cs="宋体"/>
                <w:sz w:val="21"/>
                <w:lang w:eastAsia="zh-CN"/>
              </w:rPr>
            </w:pPr>
            <w:r>
              <w:rPr>
                <w:rFonts w:hint="eastAsia" w:ascii="宋体" w:hAnsi="宋体" w:eastAsia="宋体" w:cs="宋体"/>
                <w:sz w:val="21"/>
                <w:lang w:eastAsia="zh-CN"/>
              </w:rPr>
              <w:t xml:space="preserve">投标人具有的服务器械： </w:t>
            </w:r>
          </w:p>
          <w:p>
            <w:pPr>
              <w:pStyle w:val="84"/>
              <w:numPr>
                <w:ilvl w:val="0"/>
                <w:numId w:val="3"/>
              </w:numPr>
              <w:spacing w:before="0" w:after="0" w:line="440" w:lineRule="exact"/>
              <w:jc w:val="left"/>
              <w:rPr>
                <w:rFonts w:hint="eastAsia" w:ascii="宋体" w:hAnsi="宋体" w:eastAsia="宋体" w:cs="宋体"/>
                <w:color w:val="auto"/>
                <w:sz w:val="21"/>
                <w:lang w:eastAsia="zh-CN"/>
              </w:rPr>
            </w:pPr>
            <w:r>
              <w:rPr>
                <w:rFonts w:hint="eastAsia" w:ascii="宋体" w:hAnsi="宋体" w:eastAsia="宋体" w:cs="宋体"/>
                <w:sz w:val="21"/>
                <w:lang w:eastAsia="zh-CN"/>
              </w:rPr>
              <w:t>具</w:t>
            </w:r>
            <w:r>
              <w:rPr>
                <w:rFonts w:hint="eastAsia" w:ascii="宋体" w:hAnsi="宋体" w:eastAsia="宋体" w:cs="宋体"/>
                <w:color w:val="auto"/>
                <w:sz w:val="21"/>
                <w:lang w:eastAsia="zh-CN"/>
              </w:rPr>
              <w:t>有超低容量喷雾器（机）3台或以上者得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 xml:space="preserve">分，不足3台不得分； </w:t>
            </w:r>
          </w:p>
          <w:p>
            <w:pPr>
              <w:pStyle w:val="84"/>
              <w:numPr>
                <w:ilvl w:val="0"/>
                <w:numId w:val="3"/>
              </w:numPr>
              <w:spacing w:before="0" w:after="0" w:line="440" w:lineRule="exact"/>
              <w:jc w:val="left"/>
              <w:rPr>
                <w:rFonts w:hint="eastAsia" w:ascii="宋体" w:hAnsi="宋体" w:eastAsia="宋体" w:cs="宋体"/>
                <w:color w:val="auto"/>
                <w:sz w:val="21"/>
                <w:lang w:eastAsia="zh-CN"/>
              </w:rPr>
            </w:pPr>
            <w:r>
              <w:rPr>
                <w:rFonts w:hint="eastAsia" w:ascii="宋体" w:hAnsi="宋体" w:eastAsia="宋体" w:cs="宋体"/>
                <w:color w:val="auto"/>
                <w:sz w:val="21"/>
                <w:lang w:eastAsia="zh-CN"/>
              </w:rPr>
              <w:t>具有背负式喷雾器（机）3台或以上者得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 xml:space="preserve">分，不足3台不得分； </w:t>
            </w:r>
          </w:p>
          <w:p>
            <w:pPr>
              <w:pStyle w:val="84"/>
              <w:numPr>
                <w:ilvl w:val="0"/>
                <w:numId w:val="3"/>
              </w:numPr>
              <w:spacing w:before="0" w:after="0" w:line="440" w:lineRule="exact"/>
              <w:jc w:val="left"/>
              <w:rPr>
                <w:rFonts w:hint="eastAsia" w:ascii="宋体" w:hAnsi="宋体" w:eastAsia="宋体" w:cs="宋体"/>
                <w:sz w:val="21"/>
                <w:lang w:eastAsia="zh-CN"/>
              </w:rPr>
            </w:pPr>
            <w:r>
              <w:rPr>
                <w:rFonts w:hint="eastAsia" w:ascii="宋体" w:hAnsi="宋体" w:eastAsia="宋体" w:cs="宋体"/>
                <w:color w:val="auto"/>
                <w:sz w:val="21"/>
                <w:lang w:eastAsia="zh-CN"/>
              </w:rPr>
              <w:t>具有热烟雾机3台或以上者得</w:t>
            </w:r>
            <w:r>
              <w:rPr>
                <w:rFonts w:hint="eastAsia" w:ascii="宋体" w:hAnsi="宋体" w:eastAsia="宋体" w:cs="宋体"/>
                <w:color w:val="auto"/>
                <w:sz w:val="21"/>
                <w:lang w:val="en-US" w:eastAsia="zh-CN"/>
              </w:rPr>
              <w:t>3</w:t>
            </w:r>
            <w:r>
              <w:rPr>
                <w:rFonts w:hint="eastAsia" w:ascii="宋体" w:hAnsi="宋体" w:eastAsia="宋体" w:cs="宋体"/>
                <w:color w:val="auto"/>
                <w:sz w:val="21"/>
                <w:lang w:eastAsia="zh-CN"/>
              </w:rPr>
              <w:t>分，不足3台不得分</w:t>
            </w:r>
            <w:r>
              <w:rPr>
                <w:rFonts w:hint="eastAsia" w:ascii="宋体" w:hAnsi="宋体" w:eastAsia="宋体" w:cs="宋体"/>
                <w:sz w:val="21"/>
                <w:lang w:eastAsia="zh-CN"/>
              </w:rPr>
              <w:t xml:space="preserve">； </w:t>
            </w:r>
          </w:p>
          <w:p>
            <w:pPr>
              <w:pStyle w:val="84"/>
              <w:numPr>
                <w:ilvl w:val="0"/>
                <w:numId w:val="3"/>
              </w:numPr>
              <w:spacing w:before="0" w:after="0" w:line="440" w:lineRule="exact"/>
              <w:jc w:val="left"/>
              <w:rPr>
                <w:rFonts w:hint="eastAsia" w:ascii="宋体" w:hAnsi="宋体" w:eastAsia="宋体" w:cs="宋体"/>
                <w:sz w:val="21"/>
                <w:lang w:eastAsia="zh-CN"/>
              </w:rPr>
            </w:pPr>
            <w:r>
              <w:rPr>
                <w:rFonts w:hint="eastAsia" w:ascii="宋体" w:hAnsi="宋体" w:eastAsia="宋体" w:cs="宋体"/>
                <w:sz w:val="21"/>
                <w:lang w:eastAsia="zh-CN"/>
              </w:rPr>
              <w:t>具有手提喷雾器3台或以上者得</w:t>
            </w:r>
            <w:r>
              <w:rPr>
                <w:rFonts w:hint="eastAsia" w:ascii="宋体" w:hAnsi="宋体" w:eastAsia="宋体" w:cs="宋体"/>
                <w:sz w:val="21"/>
                <w:lang w:val="en-US" w:eastAsia="zh-CN"/>
              </w:rPr>
              <w:t>3</w:t>
            </w:r>
            <w:r>
              <w:rPr>
                <w:rFonts w:hint="eastAsia" w:ascii="宋体" w:hAnsi="宋体" w:eastAsia="宋体" w:cs="宋体"/>
                <w:sz w:val="21"/>
                <w:lang w:eastAsia="zh-CN"/>
              </w:rPr>
              <w:t>分，不足3台不得分；</w:t>
            </w:r>
          </w:p>
          <w:p>
            <w:pPr>
              <w:pStyle w:val="84"/>
              <w:spacing w:before="0" w:after="0" w:line="440" w:lineRule="exact"/>
              <w:jc w:val="left"/>
              <w:rPr>
                <w:rFonts w:hint="eastAsia" w:ascii="宋体" w:hAnsi="宋体" w:eastAsia="宋体" w:cs="宋体"/>
                <w:sz w:val="21"/>
                <w:lang w:eastAsia="zh-CN"/>
              </w:rPr>
            </w:pPr>
            <w:r>
              <w:rPr>
                <w:rFonts w:hint="eastAsia" w:ascii="宋体" w:hAnsi="宋体" w:eastAsia="宋体" w:cs="宋体"/>
                <w:sz w:val="21"/>
                <w:lang w:eastAsia="zh-CN"/>
              </w:rPr>
              <w:t>证明材料：提供以上器械须提供器械一览表（包括器械名称、型号、数量）及发票复印件加盖公章。</w:t>
            </w:r>
          </w:p>
        </w:tc>
        <w:tc>
          <w:tcPr>
            <w:tcW w:w="388"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宋体"/>
                <w:bCs/>
                <w:kern w:val="0"/>
                <w:szCs w:val="21"/>
              </w:rPr>
            </w:pPr>
            <w:r>
              <w:rPr>
                <w:rFonts w:hint="eastAsia" w:ascii="宋体" w:hAnsi="宋体" w:cs="宋体"/>
                <w:bCs/>
                <w:kern w:val="0"/>
                <w:szCs w:val="21"/>
                <w:lang w:val="en-US" w:eastAsia="zh-CN"/>
              </w:rPr>
              <w:t>12</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37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eastAsia="宋体" w:cs="宋体"/>
                <w:b/>
                <w:lang w:eastAsia="zh-CN"/>
              </w:rPr>
            </w:pPr>
            <w:r>
              <w:rPr>
                <w:rFonts w:hint="eastAsia" w:ascii="宋体" w:hAnsi="宋体" w:cs="宋体"/>
                <w:bCs/>
                <w:kern w:val="0"/>
                <w:szCs w:val="21"/>
                <w:lang w:val="en-US" w:eastAsia="zh-CN"/>
              </w:rPr>
              <w:t>2</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类似</w:t>
            </w:r>
          </w:p>
          <w:p>
            <w:pPr>
              <w:spacing w:line="440" w:lineRule="exact"/>
              <w:jc w:val="center"/>
              <w:rPr>
                <w:rFonts w:hint="eastAsia" w:ascii="宋体" w:hAnsi="宋体" w:cs="宋体"/>
                <w:b/>
              </w:rPr>
            </w:pPr>
            <w:r>
              <w:rPr>
                <w:rFonts w:hint="eastAsia" w:ascii="宋体" w:hAnsi="宋体" w:cs="宋体"/>
                <w:bCs/>
                <w:kern w:val="0"/>
                <w:szCs w:val="21"/>
              </w:rPr>
              <w:t>案例</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84"/>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投标人自</w:t>
            </w:r>
            <w:r>
              <w:rPr>
                <w:rFonts w:hint="eastAsia" w:ascii="宋体" w:hAnsi="宋体" w:eastAsia="宋体" w:cs="宋体"/>
                <w:sz w:val="21"/>
                <w:szCs w:val="21"/>
                <w:lang w:val="en-US" w:eastAsia="zh-CN"/>
              </w:rPr>
              <w:t>近三年</w:t>
            </w:r>
            <w:r>
              <w:rPr>
                <w:rFonts w:hint="eastAsia" w:ascii="宋体" w:hAnsi="宋体" w:eastAsia="宋体" w:cs="宋体"/>
                <w:sz w:val="21"/>
                <w:szCs w:val="21"/>
                <w:lang w:eastAsia="zh-CN"/>
              </w:rPr>
              <w:t>（以合同签订时间为准）以来承接过类似病媒生物防制或消杀类采购项目，投标人每提供一份项目业绩得2分，满分</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 xml:space="preserve">分。 </w:t>
            </w:r>
          </w:p>
          <w:p>
            <w:pPr>
              <w:pStyle w:val="84"/>
              <w:spacing w:before="0" w:after="0" w:line="440" w:lineRule="exact"/>
              <w:jc w:val="left"/>
              <w:rPr>
                <w:rFonts w:hint="eastAsia" w:ascii="宋体" w:hAnsi="宋体" w:eastAsia="宋体" w:cs="宋体"/>
                <w:b/>
                <w:lang w:eastAsia="zh-CN"/>
              </w:rPr>
            </w:pPr>
            <w:r>
              <w:rPr>
                <w:rFonts w:hint="eastAsia" w:ascii="宋体" w:hAnsi="宋体" w:eastAsia="宋体" w:cs="宋体"/>
                <w:sz w:val="21"/>
                <w:lang w:eastAsia="zh-CN"/>
              </w:rPr>
              <w:t>证明材料</w:t>
            </w:r>
            <w:r>
              <w:rPr>
                <w:rFonts w:hint="eastAsia" w:ascii="宋体" w:hAnsi="宋体" w:eastAsia="宋体" w:cs="宋体"/>
                <w:sz w:val="21"/>
                <w:szCs w:val="21"/>
                <w:lang w:eastAsia="zh-CN"/>
              </w:rPr>
              <w:t>：提供合同</w:t>
            </w:r>
            <w:r>
              <w:rPr>
                <w:rFonts w:hint="eastAsia" w:ascii="宋体" w:hAnsi="宋体" w:eastAsia="宋体" w:cs="宋体"/>
                <w:sz w:val="21"/>
                <w:lang w:eastAsia="zh-CN"/>
              </w:rPr>
              <w:t>复印件加盖公章</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
              </w:rPr>
            </w:pPr>
            <w:r>
              <w:rPr>
                <w:rFonts w:hint="eastAsia" w:ascii="宋体" w:hAnsi="宋体" w:cs="宋体"/>
                <w:bCs/>
                <w:kern w:val="0"/>
                <w:szCs w:val="21"/>
                <w:lang w:val="en-US" w:eastAsia="zh-CN"/>
              </w:rPr>
              <w:t>8</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00" w:type="pct"/>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ascii="宋体" w:hAnsi="宋体" w:cs="Arial"/>
                <w:b/>
                <w:bCs/>
                <w:kern w:val="0"/>
                <w:szCs w:val="21"/>
              </w:rPr>
            </w:pPr>
            <w:r>
              <w:rPr>
                <w:rFonts w:hint="eastAsia"/>
                <w:b/>
              </w:rPr>
              <w:t>二、技术评分标准（共</w:t>
            </w:r>
            <w:r>
              <w:rPr>
                <w:rFonts w:hint="eastAsia"/>
                <w:b/>
                <w:lang w:val="en-US" w:eastAsia="zh-CN"/>
              </w:rPr>
              <w:t>7</w:t>
            </w:r>
            <w:r>
              <w:rPr>
                <w:rFonts w:hint="eastAsia"/>
                <w:b/>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序号</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评分项</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评分内容</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hint="eastAsia" w:ascii="宋体" w:hAnsi="宋体" w:eastAsia="宋体" w:cs="Arial"/>
                <w:b/>
                <w:bCs/>
                <w:kern w:val="0"/>
                <w:szCs w:val="21"/>
                <w:lang w:eastAsia="zh-CN"/>
              </w:rPr>
            </w:pPr>
            <w:r>
              <w:rPr>
                <w:rFonts w:hint="eastAsia" w:ascii="宋体" w:hAnsi="宋体" w:cs="Arial"/>
                <w:b/>
                <w:bCs/>
                <w:kern w:val="0"/>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37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szCs w:val="21"/>
              </w:rPr>
              <w:t>项目熟悉程度</w:t>
            </w:r>
          </w:p>
        </w:tc>
        <w:tc>
          <w:tcPr>
            <w:tcW w:w="3734" w:type="pct"/>
            <w:tcBorders>
              <w:top w:val="single" w:color="auto" w:sz="4" w:space="0"/>
              <w:left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根据投标人对辖区内防制对象的掌握情况进行比较赋分：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A.防制对象的种类、优势种群、密度、监测方法科学合理，操作性强者得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B.防制对象种类、优势种群、密度、监测方法基本满足采购人需要，可操作性差者得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C.防制对象种类、优势种群、密度、监测方法不合理者得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 ；</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rPr>
              <w:t>D.未提供者得0</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2</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防制技术</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根据投标人提供的防制技术和方法进行比较赋分： </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A.掌握本地区防制对象的季节生长规律，根据不同环境采用不同的防制方法，所采取的技术和方法要适应本辖区内环境的特点者得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B.基本能够满足采购需要，操作性不强者得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C.所采取的防制技术和方法不合理者得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rPr>
              <w:t>D.未提供者得0分</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3</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实施方案</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rPr>
                <w:rFonts w:hint="eastAsia" w:ascii="宋体" w:hAnsi="宋体" w:cs="宋体"/>
                <w:bCs/>
                <w:spacing w:val="-4"/>
                <w:szCs w:val="21"/>
              </w:rPr>
            </w:pPr>
            <w:r>
              <w:rPr>
                <w:rFonts w:hint="eastAsia" w:ascii="宋体" w:hAnsi="宋体" w:cs="宋体"/>
                <w:bCs/>
                <w:spacing w:val="-4"/>
                <w:szCs w:val="21"/>
              </w:rPr>
              <w:t>根据投标人提供的实施方案(包括：前期准备、人员搭配、药品配备、器械选择、仓库设置、宣传和培训方案、配套管理制度、售后服务保障措施等)进行比较赋分：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A.能够根据实际情况制订，满足采购人的需要，考虑问题周全，实施过程务实，各项指标均能完成者得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B.基本能够满足采购需要，操作性不强者得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C.管理实施方案不合理者得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D.</w:t>
            </w:r>
            <w:r>
              <w:rPr>
                <w:rFonts w:hint="eastAsia" w:ascii="宋体" w:hAnsi="宋体" w:eastAsia="宋体" w:cs="宋体"/>
                <w:sz w:val="21"/>
                <w:szCs w:val="21"/>
              </w:rPr>
              <w:t>未提</w:t>
            </w:r>
            <w:r>
              <w:rPr>
                <w:rFonts w:hint="eastAsia" w:ascii="宋体" w:hAnsi="宋体" w:eastAsia="宋体" w:cs="宋体"/>
                <w:bCs/>
                <w:sz w:val="21"/>
                <w:szCs w:val="21"/>
              </w:rPr>
              <w:t>供者得0分</w:t>
            </w:r>
            <w:r>
              <w:rPr>
                <w:rFonts w:hint="eastAsia" w:ascii="宋体" w:hAnsi="宋体" w:eastAsia="宋体" w:cs="宋体"/>
                <w:bCs/>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4</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用药方案</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根据投标人提供的用药方案进行比较赋分： </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A.用药方案内容全面，包含药物的选择、优缺点比较、不同环境的用药及方法，可操作性突出者得</w:t>
            </w: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B.用药方案满足采购人需要，操作性不强者得</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C.用药方案不合理者得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sz w:val="21"/>
                <w:szCs w:val="21"/>
              </w:rPr>
              <w:t>D.未提供者得0分</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373" w:type="pct"/>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5</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突发应急能力</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rPr>
                <w:rFonts w:hint="eastAsia" w:ascii="宋体" w:hAnsi="宋体" w:cs="宋体"/>
                <w:bCs/>
                <w:szCs w:val="21"/>
              </w:rPr>
            </w:pPr>
            <w:r>
              <w:rPr>
                <w:rFonts w:hint="eastAsia" w:ascii="宋体" w:hAnsi="宋体" w:cs="宋体"/>
                <w:bCs/>
                <w:szCs w:val="21"/>
              </w:rPr>
              <w:t>根据投标人提供的突发应急能力（包括：突发卫生事件、卫生中毒事件、迎检措施等方案）进行比较赋分：</w:t>
            </w:r>
          </w:p>
          <w:p>
            <w:pPr>
              <w:pStyle w:val="70"/>
              <w:spacing w:line="440" w:lineRule="exact"/>
              <w:ind w:firstLine="0" w:firstLineChars="0"/>
              <w:rPr>
                <w:rFonts w:hint="eastAsia" w:ascii="宋体" w:hAnsi="宋体" w:cs="宋体"/>
                <w:bCs/>
                <w:szCs w:val="21"/>
              </w:rPr>
            </w:pPr>
            <w:r>
              <w:rPr>
                <w:rFonts w:hint="eastAsia" w:ascii="宋体" w:hAnsi="宋体" w:cs="宋体"/>
                <w:szCs w:val="21"/>
              </w:rPr>
              <w:t>A.突发事件应急能力、措施、迎检等其它活动配合措施完善，操作性强者</w:t>
            </w:r>
            <w:r>
              <w:rPr>
                <w:rFonts w:hint="eastAsia" w:ascii="宋体" w:hAnsi="宋体" w:cs="宋体"/>
                <w:bCs/>
                <w:szCs w:val="21"/>
              </w:rPr>
              <w:t>得</w:t>
            </w:r>
            <w:r>
              <w:rPr>
                <w:rFonts w:hint="eastAsia" w:ascii="宋体" w:hAnsi="宋体" w:cs="宋体"/>
                <w:szCs w:val="21"/>
                <w:lang w:val="en-US" w:eastAsia="zh-CN"/>
              </w:rPr>
              <w:t>14</w:t>
            </w:r>
            <w:r>
              <w:rPr>
                <w:rFonts w:hint="eastAsia" w:ascii="宋体" w:hAnsi="宋体" w:cs="宋体"/>
                <w:szCs w:val="21"/>
              </w:rPr>
              <w:t>分</w:t>
            </w:r>
            <w:r>
              <w:rPr>
                <w:rFonts w:hint="eastAsia" w:ascii="宋体" w:hAnsi="宋体" w:cs="宋体"/>
                <w:bCs/>
                <w:szCs w:val="21"/>
              </w:rPr>
              <w:t>；</w:t>
            </w:r>
          </w:p>
          <w:p>
            <w:pPr>
              <w:pStyle w:val="70"/>
              <w:spacing w:line="440" w:lineRule="exact"/>
              <w:ind w:firstLine="0" w:firstLineChars="0"/>
              <w:rPr>
                <w:rFonts w:hint="eastAsia" w:ascii="宋体" w:hAnsi="宋体" w:cs="宋体"/>
                <w:bCs/>
                <w:szCs w:val="21"/>
              </w:rPr>
            </w:pPr>
            <w:r>
              <w:rPr>
                <w:rFonts w:hint="eastAsia" w:ascii="宋体" w:hAnsi="宋体" w:cs="宋体"/>
                <w:szCs w:val="21"/>
              </w:rPr>
              <w:t>B.突发事件应急能力、措施、迎检等其它活动配合措施基本满足采购人需要，操作性不强者</w:t>
            </w:r>
            <w:r>
              <w:rPr>
                <w:rFonts w:hint="eastAsia" w:ascii="宋体" w:hAnsi="宋体" w:cs="宋体"/>
                <w:bCs/>
                <w:szCs w:val="21"/>
              </w:rPr>
              <w:t>得</w:t>
            </w:r>
            <w:r>
              <w:rPr>
                <w:rFonts w:hint="eastAsia" w:ascii="宋体" w:hAnsi="宋体" w:cs="宋体"/>
                <w:szCs w:val="21"/>
                <w:lang w:val="en-US" w:eastAsia="zh-CN"/>
              </w:rPr>
              <w:t>9</w:t>
            </w:r>
            <w:r>
              <w:rPr>
                <w:rFonts w:hint="eastAsia" w:ascii="宋体" w:hAnsi="宋体" w:cs="宋体"/>
                <w:szCs w:val="21"/>
              </w:rPr>
              <w:t>分</w:t>
            </w:r>
            <w:r>
              <w:rPr>
                <w:rFonts w:hint="eastAsia" w:ascii="宋体" w:hAnsi="宋体" w:cs="宋体"/>
                <w:bCs/>
                <w:szCs w:val="21"/>
              </w:rPr>
              <w:t>；</w:t>
            </w:r>
          </w:p>
          <w:p>
            <w:pPr>
              <w:pStyle w:val="70"/>
              <w:spacing w:line="440" w:lineRule="exact"/>
              <w:ind w:firstLine="0" w:firstLineChars="0"/>
              <w:rPr>
                <w:rFonts w:hint="eastAsia" w:ascii="宋体" w:hAnsi="宋体" w:cs="宋体"/>
                <w:bCs/>
                <w:szCs w:val="21"/>
              </w:rPr>
            </w:pPr>
            <w:r>
              <w:rPr>
                <w:rFonts w:hint="eastAsia" w:ascii="宋体" w:hAnsi="宋体" w:cs="宋体"/>
                <w:szCs w:val="21"/>
              </w:rPr>
              <w:t>C.突发事件应急能力、措施、迎检等其它活动配合措施不合理者</w:t>
            </w:r>
            <w:r>
              <w:rPr>
                <w:rFonts w:hint="eastAsia" w:ascii="宋体" w:hAnsi="宋体" w:cs="宋体"/>
                <w:bCs/>
                <w:szCs w:val="21"/>
              </w:rPr>
              <w:t>得</w:t>
            </w:r>
            <w:r>
              <w:rPr>
                <w:rFonts w:hint="eastAsia" w:ascii="宋体" w:hAnsi="宋体" w:cs="宋体"/>
                <w:szCs w:val="21"/>
                <w:lang w:val="en-US" w:eastAsia="zh-CN"/>
              </w:rPr>
              <w:t>4</w:t>
            </w:r>
            <w:r>
              <w:rPr>
                <w:rFonts w:hint="eastAsia" w:ascii="宋体" w:hAnsi="宋体" w:cs="宋体"/>
                <w:bCs/>
                <w:szCs w:val="21"/>
              </w:rPr>
              <w:t>分；</w:t>
            </w:r>
          </w:p>
          <w:p>
            <w:pPr>
              <w:pStyle w:val="85"/>
              <w:spacing w:before="0" w:after="0" w:line="440" w:lineRule="exact"/>
              <w:jc w:val="left"/>
              <w:rPr>
                <w:rFonts w:hint="eastAsia" w:ascii="宋体" w:hAnsi="宋体" w:eastAsia="宋体" w:cs="宋体"/>
                <w:sz w:val="21"/>
                <w:szCs w:val="21"/>
                <w:lang w:eastAsia="zh-CN"/>
              </w:rPr>
            </w:pPr>
            <w:r>
              <w:rPr>
                <w:rFonts w:hint="eastAsia" w:ascii="宋体" w:hAnsi="宋体" w:eastAsia="宋体" w:cs="宋体"/>
                <w:bCs/>
                <w:sz w:val="21"/>
                <w:szCs w:val="21"/>
                <w:lang w:eastAsia="zh-CN"/>
              </w:rPr>
              <w:t>D.</w:t>
            </w:r>
            <w:r>
              <w:rPr>
                <w:rFonts w:hint="eastAsia" w:ascii="宋体" w:hAnsi="宋体" w:eastAsia="宋体" w:cs="宋体"/>
                <w:bCs/>
                <w:sz w:val="21"/>
                <w:szCs w:val="21"/>
              </w:rPr>
              <w:t>未提供者得0分</w:t>
            </w:r>
            <w:r>
              <w:rPr>
                <w:rFonts w:hint="eastAsia" w:ascii="宋体" w:hAnsi="宋体" w:eastAsia="宋体" w:cs="宋体"/>
                <w:bCs/>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宋体"/>
                <w:bCs/>
                <w:kern w:val="0"/>
                <w:szCs w:val="21"/>
              </w:rPr>
            </w:pPr>
            <w:r>
              <w:rPr>
                <w:rFonts w:hint="eastAsia" w:ascii="宋体" w:hAnsi="宋体" w:cs="宋体"/>
                <w:bCs/>
                <w:kern w:val="0"/>
                <w:szCs w:val="21"/>
              </w:rPr>
              <w:t>1</w:t>
            </w:r>
            <w:r>
              <w:rPr>
                <w:rFonts w:hint="eastAsia" w:ascii="宋体" w:hAnsi="宋体" w:cs="宋体"/>
                <w:bCs/>
                <w:kern w:val="0"/>
                <w:szCs w:val="21"/>
                <w:lang w:val="en-US" w:eastAsia="zh-CN"/>
              </w:rPr>
              <w:t>4</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000" w:type="pct"/>
            <w:gridSpan w:val="4"/>
            <w:tcBorders>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hint="eastAsia" w:ascii="宋体" w:hAnsi="宋体" w:cs="Arial"/>
                <w:bCs/>
                <w:kern w:val="0"/>
                <w:szCs w:val="21"/>
              </w:rPr>
            </w:pPr>
            <w:r>
              <w:rPr>
                <w:rFonts w:hint="eastAsia"/>
                <w:b/>
              </w:rPr>
              <w:t>三、价格评分标准（共1</w:t>
            </w:r>
            <w:r>
              <w:rPr>
                <w:rFonts w:hint="eastAsia"/>
                <w:b/>
                <w:lang w:val="en-US" w:eastAsia="zh-CN"/>
              </w:rPr>
              <w:t>0</w:t>
            </w:r>
            <w:r>
              <w:rPr>
                <w:rFonts w:hint="eastAsia"/>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7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序号</w:t>
            </w:r>
          </w:p>
        </w:tc>
        <w:tc>
          <w:tcPr>
            <w:tcW w:w="503"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Arial"/>
                <w:b/>
                <w:bCs/>
                <w:kern w:val="0"/>
                <w:szCs w:val="21"/>
              </w:rPr>
            </w:pPr>
            <w:r>
              <w:rPr>
                <w:rFonts w:hint="eastAsia" w:ascii="宋体" w:hAnsi="宋体" w:cs="Arial"/>
                <w:b/>
                <w:bCs/>
                <w:kern w:val="0"/>
                <w:szCs w:val="21"/>
              </w:rPr>
              <w:t>评分项</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评分内容</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
                <w:bCs/>
                <w:kern w:val="0"/>
                <w:szCs w:val="21"/>
              </w:rPr>
            </w:pPr>
            <w:r>
              <w:rPr>
                <w:rFonts w:hint="eastAsia" w:ascii="宋体" w:hAnsi="宋体" w:cs="Arial"/>
                <w:b/>
                <w:bCs/>
                <w:kern w:val="0"/>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73" w:type="pct"/>
            <w:tcBorders>
              <w:top w:val="single" w:color="auto" w:sz="4" w:space="0"/>
              <w:left w:val="single" w:color="auto" w:sz="4" w:space="0"/>
              <w:right w:val="single" w:color="auto" w:sz="4" w:space="0"/>
            </w:tcBorders>
            <w:noWrap w:val="0"/>
            <w:tcMar>
              <w:top w:w="0" w:type="dxa"/>
              <w:left w:w="108" w:type="dxa"/>
              <w:bottom w:w="0" w:type="dxa"/>
              <w:right w:w="108" w:type="dxa"/>
            </w:tcMar>
            <w:vAlign w:val="top"/>
          </w:tcPr>
          <w:p>
            <w:pPr>
              <w:spacing w:line="440" w:lineRule="exact"/>
              <w:jc w:val="center"/>
              <w:rPr>
                <w:rFonts w:ascii="宋体" w:hAnsi="宋体" w:cs="Arial"/>
                <w:bCs/>
                <w:kern w:val="0"/>
                <w:szCs w:val="21"/>
              </w:rPr>
            </w:pPr>
            <w:r>
              <w:rPr>
                <w:rFonts w:hint="eastAsia" w:ascii="宋体" w:hAnsi="宋体" w:cs="Arial"/>
                <w:bCs/>
                <w:kern w:val="0"/>
                <w:szCs w:val="21"/>
              </w:rPr>
              <w:t>1</w:t>
            </w:r>
          </w:p>
        </w:tc>
        <w:tc>
          <w:tcPr>
            <w:tcW w:w="503" w:type="pc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Arial"/>
                <w:bCs/>
                <w:kern w:val="0"/>
                <w:szCs w:val="21"/>
              </w:rPr>
            </w:pPr>
            <w:r>
              <w:rPr>
                <w:rFonts w:hint="eastAsia" w:ascii="宋体" w:hAnsi="宋体" w:cs="Arial"/>
                <w:bCs/>
                <w:kern w:val="0"/>
                <w:szCs w:val="21"/>
              </w:rPr>
              <w:t>报价得分</w:t>
            </w:r>
          </w:p>
        </w:tc>
        <w:tc>
          <w:tcPr>
            <w:tcW w:w="3734"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85"/>
              <w:spacing w:before="0" w:after="0" w:line="440" w:lineRule="exact"/>
              <w:jc w:val="left"/>
              <w:rPr>
                <w:rFonts w:ascii="VESATK+??Regular" w:eastAsia="宋体"/>
                <w:sz w:val="21"/>
                <w:szCs w:val="21"/>
                <w:lang w:eastAsia="zh-CN"/>
              </w:rPr>
            </w:pPr>
            <w:r>
              <w:rPr>
                <w:rFonts w:hint="eastAsia" w:ascii="VESATK+??Regular" w:eastAsia="宋体"/>
                <w:sz w:val="21"/>
                <w:szCs w:val="21"/>
                <w:lang w:eastAsia="zh-CN"/>
              </w:rPr>
              <w:t>报价得分=评标基准</w:t>
            </w:r>
            <w:r>
              <w:rPr>
                <w:rFonts w:hint="eastAsia" w:ascii="宋体" w:hAnsi="宋体" w:eastAsia="宋体" w:cs="宋体"/>
                <w:sz w:val="21"/>
                <w:szCs w:val="21"/>
                <w:lang w:eastAsia="zh-CN"/>
              </w:rPr>
              <w:t>价/投标报价×100×1</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w:t>
            </w:r>
          </w:p>
        </w:tc>
        <w:tc>
          <w:tcPr>
            <w:tcW w:w="388" w:type="pc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40" w:lineRule="exact"/>
              <w:jc w:val="center"/>
              <w:rPr>
                <w:rFonts w:ascii="宋体" w:hAnsi="宋体" w:cs="Arial"/>
                <w:bCs/>
                <w:kern w:val="0"/>
                <w:szCs w:val="21"/>
              </w:rPr>
            </w:pPr>
            <w:r>
              <w:rPr>
                <w:rFonts w:hint="eastAsia" w:ascii="宋体" w:hAnsi="宋体" w:cs="Arial"/>
                <w:bCs/>
                <w:kern w:val="0"/>
                <w:szCs w:val="21"/>
                <w:lang w:val="en-US" w:eastAsia="zh-CN"/>
              </w:rPr>
              <w:t>10</w:t>
            </w:r>
            <w:r>
              <w:rPr>
                <w:rFonts w:hint="eastAsia" w:ascii="宋体" w:hAnsi="宋体" w:cs="Arial"/>
                <w:bCs/>
                <w:kern w:val="0"/>
                <w:szCs w:val="21"/>
              </w:rPr>
              <w:t>分</w:t>
            </w:r>
          </w:p>
        </w:tc>
      </w:tr>
    </w:tbl>
    <w:p>
      <w:pPr>
        <w:tabs>
          <w:tab w:val="left" w:pos="0"/>
        </w:tabs>
        <w:adjustRightInd w:val="0"/>
        <w:snapToGrid w:val="0"/>
        <w:spacing w:line="440" w:lineRule="exact"/>
        <w:rPr>
          <w:rFonts w:hint="eastAsia" w:ascii="宋体" w:hAnsi="宋体" w:cs="宋体"/>
          <w:b/>
          <w:color w:val="auto"/>
          <w:sz w:val="24"/>
          <w:highlight w:val="none"/>
        </w:rPr>
      </w:pPr>
      <w:r>
        <w:rPr>
          <w:rFonts w:hint="eastAsia" w:ascii="宋体" w:hAnsi="宋体" w:cs="宋体"/>
          <w:b/>
          <w:color w:val="auto"/>
          <w:sz w:val="24"/>
          <w:highlight w:val="none"/>
        </w:rPr>
        <w:t>21、</w:t>
      </w:r>
      <w:r>
        <w:rPr>
          <w:rFonts w:hint="eastAsia" w:ascii="宋体" w:hAnsi="宋体" w:cs="宋体"/>
          <w:b/>
          <w:color w:val="auto"/>
          <w:sz w:val="24"/>
          <w:highlight w:val="none"/>
          <w:lang w:val="en-GB"/>
        </w:rPr>
        <w:t>确定成交供应商的标准</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磋商小组依据对各响应文件的评审结果，提出书面评审报告，并根据磋商文件的规定，</w:t>
      </w:r>
      <w:r>
        <w:rPr>
          <w:rFonts w:ascii="宋体" w:hAnsi="宋体" w:cs="宋体"/>
          <w:color w:val="auto"/>
          <w:sz w:val="24"/>
          <w:highlight w:val="none"/>
        </w:rPr>
        <w:t>由磋商小组采用综合评分法对提交最后报价的供应商的响应文件和最后报价进行综合评分</w:t>
      </w:r>
      <w:r>
        <w:rPr>
          <w:rFonts w:hint="eastAsia" w:ascii="宋体" w:hAnsi="宋体" w:cs="宋体"/>
          <w:color w:val="auto"/>
          <w:sz w:val="24"/>
          <w:highlight w:val="none"/>
        </w:rPr>
        <w:t>，</w:t>
      </w:r>
      <w:r>
        <w:rPr>
          <w:rFonts w:hint="eastAsia" w:ascii="宋体" w:hAnsi="宋体" w:cs="宋体"/>
          <w:color w:val="auto"/>
          <w:kern w:val="0"/>
          <w:sz w:val="24"/>
          <w:highlight w:val="none"/>
          <w:lang w:val="en-GB"/>
        </w:rPr>
        <w:t>最终</w:t>
      </w:r>
      <w:r>
        <w:rPr>
          <w:rFonts w:ascii="宋体" w:hAnsi="宋体" w:cs="宋体"/>
          <w:color w:val="auto"/>
          <w:sz w:val="24"/>
          <w:highlight w:val="none"/>
        </w:rPr>
        <w:t>按照</w:t>
      </w:r>
      <w:r>
        <w:rPr>
          <w:rFonts w:hint="eastAsia" w:ascii="宋体" w:hAnsi="宋体" w:cs="宋体"/>
          <w:color w:val="auto"/>
          <w:sz w:val="24"/>
          <w:highlight w:val="none"/>
        </w:rPr>
        <w:t>终合</w:t>
      </w:r>
      <w:r>
        <w:rPr>
          <w:rFonts w:ascii="宋体" w:hAnsi="宋体" w:cs="宋体"/>
          <w:color w:val="auto"/>
          <w:sz w:val="24"/>
          <w:highlight w:val="none"/>
        </w:rPr>
        <w:t>得分由高到低</w:t>
      </w:r>
      <w:r>
        <w:rPr>
          <w:rFonts w:hint="eastAsia" w:ascii="宋体" w:hAnsi="宋体" w:cs="宋体"/>
          <w:color w:val="auto"/>
          <w:sz w:val="24"/>
          <w:highlight w:val="none"/>
        </w:rPr>
        <w:t>的</w:t>
      </w:r>
      <w:r>
        <w:rPr>
          <w:rFonts w:ascii="宋体" w:hAnsi="宋体" w:cs="宋体"/>
          <w:color w:val="auto"/>
          <w:sz w:val="24"/>
          <w:highlight w:val="none"/>
        </w:rPr>
        <w:t>顺序</w:t>
      </w:r>
      <w:r>
        <w:rPr>
          <w:rFonts w:hint="eastAsia" w:ascii="宋体" w:hAnsi="宋体" w:cs="宋体"/>
          <w:color w:val="auto"/>
          <w:kern w:val="0"/>
          <w:sz w:val="24"/>
          <w:highlight w:val="none"/>
          <w:lang w:val="en-GB"/>
        </w:rPr>
        <w:t>向采购人推荐前三名为成交候选供应商，排名第一的为成交候选供应商，排名靠后的前</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名为备选成交候选供应商</w:t>
      </w:r>
      <w:r>
        <w:rPr>
          <w:rFonts w:hint="eastAsia" w:ascii="宋体" w:hAnsi="宋体"/>
          <w:color w:val="auto"/>
          <w:kern w:val="0"/>
          <w:sz w:val="24"/>
          <w:highlight w:val="none"/>
          <w:lang w:val="en-GB"/>
        </w:rPr>
        <w:t>。</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成交候选供应商因特殊原因放弃成交或因不可抗力提出不能履行合同，才可依评标排名次序的备选成交候选供应商依次递补为成交供应商</w:t>
      </w:r>
      <w:r>
        <w:rPr>
          <w:rFonts w:hint="eastAsia" w:ascii="宋体" w:hAnsi="宋体"/>
          <w:color w:val="auto"/>
          <w:kern w:val="0"/>
          <w:sz w:val="24"/>
          <w:highlight w:val="none"/>
          <w:lang w:val="en-GB"/>
        </w:rPr>
        <w:t>。</w:t>
      </w:r>
    </w:p>
    <w:p>
      <w:pPr>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.3</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成交供应商确定后，采购代理机构将在政府采购指定媒体上公示成交结果</w:t>
      </w:r>
      <w:r>
        <w:rPr>
          <w:rFonts w:hint="eastAsia" w:ascii="宋体" w:hAnsi="宋体"/>
          <w:color w:val="auto"/>
          <w:kern w:val="0"/>
          <w:sz w:val="24"/>
          <w:highlight w:val="none"/>
          <w:lang w:val="en-GB"/>
        </w:rPr>
        <w:t>。</w:t>
      </w:r>
    </w:p>
    <w:p>
      <w:pPr>
        <w:pStyle w:val="12"/>
        <w:adjustRightInd w:val="0"/>
        <w:snapToGrid w:val="0"/>
        <w:spacing w:line="440" w:lineRule="exact"/>
        <w:ind w:firstLine="480" w:firstLineChars="200"/>
        <w:rPr>
          <w:rFonts w:hint="eastAsia" w:hAnsi="宋体" w:cs="宋体"/>
          <w:color w:val="auto"/>
          <w:kern w:val="0"/>
          <w:sz w:val="24"/>
          <w:highlight w:val="none"/>
          <w:lang w:val="en-GB"/>
        </w:rPr>
      </w:pPr>
      <w:r>
        <w:rPr>
          <w:rFonts w:hint="eastAsia" w:hAnsi="宋体" w:cs="宋体"/>
          <w:color w:val="auto"/>
          <w:kern w:val="0"/>
          <w:sz w:val="24"/>
          <w:highlight w:val="none"/>
          <w:lang w:val="en-GB"/>
        </w:rPr>
        <w:t>2</w:t>
      </w:r>
      <w:r>
        <w:rPr>
          <w:rFonts w:hint="eastAsia" w:hAnsi="宋体" w:cs="宋体"/>
          <w:color w:val="auto"/>
          <w:kern w:val="0"/>
          <w:sz w:val="24"/>
          <w:highlight w:val="none"/>
        </w:rPr>
        <w:t>1</w:t>
      </w:r>
      <w:r>
        <w:rPr>
          <w:rFonts w:hint="eastAsia" w:hAnsi="宋体" w:cs="宋体"/>
          <w:color w:val="auto"/>
          <w:kern w:val="0"/>
          <w:sz w:val="24"/>
          <w:highlight w:val="none"/>
          <w:lang w:val="en-GB"/>
        </w:rPr>
        <w:t>.4</w:t>
      </w:r>
      <w:r>
        <w:rPr>
          <w:rFonts w:hint="eastAsia" w:hAnsi="宋体" w:cs="宋体"/>
          <w:color w:val="auto"/>
          <w:kern w:val="0"/>
          <w:sz w:val="24"/>
          <w:highlight w:val="none"/>
        </w:rPr>
        <w:t xml:space="preserve"> </w:t>
      </w:r>
      <w:r>
        <w:rPr>
          <w:rFonts w:hint="eastAsia" w:hAnsi="宋体" w:cs="宋体"/>
          <w:color w:val="auto"/>
          <w:kern w:val="0"/>
          <w:sz w:val="24"/>
          <w:highlight w:val="none"/>
          <w:lang w:val="en-GB"/>
        </w:rPr>
        <w:t>凡是属于审查、澄清、评价和比较报价的有关资料以及成交意向等，磋商小组及有关工作人员自始至终均不得向供应商或其它无关的人员透露</w:t>
      </w:r>
      <w:r>
        <w:rPr>
          <w:rFonts w:hint="eastAsia" w:hAnsi="宋体"/>
          <w:color w:val="auto"/>
          <w:kern w:val="0"/>
          <w:sz w:val="24"/>
          <w:highlight w:val="none"/>
          <w:lang w:val="en-GB"/>
        </w:rPr>
        <w:t>。</w:t>
      </w:r>
    </w:p>
    <w:p>
      <w:pPr>
        <w:tabs>
          <w:tab w:val="left" w:pos="360"/>
          <w:tab w:val="left" w:pos="96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.5</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在评审期间，供应商企图影响采购人、采购代理机构和磋商小组而获得评审信息的任何活动，都将导致其响应文件被拒绝，并承担相应的法律责任</w:t>
      </w:r>
      <w:r>
        <w:rPr>
          <w:rFonts w:hint="eastAsia" w:ascii="宋体" w:hAnsi="宋体"/>
          <w:color w:val="auto"/>
          <w:kern w:val="0"/>
          <w:sz w:val="24"/>
          <w:highlight w:val="none"/>
          <w:lang w:val="en-GB"/>
        </w:rPr>
        <w:t>。</w:t>
      </w:r>
    </w:p>
    <w:p>
      <w:pPr>
        <w:tabs>
          <w:tab w:val="left" w:pos="0"/>
        </w:tabs>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lang w:val="en-GB"/>
        </w:rPr>
        <w:t>2</w:t>
      </w:r>
      <w:r>
        <w:rPr>
          <w:rFonts w:hint="eastAsia" w:ascii="宋体" w:hAnsi="宋体" w:cs="宋体"/>
          <w:b/>
          <w:bCs/>
          <w:color w:val="auto"/>
          <w:kern w:val="0"/>
          <w:sz w:val="24"/>
          <w:highlight w:val="none"/>
        </w:rPr>
        <w:t>2、</w:t>
      </w:r>
      <w:r>
        <w:rPr>
          <w:rFonts w:hint="eastAsia" w:ascii="宋体" w:hAnsi="宋体" w:cs="宋体"/>
          <w:b/>
          <w:bCs/>
          <w:color w:val="auto"/>
          <w:kern w:val="0"/>
          <w:sz w:val="24"/>
          <w:highlight w:val="none"/>
          <w:lang w:val="en-GB"/>
        </w:rPr>
        <w:t>公告</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代理机构将在指定的网站</w:t>
      </w:r>
      <w:r>
        <w:rPr>
          <w:rFonts w:hint="eastAsia" w:ascii="宋体" w:hAnsi="宋体" w:cs="宋体"/>
          <w:bCs/>
          <w:color w:val="auto"/>
          <w:kern w:val="0"/>
          <w:sz w:val="24"/>
          <w:highlight w:val="none"/>
          <w:lang w:val="en-US" w:eastAsia="zh-CN"/>
        </w:rPr>
        <w:t>海南</w:t>
      </w:r>
      <w:r>
        <w:rPr>
          <w:rFonts w:hint="eastAsia" w:ascii="宋体" w:hAnsi="宋体" w:cs="宋体"/>
          <w:bCs/>
          <w:color w:val="auto"/>
          <w:kern w:val="0"/>
          <w:sz w:val="24"/>
          <w:highlight w:val="none"/>
          <w:lang w:val="en-GB"/>
        </w:rPr>
        <w:t>政府采购网</w:t>
      </w:r>
      <w:r>
        <w:rPr>
          <w:rFonts w:hint="eastAsia" w:ascii="宋体" w:hAnsi="宋体" w:cs="宋体"/>
          <w:color w:val="auto"/>
          <w:kern w:val="0"/>
          <w:sz w:val="24"/>
          <w:highlight w:val="none"/>
          <w:lang w:val="en-GB"/>
        </w:rPr>
        <w:t>上发布磋商公告、更正公告、通知、成交公告等磋商采购过程中的所有信息，请务必关注网上公告。</w:t>
      </w:r>
    </w:p>
    <w:p>
      <w:pPr>
        <w:tabs>
          <w:tab w:val="left" w:pos="0"/>
        </w:tabs>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23、</w:t>
      </w:r>
      <w:r>
        <w:rPr>
          <w:rFonts w:hint="eastAsia" w:ascii="宋体" w:hAnsi="宋体" w:cs="宋体"/>
          <w:b/>
          <w:bCs/>
          <w:color w:val="auto"/>
          <w:kern w:val="0"/>
          <w:sz w:val="24"/>
          <w:highlight w:val="none"/>
          <w:lang w:val="en-GB"/>
        </w:rPr>
        <w:t>质疑和投诉</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23</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如果供应商对本次磋商活动有疑问，可依据《中华人民共和国政府采购法》和相关规定，向采购代理机构提出质疑。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23</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rPr>
          <w:rFonts w:hint="eastAsia" w:ascii="宋体" w:hAnsi="宋体" w:cs="宋体"/>
          <w:color w:val="auto"/>
          <w:kern w:val="0"/>
          <w:sz w:val="24"/>
          <w:highlight w:val="none"/>
        </w:rPr>
      </w:pPr>
      <w:r>
        <w:rPr>
          <w:rFonts w:hint="eastAsia" w:ascii="宋体" w:hAnsi="宋体"/>
          <w:color w:val="auto"/>
          <w:sz w:val="24"/>
          <w:highlight w:val="none"/>
        </w:rPr>
        <w:t xml:space="preserve">    23.3</w:t>
      </w:r>
      <w:r>
        <w:rPr>
          <w:rFonts w:hint="eastAsia" w:ascii="宋体" w:hAnsi="宋体" w:cs="宋体"/>
          <w:color w:val="auto"/>
          <w:sz w:val="24"/>
          <w:highlight w:val="none"/>
        </w:rPr>
        <w:t xml:space="preserve"> 供应商如认为磋商文件、招标过程和成交结果使自己的权益受到损害的，应在知道或应知道其权益受到损害之日起7个工作日内，以书面形式</w:t>
      </w:r>
      <w:r>
        <w:rPr>
          <w:rFonts w:hint="eastAsia" w:ascii="宋体" w:hAnsi="宋体" w:cs="宋体"/>
          <w:color w:val="auto"/>
          <w:sz w:val="24"/>
          <w:highlight w:val="none"/>
          <w:lang w:val="en-US" w:eastAsia="zh-CN"/>
        </w:rPr>
        <w:t>一次性</w:t>
      </w:r>
      <w:r>
        <w:rPr>
          <w:rFonts w:hint="eastAsia" w:ascii="宋体" w:hAnsi="宋体" w:cs="宋体"/>
          <w:color w:val="auto"/>
          <w:sz w:val="24"/>
          <w:highlight w:val="none"/>
        </w:rPr>
        <w:t>向采购代理机构提出质疑。匿名、非书面形式、7个工作日之外的质疑均不予受理</w:t>
      </w:r>
      <w:r>
        <w:rPr>
          <w:rFonts w:hint="eastAsia" w:ascii="宋体" w:hAnsi="宋体"/>
          <w:color w:val="auto"/>
          <w:sz w:val="24"/>
          <w:highlight w:val="none"/>
        </w:rPr>
        <w:t>。</w:t>
      </w:r>
    </w:p>
    <w:p>
      <w:pPr>
        <w:pStyle w:val="12"/>
        <w:adjustRightInd w:val="0"/>
        <w:snapToGrid w:val="0"/>
        <w:spacing w:before="156" w:beforeLines="50" w:after="156" w:afterLines="50" w:line="440" w:lineRule="exact"/>
        <w:rPr>
          <w:rFonts w:hint="eastAsia" w:hAnsi="宋体" w:cs="宋体"/>
          <w:b/>
          <w:color w:val="auto"/>
          <w:sz w:val="28"/>
          <w:szCs w:val="28"/>
          <w:highlight w:val="none"/>
          <w:lang w:val="en-GB"/>
        </w:rPr>
      </w:pPr>
      <w:r>
        <w:rPr>
          <w:rFonts w:hint="eastAsia" w:hAnsi="宋体" w:cs="宋体"/>
          <w:b/>
          <w:color w:val="auto"/>
          <w:sz w:val="28"/>
          <w:szCs w:val="28"/>
          <w:highlight w:val="none"/>
          <w:lang w:val="en-GB"/>
        </w:rPr>
        <w:t>（八）合同</w:t>
      </w:r>
    </w:p>
    <w:p>
      <w:pPr>
        <w:autoSpaceDE w:val="0"/>
        <w:autoSpaceDN w:val="0"/>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24、</w:t>
      </w:r>
      <w:r>
        <w:rPr>
          <w:rFonts w:hint="eastAsia" w:ascii="宋体" w:hAnsi="宋体" w:cs="宋体"/>
          <w:b/>
          <w:bCs/>
          <w:color w:val="auto"/>
          <w:kern w:val="0"/>
          <w:sz w:val="24"/>
          <w:highlight w:val="none"/>
          <w:lang w:val="en-GB"/>
        </w:rPr>
        <w:t>合同授予标准</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除本须知第</w:t>
      </w:r>
      <w:r>
        <w:rPr>
          <w:rFonts w:hint="eastAsia" w:ascii="宋体" w:hAnsi="宋体" w:cs="宋体"/>
          <w:color w:val="auto"/>
          <w:kern w:val="0"/>
          <w:sz w:val="24"/>
          <w:highlight w:val="none"/>
        </w:rPr>
        <w:t>14.4</w:t>
      </w:r>
      <w:r>
        <w:rPr>
          <w:rFonts w:hint="eastAsia" w:ascii="宋体" w:hAnsi="宋体" w:cs="宋体"/>
          <w:color w:val="auto"/>
          <w:kern w:val="0"/>
          <w:sz w:val="24"/>
          <w:highlight w:val="none"/>
          <w:lang w:val="en-GB"/>
        </w:rPr>
        <w:t>条的规定之外，采购人将与成交供应商签订供货合同。</w:t>
      </w:r>
    </w:p>
    <w:p>
      <w:pPr>
        <w:autoSpaceDE w:val="0"/>
        <w:autoSpaceDN w:val="0"/>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25、</w:t>
      </w:r>
      <w:r>
        <w:rPr>
          <w:rFonts w:hint="eastAsia" w:ascii="宋体" w:hAnsi="宋体" w:cs="宋体"/>
          <w:b/>
          <w:bCs/>
          <w:color w:val="auto"/>
          <w:kern w:val="0"/>
          <w:sz w:val="24"/>
          <w:highlight w:val="none"/>
          <w:lang w:val="en-GB"/>
        </w:rPr>
        <w:t>接受和拒绝任何或所有响应文件的权力</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在特殊情况下，磋商小组、采购代理机构和采购人在报经监管部门同意后，保留在授予合同之前拒绝任何报价以及宣布谈判程序无效或拒绝所有响应的权力。</w:t>
      </w:r>
    </w:p>
    <w:p>
      <w:pPr>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26、</w:t>
      </w:r>
      <w:r>
        <w:rPr>
          <w:rFonts w:hint="eastAsia" w:ascii="宋体" w:hAnsi="宋体" w:cs="宋体"/>
          <w:b/>
          <w:bCs/>
          <w:color w:val="auto"/>
          <w:kern w:val="0"/>
          <w:sz w:val="24"/>
          <w:highlight w:val="none"/>
          <w:lang w:val="en-GB"/>
        </w:rPr>
        <w:t>签订合同</w:t>
      </w:r>
    </w:p>
    <w:p>
      <w:pPr>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26</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采购人应按磋商文件和成交供应商的响应文件订立书面合同，不得超出磋商文件和成交供应商响应文件的范围，也不得另行订立背离合同实质性内容的其他协议。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rPr>
        <w:t>26</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采购人应在成交通知书发出之日起</w:t>
      </w:r>
      <w:r>
        <w:rPr>
          <w:rFonts w:hint="eastAsia" w:ascii="宋体" w:hAnsi="宋体" w:cs="宋体"/>
          <w:b/>
          <w:bCs/>
          <w:color w:val="auto"/>
          <w:kern w:val="0"/>
          <w:sz w:val="24"/>
          <w:highlight w:val="none"/>
          <w:u w:val="single"/>
          <w:lang w:val="en-US" w:eastAsia="zh-CN"/>
        </w:rPr>
        <w:t>5工作日内</w:t>
      </w:r>
      <w:r>
        <w:rPr>
          <w:rFonts w:hint="eastAsia" w:ascii="宋体" w:hAnsi="宋体" w:cs="宋体"/>
          <w:color w:val="auto"/>
          <w:kern w:val="0"/>
          <w:sz w:val="24"/>
          <w:highlight w:val="none"/>
          <w:lang w:val="en-GB"/>
        </w:rPr>
        <w:t>与成交供应商签订政府采购合同。</w:t>
      </w:r>
    </w:p>
    <w:p>
      <w:pPr>
        <w:autoSpaceDE w:val="0"/>
        <w:autoSpaceDN w:val="0"/>
        <w:adjustRightInd w:val="0"/>
        <w:snapToGrid w:val="0"/>
        <w:spacing w:line="440" w:lineRule="exact"/>
        <w:rPr>
          <w:rFonts w:hint="eastAsia" w:ascii="宋体" w:hAnsi="宋体" w:cs="宋体"/>
          <w:b/>
          <w:bCs/>
          <w:color w:val="auto"/>
          <w:kern w:val="0"/>
          <w:sz w:val="24"/>
          <w:highlight w:val="none"/>
          <w:lang w:val="en-GB"/>
        </w:rPr>
      </w:pPr>
      <w:r>
        <w:rPr>
          <w:rFonts w:hint="eastAsia" w:ascii="宋体" w:hAnsi="宋体" w:cs="宋体"/>
          <w:b/>
          <w:bCs/>
          <w:color w:val="auto"/>
          <w:kern w:val="0"/>
          <w:sz w:val="24"/>
          <w:highlight w:val="none"/>
        </w:rPr>
        <w:t>27</w:t>
      </w:r>
      <w:r>
        <w:rPr>
          <w:rFonts w:hint="eastAsia" w:ascii="宋体" w:hAnsi="宋体" w:cs="宋体"/>
          <w:b/>
          <w:bCs/>
          <w:color w:val="auto"/>
          <w:kern w:val="0"/>
          <w:sz w:val="24"/>
          <w:highlight w:val="none"/>
          <w:lang w:val="en-GB"/>
        </w:rPr>
        <w:t>、付款</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按照政府采购有关规定办理。</w:t>
      </w:r>
    </w:p>
    <w:p>
      <w:pPr>
        <w:autoSpaceDE w:val="0"/>
        <w:autoSpaceDN w:val="0"/>
        <w:adjustRightInd w:val="0"/>
        <w:snapToGrid w:val="0"/>
        <w:spacing w:line="440" w:lineRule="exact"/>
        <w:rPr>
          <w:rFonts w:hint="eastAsia" w:ascii="宋体" w:hAnsi="宋体" w:cs="宋体"/>
          <w:color w:val="auto"/>
          <w:kern w:val="0"/>
          <w:sz w:val="24"/>
          <w:highlight w:val="none"/>
          <w:lang w:val="en-GB"/>
        </w:rPr>
      </w:pPr>
      <w:r>
        <w:rPr>
          <w:rFonts w:hint="eastAsia" w:ascii="宋体" w:hAnsi="宋体" w:cs="宋体"/>
          <w:b/>
          <w:bCs/>
          <w:color w:val="auto"/>
          <w:kern w:val="0"/>
          <w:sz w:val="24"/>
          <w:highlight w:val="none"/>
        </w:rPr>
        <w:t>28</w:t>
      </w:r>
      <w:r>
        <w:rPr>
          <w:rFonts w:hint="eastAsia" w:ascii="宋体" w:hAnsi="宋体" w:cs="宋体"/>
          <w:b/>
          <w:bCs/>
          <w:color w:val="auto"/>
          <w:kern w:val="0"/>
          <w:sz w:val="24"/>
          <w:highlight w:val="none"/>
          <w:lang w:val="en-GB"/>
        </w:rPr>
        <w:t>、适用法律</w:t>
      </w:r>
    </w:p>
    <w:p>
      <w:pPr>
        <w:autoSpaceDE w:val="0"/>
        <w:autoSpaceDN w:val="0"/>
        <w:adjustRightInd w:val="0"/>
        <w:snapToGrid w:val="0"/>
        <w:spacing w:line="440" w:lineRule="exact"/>
        <w:ind w:firstLine="480" w:firstLineChars="200"/>
        <w:rPr>
          <w:rFonts w:hint="eastAsia" w:ascii="宋体" w:hAnsi="宋体" w:cs="宋体"/>
          <w:color w:val="auto"/>
          <w:kern w:val="0"/>
          <w:sz w:val="24"/>
          <w:highlight w:val="none"/>
          <w:lang w:val="en-GB"/>
        </w:rPr>
      </w:pPr>
      <w:r>
        <w:rPr>
          <w:rFonts w:hint="eastAsia" w:ascii="宋体" w:hAnsi="宋体" w:cs="宋体"/>
          <w:color w:val="auto"/>
          <w:kern w:val="0"/>
          <w:sz w:val="24"/>
          <w:highlight w:val="none"/>
          <w:lang w:val="en-GB"/>
        </w:rPr>
        <w:t>采购人、采购代理机构及供应商的一切磋商活动均适用于《中华人民共和国政府采购法》及相关规定。</w:t>
      </w:r>
    </w:p>
    <w:p>
      <w:pPr>
        <w:spacing w:before="156" w:beforeLines="50" w:after="156" w:afterLines="50" w:line="360" w:lineRule="auto"/>
        <w:jc w:val="both"/>
        <w:outlineLvl w:val="0"/>
        <w:rPr>
          <w:rStyle w:val="50"/>
          <w:rFonts w:hint="eastAsia" w:ascii="宋体" w:hAnsi="宋体" w:cs="宋体"/>
          <w:b/>
          <w:color w:val="auto"/>
          <w:sz w:val="44"/>
          <w:szCs w:val="44"/>
          <w:highlight w:val="none"/>
        </w:rPr>
      </w:pPr>
      <w:bookmarkStart w:id="148" w:name="_Toc607"/>
      <w:r>
        <w:rPr>
          <w:rStyle w:val="50"/>
          <w:rFonts w:hint="eastAsia" w:ascii="宋体" w:hAnsi="宋体" w:cs="宋体"/>
          <w:b/>
          <w:color w:val="auto"/>
          <w:sz w:val="44"/>
          <w:szCs w:val="44"/>
          <w:highlight w:val="none"/>
        </w:rPr>
        <w:br w:type="textWrapping"/>
      </w:r>
      <w:bookmarkEnd w:id="148"/>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Style w:val="50"/>
          <w:rFonts w:hint="eastAsia" w:ascii="宋体" w:hAnsi="宋体" w:cs="宋体"/>
          <w:b/>
          <w:color w:val="auto"/>
          <w:sz w:val="44"/>
          <w:szCs w:val="44"/>
          <w:highlight w:val="none"/>
        </w:rPr>
      </w:pPr>
    </w:p>
    <w:p>
      <w:pPr>
        <w:rPr>
          <w:rStyle w:val="50"/>
          <w:rFonts w:hint="eastAsia" w:ascii="宋体" w:hAnsi="宋体" w:cs="宋体"/>
          <w:b/>
          <w:color w:val="auto"/>
          <w:sz w:val="44"/>
          <w:szCs w:val="44"/>
          <w:highlight w:val="none"/>
        </w:rPr>
      </w:pPr>
    </w:p>
    <w:p>
      <w:pPr>
        <w:pStyle w:val="2"/>
        <w:rPr>
          <w:rFonts w:hint="eastAsia"/>
        </w:rPr>
      </w:pPr>
    </w:p>
    <w:p>
      <w:pPr>
        <w:spacing w:before="156" w:beforeLines="50" w:after="156" w:afterLines="50" w:line="360" w:lineRule="auto"/>
        <w:jc w:val="center"/>
        <w:outlineLvl w:val="0"/>
        <w:rPr>
          <w:rFonts w:hint="eastAsia" w:ascii="宋体" w:hAnsi="宋体" w:eastAsia="宋体" w:cs="宋体"/>
          <w:b/>
          <w:color w:val="auto"/>
          <w:sz w:val="44"/>
          <w:szCs w:val="44"/>
          <w:highlight w:val="none"/>
          <w:lang w:eastAsia="zh-CN"/>
        </w:rPr>
      </w:pPr>
      <w:bookmarkStart w:id="149" w:name="_Toc9769"/>
      <w:r>
        <w:rPr>
          <w:rStyle w:val="50"/>
          <w:rFonts w:hint="eastAsia" w:ascii="宋体" w:hAnsi="宋体" w:cs="宋体"/>
          <w:b/>
          <w:color w:val="auto"/>
          <w:sz w:val="44"/>
          <w:szCs w:val="44"/>
          <w:highlight w:val="none"/>
        </w:rPr>
        <w:t>第三部分  合同条款及格式</w:t>
      </w:r>
      <w:r>
        <w:rPr>
          <w:rFonts w:hint="eastAsia" w:ascii="宋体" w:hAnsi="宋体" w:cs="宋体"/>
          <w:b/>
          <w:color w:val="auto"/>
          <w:sz w:val="44"/>
          <w:szCs w:val="44"/>
          <w:highlight w:val="none"/>
          <w:lang w:eastAsia="zh-CN"/>
        </w:rPr>
        <w:t>（</w:t>
      </w:r>
      <w:r>
        <w:rPr>
          <w:rFonts w:hint="eastAsia" w:ascii="宋体" w:hAnsi="宋体" w:cs="宋体"/>
          <w:b/>
          <w:color w:val="auto"/>
          <w:sz w:val="44"/>
          <w:szCs w:val="44"/>
          <w:highlight w:val="none"/>
          <w:lang w:val="en-US" w:eastAsia="zh-CN"/>
        </w:rPr>
        <w:t>仅供参考</w:t>
      </w:r>
      <w:r>
        <w:rPr>
          <w:rFonts w:hint="eastAsia" w:ascii="宋体" w:hAnsi="宋体" w:cs="宋体"/>
          <w:b/>
          <w:color w:val="auto"/>
          <w:sz w:val="44"/>
          <w:szCs w:val="44"/>
          <w:highlight w:val="none"/>
          <w:lang w:eastAsia="zh-CN"/>
        </w:rPr>
        <w:t>）</w:t>
      </w:r>
      <w:bookmarkEnd w:id="149"/>
    </w:p>
    <w:p>
      <w:pPr>
        <w:widowControl w:val="0"/>
        <w:kinsoku/>
        <w:autoSpaceDE/>
        <w:autoSpaceDN/>
        <w:adjustRightInd/>
        <w:snapToGrid/>
        <w:spacing w:line="360" w:lineRule="auto"/>
        <w:jc w:val="both"/>
        <w:textAlignment w:val="auto"/>
        <w:rPr>
          <w:rFonts w:ascii="宋体" w:hAnsi="宋体" w:eastAsia="宋体" w:cs="宋体"/>
          <w:b/>
          <w:snapToGrid/>
          <w:color w:val="auto"/>
          <w:kern w:val="2"/>
          <w:sz w:val="32"/>
          <w:szCs w:val="32"/>
          <w:lang w:val="en-US" w:eastAsia="zh-CN" w:bidi="ar-SA"/>
        </w:rPr>
      </w:pPr>
    </w:p>
    <w:p>
      <w:pPr>
        <w:widowControl w:val="0"/>
        <w:kinsoku/>
        <w:autoSpaceDE/>
        <w:autoSpaceDN/>
        <w:adjustRightInd/>
        <w:snapToGrid/>
        <w:spacing w:line="360" w:lineRule="auto"/>
        <w:jc w:val="center"/>
        <w:textAlignment w:val="auto"/>
        <w:rPr>
          <w:rFonts w:hint="eastAsia" w:ascii="宋体" w:hAnsi="宋体" w:eastAsia="宋体" w:cs="宋体"/>
          <w:b/>
          <w:snapToGrid/>
          <w:color w:val="auto"/>
          <w:kern w:val="2"/>
          <w:sz w:val="32"/>
          <w:szCs w:val="32"/>
          <w:lang w:val="en-US" w:eastAsia="zh-CN" w:bidi="ar-SA"/>
        </w:rPr>
      </w:pPr>
      <w:r>
        <w:rPr>
          <w:rFonts w:hint="eastAsia" w:ascii="宋体" w:hAnsi="宋体" w:eastAsia="宋体" w:cs="宋体"/>
          <w:b/>
          <w:snapToGrid/>
          <w:color w:val="auto"/>
          <w:kern w:val="2"/>
          <w:sz w:val="32"/>
          <w:szCs w:val="32"/>
          <w:lang w:val="en-US" w:eastAsia="zh-CN" w:bidi="ar-SA"/>
        </w:rPr>
        <w:t>万宁市卫生健康委员会</w:t>
      </w:r>
    </w:p>
    <w:p>
      <w:pPr>
        <w:widowControl w:val="0"/>
        <w:kinsoku/>
        <w:autoSpaceDE/>
        <w:autoSpaceDN/>
        <w:adjustRightInd/>
        <w:snapToGrid/>
        <w:spacing w:line="360" w:lineRule="auto"/>
        <w:jc w:val="center"/>
        <w:textAlignment w:val="auto"/>
        <w:rPr>
          <w:rFonts w:hint="eastAsia" w:ascii="宋体" w:hAnsi="宋体" w:eastAsia="宋体" w:cs="宋体"/>
          <w:b/>
          <w:snapToGrid/>
          <w:color w:val="auto"/>
          <w:kern w:val="2"/>
          <w:sz w:val="32"/>
          <w:szCs w:val="32"/>
          <w:lang w:val="en-US" w:eastAsia="zh-CN" w:bidi="ar-SA"/>
        </w:rPr>
      </w:pPr>
      <w:r>
        <w:rPr>
          <w:rFonts w:hint="eastAsia" w:ascii="宋体" w:hAnsi="宋体" w:eastAsia="宋体" w:cs="宋体"/>
          <w:b/>
          <w:snapToGrid/>
          <w:color w:val="auto"/>
          <w:kern w:val="2"/>
          <w:sz w:val="32"/>
          <w:szCs w:val="32"/>
          <w:lang w:val="en-US" w:eastAsia="zh-CN" w:bidi="ar-SA"/>
        </w:rPr>
        <w:t>项目名称：2023年万宁市建成区及兴隆区、和乐镇病媒生物防制服务项目（包号：A包/B包）</w:t>
      </w:r>
    </w:p>
    <w:p>
      <w:pPr>
        <w:widowControl w:val="0"/>
        <w:kinsoku/>
        <w:autoSpaceDE/>
        <w:autoSpaceDN/>
        <w:adjustRightInd/>
        <w:snapToGrid/>
        <w:spacing w:line="360" w:lineRule="auto"/>
        <w:jc w:val="center"/>
        <w:textAlignment w:val="auto"/>
        <w:rPr>
          <w:rFonts w:ascii="宋体" w:hAnsi="宋体" w:eastAsia="宋体" w:cs="宋体"/>
          <w:b/>
          <w:snapToGrid/>
          <w:color w:val="auto"/>
          <w:kern w:val="2"/>
          <w:sz w:val="32"/>
          <w:szCs w:val="32"/>
          <w:lang w:val="en-US" w:eastAsia="zh-CN" w:bidi="ar-SA"/>
        </w:rPr>
      </w:pPr>
      <w:r>
        <w:rPr>
          <w:rFonts w:hint="eastAsia" w:ascii="宋体" w:hAnsi="宋体" w:eastAsia="宋体" w:cs="宋体"/>
          <w:b/>
          <w:snapToGrid/>
          <w:color w:val="auto"/>
          <w:kern w:val="2"/>
          <w:sz w:val="32"/>
          <w:szCs w:val="32"/>
          <w:lang w:val="en-US" w:eastAsia="zh-CN" w:bidi="ar-SA"/>
        </w:rPr>
        <w:t>采购合同（仅供参考）</w:t>
      </w:r>
    </w:p>
    <w:p>
      <w:pPr>
        <w:widowControl w:val="0"/>
        <w:kinsoku/>
        <w:autoSpaceDE/>
        <w:autoSpaceDN/>
        <w:adjustRightInd/>
        <w:snapToGrid/>
        <w:spacing w:line="360" w:lineRule="auto"/>
        <w:jc w:val="center"/>
        <w:textAlignment w:val="auto"/>
        <w:rPr>
          <w:rFonts w:ascii="宋体" w:hAnsi="宋体" w:eastAsia="宋体" w:cs="宋体"/>
          <w:b/>
          <w:bCs/>
          <w:snapToGrid/>
          <w:color w:val="auto"/>
          <w:kern w:val="2"/>
          <w:sz w:val="28"/>
          <w:szCs w:val="28"/>
          <w:lang w:val="en-US" w:eastAsia="zh-CN" w:bidi="ar-SA"/>
        </w:rPr>
      </w:pPr>
    </w:p>
    <w:p>
      <w:pPr>
        <w:keepNext/>
        <w:keepLines/>
        <w:widowControl w:val="0"/>
        <w:spacing w:line="413" w:lineRule="auto"/>
        <w:jc w:val="both"/>
        <w:outlineLvl w:val="1"/>
        <w:rPr>
          <w:rFonts w:ascii="Arial" w:hAnsi="Arial" w:eastAsia="黑体" w:cs="Times New Roman"/>
          <w:b/>
          <w:bCs/>
          <w:kern w:val="2"/>
          <w:sz w:val="32"/>
          <w:szCs w:val="32"/>
          <w:lang w:val="en-US" w:eastAsia="zh-CN" w:bidi="ar-SA"/>
        </w:rPr>
      </w:pPr>
    </w:p>
    <w:p>
      <w:pPr>
        <w:widowControl w:val="0"/>
        <w:kinsoku/>
        <w:autoSpaceDE/>
        <w:autoSpaceDN/>
        <w:adjustRightInd/>
        <w:snapToGrid/>
        <w:spacing w:line="360" w:lineRule="auto"/>
        <w:jc w:val="center"/>
        <w:textAlignment w:val="auto"/>
        <w:rPr>
          <w:rFonts w:ascii="宋体" w:hAnsi="宋体" w:eastAsia="宋体" w:cs="宋体"/>
          <w:b/>
          <w:bCs/>
          <w:snapToGrid/>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eastAsia="宋体" w:cs="宋体"/>
          <w:b/>
          <w:bCs/>
          <w:snapToGrid/>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ascii="宋体" w:hAnsi="宋体" w:eastAsia="宋体" w:cs="宋体"/>
          <w:b/>
          <w:snapToGrid/>
          <w:color w:val="auto"/>
          <w:kern w:val="2"/>
          <w:sz w:val="28"/>
          <w:szCs w:val="28"/>
          <w:lang w:val="en-US" w:eastAsia="zh-CN" w:bidi="ar-SA"/>
        </w:rPr>
      </w:pPr>
      <w:r>
        <w:rPr>
          <w:rFonts w:hint="eastAsia" w:ascii="宋体" w:hAnsi="宋体" w:eastAsia="宋体" w:cs="宋体"/>
          <w:b/>
          <w:bCs/>
          <w:snapToGrid/>
          <w:color w:val="auto"/>
          <w:kern w:val="2"/>
          <w:sz w:val="28"/>
          <w:szCs w:val="28"/>
          <w:lang w:val="en-US" w:eastAsia="zh-CN" w:bidi="ar-SA"/>
        </w:rPr>
        <w:t xml:space="preserve">      项目编号：</w:t>
      </w:r>
      <w:r>
        <w:rPr>
          <w:rFonts w:hint="eastAsia" w:ascii="宋体" w:hAnsi="宋体" w:eastAsia="宋体" w:cs="宋体"/>
          <w:b/>
          <w:bCs/>
          <w:snapToGrid/>
          <w:color w:val="auto"/>
          <w:kern w:val="2"/>
          <w:sz w:val="28"/>
          <w:szCs w:val="28"/>
          <w:u w:val="single"/>
          <w:lang w:val="en-US" w:eastAsia="zh-CN" w:bidi="ar-SA"/>
        </w:rPr>
        <w:t xml:space="preserve">         </w:t>
      </w:r>
      <w:r>
        <w:rPr>
          <w:rFonts w:hint="eastAsia" w:ascii="宋体" w:hAnsi="宋体" w:cs="宋体"/>
          <w:b/>
          <w:bCs/>
          <w:snapToGrid/>
          <w:color w:val="auto"/>
          <w:kern w:val="2"/>
          <w:sz w:val="28"/>
          <w:szCs w:val="28"/>
          <w:u w:val="single"/>
          <w:lang w:val="en-US" w:eastAsia="zh-CN" w:bidi="ar-SA"/>
        </w:rPr>
        <w:t xml:space="preserve"> </w:t>
      </w:r>
      <w:r>
        <w:rPr>
          <w:rFonts w:hint="eastAsia" w:ascii="宋体" w:hAnsi="宋体" w:eastAsia="宋体" w:cs="宋体"/>
          <w:b/>
          <w:bCs/>
          <w:snapToGrid/>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2530" w:hanging="2530" w:hangingChars="900"/>
        <w:jc w:val="both"/>
        <w:textAlignment w:val="auto"/>
        <w:outlineLvl w:val="9"/>
        <w:rPr>
          <w:rFonts w:hint="eastAsia" w:ascii="宋体" w:hAnsi="宋体" w:eastAsia="宋体" w:cs="宋体"/>
          <w:b/>
          <w:bCs/>
          <w:snapToGrid/>
          <w:color w:val="auto"/>
          <w:kern w:val="2"/>
          <w:sz w:val="28"/>
          <w:szCs w:val="28"/>
          <w:lang w:val="en-US" w:eastAsia="zh-CN" w:bidi="ar-SA"/>
        </w:rPr>
      </w:pPr>
      <w:r>
        <w:rPr>
          <w:rFonts w:hint="eastAsia" w:ascii="宋体" w:hAnsi="宋体" w:eastAsia="宋体" w:cs="宋体"/>
          <w:b/>
          <w:bCs/>
          <w:snapToGrid/>
          <w:color w:val="auto"/>
          <w:kern w:val="2"/>
          <w:sz w:val="28"/>
          <w:szCs w:val="28"/>
          <w:lang w:val="en-US" w:eastAsia="zh-CN" w:bidi="ar-SA"/>
        </w:rPr>
        <w:t xml:space="preserve">      项目名称：</w:t>
      </w:r>
      <w:r>
        <w:rPr>
          <w:rFonts w:hint="eastAsia" w:ascii="宋体" w:hAnsi="宋体" w:eastAsia="宋体" w:cs="宋体"/>
          <w:b/>
          <w:bCs/>
          <w:i/>
          <w:iCs/>
          <w:snapToGrid/>
          <w:color w:val="auto"/>
          <w:kern w:val="2"/>
          <w:sz w:val="28"/>
          <w:szCs w:val="28"/>
          <w:u w:val="single"/>
          <w:lang w:val="en-US" w:eastAsia="zh-CN" w:bidi="ar-SA"/>
        </w:rPr>
        <w:t xml:space="preserve"> </w:t>
      </w:r>
      <w:r>
        <w:rPr>
          <w:rFonts w:hint="eastAsia" w:ascii="宋体" w:hAnsi="宋体" w:eastAsia="宋体" w:cs="宋体"/>
          <w:b/>
          <w:bCs/>
          <w:snapToGrid/>
          <w:color w:val="auto"/>
          <w:kern w:val="2"/>
          <w:sz w:val="28"/>
          <w:szCs w:val="28"/>
          <w:u w:val="single"/>
          <w:lang w:val="en-US" w:eastAsia="zh-CN" w:bidi="ar-SA"/>
        </w:rPr>
        <w:t>项目名称：2023年万宁市建成区及兴隆区、和乐镇病媒生物防制服务项目（包号：A包/B包）</w:t>
      </w:r>
      <w:r>
        <w:rPr>
          <w:rFonts w:hint="eastAsia" w:ascii="宋体" w:hAnsi="宋体" w:eastAsia="宋体" w:cs="宋体"/>
          <w:b/>
          <w:bCs/>
          <w:snapToGrid/>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843" w:firstLineChars="300"/>
        <w:jc w:val="both"/>
        <w:textAlignment w:val="auto"/>
        <w:outlineLvl w:val="9"/>
        <w:rPr>
          <w:rFonts w:hint="default" w:ascii="宋体" w:hAnsi="宋体" w:eastAsia="宋体" w:cs="宋体"/>
          <w:b/>
          <w:bCs/>
          <w:snapToGrid/>
          <w:color w:val="auto"/>
          <w:kern w:val="2"/>
          <w:sz w:val="28"/>
          <w:szCs w:val="28"/>
          <w:u w:val="single"/>
          <w:lang w:val="en-US" w:eastAsia="zh-CN" w:bidi="ar-SA"/>
        </w:rPr>
      </w:pPr>
      <w:r>
        <w:rPr>
          <w:rFonts w:hint="eastAsia" w:ascii="宋体" w:hAnsi="宋体" w:eastAsia="宋体" w:cs="宋体"/>
          <w:b/>
          <w:bCs/>
          <w:snapToGrid/>
          <w:color w:val="auto"/>
          <w:kern w:val="2"/>
          <w:sz w:val="28"/>
          <w:szCs w:val="28"/>
          <w:lang w:val="en-US" w:eastAsia="zh-CN" w:bidi="ar-SA"/>
        </w:rPr>
        <w:t>合同编号</w:t>
      </w:r>
      <w:r>
        <w:rPr>
          <w:rFonts w:hint="eastAsia" w:ascii="宋体" w:hAnsi="宋体" w:eastAsia="宋体" w:cs="宋体"/>
          <w:snapToGrid/>
          <w:color w:val="auto"/>
          <w:kern w:val="2"/>
          <w:sz w:val="28"/>
          <w:szCs w:val="28"/>
          <w:lang w:val="en-US" w:eastAsia="zh-CN" w:bidi="ar-SA"/>
        </w:rPr>
        <w:t>：</w:t>
      </w:r>
      <w:r>
        <w:rPr>
          <w:rFonts w:hint="eastAsia" w:ascii="宋体" w:hAnsi="宋体" w:eastAsia="宋体" w:cs="宋体"/>
          <w:b/>
          <w:bCs/>
          <w:snapToGrid/>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57"/>
        <w:jc w:val="center"/>
        <w:textAlignment w:val="auto"/>
        <w:outlineLvl w:val="9"/>
        <w:rPr>
          <w:rFonts w:ascii="宋体" w:hAnsi="宋体" w:eastAsia="宋体" w:cs="宋体"/>
          <w:b/>
          <w:bCs/>
          <w:snapToGrid/>
          <w:color w:val="auto"/>
          <w:kern w:val="2"/>
          <w:sz w:val="28"/>
          <w:szCs w:val="28"/>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57"/>
        <w:jc w:val="center"/>
        <w:textAlignment w:val="auto"/>
        <w:outlineLvl w:val="9"/>
        <w:rPr>
          <w:rFonts w:ascii="宋体" w:hAnsi="宋体" w:eastAsia="宋体" w:cs="宋体"/>
          <w:b/>
          <w:bCs/>
          <w:snapToGrid/>
          <w:color w:val="auto"/>
          <w:kern w:val="2"/>
          <w:sz w:val="20"/>
          <w:szCs w:val="20"/>
          <w:u w:val="singl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ascii="宋体" w:hAnsi="宋体" w:eastAsia="宋体" w:cs="宋体"/>
          <w:b/>
          <w:bCs/>
          <w:snapToGrid/>
          <w:color w:val="auto"/>
          <w:kern w:val="2"/>
          <w:sz w:val="28"/>
          <w:szCs w:val="28"/>
          <w:lang w:val="en-US" w:eastAsia="zh-CN" w:bidi="ar-SA"/>
        </w:rPr>
      </w:pPr>
    </w:p>
    <w:p>
      <w:pPr>
        <w:keepNext/>
        <w:keepLines/>
        <w:widowControl w:val="0"/>
        <w:spacing w:line="413" w:lineRule="auto"/>
        <w:jc w:val="both"/>
        <w:outlineLvl w:val="1"/>
        <w:rPr>
          <w:rFonts w:ascii="Arial" w:hAnsi="Arial" w:eastAsia="黑体"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hint="default" w:ascii="宋体" w:hAnsi="宋体" w:eastAsia="宋体" w:cs="宋体"/>
          <w:b/>
          <w:bCs/>
          <w:snapToGrid/>
          <w:color w:val="auto"/>
          <w:kern w:val="2"/>
          <w:sz w:val="28"/>
          <w:szCs w:val="28"/>
          <w:u w:val="single"/>
          <w:lang w:val="en-US" w:eastAsia="zh-CN" w:bidi="ar-SA"/>
        </w:rPr>
      </w:pPr>
      <w:r>
        <w:rPr>
          <w:rFonts w:hint="eastAsia" w:ascii="宋体" w:hAnsi="宋体" w:eastAsia="宋体" w:cs="宋体"/>
          <w:b/>
          <w:bCs/>
          <w:snapToGrid/>
          <w:color w:val="auto"/>
          <w:kern w:val="2"/>
          <w:sz w:val="28"/>
          <w:szCs w:val="28"/>
          <w:lang w:val="en-US" w:eastAsia="zh-CN" w:bidi="ar-SA"/>
        </w:rPr>
        <w:t>甲方：</w:t>
      </w:r>
      <w:r>
        <w:rPr>
          <w:rFonts w:hint="eastAsia" w:ascii="宋体" w:hAnsi="宋体" w:eastAsia="宋体" w:cs="宋体"/>
          <w:b/>
          <w:snapToGrid/>
          <w:color w:val="auto"/>
          <w:kern w:val="2"/>
          <w:sz w:val="28"/>
          <w:szCs w:val="28"/>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ascii="宋体" w:hAnsi="宋体" w:eastAsia="宋体" w:cs="宋体"/>
          <w:b/>
          <w:bCs/>
          <w:snapToGrid/>
          <w:color w:val="auto"/>
          <w:kern w:val="2"/>
          <w:sz w:val="28"/>
          <w:szCs w:val="28"/>
          <w:u w:val="single"/>
          <w:lang w:val="en-US" w:eastAsia="zh-CN" w:bidi="ar-SA"/>
        </w:rPr>
      </w:pPr>
      <w:r>
        <w:rPr>
          <w:rFonts w:hint="eastAsia" w:ascii="宋体" w:hAnsi="宋体" w:eastAsia="宋体" w:cs="宋体"/>
          <w:b/>
          <w:bCs/>
          <w:snapToGrid/>
          <w:color w:val="auto"/>
          <w:kern w:val="2"/>
          <w:sz w:val="28"/>
          <w:szCs w:val="28"/>
          <w:lang w:val="en-US" w:eastAsia="zh-CN" w:bidi="ar-SA"/>
        </w:rPr>
        <w:t>乙方：</w:t>
      </w:r>
      <w:r>
        <w:rPr>
          <w:rFonts w:hint="eastAsia" w:ascii="宋体" w:hAnsi="宋体" w:eastAsia="宋体" w:cs="宋体"/>
          <w:b/>
          <w:bCs/>
          <w:snapToGrid/>
          <w:color w:val="auto"/>
          <w:kern w:val="2"/>
          <w:sz w:val="28"/>
          <w:szCs w:val="28"/>
          <w:u w:val="single"/>
          <w:lang w:val="en-US" w:eastAsia="zh-CN" w:bidi="ar-SA"/>
        </w:rPr>
        <w:t xml:space="preserve">            成交供应商            </w:t>
      </w:r>
    </w:p>
    <w:p>
      <w:pPr>
        <w:keepNext w:val="0"/>
        <w:keepLines w:val="0"/>
        <w:pageBreakBefore w:val="0"/>
        <w:widowControl w:val="0"/>
        <w:kinsoku/>
        <w:wordWrap/>
        <w:overflowPunct/>
        <w:topLinePunct w:val="0"/>
        <w:autoSpaceDE/>
        <w:autoSpaceDN/>
        <w:bidi w:val="0"/>
        <w:adjustRightInd/>
        <w:snapToGrid/>
        <w:spacing w:line="360" w:lineRule="auto"/>
        <w:ind w:firstLine="1653" w:firstLineChars="588"/>
        <w:jc w:val="both"/>
        <w:textAlignment w:val="auto"/>
        <w:outlineLvl w:val="9"/>
        <w:rPr>
          <w:rFonts w:hint="eastAsia" w:ascii="宋体" w:hAnsi="宋体" w:eastAsia="宋体" w:cs="宋体"/>
          <w:b/>
          <w:snapToGrid/>
          <w:color w:val="auto"/>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eastAsia="宋体" w:cs="宋体"/>
          <w:b/>
          <w:snapToGrid/>
          <w:color w:val="auto"/>
          <w:kern w:val="2"/>
          <w:sz w:val="28"/>
          <w:szCs w:val="28"/>
          <w:lang w:val="en-US" w:eastAsia="zh-CN" w:bidi="ar-SA"/>
        </w:rPr>
      </w:pPr>
      <w:r>
        <w:rPr>
          <w:rFonts w:hint="eastAsia" w:ascii="宋体" w:hAnsi="宋体" w:eastAsia="宋体" w:cs="宋体"/>
          <w:b/>
          <w:snapToGrid/>
          <w:color w:val="auto"/>
          <w:kern w:val="2"/>
          <w:sz w:val="28"/>
          <w:szCs w:val="28"/>
          <w:lang w:val="en-US" w:eastAsia="zh-CN" w:bidi="ar-SA"/>
        </w:rPr>
        <w:t>签订日期：</w:t>
      </w:r>
      <w:r>
        <w:rPr>
          <w:rFonts w:hint="eastAsia" w:ascii="宋体" w:hAnsi="宋体" w:eastAsia="宋体" w:cs="宋体"/>
          <w:b/>
          <w:snapToGrid/>
          <w:color w:val="auto"/>
          <w:kern w:val="2"/>
          <w:sz w:val="28"/>
          <w:szCs w:val="28"/>
          <w:u w:val="single"/>
          <w:lang w:val="en-US" w:eastAsia="zh-CN" w:bidi="ar-SA"/>
        </w:rPr>
        <w:t xml:space="preserve">      </w:t>
      </w:r>
      <w:r>
        <w:rPr>
          <w:rFonts w:hint="eastAsia" w:ascii="宋体" w:hAnsi="宋体" w:eastAsia="宋体" w:cs="宋体"/>
          <w:b/>
          <w:snapToGrid/>
          <w:color w:val="auto"/>
          <w:kern w:val="2"/>
          <w:sz w:val="28"/>
          <w:szCs w:val="28"/>
          <w:lang w:val="en-US" w:eastAsia="zh-CN" w:bidi="ar-SA"/>
        </w:rPr>
        <w:t>年</w:t>
      </w:r>
      <w:r>
        <w:rPr>
          <w:rFonts w:hint="eastAsia" w:ascii="宋体" w:hAnsi="宋体" w:eastAsia="宋体" w:cs="宋体"/>
          <w:b/>
          <w:snapToGrid/>
          <w:color w:val="auto"/>
          <w:kern w:val="2"/>
          <w:sz w:val="28"/>
          <w:szCs w:val="28"/>
          <w:u w:val="single"/>
          <w:lang w:val="en-US" w:eastAsia="zh-CN" w:bidi="ar-SA"/>
        </w:rPr>
        <w:t xml:space="preserve">    </w:t>
      </w:r>
      <w:r>
        <w:rPr>
          <w:rFonts w:hint="eastAsia" w:ascii="宋体" w:hAnsi="宋体" w:eastAsia="宋体" w:cs="宋体"/>
          <w:b/>
          <w:snapToGrid/>
          <w:color w:val="auto"/>
          <w:kern w:val="2"/>
          <w:sz w:val="28"/>
          <w:szCs w:val="28"/>
          <w:lang w:val="en-US" w:eastAsia="zh-CN" w:bidi="ar-SA"/>
        </w:rPr>
        <w:t>月</w:t>
      </w:r>
      <w:r>
        <w:rPr>
          <w:rFonts w:hint="eastAsia" w:ascii="宋体" w:hAnsi="宋体" w:eastAsia="宋体" w:cs="宋体"/>
          <w:b/>
          <w:snapToGrid/>
          <w:color w:val="auto"/>
          <w:kern w:val="2"/>
          <w:sz w:val="28"/>
          <w:szCs w:val="28"/>
          <w:u w:val="single"/>
          <w:lang w:val="en-US" w:eastAsia="zh-CN" w:bidi="ar-SA"/>
        </w:rPr>
        <w:t xml:space="preserve">    </w:t>
      </w:r>
      <w:r>
        <w:rPr>
          <w:rFonts w:hint="eastAsia" w:ascii="宋体" w:hAnsi="宋体" w:eastAsia="宋体" w:cs="宋体"/>
          <w:b/>
          <w:snapToGrid/>
          <w:color w:val="auto"/>
          <w:kern w:val="2"/>
          <w:sz w:val="28"/>
          <w:szCs w:val="28"/>
          <w:lang w:val="en-US" w:eastAsia="zh-CN" w:bidi="ar-SA"/>
        </w:rPr>
        <w:t>日</w:t>
      </w:r>
    </w:p>
    <w:p>
      <w:pPr>
        <w:keepNext w:val="0"/>
        <w:keepLines w:val="0"/>
        <w:pageBreakBefore w:val="0"/>
        <w:widowControl w:val="0"/>
        <w:kinsoku/>
        <w:wordWrap/>
        <w:overflowPunct/>
        <w:topLinePunct w:val="0"/>
        <w:autoSpaceDE/>
        <w:autoSpaceDN/>
        <w:bidi w:val="0"/>
        <w:adjustRightInd/>
        <w:snapToGrid w:val="0"/>
        <w:spacing w:line="480" w:lineRule="auto"/>
        <w:jc w:val="both"/>
        <w:textAlignment w:val="auto"/>
        <w:outlineLvl w:val="9"/>
        <w:rPr>
          <w:rFonts w:ascii="宋体" w:hAnsi="宋体" w:eastAsia="宋体" w:cs="宋体"/>
          <w:snapToGrid/>
          <w:color w:val="auto"/>
          <w:kern w:val="2"/>
          <w:sz w:val="24"/>
          <w:szCs w:val="24"/>
          <w:lang w:val="en-US" w:eastAsia="zh-CN" w:bidi="ar-SA"/>
        </w:rPr>
      </w:pPr>
    </w:p>
    <w:p>
      <w:pPr>
        <w:keepNext/>
        <w:keepLines/>
        <w:widowControl w:val="0"/>
        <w:adjustRightInd w:val="0"/>
        <w:snapToGrid w:val="0"/>
        <w:spacing w:line="360" w:lineRule="auto"/>
        <w:jc w:val="center"/>
        <w:outlineLvl w:val="1"/>
        <w:rPr>
          <w:rFonts w:hint="eastAsia" w:ascii="黑体" w:hAnsi="华文中宋" w:eastAsia="黑体" w:cs="Times New Roman"/>
          <w:b/>
          <w:bCs/>
          <w:color w:val="auto"/>
          <w:kern w:val="2"/>
          <w:sz w:val="28"/>
          <w:szCs w:val="28"/>
          <w:lang w:val="en-US" w:eastAsia="zh-CN" w:bidi="ar-SA"/>
        </w:rPr>
      </w:pPr>
      <w:bookmarkStart w:id="150" w:name="_Toc72155446"/>
      <w:bookmarkStart w:id="151" w:name="_Toc90472919"/>
      <w:bookmarkStart w:id="152" w:name="_Toc86762163"/>
      <w:bookmarkStart w:id="153" w:name="_Toc256000049"/>
      <w:bookmarkStart w:id="154" w:name="_Toc83374896"/>
      <w:bookmarkStart w:id="155" w:name="_Toc98860381"/>
    </w:p>
    <w:p>
      <w:pPr>
        <w:keepNext/>
        <w:keepLines/>
        <w:widowControl w:val="0"/>
        <w:adjustRightInd w:val="0"/>
        <w:snapToGrid w:val="0"/>
        <w:spacing w:line="360" w:lineRule="auto"/>
        <w:jc w:val="center"/>
        <w:outlineLvl w:val="1"/>
        <w:rPr>
          <w:rFonts w:ascii="黑体" w:hAnsi="华文中宋" w:eastAsia="黑体" w:cs="Times New Roman"/>
          <w:b/>
          <w:bCs/>
          <w:color w:val="auto"/>
          <w:kern w:val="2"/>
          <w:sz w:val="28"/>
          <w:szCs w:val="28"/>
          <w:lang w:val="en-US" w:eastAsia="zh-CN" w:bidi="ar-SA"/>
        </w:rPr>
      </w:pPr>
      <w:r>
        <w:rPr>
          <w:rFonts w:hint="eastAsia" w:ascii="黑体" w:hAnsi="华文中宋" w:eastAsia="黑体" w:cs="Times New Roman"/>
          <w:b/>
          <w:bCs/>
          <w:color w:val="auto"/>
          <w:kern w:val="2"/>
          <w:sz w:val="28"/>
          <w:szCs w:val="28"/>
          <w:lang w:val="en-US" w:eastAsia="zh-CN" w:bidi="ar-SA"/>
        </w:rPr>
        <w:t xml:space="preserve"> </w:t>
      </w:r>
      <w:bookmarkStart w:id="156" w:name="_Toc5078"/>
      <w:bookmarkStart w:id="157" w:name="_Toc20151"/>
      <w:r>
        <w:rPr>
          <w:rFonts w:hint="eastAsia" w:ascii="黑体" w:hAnsi="华文中宋" w:eastAsia="黑体" w:cs="Times New Roman"/>
          <w:b/>
          <w:bCs/>
          <w:color w:val="auto"/>
          <w:kern w:val="2"/>
          <w:sz w:val="28"/>
          <w:szCs w:val="28"/>
          <w:lang w:val="en-US" w:eastAsia="zh-CN" w:bidi="ar-SA"/>
        </w:rPr>
        <w:t>政府采购合同协议书</w:t>
      </w:r>
      <w:bookmarkEnd w:id="150"/>
      <w:bookmarkEnd w:id="151"/>
      <w:bookmarkEnd w:id="152"/>
      <w:bookmarkEnd w:id="153"/>
      <w:bookmarkEnd w:id="154"/>
      <w:bookmarkEnd w:id="155"/>
      <w:bookmarkEnd w:id="156"/>
      <w:bookmarkEnd w:id="157"/>
    </w:p>
    <w:p>
      <w:pPr>
        <w:widowControl w:val="0"/>
        <w:jc w:val="center"/>
        <w:rPr>
          <w:rFonts w:hint="eastAsia" w:ascii="宋体" w:hAnsi="宋体" w:eastAsia="宋体" w:cs="Times New Roman"/>
          <w:b/>
          <w:color w:val="auto"/>
          <w:spacing w:val="20"/>
          <w:kern w:val="2"/>
          <w:sz w:val="28"/>
          <w:szCs w:val="28"/>
          <w:lang w:val="en-US" w:eastAsia="zh-CN" w:bidi="ar-SA"/>
        </w:rPr>
      </w:pPr>
      <w:r>
        <w:rPr>
          <w:rFonts w:hint="eastAsia" w:ascii="宋体" w:hAnsi="宋体" w:eastAsia="宋体" w:cs="Times New Roman"/>
          <w:b/>
          <w:color w:val="auto"/>
          <w:spacing w:val="20"/>
          <w:kern w:val="2"/>
          <w:sz w:val="28"/>
          <w:szCs w:val="28"/>
          <w:lang w:val="en-US" w:eastAsia="zh-CN" w:bidi="ar-SA"/>
        </w:rPr>
        <w:t>（本节内容仅供参考，具体合同内容以双方实际签订的合同为准）</w:t>
      </w:r>
    </w:p>
    <w:p>
      <w:pPr>
        <w:widowControl w:val="0"/>
        <w:adjustRightInd w:val="0"/>
        <w:snapToGrid w:val="0"/>
        <w:spacing w:before="156" w:beforeLines="50" w:line="360" w:lineRule="auto"/>
        <w:ind w:firstLine="5460" w:firstLineChars="26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采购合同编号：</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采购人（全称）：</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（甲方）</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供应商（全称）：</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（乙方）</w:t>
      </w: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after="0" w:line="360" w:lineRule="auto"/>
        <w:ind w:left="0" w:leftChars="0"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为了保护甲、乙双方合法权益，根据《中华人民共和国民法典》、《中华人民共和国政府采购法》及其他有关法律、法规、规章，双方签订本合同协议书。</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1.项目信息</w:t>
      </w: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（1）采购项目名称：</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after="0" w:line="360" w:lineRule="auto"/>
        <w:ind w:left="420" w:left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（2）采购计划编号：</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（3）项目内容：</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（4）项目负责人：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413" w:firstLineChars="196"/>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2.合同金额</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（1）合同金额小写：</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1260" w:firstLineChars="6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大写：</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（2）具体标的见附件。</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（3）合同价格形式：</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422" w:firstLineChars="200"/>
        <w:jc w:val="both"/>
        <w:rPr>
          <w:rFonts w:hint="eastAsia" w:ascii="宋体" w:hAnsi="宋体" w:eastAsia="宋体" w:cs="Times New Roman"/>
          <w:color w:val="auto"/>
          <w:kern w:val="2"/>
          <w:sz w:val="21"/>
          <w:szCs w:val="21"/>
          <w:u w:val="single"/>
          <w:lang w:val="en-US" w:eastAsia="zh-CN" w:bidi="ar-SA"/>
        </w:rPr>
      </w:pPr>
      <w:r>
        <w:rPr>
          <w:rFonts w:hint="eastAsia" w:ascii="宋体" w:hAnsi="宋体" w:eastAsia="宋体" w:cs="Times New Roman"/>
          <w:b/>
          <w:color w:val="auto"/>
          <w:kern w:val="2"/>
          <w:sz w:val="21"/>
          <w:szCs w:val="21"/>
          <w:lang w:val="en-US" w:eastAsia="zh-CN" w:bidi="ar-SA"/>
        </w:rPr>
        <w:t>3.合同履行期限、地点及方式</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合同履行期限：</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u w:val="single"/>
          <w:lang w:val="en-US" w:eastAsia="zh-CN" w:bidi="ar-SA"/>
        </w:rPr>
      </w:pPr>
      <w:r>
        <w:rPr>
          <w:rFonts w:hint="eastAsia" w:ascii="宋体" w:hAnsi="宋体" w:eastAsia="宋体" w:cs="Times New Roman"/>
          <w:color w:val="auto"/>
          <w:kern w:val="2"/>
          <w:sz w:val="21"/>
          <w:szCs w:val="21"/>
          <w:lang w:val="en-US" w:eastAsia="zh-CN" w:bidi="ar-SA"/>
        </w:rPr>
        <w:t>地点</w:t>
      </w:r>
      <w:r>
        <w:rPr>
          <w:rFonts w:hint="eastAsia" w:ascii="宋体" w:hAnsi="宋体" w:eastAsia="宋体" w:cs="Times New Roman"/>
          <w:b/>
          <w:color w:val="auto"/>
          <w:kern w:val="2"/>
          <w:sz w:val="21"/>
          <w:szCs w:val="21"/>
          <w:lang w:val="en-US" w:eastAsia="zh-CN" w:bidi="ar-SA"/>
        </w:rPr>
        <w:t>：</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方式：</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4.付款：</w:t>
      </w:r>
    </w:p>
    <w:p>
      <w:pPr>
        <w:widowControl w:val="0"/>
        <w:adjustRightInd w:val="0"/>
        <w:snapToGrid w:val="0"/>
        <w:spacing w:before="156" w:beforeLines="50" w:line="360" w:lineRule="auto"/>
        <w:ind w:firstLine="630" w:firstLineChars="300"/>
        <w:jc w:val="both"/>
        <w:rPr>
          <w:rFonts w:hint="eastAsia" w:ascii="宋体" w:hAnsi="宋体" w:eastAsia="宋体" w:cs="Times New Roman"/>
          <w:bCs/>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ind w:firstLine="630" w:firstLineChars="3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bCs/>
          <w:color w:val="auto"/>
          <w:kern w:val="2"/>
          <w:sz w:val="21"/>
          <w:szCs w:val="21"/>
          <w:lang w:val="en-US" w:eastAsia="zh-CN" w:bidi="ar-SA"/>
        </w:rPr>
        <w:t>2、预付款根据采购文件的约定，在合同签订前提交不超过合同金额10%的履约担保。</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5.解决合同纠纷方式</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首先通过双方协商解决，协商解决不成，则通过以下途径之一解决纠纷：</w:t>
      </w:r>
    </w:p>
    <w:p>
      <w:pPr>
        <w:widowControl w:val="0"/>
        <w:adjustRightInd w:val="0"/>
        <w:snapToGrid w:val="0"/>
        <w:spacing w:before="156" w:beforeLines="50" w:line="360" w:lineRule="auto"/>
        <w:ind w:firstLine="840" w:firstLineChars="4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提请仲裁       </w:t>
      </w:r>
      <w:r>
        <w:rPr>
          <w:rFonts w:hint="eastAsia" w:ascii="Wingdings 2" w:hAnsi="Wingdings 2" w:eastAsia="宋体" w:cs="Times New Roman"/>
          <w:color w:val="auto"/>
          <w:kern w:val="2"/>
          <w:sz w:val="21"/>
          <w:szCs w:val="21"/>
          <w:lang w:val="en-US" w:eastAsia="zh-CN" w:bidi="ar-SA"/>
        </w:rPr>
        <w:sym w:font="Wingdings" w:char="00FE"/>
      </w:r>
      <w:r>
        <w:rPr>
          <w:rFonts w:hint="eastAsia" w:ascii="宋体" w:hAnsi="宋体" w:eastAsia="宋体" w:cs="Times New Roman"/>
          <w:color w:val="auto"/>
          <w:kern w:val="2"/>
          <w:sz w:val="21"/>
          <w:szCs w:val="21"/>
          <w:lang w:val="en-US" w:eastAsia="zh-CN" w:bidi="ar-SA"/>
        </w:rPr>
        <w:t xml:space="preserve"> 向人民法院提起诉讼</w:t>
      </w:r>
    </w:p>
    <w:p>
      <w:pPr>
        <w:widowControl w:val="0"/>
        <w:adjustRightInd w:val="0"/>
        <w:snapToGrid w:val="0"/>
        <w:spacing w:before="156" w:beforeLines="50" w:line="360" w:lineRule="auto"/>
        <w:ind w:firstLine="422" w:firstLineChars="200"/>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6.组成合同的文件</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本协议书与下列文件一起构成合同文件，如下述文件之间有任何抵触、矛盾或歧义，应按以下顺序解释：</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（1）在采购或合同履行过程中乙方作出的承诺以及双方协商达成的变更或补充协议</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（2）本合同协议书</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（3）中标通知书</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（4）投标文件</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（5）政府采购合同专用条款</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（6）政府采购合同通用条款</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（7）标准、规范及有关技术文件，图纸。</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（8）其他合同文件。</w:t>
      </w:r>
    </w:p>
    <w:p>
      <w:pPr>
        <w:widowControl w:val="0"/>
        <w:adjustRightInd w:val="0"/>
        <w:snapToGrid w:val="0"/>
        <w:spacing w:before="156" w:beforeLines="50" w:line="360" w:lineRule="auto"/>
        <w:ind w:firstLine="310" w:firstLineChars="147"/>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7.合同生效</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本合同自</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生效。</w:t>
      </w:r>
    </w:p>
    <w:p>
      <w:pPr>
        <w:widowControl w:val="0"/>
        <w:adjustRightInd w:val="0"/>
        <w:snapToGrid w:val="0"/>
        <w:spacing w:before="156" w:beforeLines="50" w:line="360" w:lineRule="auto"/>
        <w:ind w:firstLine="310" w:firstLineChars="147"/>
        <w:jc w:val="both"/>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8.合同份数</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本合同一式</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份，采购人执</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份，供应商执</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份，均具有同等法律效力。</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合同订立时间：</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年</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月</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日</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合同订立地点：</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甲      方：（公章）                     乙      方：（公章）</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法定代表人：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法定代表人：</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委托代理人：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委托代理人：</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电      话：</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电      话：</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传      真：</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传      真：</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ind w:firstLine="420" w:firstLineChars="200"/>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开 户 银 行：</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center"/>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 xml:space="preserve">     帐       号：</w:t>
      </w:r>
      <w:r>
        <w:rPr>
          <w:rFonts w:hint="eastAsia" w:ascii="宋体" w:hAnsi="宋体" w:eastAsia="宋体" w:cs="Times New Roman"/>
          <w:color w:val="auto"/>
          <w:kern w:val="2"/>
          <w:sz w:val="21"/>
          <w:szCs w:val="21"/>
          <w:u w:val="single"/>
          <w:lang w:val="en-US" w:eastAsia="zh-CN" w:bidi="ar-SA"/>
        </w:rPr>
        <w:t xml:space="preserve">                 </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采购代理机构声明：本合同标的经海南通尚工程管理有限公司依法定程序采购，合同主要条款内容与响应文件的内容一致。</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采购代理机构：海南通尚工程管理有限公司（盖章）</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地址：海南省海口市琼山区国兴大道海航豪庭南苑一区7栋1602室</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法定（授权）代表人：</w:t>
      </w:r>
      <w:r>
        <w:rPr>
          <w:rFonts w:hint="eastAsia" w:ascii="宋体" w:hAnsi="宋体" w:eastAsia="宋体" w:cs="Times New Roman"/>
          <w:color w:val="auto"/>
          <w:kern w:val="2"/>
          <w:sz w:val="21"/>
          <w:szCs w:val="21"/>
          <w:u w:val="single"/>
          <w:lang w:val="en-US" w:eastAsia="zh-CN" w:bidi="ar-SA"/>
        </w:rPr>
        <w:t xml:space="preserve">        </w:t>
      </w:r>
      <w:r>
        <w:rPr>
          <w:rFonts w:hint="eastAsia" w:ascii="宋体" w:hAnsi="宋体" w:eastAsia="宋体" w:cs="Times New Roman"/>
          <w:color w:val="auto"/>
          <w:kern w:val="2"/>
          <w:sz w:val="21"/>
          <w:szCs w:val="21"/>
          <w:lang w:val="en-US" w:eastAsia="zh-CN" w:bidi="ar-SA"/>
        </w:rPr>
        <w:t xml:space="preserve"> （签字或盖章）</w:t>
      </w:r>
    </w:p>
    <w:p>
      <w:pPr>
        <w:widowControl w:val="0"/>
        <w:adjustRightInd w:val="0"/>
        <w:snapToGrid w:val="0"/>
        <w:spacing w:before="156" w:beforeLines="50" w:line="360" w:lineRule="auto"/>
        <w:jc w:val="both"/>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签订日期：   年   月   日</w:t>
      </w:r>
    </w:p>
    <w:p>
      <w:pPr>
        <w:spacing w:before="156" w:beforeLines="50" w:after="156" w:afterLines="50" w:line="360" w:lineRule="auto"/>
        <w:jc w:val="center"/>
        <w:outlineLvl w:val="0"/>
        <w:rPr>
          <w:rFonts w:hint="eastAsia" w:ascii="宋体" w:hAnsi="宋体" w:cs="宋体"/>
          <w:b/>
          <w:color w:val="auto"/>
          <w:sz w:val="44"/>
          <w:szCs w:val="44"/>
          <w:highlight w:val="none"/>
        </w:rPr>
      </w:pPr>
      <w:r>
        <w:rPr>
          <w:rFonts w:hint="eastAsia" w:ascii="宋体" w:hAnsi="宋体" w:cs="宋体"/>
          <w:b/>
          <w:color w:val="auto"/>
          <w:sz w:val="44"/>
          <w:szCs w:val="44"/>
          <w:highlight w:val="none"/>
        </w:rPr>
        <w:br w:type="page"/>
      </w:r>
      <w:bookmarkStart w:id="158" w:name="_Toc23420"/>
      <w:r>
        <w:rPr>
          <w:rFonts w:hint="eastAsia" w:ascii="宋体" w:hAnsi="宋体" w:cs="宋体"/>
          <w:b/>
          <w:color w:val="auto"/>
          <w:sz w:val="44"/>
          <w:szCs w:val="44"/>
          <w:highlight w:val="none"/>
        </w:rPr>
        <w:t>第四部分  响应文件内容及格式</w:t>
      </w:r>
      <w:bookmarkEnd w:id="158"/>
    </w:p>
    <w:p>
      <w:pPr>
        <w:spacing w:line="360" w:lineRule="auto"/>
        <w:jc w:val="right"/>
        <w:outlineLvl w:val="1"/>
        <w:rPr>
          <w:rFonts w:ascii="宋体" w:hAnsi="宋体" w:cs="宋体"/>
          <w:b/>
          <w:bCs/>
          <w:color w:val="auto"/>
          <w:sz w:val="24"/>
          <w:highlight w:val="none"/>
        </w:rPr>
      </w:pPr>
      <w:bookmarkStart w:id="159" w:name="_Toc9727"/>
      <w:bookmarkStart w:id="160" w:name="_Toc6991"/>
      <w:r>
        <w:rPr>
          <w:rFonts w:hint="eastAsia" w:ascii="宋体" w:hAnsi="宋体" w:cs="宋体"/>
          <w:b/>
          <w:bCs/>
          <w:color w:val="auto"/>
          <w:sz w:val="32"/>
          <w:szCs w:val="32"/>
          <w:highlight w:val="none"/>
          <w:bdr w:val="single" w:color="auto" w:sz="4" w:space="0"/>
        </w:rPr>
        <w:t>正/副本</w:t>
      </w:r>
      <w:bookmarkEnd w:id="159"/>
      <w:bookmarkEnd w:id="160"/>
    </w:p>
    <w:p>
      <w:pPr>
        <w:spacing w:line="360" w:lineRule="auto"/>
        <w:jc w:val="center"/>
        <w:rPr>
          <w:rFonts w:hint="eastAsia" w:ascii="宋体" w:hAnsi="宋体" w:cs="宋体"/>
          <w:b/>
          <w:bCs/>
          <w:color w:val="auto"/>
          <w:sz w:val="32"/>
          <w:szCs w:val="32"/>
          <w:highlight w:val="none"/>
          <w:u w:val="single"/>
          <w:lang w:val="zh-CN"/>
        </w:rPr>
      </w:pPr>
    </w:p>
    <w:p>
      <w:pPr>
        <w:spacing w:line="480" w:lineRule="auto"/>
        <w:jc w:val="center"/>
        <w:rPr>
          <w:rFonts w:ascii="宋体" w:hAnsi="宋体" w:cs="宋体"/>
          <w:b/>
          <w:bCs/>
          <w:color w:val="auto"/>
          <w:sz w:val="44"/>
          <w:szCs w:val="44"/>
          <w:highlight w:val="none"/>
          <w:u w:val="single"/>
          <w:lang w:val="zh-CN"/>
        </w:rPr>
      </w:pPr>
      <w:r>
        <w:rPr>
          <w:rFonts w:hint="eastAsia" w:ascii="宋体" w:hAnsi="宋体" w:cs="宋体"/>
          <w:b/>
          <w:bCs/>
          <w:color w:val="auto"/>
          <w:sz w:val="44"/>
          <w:szCs w:val="44"/>
          <w:highlight w:val="none"/>
          <w:u w:val="single"/>
          <w:lang w:val="zh-CN"/>
        </w:rPr>
        <w:t>万宁市卫生健康委员会</w:t>
      </w:r>
    </w:p>
    <w:p>
      <w:pPr>
        <w:spacing w:line="480" w:lineRule="auto"/>
        <w:jc w:val="center"/>
        <w:rPr>
          <w:rFonts w:hint="eastAsia" w:ascii="宋体" w:hAnsi="宋体" w:cs="宋体"/>
          <w:b/>
          <w:bCs/>
          <w:color w:val="auto"/>
          <w:sz w:val="44"/>
          <w:szCs w:val="44"/>
          <w:highlight w:val="none"/>
          <w:u w:val="single"/>
          <w:lang w:val="zh-CN"/>
        </w:rPr>
      </w:pPr>
      <w:r>
        <w:rPr>
          <w:rFonts w:hint="eastAsia" w:ascii="宋体" w:hAnsi="宋体" w:cs="宋体"/>
          <w:b/>
          <w:bCs/>
          <w:color w:val="auto"/>
          <w:sz w:val="44"/>
          <w:szCs w:val="44"/>
          <w:highlight w:val="none"/>
          <w:u w:val="single"/>
          <w:lang w:val="zh-CN"/>
        </w:rPr>
        <w:t>2023年万宁市建成区及兴隆区、和乐镇病媒生物防制服务项目</w:t>
      </w:r>
    </w:p>
    <w:p>
      <w:pPr>
        <w:spacing w:line="480" w:lineRule="auto"/>
        <w:jc w:val="center"/>
        <w:rPr>
          <w:rFonts w:hint="default" w:ascii="宋体" w:hAnsi="宋体" w:eastAsia="宋体" w:cs="宋体"/>
          <w:b/>
          <w:bCs/>
          <w:color w:val="auto"/>
          <w:sz w:val="44"/>
          <w:szCs w:val="44"/>
          <w:highlight w:val="none"/>
          <w:u w:val="single"/>
          <w:lang w:val="en-US" w:eastAsia="zh-CN"/>
        </w:rPr>
      </w:pPr>
      <w:r>
        <w:rPr>
          <w:rFonts w:hint="eastAsia" w:ascii="宋体" w:hAnsi="宋体" w:eastAsia="宋体" w:cs="宋体"/>
          <w:b/>
          <w:bCs/>
          <w:color w:val="auto"/>
          <w:sz w:val="44"/>
          <w:szCs w:val="44"/>
          <w:highlight w:val="none"/>
          <w:u w:val="single"/>
          <w:lang w:val="zh-CN" w:eastAsia="zh-CN"/>
        </w:rPr>
        <w:t>包号：</w:t>
      </w:r>
      <w:r>
        <w:rPr>
          <w:rFonts w:hint="eastAsia" w:ascii="宋体" w:hAnsi="宋体" w:cs="宋体"/>
          <w:b/>
          <w:bCs/>
          <w:color w:val="auto"/>
          <w:sz w:val="44"/>
          <w:szCs w:val="44"/>
          <w:highlight w:val="none"/>
          <w:u w:val="single"/>
          <w:lang w:val="zh-CN" w:eastAsia="zh-CN"/>
        </w:rPr>
        <w:t>A包/B包</w:t>
      </w:r>
    </w:p>
    <w:p>
      <w:pPr>
        <w:rPr>
          <w:rFonts w:ascii="宋体" w:hAnsi="宋体" w:cs="宋体"/>
          <w:color w:val="auto"/>
          <w:sz w:val="28"/>
          <w:szCs w:val="28"/>
          <w:highlight w:val="none"/>
        </w:rPr>
      </w:pPr>
    </w:p>
    <w:p>
      <w:pPr>
        <w:jc w:val="center"/>
        <w:rPr>
          <w:rFonts w:hint="eastAsia" w:ascii="宋体" w:hAnsi="宋体" w:cs="宋体"/>
          <w:b/>
          <w:color w:val="auto"/>
          <w:sz w:val="84"/>
          <w:szCs w:val="84"/>
          <w:highlight w:val="none"/>
          <w:lang w:eastAsia="zh-CN"/>
        </w:rPr>
      </w:pPr>
      <w:r>
        <w:rPr>
          <w:rFonts w:hint="eastAsia" w:ascii="宋体" w:hAnsi="宋体" w:cs="宋体"/>
          <w:b/>
          <w:color w:val="auto"/>
          <w:sz w:val="84"/>
          <w:szCs w:val="84"/>
          <w:highlight w:val="none"/>
          <w:lang w:eastAsia="zh-CN"/>
        </w:rPr>
        <w:t>响</w:t>
      </w:r>
    </w:p>
    <w:p>
      <w:pPr>
        <w:jc w:val="center"/>
        <w:rPr>
          <w:rFonts w:hint="eastAsia" w:ascii="宋体" w:hAnsi="宋体" w:eastAsia="宋体" w:cs="宋体"/>
          <w:b/>
          <w:color w:val="auto"/>
          <w:sz w:val="84"/>
          <w:szCs w:val="84"/>
          <w:highlight w:val="none"/>
          <w:lang w:eastAsia="zh-CN"/>
        </w:rPr>
      </w:pPr>
      <w:r>
        <w:rPr>
          <w:rFonts w:hint="eastAsia" w:ascii="宋体" w:hAnsi="宋体" w:cs="宋体"/>
          <w:b/>
          <w:color w:val="auto"/>
          <w:sz w:val="84"/>
          <w:szCs w:val="84"/>
          <w:highlight w:val="none"/>
          <w:lang w:eastAsia="zh-CN"/>
        </w:rPr>
        <w:t>应</w:t>
      </w:r>
    </w:p>
    <w:p>
      <w:pPr>
        <w:jc w:val="center"/>
        <w:rPr>
          <w:rFonts w:ascii="宋体" w:hAnsi="宋体" w:cs="宋体"/>
          <w:b/>
          <w:color w:val="auto"/>
          <w:sz w:val="84"/>
          <w:szCs w:val="84"/>
          <w:highlight w:val="none"/>
        </w:rPr>
      </w:pPr>
      <w:r>
        <w:rPr>
          <w:rFonts w:hint="eastAsia" w:ascii="宋体" w:hAnsi="宋体" w:cs="宋体"/>
          <w:b/>
          <w:color w:val="auto"/>
          <w:sz w:val="84"/>
          <w:szCs w:val="84"/>
          <w:highlight w:val="none"/>
        </w:rPr>
        <w:t>文</w:t>
      </w:r>
    </w:p>
    <w:p>
      <w:pPr>
        <w:jc w:val="center"/>
        <w:rPr>
          <w:rFonts w:ascii="宋体" w:hAnsi="宋体" w:cs="宋体"/>
          <w:b/>
          <w:color w:val="auto"/>
          <w:sz w:val="48"/>
          <w:szCs w:val="48"/>
          <w:highlight w:val="none"/>
        </w:rPr>
      </w:pPr>
      <w:r>
        <w:rPr>
          <w:rFonts w:hint="eastAsia" w:ascii="宋体" w:hAnsi="宋体" w:cs="宋体"/>
          <w:b/>
          <w:color w:val="auto"/>
          <w:sz w:val="84"/>
          <w:szCs w:val="84"/>
          <w:highlight w:val="none"/>
        </w:rPr>
        <w:t>件</w:t>
      </w:r>
    </w:p>
    <w:p>
      <w:pPr>
        <w:rPr>
          <w:rFonts w:ascii="宋体" w:hAnsi="宋体" w:cs="宋体"/>
          <w:color w:val="auto"/>
          <w:sz w:val="28"/>
          <w:szCs w:val="28"/>
          <w:highlight w:val="none"/>
        </w:rPr>
      </w:pPr>
    </w:p>
    <w:p>
      <w:pPr>
        <w:ind w:firstLine="1680" w:firstLineChars="600"/>
        <w:jc w:val="left"/>
        <w:rPr>
          <w:rFonts w:ascii="宋体" w:hAnsi="宋体" w:cs="宋体"/>
          <w:color w:val="auto"/>
          <w:sz w:val="28"/>
          <w:szCs w:val="28"/>
          <w:highlight w:val="none"/>
        </w:rPr>
      </w:pPr>
      <w:r>
        <w:rPr>
          <w:rFonts w:hint="eastAsia" w:ascii="宋体" w:hAnsi="宋体" w:cs="宋体"/>
          <w:color w:val="auto"/>
          <w:sz w:val="28"/>
          <w:szCs w:val="28"/>
          <w:highlight w:val="none"/>
          <w:lang w:val="en-GB"/>
        </w:rPr>
        <w:t>投标人名称：</w:t>
      </w:r>
      <w:r>
        <w:rPr>
          <w:rFonts w:hint="eastAsia" w:ascii="宋体" w:hAnsi="宋体" w:cs="宋体"/>
          <w:color w:val="auto"/>
          <w:sz w:val="28"/>
          <w:szCs w:val="28"/>
          <w:highlight w:val="none"/>
          <w:u w:val="single"/>
          <w:lang w:val="en-GB"/>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u w:val="single"/>
          <w:lang w:val="en-GB"/>
        </w:rPr>
        <w:t xml:space="preserve"> （公章）</w:t>
      </w:r>
    </w:p>
    <w:p>
      <w:pPr>
        <w:ind w:firstLine="1680" w:firstLineChars="600"/>
        <w:jc w:val="left"/>
        <w:rPr>
          <w:rFonts w:ascii="宋体" w:hAnsi="宋体" w:cs="宋体"/>
          <w:bCs/>
          <w:color w:val="auto"/>
          <w:sz w:val="28"/>
          <w:szCs w:val="28"/>
          <w:highlight w:val="none"/>
          <w:u w:val="single"/>
          <w:lang w:val="en-GB"/>
        </w:rPr>
      </w:pPr>
      <w:r>
        <w:rPr>
          <w:rFonts w:hint="eastAsia" w:ascii="宋体" w:hAnsi="宋体" w:cs="宋体"/>
          <w:color w:val="auto"/>
          <w:sz w:val="28"/>
          <w:szCs w:val="28"/>
          <w:highlight w:val="none"/>
        </w:rPr>
        <w:t>法定代表人或</w:t>
      </w:r>
      <w:r>
        <w:rPr>
          <w:rFonts w:hint="eastAsia" w:ascii="宋体" w:hAnsi="宋体" w:cs="宋体"/>
          <w:color w:val="auto"/>
          <w:sz w:val="28"/>
          <w:szCs w:val="28"/>
          <w:highlight w:val="none"/>
          <w:lang w:val="en-GB"/>
        </w:rPr>
        <w:t>被授权人</w:t>
      </w:r>
      <w:r>
        <w:rPr>
          <w:rFonts w:hint="eastAsia" w:ascii="宋体" w:hAnsi="宋体" w:cs="宋体"/>
          <w:color w:val="auto"/>
          <w:sz w:val="28"/>
          <w:szCs w:val="28"/>
          <w:highlight w:val="none"/>
        </w:rPr>
        <w:t>：</w:t>
      </w:r>
      <w:r>
        <w:rPr>
          <w:rFonts w:hint="eastAsia" w:ascii="宋体" w:hAnsi="宋体" w:cs="宋体"/>
          <w:color w:val="auto"/>
          <w:sz w:val="28"/>
          <w:szCs w:val="28"/>
          <w:highlight w:val="none"/>
          <w:u w:val="single"/>
        </w:rPr>
        <w:t xml:space="preserve">        </w:t>
      </w:r>
      <w:r>
        <w:rPr>
          <w:rFonts w:hint="eastAsia" w:ascii="宋体" w:hAnsi="宋体" w:cs="宋体"/>
          <w:bCs/>
          <w:color w:val="auto"/>
          <w:sz w:val="28"/>
          <w:szCs w:val="28"/>
          <w:highlight w:val="none"/>
          <w:u w:val="single"/>
          <w:lang w:val="en-GB"/>
        </w:rPr>
        <w:t>（亲笔签名）</w:t>
      </w:r>
    </w:p>
    <w:p>
      <w:pPr>
        <w:ind w:firstLine="1680" w:firstLineChars="600"/>
        <w:jc w:val="left"/>
        <w:rPr>
          <w:rFonts w:ascii="宋体" w:hAnsi="宋体" w:cs="宋体"/>
          <w:bCs/>
          <w:color w:val="auto"/>
          <w:sz w:val="28"/>
          <w:szCs w:val="28"/>
          <w:highlight w:val="none"/>
          <w:u w:val="single"/>
          <w:lang w:val="en-GB"/>
        </w:rPr>
      </w:pPr>
      <w:r>
        <w:rPr>
          <w:rFonts w:hint="eastAsia" w:ascii="宋体" w:hAnsi="宋体" w:cs="宋体"/>
          <w:bCs/>
          <w:color w:val="auto"/>
          <w:sz w:val="28"/>
          <w:szCs w:val="28"/>
          <w:highlight w:val="none"/>
          <w:lang w:val="en-GB"/>
        </w:rPr>
        <w:t>联系电话：</w:t>
      </w:r>
      <w:r>
        <w:rPr>
          <w:rFonts w:hint="eastAsia" w:ascii="宋体" w:hAnsi="宋体" w:cs="宋体"/>
          <w:bCs/>
          <w:color w:val="auto"/>
          <w:sz w:val="28"/>
          <w:szCs w:val="28"/>
          <w:highlight w:val="none"/>
          <w:u w:val="single"/>
        </w:rPr>
        <w:t xml:space="preserve">                    </w:t>
      </w:r>
    </w:p>
    <w:p>
      <w:pPr>
        <w:ind w:firstLine="1680" w:firstLineChars="600"/>
        <w:jc w:val="left"/>
        <w:rPr>
          <w:rFonts w:ascii="宋体" w:hAnsi="宋体" w:cs="宋体"/>
          <w:color w:val="auto"/>
          <w:sz w:val="28"/>
          <w:szCs w:val="28"/>
          <w:highlight w:val="none"/>
          <w:lang w:val="en-GB"/>
        </w:rPr>
      </w:pPr>
      <w:r>
        <w:rPr>
          <w:rFonts w:hint="eastAsia" w:ascii="宋体" w:hAnsi="宋体" w:cs="宋体"/>
          <w:color w:val="auto"/>
          <w:sz w:val="28"/>
          <w:szCs w:val="28"/>
          <w:highlight w:val="none"/>
          <w:lang w:val="en-GB"/>
        </w:rPr>
        <w:t>投标日期：</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lang w:val="en-GB"/>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lang w:val="en-GB"/>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lang w:val="en-GB"/>
        </w:rPr>
        <w:t>日</w:t>
      </w:r>
    </w:p>
    <w:p>
      <w:pPr>
        <w:spacing w:line="440" w:lineRule="exact"/>
        <w:jc w:val="center"/>
        <w:rPr>
          <w:color w:val="auto"/>
          <w:highlight w:val="none"/>
        </w:rPr>
      </w:pPr>
      <w:r>
        <w:rPr>
          <w:rFonts w:hint="eastAsia" w:ascii="宋体" w:hAnsi="宋体" w:cs="宋体"/>
          <w:b/>
          <w:color w:val="auto"/>
          <w:sz w:val="24"/>
          <w:highlight w:val="none"/>
        </w:rPr>
        <w:t>注：“请勿在（开标时间</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年</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月</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日</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时</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分）之前启封”</w:t>
      </w:r>
    </w:p>
    <w:p>
      <w:pPr>
        <w:snapToGrid w:val="0"/>
        <w:spacing w:line="440" w:lineRule="exact"/>
        <w:ind w:firstLine="480" w:firstLineChars="200"/>
        <w:rPr>
          <w:rFonts w:hint="eastAsia" w:ascii="宋体" w:hAnsi="宋体" w:cs="宋体"/>
          <w:color w:val="auto"/>
          <w:sz w:val="24"/>
          <w:highlight w:val="none"/>
        </w:rPr>
      </w:pPr>
    </w:p>
    <w:p>
      <w:pPr>
        <w:spacing w:line="48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请投标供应商按照以下文件要求的格式、内容制作投标文件，并按以下顺序编制目录及页码，否则将影响对投标文件的评价：</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 响应承诺函</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2. 法定代表人授权委托书</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3. 报价一览表</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GB"/>
        </w:rPr>
        <w:t>资格申明信</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5. 报价明细表</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6. 技术响应情况表</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7. 服务承诺</w:t>
      </w:r>
    </w:p>
    <w:p>
      <w:pPr>
        <w:spacing w:line="480" w:lineRule="auto"/>
        <w:rPr>
          <w:color w:val="auto"/>
          <w:highlight w:val="none"/>
        </w:rPr>
      </w:pPr>
      <w:r>
        <w:rPr>
          <w:rFonts w:hint="eastAsia" w:ascii="宋体" w:hAnsi="宋体" w:cs="宋体"/>
          <w:color w:val="auto"/>
          <w:sz w:val="24"/>
          <w:highlight w:val="none"/>
        </w:rPr>
        <w:t>8. 中小企业声明函</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9. 响应保证金证明单据</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10. 响应资格证明文件（招标文件“磋商邀请函”中“供应商资格要求”）</w:t>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rPr>
        <w:t>11. 供应商认为对其中标有利的其它书面材料</w:t>
      </w: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spacing w:line="440" w:lineRule="exact"/>
        <w:jc w:val="left"/>
        <w:rPr>
          <w:rFonts w:hint="eastAsia" w:ascii="宋体" w:hAnsi="宋体" w:cs="宋体"/>
          <w:color w:val="auto"/>
          <w:sz w:val="24"/>
          <w:highlight w:val="none"/>
        </w:rPr>
      </w:pPr>
    </w:p>
    <w:p>
      <w:pPr>
        <w:pStyle w:val="2"/>
        <w:rPr>
          <w:rFonts w:hint="eastAsia" w:ascii="宋体" w:hAnsi="宋体" w:cs="宋体"/>
          <w:color w:val="auto"/>
          <w:sz w:val="24"/>
          <w:highlight w:val="none"/>
        </w:rPr>
      </w:pPr>
    </w:p>
    <w:p>
      <w:pPr>
        <w:spacing w:line="440" w:lineRule="exact"/>
        <w:jc w:val="center"/>
        <w:outlineLvl w:val="1"/>
        <w:rPr>
          <w:rFonts w:hint="eastAsia" w:ascii="宋体" w:hAnsi="宋体" w:cs="宋体"/>
          <w:b/>
          <w:color w:val="auto"/>
          <w:sz w:val="24"/>
          <w:highlight w:val="none"/>
        </w:rPr>
      </w:pPr>
      <w:r>
        <w:rPr>
          <w:rFonts w:hint="eastAsia" w:ascii="宋体" w:hAnsi="宋体" w:cs="宋体"/>
          <w:b/>
          <w:color w:val="auto"/>
          <w:sz w:val="30"/>
          <w:szCs w:val="30"/>
          <w:highlight w:val="none"/>
          <w:lang w:val="en-GB"/>
        </w:rPr>
        <w:br w:type="page"/>
      </w:r>
      <w:bookmarkStart w:id="161" w:name="_Toc32035"/>
      <w:bookmarkStart w:id="162" w:name="_Toc14805"/>
      <w:r>
        <w:rPr>
          <w:rFonts w:hint="eastAsia" w:ascii="宋体" w:hAnsi="宋体" w:cs="宋体"/>
          <w:b/>
          <w:color w:val="auto"/>
          <w:sz w:val="30"/>
          <w:szCs w:val="30"/>
          <w:highlight w:val="none"/>
          <w:lang w:val="en-GB"/>
        </w:rPr>
        <w:t>1. 响应承诺函</w:t>
      </w:r>
      <w:bookmarkEnd w:id="161"/>
      <w:bookmarkEnd w:id="162"/>
    </w:p>
    <w:p>
      <w:pPr>
        <w:spacing w:before="156" w:before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致：海南通尚工程管理有限公司</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根据贵单位</w:t>
      </w:r>
      <w:r>
        <w:rPr>
          <w:rFonts w:hint="eastAsia" w:ascii="宋体" w:hAnsi="宋体" w:cs="宋体"/>
          <w:b/>
          <w:bCs/>
          <w:color w:val="auto"/>
          <w:sz w:val="24"/>
          <w:highlight w:val="none"/>
          <w:u w:val="single"/>
          <w:lang w:eastAsia="zh-CN"/>
        </w:rPr>
        <w:t>2023年万宁市建成区及兴隆区、和乐镇病媒生物防制服务项目</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GB"/>
        </w:rPr>
        <w:t>项目编号：</w:t>
      </w:r>
      <w:r>
        <w:rPr>
          <w:rFonts w:hint="eastAsia" w:ascii="宋体" w:hAnsi="宋体" w:cs="宋体"/>
          <w:b/>
          <w:bCs/>
          <w:color w:val="auto"/>
          <w:sz w:val="24"/>
          <w:highlight w:val="none"/>
          <w:u w:val="single"/>
          <w:lang w:eastAsia="zh-CN"/>
        </w:rPr>
        <w:t>HNTS-2023-056</w:t>
      </w:r>
      <w:r>
        <w:rPr>
          <w:rFonts w:hint="eastAsia" w:ascii="宋体" w:hAnsi="宋体" w:cs="宋体"/>
          <w:b/>
          <w:bCs/>
          <w:color w:val="auto"/>
          <w:sz w:val="24"/>
          <w:highlight w:val="none"/>
          <w:u w:val="single"/>
          <w:lang w:val="en-US" w:eastAsia="zh-CN"/>
        </w:rPr>
        <w:t xml:space="preserve"> </w:t>
      </w:r>
      <w:r>
        <w:rPr>
          <w:rFonts w:hint="eastAsia" w:ascii="宋体" w:hAnsi="宋体" w:cs="宋体"/>
          <w:b/>
          <w:color w:val="auto"/>
          <w:sz w:val="24"/>
          <w:highlight w:val="none"/>
          <w:u w:val="single"/>
          <w:lang w:eastAsia="zh-CN"/>
        </w:rPr>
        <w:t>包号：A包/B包</w:t>
      </w:r>
      <w:r>
        <w:rPr>
          <w:rFonts w:hint="eastAsia" w:ascii="宋体" w:hAnsi="宋体" w:cs="宋体"/>
          <w:b/>
          <w:bCs/>
          <w:color w:val="auto"/>
          <w:sz w:val="24"/>
          <w:highlight w:val="none"/>
          <w:u w:val="single"/>
        </w:rPr>
        <w:t>）</w:t>
      </w:r>
      <w:r>
        <w:rPr>
          <w:rFonts w:hint="eastAsia" w:ascii="宋体" w:hAnsi="宋体" w:cs="宋体"/>
          <w:color w:val="auto"/>
          <w:sz w:val="24"/>
          <w:highlight w:val="none"/>
          <w:lang w:val="en-GB"/>
        </w:rPr>
        <w:t>的磋商邀请函，正式授权下述签字人</w:t>
      </w:r>
      <w:r>
        <w:rPr>
          <w:rFonts w:hint="eastAsia" w:ascii="宋体" w:hAnsi="宋体" w:cs="宋体"/>
          <w:b/>
          <w:bCs/>
          <w:color w:val="auto"/>
          <w:sz w:val="24"/>
          <w:highlight w:val="none"/>
          <w:u w:val="single"/>
          <w:lang w:val="en-GB"/>
        </w:rPr>
        <w:t>（</w:t>
      </w:r>
      <w:r>
        <w:rPr>
          <w:rFonts w:hint="eastAsia" w:ascii="宋体" w:hAnsi="宋体" w:cs="宋体"/>
          <w:b/>
          <w:bCs/>
          <w:color w:val="auto"/>
          <w:sz w:val="24"/>
          <w:highlight w:val="none"/>
          <w:u w:val="single"/>
        </w:rPr>
        <w:t>被授权人姓名</w:t>
      </w:r>
      <w:r>
        <w:rPr>
          <w:rFonts w:hint="eastAsia" w:ascii="宋体" w:hAnsi="宋体" w:cs="宋体"/>
          <w:b/>
          <w:bCs/>
          <w:color w:val="auto"/>
          <w:sz w:val="24"/>
          <w:highlight w:val="none"/>
          <w:u w:val="single"/>
          <w:lang w:val="en-GB"/>
        </w:rPr>
        <w:t>）</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lang w:val="en-GB"/>
        </w:rPr>
        <w:t>代表</w:t>
      </w:r>
      <w:r>
        <w:rPr>
          <w:rFonts w:hint="eastAsia" w:ascii="宋体" w:hAnsi="宋体" w:cs="宋体"/>
          <w:b/>
          <w:bCs/>
          <w:color w:val="auto"/>
          <w:sz w:val="24"/>
          <w:highlight w:val="none"/>
          <w:u w:val="single"/>
          <w:lang w:val="en-GB"/>
        </w:rPr>
        <w:t>（供应商名称）</w:t>
      </w:r>
      <w:r>
        <w:rPr>
          <w:rFonts w:hint="eastAsia" w:ascii="宋体" w:hAnsi="宋体" w:cs="宋体"/>
          <w:color w:val="auto"/>
          <w:sz w:val="24"/>
          <w:highlight w:val="none"/>
          <w:lang w:val="en-GB"/>
        </w:rPr>
        <w:t>，提交纸质响应文件一式叁份，正本</w:t>
      </w:r>
      <w:r>
        <w:rPr>
          <w:rFonts w:hint="eastAsia" w:ascii="宋体" w:hAnsi="宋体" w:cs="宋体"/>
          <w:b/>
          <w:bCs/>
          <w:color w:val="auto"/>
          <w:sz w:val="24"/>
          <w:highlight w:val="none"/>
          <w:u w:val="single"/>
        </w:rPr>
        <w:t>壹</w:t>
      </w:r>
      <w:r>
        <w:rPr>
          <w:rFonts w:hint="eastAsia" w:ascii="宋体" w:hAnsi="宋体" w:cs="宋体"/>
          <w:b/>
          <w:bCs/>
          <w:color w:val="auto"/>
          <w:sz w:val="24"/>
          <w:highlight w:val="none"/>
          <w:u w:val="single"/>
          <w:lang w:val="en-GB"/>
        </w:rPr>
        <w:t>份</w:t>
      </w:r>
      <w:r>
        <w:rPr>
          <w:rFonts w:hint="eastAsia" w:ascii="宋体" w:hAnsi="宋体" w:cs="宋体"/>
          <w:color w:val="auto"/>
          <w:sz w:val="24"/>
          <w:highlight w:val="none"/>
          <w:lang w:val="en-GB"/>
        </w:rPr>
        <w:t>，副本</w:t>
      </w:r>
      <w:r>
        <w:rPr>
          <w:rFonts w:hint="eastAsia" w:ascii="宋体" w:hAnsi="宋体" w:cs="宋体"/>
          <w:b/>
          <w:bCs/>
          <w:color w:val="auto"/>
          <w:sz w:val="24"/>
          <w:highlight w:val="none"/>
          <w:u w:val="single"/>
          <w:lang w:val="en-GB"/>
        </w:rPr>
        <w:t>贰份</w:t>
      </w:r>
      <w:r>
        <w:rPr>
          <w:rFonts w:hint="eastAsia" w:ascii="宋体" w:hAnsi="宋体" w:cs="宋体"/>
          <w:b/>
          <w:bCs/>
          <w:color w:val="auto"/>
          <w:sz w:val="24"/>
          <w:highlight w:val="none"/>
          <w:lang w:val="en-GB"/>
        </w:rPr>
        <w:t>。</w:t>
      </w:r>
      <w:r>
        <w:rPr>
          <w:rFonts w:hint="eastAsia" w:ascii="宋体" w:hAnsi="宋体" w:cs="宋体"/>
          <w:color w:val="auto"/>
          <w:sz w:val="24"/>
          <w:highlight w:val="none"/>
          <w:lang w:val="en-GB"/>
        </w:rPr>
        <w:t>报价一览表</w:t>
      </w:r>
      <w:r>
        <w:rPr>
          <w:rFonts w:hint="eastAsia" w:ascii="宋体" w:hAnsi="宋体" w:cs="宋体"/>
          <w:b/>
          <w:bCs/>
          <w:color w:val="auto"/>
          <w:sz w:val="24"/>
          <w:highlight w:val="none"/>
          <w:u w:val="single"/>
          <w:lang w:val="en-GB"/>
        </w:rPr>
        <w:t>壹份</w:t>
      </w:r>
      <w:r>
        <w:rPr>
          <w:rFonts w:hint="eastAsia" w:ascii="宋体" w:hAnsi="宋体" w:cs="宋体"/>
          <w:b/>
          <w:bCs/>
          <w:color w:val="auto"/>
          <w:sz w:val="24"/>
          <w:highlight w:val="none"/>
          <w:lang w:val="en-GB"/>
        </w:rPr>
        <w:t>。响应文件电子版二份。</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本公司谨此承诺并声明：</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 xml:space="preserve">1、同意并接受磋商文件的各项条款要求，遵守文件中的各项规定，按磋商文件的要求响应。 </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bCs/>
          <w:color w:val="auto"/>
          <w:kern w:val="0"/>
          <w:sz w:val="24"/>
          <w:highlight w:val="none"/>
          <w:lang w:val="en-GB"/>
        </w:rPr>
        <w:t>我方同意按照文件中规定的响应文件有效期为从首次响应文件提交截止之日起计算的</w:t>
      </w:r>
      <w:r>
        <w:rPr>
          <w:rFonts w:hint="eastAsia" w:ascii="宋体" w:hAnsi="宋体" w:cs="宋体"/>
          <w:bCs/>
          <w:color w:val="auto"/>
          <w:kern w:val="0"/>
          <w:sz w:val="24"/>
          <w:highlight w:val="none"/>
          <w:u w:val="single"/>
          <w:lang w:val="en-US" w:eastAsia="zh-CN"/>
        </w:rPr>
        <w:t xml:space="preserve"> </w:t>
      </w:r>
      <w:r>
        <w:rPr>
          <w:rFonts w:hint="eastAsia" w:ascii="宋体" w:hAnsi="宋体" w:cs="宋体"/>
          <w:bCs/>
          <w:color w:val="auto"/>
          <w:kern w:val="0"/>
          <w:sz w:val="24"/>
          <w:highlight w:val="none"/>
          <w:lang w:val="en-GB"/>
        </w:rPr>
        <w:t>天，在此期间，响应文件将始终对我方具有约束力。如我方成交，响应文件在此期间之后将继续保持有效。</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3、我方已经详细地阅读了全部磋商文件及其附件，包括澄清及参考文件。我方已完全清晰理解磋商文件的要求，不存在任何含糊不清和误解之处，同意放弃对这些文件所提出的异议和质疑的权利。</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6、我方完全服从和尊重磋商小组所作的评审结果，同时清楚理解到响应报价最低并不一定获得成交资格。</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7、我方同意按磋商文件规定向贵司缴纳磋商保证金，</w:t>
      </w:r>
      <w:r>
        <w:rPr>
          <w:rFonts w:hint="eastAsia" w:ascii="宋体" w:hAnsi="宋体" w:cs="宋体"/>
          <w:bCs/>
          <w:color w:val="auto"/>
          <w:kern w:val="0"/>
          <w:sz w:val="24"/>
          <w:highlight w:val="none"/>
          <w:lang w:val="en-GB"/>
        </w:rPr>
        <w:t>如果获得成交并按《成交通知书》的要求，</w:t>
      </w:r>
      <w:r>
        <w:rPr>
          <w:rFonts w:hint="eastAsia" w:ascii="宋体" w:hAnsi="宋体" w:cs="宋体"/>
          <w:color w:val="auto"/>
          <w:sz w:val="24"/>
          <w:highlight w:val="none"/>
          <w:lang w:val="en-GB"/>
        </w:rPr>
        <w:t>如期签订合同并履行其一切责任和义务。</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8、我方在参与本次竞争性磋商采购活动中，不以任何不当手段影响、串通、排斥有关当事人或谋取、施予非法利益，如有不当行为，愿承担此行为所造成的不利后果和法律责任。</w:t>
      </w:r>
    </w:p>
    <w:p>
      <w:pPr>
        <w:spacing w:before="312" w:beforeLines="100" w:after="312" w:afterLines="100" w:line="360" w:lineRule="auto"/>
        <w:rPr>
          <w:rFonts w:hint="eastAsia" w:ascii="宋体" w:hAnsi="宋体" w:cs="宋体"/>
          <w:bCs/>
          <w:color w:val="auto"/>
          <w:sz w:val="24"/>
          <w:highlight w:val="non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（公章）</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法定代表人：</w:t>
      </w:r>
      <w:r>
        <w:rPr>
          <w:rFonts w:hint="eastAsia" w:ascii="宋体" w:hAnsi="宋体" w:cs="宋体"/>
          <w:bCs/>
          <w:color w:val="auto"/>
          <w:sz w:val="24"/>
          <w:highlight w:val="none"/>
          <w:u w:val="single"/>
          <w:lang w:val="en-GB"/>
        </w:rPr>
        <w:t xml:space="preserve">            （亲笔签名）</w:t>
      </w:r>
      <w:r>
        <w:rPr>
          <w:rFonts w:hint="eastAsia" w:ascii="宋体" w:hAnsi="宋体" w:cs="宋体"/>
          <w:bCs/>
          <w:color w:val="auto"/>
          <w:sz w:val="24"/>
          <w:highlight w:val="none"/>
          <w:lang w:val="en-GB"/>
        </w:rPr>
        <w:t xml:space="preserve">   </w:t>
      </w:r>
    </w:p>
    <w:p>
      <w:pPr>
        <w:snapToGrid w:val="0"/>
        <w:spacing w:before="312" w:beforeLines="100" w:after="312" w:afterLines="100" w:line="360" w:lineRule="auto"/>
        <w:rPr>
          <w:rFonts w:hint="eastAsia" w:ascii="宋体" w:hAnsi="宋体" w:cs="宋体"/>
          <w:color w:val="auto"/>
          <w:sz w:val="24"/>
          <w:highlight w:val="none"/>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snapToGrid w:val="0"/>
        <w:spacing w:before="312" w:beforeLines="100" w:after="312" w:afterLines="100" w:line="360" w:lineRule="auto"/>
        <w:rPr>
          <w:rFonts w:hint="eastAsia" w:ascii="宋体" w:hAnsi="宋体" w:cs="宋体"/>
          <w:color w:val="auto"/>
          <w:sz w:val="24"/>
          <w:highlight w:val="none"/>
          <w:lang w:val="en-GB"/>
        </w:rPr>
      </w:pPr>
      <w:r>
        <w:rPr>
          <w:rFonts w:hint="eastAsia" w:ascii="宋体" w:hAnsi="宋体" w:cs="宋体"/>
          <w:color w:val="auto"/>
          <w:sz w:val="24"/>
          <w:highlight w:val="none"/>
          <w:lang w:val="en-GB"/>
        </w:rPr>
        <w:t>承诺日期：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line="440" w:lineRule="exact"/>
        <w:jc w:val="center"/>
        <w:rPr>
          <w:rFonts w:hint="eastAsia" w:ascii="宋体" w:hAnsi="宋体" w:cs="宋体"/>
          <w:b/>
          <w:color w:val="auto"/>
          <w:sz w:val="24"/>
          <w:highlight w:val="none"/>
          <w:lang w:val="en-GB"/>
        </w:rPr>
      </w:pPr>
      <w:r>
        <w:rPr>
          <w:rFonts w:hint="eastAsia" w:ascii="宋体" w:hAnsi="宋体" w:cs="宋体"/>
          <w:b/>
          <w:color w:val="auto"/>
          <w:sz w:val="30"/>
          <w:szCs w:val="30"/>
          <w:highlight w:val="none"/>
        </w:rPr>
        <w:t xml:space="preserve">2. </w:t>
      </w:r>
      <w:r>
        <w:rPr>
          <w:rFonts w:hint="eastAsia" w:ascii="宋体" w:hAnsi="宋体" w:cs="宋体"/>
          <w:b/>
          <w:color w:val="auto"/>
          <w:sz w:val="30"/>
          <w:szCs w:val="30"/>
          <w:highlight w:val="none"/>
          <w:lang w:val="en-GB"/>
        </w:rPr>
        <w:t>法定代表人授权委托书</w:t>
      </w:r>
    </w:p>
    <w:p>
      <w:pPr>
        <w:spacing w:line="480" w:lineRule="auto"/>
        <w:rPr>
          <w:rFonts w:hint="eastAsia" w:ascii="宋体" w:hAnsi="宋体" w:cs="宋体"/>
          <w:color w:val="auto"/>
          <w:sz w:val="24"/>
          <w:highlight w:val="none"/>
          <w:lang w:val="en-GB"/>
        </w:rPr>
      </w:pPr>
      <w:r>
        <w:rPr>
          <w:rFonts w:hint="eastAsia" w:ascii="宋体" w:hAnsi="宋体" w:cs="宋体"/>
          <w:color w:val="auto"/>
          <w:sz w:val="24"/>
          <w:highlight w:val="none"/>
          <w:lang w:val="zh-CN"/>
        </w:rPr>
        <w:t>致：</w:t>
      </w:r>
      <w:r>
        <w:rPr>
          <w:rFonts w:hint="eastAsia" w:ascii="宋体" w:hAnsi="宋体" w:cs="宋体"/>
          <w:color w:val="auto"/>
          <w:sz w:val="24"/>
          <w:highlight w:val="none"/>
          <w:lang w:val="en-GB"/>
        </w:rPr>
        <w:t>海南通尚工程管理有限公司</w:t>
      </w:r>
    </w:p>
    <w:p>
      <w:pPr>
        <w:spacing w:line="480" w:lineRule="auto"/>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u w:val="single"/>
          <w:lang w:val="zh-CN"/>
        </w:rPr>
        <w:t>（法定代表人姓名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w:t>
      </w:r>
      <w:r>
        <w:rPr>
          <w:rFonts w:hint="eastAsia" w:ascii="宋体" w:hAnsi="宋体" w:cs="宋体"/>
          <w:color w:val="auto"/>
          <w:sz w:val="24"/>
          <w:highlight w:val="none"/>
        </w:rPr>
        <w:t xml:space="preserve">是 </w:t>
      </w:r>
      <w:r>
        <w:rPr>
          <w:rFonts w:hint="eastAsia" w:ascii="宋体" w:hAnsi="宋体" w:cs="宋体"/>
          <w:color w:val="auto"/>
          <w:sz w:val="24"/>
          <w:highlight w:val="none"/>
          <w:u w:val="single"/>
        </w:rPr>
        <w:t xml:space="preserve">    （供应商名称）    </w:t>
      </w:r>
      <w:r>
        <w:rPr>
          <w:rFonts w:hint="eastAsia" w:ascii="宋体" w:hAnsi="宋体" w:cs="宋体"/>
          <w:color w:val="auto"/>
          <w:sz w:val="24"/>
          <w:highlight w:val="none"/>
        </w:rPr>
        <w:t>的法定代表人，现</w:t>
      </w:r>
      <w:r>
        <w:rPr>
          <w:rFonts w:hint="eastAsia" w:ascii="宋体" w:hAnsi="宋体" w:cs="宋体"/>
          <w:color w:val="auto"/>
          <w:sz w:val="24"/>
          <w:highlight w:val="none"/>
          <w:lang w:val="zh-CN"/>
        </w:rPr>
        <w:t>授权</w:t>
      </w:r>
      <w:r>
        <w:rPr>
          <w:rFonts w:hint="eastAsia" w:ascii="宋体" w:hAnsi="宋体" w:cs="宋体"/>
          <w:color w:val="auto"/>
          <w:sz w:val="24"/>
          <w:highlight w:val="none"/>
          <w:u w:val="single"/>
          <w:lang w:val="zh-CN"/>
        </w:rPr>
        <w:t>（被授权</w:t>
      </w:r>
      <w:r>
        <w:rPr>
          <w:rFonts w:hint="eastAsia" w:ascii="宋体" w:hAnsi="宋体" w:cs="宋体"/>
          <w:color w:val="auto"/>
          <w:sz w:val="24"/>
          <w:highlight w:val="none"/>
          <w:u w:val="single"/>
        </w:rPr>
        <w:t>人姓名</w:t>
      </w:r>
      <w:r>
        <w:rPr>
          <w:rFonts w:hint="eastAsia" w:ascii="宋体" w:hAnsi="宋体" w:cs="宋体"/>
          <w:color w:val="auto"/>
          <w:sz w:val="24"/>
          <w:highlight w:val="none"/>
          <w:u w:val="single"/>
          <w:lang w:val="zh-CN"/>
        </w:rPr>
        <w:t>）</w:t>
      </w:r>
      <w:r>
        <w:rPr>
          <w:rFonts w:hint="eastAsia" w:ascii="宋体" w:hAnsi="宋体" w:cs="宋体"/>
          <w:color w:val="auto"/>
          <w:sz w:val="24"/>
          <w:highlight w:val="none"/>
          <w:lang w:val="zh-CN"/>
        </w:rPr>
        <w:t>为本公司的合法代理人，就2023年万宁市建成区及兴隆区、和乐镇病媒生物防制服务项目（项目编号：</w:t>
      </w:r>
      <w:r>
        <w:rPr>
          <w:rFonts w:hint="eastAsia" w:ascii="宋体" w:hAnsi="宋体" w:cs="宋体"/>
          <w:color w:val="auto"/>
          <w:sz w:val="24"/>
          <w:highlight w:val="none"/>
          <w:lang w:eastAsia="zh-CN"/>
        </w:rPr>
        <w:t>HNTS-2023-056</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包号：A包/B包</w:t>
      </w:r>
      <w:r>
        <w:rPr>
          <w:rFonts w:hint="eastAsia" w:ascii="宋体" w:hAnsi="宋体" w:cs="宋体"/>
          <w:color w:val="auto"/>
          <w:sz w:val="24"/>
          <w:highlight w:val="none"/>
          <w:lang w:val="zh-CN"/>
        </w:rPr>
        <w:t>）</w:t>
      </w:r>
      <w:r>
        <w:rPr>
          <w:rFonts w:hint="eastAsia" w:ascii="宋体" w:hAnsi="宋体" w:cs="宋体"/>
          <w:color w:val="auto"/>
          <w:sz w:val="24"/>
          <w:highlight w:val="none"/>
        </w:rPr>
        <w:t>项目</w:t>
      </w:r>
      <w:r>
        <w:rPr>
          <w:rFonts w:hint="eastAsia" w:ascii="宋体" w:hAnsi="宋体" w:cs="宋体"/>
          <w:color w:val="auto"/>
          <w:sz w:val="24"/>
          <w:highlight w:val="none"/>
          <w:lang w:val="zh-CN"/>
        </w:rPr>
        <w:t>进行投标，</w:t>
      </w:r>
      <w:r>
        <w:rPr>
          <w:rFonts w:hint="eastAsia" w:ascii="宋体" w:hAnsi="宋体" w:cs="宋体"/>
          <w:color w:val="auto"/>
          <w:sz w:val="24"/>
          <w:highlight w:val="none"/>
        </w:rPr>
        <w:t>并</w:t>
      </w:r>
      <w:r>
        <w:rPr>
          <w:rFonts w:hint="eastAsia" w:ascii="宋体" w:hAnsi="宋体" w:cs="宋体"/>
          <w:color w:val="auto"/>
          <w:sz w:val="24"/>
          <w:highlight w:val="none"/>
          <w:lang w:val="zh-CN"/>
        </w:rPr>
        <w:t>以本公司的名义处理一切与之相关的事务</w:t>
      </w:r>
      <w:r>
        <w:rPr>
          <w:rFonts w:hint="eastAsia" w:ascii="宋体" w:hAnsi="宋体" w:cs="宋体"/>
          <w:color w:val="auto"/>
          <w:sz w:val="24"/>
          <w:highlight w:val="none"/>
          <w:lang w:val="en-GB"/>
        </w:rPr>
        <w:t>。</w:t>
      </w:r>
    </w:p>
    <w:p>
      <w:pPr>
        <w:spacing w:line="480" w:lineRule="auto"/>
        <w:rPr>
          <w:rFonts w:hint="eastAsia" w:ascii="宋体" w:hAnsi="宋体" w:cs="宋体"/>
          <w:color w:val="auto"/>
          <w:sz w:val="24"/>
          <w:highlight w:val="none"/>
          <w:u w:val="single"/>
          <w:lang w:val="en-GB"/>
        </w:rPr>
      </w:pPr>
      <w:r>
        <w:rPr>
          <w:rFonts w:hint="eastAsia" w:ascii="宋体" w:hAnsi="宋体" w:cs="宋体"/>
          <w:color w:val="auto"/>
          <w:sz w:val="24"/>
          <w:highlight w:val="none"/>
        </w:rPr>
        <w:t>供应商</w:t>
      </w:r>
      <w:r>
        <w:rPr>
          <w:rFonts w:hint="eastAsia" w:ascii="宋体" w:hAnsi="宋体" w:cs="宋体"/>
          <w:color w:val="auto"/>
          <w:sz w:val="24"/>
          <w:highlight w:val="none"/>
          <w:lang w:val="en-GB"/>
        </w:rPr>
        <w:t>名称：</w:t>
      </w:r>
      <w:r>
        <w:rPr>
          <w:rFonts w:hint="eastAsia" w:ascii="宋体" w:hAnsi="宋体" w:cs="宋体"/>
          <w:color w:val="auto"/>
          <w:sz w:val="24"/>
          <w:highlight w:val="none"/>
          <w:u w:val="single"/>
          <w:lang w:val="en-GB"/>
        </w:rPr>
        <w:softHyphen/>
      </w:r>
      <w:r>
        <w:rPr>
          <w:rFonts w:hint="eastAsia" w:ascii="宋体" w:hAnsi="宋体" w:cs="宋体"/>
          <w:color w:val="auto"/>
          <w:sz w:val="24"/>
          <w:highlight w:val="none"/>
          <w:u w:val="single"/>
          <w:lang w:val="en-GB"/>
        </w:rPr>
        <w:softHyphen/>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组织机构代码</w:t>
      </w:r>
      <w:r>
        <w:rPr>
          <w:rFonts w:hint="eastAsia" w:ascii="宋体" w:hAnsi="宋体" w:cs="宋体"/>
          <w:color w:val="auto"/>
          <w:sz w:val="24"/>
          <w:highlight w:val="none"/>
          <w:lang w:val="en-GB"/>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softHyphen/>
      </w:r>
      <w:r>
        <w:rPr>
          <w:rFonts w:hint="eastAsia" w:ascii="宋体" w:hAnsi="宋体" w:cs="宋体"/>
          <w:color w:val="auto"/>
          <w:sz w:val="24"/>
          <w:highlight w:val="none"/>
          <w:u w:val="single"/>
          <w:lang w:val="en-GB"/>
        </w:rPr>
        <w:t xml:space="preserve">        </w:t>
      </w:r>
    </w:p>
    <w:p>
      <w:pPr>
        <w:spacing w:line="480" w:lineRule="auto"/>
        <w:rPr>
          <w:rFonts w:hint="eastAsia" w:ascii="宋体" w:hAnsi="宋体" w:cs="宋体"/>
          <w:color w:val="auto"/>
          <w:sz w:val="24"/>
          <w:highlight w:val="none"/>
          <w:u w:val="single"/>
        </w:rPr>
      </w:pPr>
      <w:r>
        <w:rPr>
          <w:rFonts w:hint="eastAsia" w:ascii="宋体" w:hAnsi="宋体" w:cs="宋体"/>
          <w:color w:val="auto"/>
          <w:sz w:val="24"/>
          <w:highlight w:val="none"/>
          <w:lang w:val="en-GB"/>
        </w:rPr>
        <w:t>法定代表人：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rPr>
        <w:softHyphen/>
      </w:r>
    </w:p>
    <w:p>
      <w:pPr>
        <w:spacing w:line="480" w:lineRule="auto"/>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身份证号码：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lang w:val="en-GB"/>
        </w:rPr>
        <w:softHyphen/>
      </w:r>
    </w:p>
    <w:p>
      <w:pPr>
        <w:spacing w:line="480" w:lineRule="auto"/>
        <w:rPr>
          <w:rFonts w:hint="eastAsia"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lang w:val="en-GB"/>
        </w:rPr>
        <w:softHyphen/>
      </w:r>
    </w:p>
    <w:p>
      <w:pPr>
        <w:spacing w:line="480" w:lineRule="auto"/>
        <w:rPr>
          <w:rFonts w:hint="eastAsia" w:ascii="宋体" w:hAnsi="宋体" w:cs="宋体"/>
          <w:color w:val="auto"/>
          <w:sz w:val="24"/>
          <w:highlight w:val="none"/>
        </w:rPr>
      </w:pPr>
      <w:r>
        <w:rPr>
          <w:rFonts w:hint="eastAsia" w:ascii="宋体" w:hAnsi="宋体" w:cs="宋体"/>
          <w:color w:val="auto"/>
          <w:sz w:val="24"/>
          <w:highlight w:val="none"/>
          <w:lang w:val="en-GB"/>
        </w:rPr>
        <w:t>身份证号码：</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softHyphen/>
      </w:r>
    </w:p>
    <w:p>
      <w:pPr>
        <w:spacing w:line="480" w:lineRule="auto"/>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本授权书有效</w:t>
      </w:r>
      <w:r>
        <w:rPr>
          <w:rFonts w:hint="eastAsia" w:ascii="宋体" w:hAnsi="宋体" w:cs="宋体"/>
          <w:color w:val="auto"/>
          <w:sz w:val="24"/>
          <w:highlight w:val="none"/>
        </w:rPr>
        <w:t>期</w:t>
      </w:r>
      <w:r>
        <w:rPr>
          <w:rFonts w:hint="eastAsia" w:ascii="宋体" w:hAnsi="宋体" w:cs="宋体"/>
          <w:color w:val="auto"/>
          <w:sz w:val="24"/>
          <w:highlight w:val="none"/>
          <w:lang w:val="en-GB"/>
        </w:rPr>
        <w:t>自</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起</w:t>
      </w:r>
      <w:r>
        <w:rPr>
          <w:rFonts w:hint="eastAsia" w:ascii="宋体" w:hAnsi="宋体" w:cs="宋体"/>
          <w:color w:val="auto"/>
          <w:sz w:val="24"/>
          <w:highlight w:val="none"/>
          <w:lang w:val="en-GB"/>
        </w:rPr>
        <w:t>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止</w:t>
      </w:r>
      <w:r>
        <w:rPr>
          <w:rFonts w:hint="eastAsia" w:ascii="宋体" w:hAnsi="宋体" w:cs="宋体"/>
          <w:color w:val="auto"/>
          <w:sz w:val="24"/>
          <w:highlight w:val="none"/>
          <w:lang w:val="en-GB"/>
        </w:rPr>
        <w:t>，</w:t>
      </w:r>
      <w:r>
        <w:rPr>
          <w:rFonts w:hint="eastAsia" w:ascii="宋体" w:hAnsi="宋体" w:cs="宋体"/>
          <w:color w:val="auto"/>
          <w:sz w:val="24"/>
          <w:highlight w:val="none"/>
        </w:rPr>
        <w:t>被授权人无转委托权，</w:t>
      </w:r>
      <w:r>
        <w:rPr>
          <w:rFonts w:hint="eastAsia" w:ascii="宋体" w:hAnsi="宋体" w:cs="宋体"/>
          <w:color w:val="auto"/>
          <w:sz w:val="24"/>
          <w:highlight w:val="none"/>
          <w:lang w:val="en-GB"/>
        </w:rPr>
        <w:t>特此声明。</w:t>
      </w:r>
    </w:p>
    <w:p>
      <w:pPr>
        <w:spacing w:line="480" w:lineRule="auto"/>
        <w:rPr>
          <w:rFonts w:hint="eastAsia" w:ascii="宋体" w:hAnsi="宋体" w:cs="宋体"/>
          <w:color w:val="auto"/>
          <w:sz w:val="24"/>
          <w:highlight w:val="none"/>
        </w:rPr>
      </w:pPr>
    </w:p>
    <w:p>
      <w:pPr>
        <w:spacing w:line="480" w:lineRule="auto"/>
        <w:jc w:val="right"/>
        <w:rPr>
          <w:rFonts w:hint="eastAsia"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（公章）</w:t>
      </w:r>
    </w:p>
    <w:p>
      <w:pPr>
        <w:spacing w:line="480" w:lineRule="auto"/>
        <w:jc w:val="right"/>
        <w:rPr>
          <w:rFonts w:hint="eastAsia" w:ascii="宋体" w:hAnsi="宋体" w:cs="宋体"/>
          <w:color w:val="auto"/>
          <w:sz w:val="24"/>
          <w:highlight w:val="none"/>
          <w:u w:val="singl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（亲笔签名）</w:t>
      </w:r>
    </w:p>
    <w:p>
      <w:pPr>
        <w:spacing w:line="440" w:lineRule="exact"/>
        <w:ind w:firstLine="480" w:firstLineChars="200"/>
        <w:rPr>
          <w:rFonts w:hint="eastAsia" w:ascii="宋体" w:hAnsi="宋体" w:cs="宋体"/>
          <w:color w:val="auto"/>
          <w:sz w:val="24"/>
          <w:highlight w:val="none"/>
          <w:u w:val="single"/>
        </w:rPr>
      </w:pPr>
    </w:p>
    <w:p>
      <w:pPr>
        <w:spacing w:line="440" w:lineRule="exact"/>
        <w:ind w:firstLine="480" w:firstLineChars="200"/>
        <w:rPr>
          <w:rFonts w:hint="eastAsia" w:ascii="宋体" w:hAnsi="宋体" w:cs="宋体"/>
          <w:color w:val="auto"/>
          <w:sz w:val="24"/>
          <w:highlight w:val="none"/>
          <w:u w:val="single"/>
        </w:rPr>
      </w:pPr>
    </w:p>
    <w:p>
      <w:pPr>
        <w:spacing w:line="440" w:lineRule="exact"/>
        <w:ind w:firstLine="482" w:firstLineChars="200"/>
        <w:rPr>
          <w:rFonts w:hint="eastAsia" w:ascii="宋体" w:hAnsi="宋体" w:cs="宋体"/>
          <w:b/>
          <w:color w:val="auto"/>
          <w:sz w:val="24"/>
          <w:highlight w:val="none"/>
          <w:lang w:val="en-GB"/>
        </w:rPr>
      </w:pPr>
      <w:r>
        <w:rPr>
          <w:rFonts w:hint="eastAsia" w:ascii="宋体" w:hAnsi="宋体" w:cs="宋体"/>
          <w:b/>
          <w:color w:val="auto"/>
          <w:sz w:val="24"/>
          <w:highlight w:val="none"/>
          <w:u w:val="single"/>
        </w:rPr>
        <w:t>注：附上法定代表人及被授权代表身份证正、反面复印件并加盖公章。</w:t>
      </w: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spacing w:line="440" w:lineRule="exact"/>
        <w:ind w:firstLine="480" w:firstLineChars="200"/>
        <w:rPr>
          <w:rFonts w:hint="eastAsia" w:ascii="宋体" w:hAnsi="宋体" w:cs="宋体"/>
          <w:color w:val="auto"/>
          <w:sz w:val="24"/>
          <w:highlight w:val="none"/>
          <w:lang w:val="en-GB"/>
        </w:rPr>
      </w:pPr>
    </w:p>
    <w:p>
      <w:pPr>
        <w:pStyle w:val="23"/>
        <w:ind w:firstLine="480"/>
        <w:rPr>
          <w:rFonts w:hint="eastAsia" w:cs="宋体"/>
          <w:color w:val="auto"/>
          <w:sz w:val="24"/>
          <w:highlight w:val="none"/>
          <w:lang w:val="en-GB"/>
        </w:rPr>
      </w:pPr>
    </w:p>
    <w:p>
      <w:pPr>
        <w:spacing w:after="156" w:afterLines="50" w:line="440" w:lineRule="exact"/>
        <w:jc w:val="center"/>
        <w:rPr>
          <w:rFonts w:ascii="宋体" w:hAnsi="宋体" w:cs="宋体"/>
          <w:b/>
          <w:color w:val="auto"/>
          <w:sz w:val="30"/>
          <w:szCs w:val="30"/>
          <w:highlight w:val="none"/>
        </w:rPr>
      </w:pPr>
      <w:r>
        <w:rPr>
          <w:rFonts w:hint="eastAsia" w:ascii="宋体" w:hAnsi="宋体" w:cs="宋体"/>
          <w:b/>
          <w:bCs/>
          <w:color w:val="auto"/>
          <w:sz w:val="30"/>
          <w:szCs w:val="30"/>
          <w:highlight w:val="none"/>
        </w:rPr>
        <w:br w:type="page"/>
      </w:r>
      <w:r>
        <w:rPr>
          <w:rFonts w:hint="eastAsia" w:ascii="宋体" w:hAnsi="宋体" w:cs="宋体"/>
          <w:b/>
          <w:bCs/>
          <w:color w:val="auto"/>
          <w:sz w:val="30"/>
          <w:szCs w:val="30"/>
          <w:highlight w:val="none"/>
        </w:rPr>
        <w:t xml:space="preserve">3. </w:t>
      </w:r>
      <w:r>
        <w:rPr>
          <w:rFonts w:hint="eastAsia" w:ascii="宋体" w:hAnsi="宋体" w:cs="宋体"/>
          <w:b/>
          <w:color w:val="auto"/>
          <w:sz w:val="30"/>
          <w:szCs w:val="30"/>
          <w:highlight w:val="none"/>
        </w:rPr>
        <w:t>报价一览表</w:t>
      </w:r>
    </w:p>
    <w:tbl>
      <w:tblPr>
        <w:tblStyle w:val="24"/>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rPr>
              <w:t>项目编号</w:t>
            </w:r>
          </w:p>
        </w:tc>
        <w:tc>
          <w:tcPr>
            <w:tcW w:w="7036" w:type="dxa"/>
          </w:tcPr>
          <w:p>
            <w:pPr>
              <w:spacing w:before="156" w:beforeLines="50" w:after="156" w:afterLines="50" w:line="440" w:lineRule="exact"/>
              <w:jc w:val="center"/>
              <w:rPr>
                <w:rFonts w:hint="eastAsia" w:ascii="宋体" w:hAnsi="宋体" w:eastAsia="宋体" w:cs="宋体"/>
                <w:b/>
                <w:bCs/>
                <w:color w:val="auto"/>
                <w:sz w:val="24"/>
                <w:highlight w:val="none"/>
                <w:lang w:eastAsia="zh-CN"/>
              </w:rPr>
            </w:pPr>
            <w:r>
              <w:rPr>
                <w:rFonts w:hint="eastAsia" w:ascii="宋体" w:hAnsi="宋体" w:cs="宋体"/>
                <w:b/>
                <w:bCs/>
                <w:color w:val="auto"/>
                <w:kern w:val="0"/>
                <w:sz w:val="24"/>
                <w:highlight w:val="none"/>
                <w:lang w:eastAsia="zh-CN"/>
              </w:rPr>
              <w:t>HNTS-2023-056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lang w:val="en-GB"/>
              </w:rPr>
              <w:t>项目名称</w:t>
            </w:r>
          </w:p>
        </w:tc>
        <w:tc>
          <w:tcPr>
            <w:tcW w:w="7036" w:type="dxa"/>
          </w:tcPr>
          <w:p>
            <w:pPr>
              <w:spacing w:before="156" w:beforeLines="50" w:after="156" w:afterLines="50" w:line="440" w:lineRule="exact"/>
              <w:jc w:val="center"/>
              <w:rPr>
                <w:rFonts w:hint="eastAsia" w:ascii="宋体" w:hAnsi="宋体" w:eastAsia="宋体" w:cs="宋体"/>
                <w:b/>
                <w:bCs/>
                <w:color w:val="auto"/>
                <w:sz w:val="24"/>
                <w:highlight w:val="none"/>
                <w:lang w:val="en-GB" w:eastAsia="zh-CN"/>
              </w:rPr>
            </w:pPr>
            <w:r>
              <w:rPr>
                <w:rFonts w:hint="eastAsia" w:ascii="宋体" w:hAnsi="宋体" w:cs="宋体"/>
                <w:b/>
                <w:color w:val="auto"/>
                <w:kern w:val="0"/>
                <w:sz w:val="22"/>
                <w:szCs w:val="22"/>
                <w:highlight w:val="none"/>
                <w:lang w:eastAsia="zh-CN"/>
              </w:rPr>
              <w:t>2023年万宁市建成区及兴隆区、和乐镇病媒生物防制服务项目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2025" w:type="dxa"/>
            <w:vAlign w:val="center"/>
          </w:tcPr>
          <w:p>
            <w:pPr>
              <w:spacing w:line="440" w:lineRule="exact"/>
              <w:jc w:val="center"/>
              <w:rPr>
                <w:rFonts w:hint="eastAsia" w:ascii="宋体" w:hAnsi="宋体" w:eastAsia="宋体" w:cs="宋体"/>
                <w:b/>
                <w:bCs/>
                <w:color w:val="auto"/>
                <w:sz w:val="24"/>
                <w:highlight w:val="none"/>
                <w:lang w:val="en-GB"/>
              </w:rPr>
            </w:pPr>
            <w:r>
              <w:rPr>
                <w:rFonts w:hint="eastAsia" w:ascii="宋体" w:hAnsi="宋体" w:eastAsia="宋体" w:cs="宋体"/>
                <w:b/>
                <w:bCs/>
                <w:color w:val="auto"/>
                <w:sz w:val="24"/>
                <w:highlight w:val="none"/>
                <w:lang w:val="en-GB" w:eastAsia="zh-CN"/>
              </w:rPr>
              <w:t>包号</w:t>
            </w:r>
          </w:p>
        </w:tc>
        <w:tc>
          <w:tcPr>
            <w:tcW w:w="7036" w:type="dxa"/>
          </w:tcPr>
          <w:p>
            <w:pPr>
              <w:spacing w:line="440" w:lineRule="exact"/>
              <w:jc w:val="center"/>
              <w:rPr>
                <w:rFonts w:hint="eastAsia" w:ascii="宋体" w:hAnsi="宋体" w:eastAsia="宋体" w:cs="宋体"/>
                <w:b/>
                <w:bCs/>
                <w:color w:val="auto"/>
                <w:sz w:val="24"/>
                <w:highlight w:val="none"/>
                <w:lang w:val="en-GB" w:eastAsia="zh-CN"/>
              </w:rPr>
            </w:pPr>
            <w:r>
              <w:rPr>
                <w:rFonts w:hint="eastAsia" w:ascii="宋体" w:hAnsi="宋体" w:cs="宋体"/>
                <w:b/>
                <w:bCs/>
                <w:color w:val="auto"/>
                <w:sz w:val="24"/>
                <w:highlight w:val="none"/>
                <w:lang w:val="en-GB" w:eastAsia="zh-CN"/>
              </w:rPr>
              <w:t>A包/B包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响应报价总计</w:t>
            </w:r>
          </w:p>
        </w:tc>
        <w:tc>
          <w:tcPr>
            <w:tcW w:w="7036" w:type="dxa"/>
          </w:tcPr>
          <w:p>
            <w:pPr>
              <w:spacing w:before="312" w:beforeLines="100" w:after="312"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312" w:beforeLines="100" w:after="312"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合同履行期限</w:t>
            </w:r>
          </w:p>
        </w:tc>
        <w:tc>
          <w:tcPr>
            <w:tcW w:w="7036" w:type="dxa"/>
          </w:tcPr>
          <w:p>
            <w:pPr>
              <w:spacing w:before="156" w:beforeLines="50" w:after="156" w:afterLines="50" w:line="440" w:lineRule="exact"/>
              <w:rPr>
                <w:rFonts w:ascii="宋体" w:hAnsi="宋体" w:cs="宋体"/>
                <w:color w:val="auto"/>
                <w:sz w:val="24"/>
                <w:highlight w:val="none"/>
                <w:lang w:val="en-GB"/>
              </w:rPr>
            </w:pP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highlight w:val="none"/>
                <w:lang w:val="en-GB"/>
              </w:rPr>
            </w:pPr>
            <w:r>
              <w:rPr>
                <w:rFonts w:hint="eastAsia" w:ascii="宋体" w:hAnsi="宋体" w:eastAsia="宋体" w:cs="宋体"/>
                <w:b/>
                <w:bCs/>
                <w:color w:val="auto"/>
                <w:sz w:val="24"/>
                <w:highlight w:val="none"/>
                <w:lang w:val="en-US" w:eastAsia="zh-CN"/>
              </w:rPr>
              <w:t>交付地点</w:t>
            </w:r>
          </w:p>
        </w:tc>
        <w:tc>
          <w:tcPr>
            <w:tcW w:w="7036" w:type="dxa"/>
          </w:tcPr>
          <w:p>
            <w:pPr>
              <w:spacing w:before="156" w:beforeLines="50" w:after="156" w:afterLines="50" w:line="440" w:lineRule="exact"/>
              <w:jc w:val="left"/>
              <w:rPr>
                <w:rFonts w:hint="eastAsia" w:ascii="宋体" w:hAnsi="宋体" w:cs="宋体"/>
                <w:color w:val="auto"/>
                <w:sz w:val="24"/>
                <w:highlight w:val="none"/>
              </w:rPr>
            </w:pPr>
            <w:r>
              <w:rPr>
                <w:rFonts w:hint="eastAsia" w:ascii="宋体" w:hAnsi="宋体" w:cs="宋体"/>
                <w:color w:val="auto"/>
                <w:sz w:val="24"/>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备</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val="en-GB"/>
              </w:rPr>
              <w:t>注</w:t>
            </w:r>
          </w:p>
        </w:tc>
        <w:tc>
          <w:tcPr>
            <w:tcW w:w="7036" w:type="dxa"/>
          </w:tcPr>
          <w:p>
            <w:pPr>
              <w:spacing w:before="156" w:beforeLines="50" w:after="156" w:afterLines="50" w:line="440" w:lineRule="exact"/>
              <w:rPr>
                <w:rFonts w:ascii="宋体" w:hAnsi="宋体" w:cs="宋体"/>
                <w:color w:val="auto"/>
                <w:sz w:val="24"/>
                <w:highlight w:val="none"/>
                <w:lang w:val="en-GB"/>
              </w:rPr>
            </w:pPr>
          </w:p>
        </w:tc>
      </w:tr>
    </w:tbl>
    <w:p>
      <w:pPr>
        <w:spacing w:before="468"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ascii="宋体" w:hAnsi="宋体" w:cs="宋体"/>
          <w:color w:val="auto"/>
          <w:sz w:val="24"/>
          <w:highlight w:val="none"/>
          <w:lang w:val="en-GB"/>
        </w:rPr>
      </w:pPr>
      <w:r>
        <w:rPr>
          <w:rFonts w:hint="eastAsia" w:ascii="宋体" w:hAnsi="宋体" w:cs="宋体"/>
          <w:color w:val="auto"/>
          <w:sz w:val="24"/>
          <w:highlight w:val="none"/>
        </w:rPr>
        <w:t>法定代表人或被授权人</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156" w:beforeLines="50" w:after="156" w:after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1</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报价一览表应准确填写，若报价一览表与响应文件不符时，以报价一览表为准；</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lang w:val="en-GB"/>
        </w:rPr>
        <w:t>3</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在报价表内未有明确列述的项目费用应视为包括在报价之内。</w:t>
      </w:r>
    </w:p>
    <w:p>
      <w:pPr>
        <w:spacing w:line="440" w:lineRule="exact"/>
        <w:ind w:firstLine="480" w:firstLineChars="200"/>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p>
    <w:p>
      <w:pPr>
        <w:spacing w:line="440" w:lineRule="exact"/>
        <w:jc w:val="center"/>
        <w:rPr>
          <w:rFonts w:hint="eastAsia" w:ascii="宋体" w:hAnsi="宋体" w:cs="宋体"/>
          <w:b/>
          <w:color w:val="auto"/>
          <w:sz w:val="30"/>
          <w:szCs w:val="30"/>
          <w:highlight w:val="none"/>
          <w:lang w:val="en-GB"/>
        </w:rPr>
      </w:pPr>
      <w:r>
        <w:rPr>
          <w:rFonts w:hint="eastAsia" w:ascii="宋体" w:hAnsi="宋体" w:cs="宋体"/>
          <w:b/>
          <w:color w:val="auto"/>
          <w:sz w:val="30"/>
          <w:szCs w:val="30"/>
          <w:highlight w:val="none"/>
        </w:rPr>
        <w:br w:type="page"/>
      </w:r>
      <w:r>
        <w:rPr>
          <w:rFonts w:hint="eastAsia" w:ascii="宋体" w:hAnsi="宋体" w:cs="宋体"/>
          <w:b/>
          <w:color w:val="auto"/>
          <w:sz w:val="30"/>
          <w:szCs w:val="30"/>
          <w:highlight w:val="none"/>
        </w:rPr>
        <w:t xml:space="preserve">4. </w:t>
      </w:r>
      <w:r>
        <w:rPr>
          <w:rFonts w:hint="eastAsia" w:ascii="宋体" w:hAnsi="宋体" w:cs="宋体"/>
          <w:b/>
          <w:color w:val="auto"/>
          <w:sz w:val="30"/>
          <w:szCs w:val="30"/>
          <w:highlight w:val="none"/>
          <w:lang w:val="en-GB"/>
        </w:rPr>
        <w:t>资格申明信</w:t>
      </w:r>
    </w:p>
    <w:p>
      <w:pPr>
        <w:snapToGrid w:val="0"/>
        <w:spacing w:before="156" w:beforeLines="50" w:line="440" w:lineRule="exact"/>
        <w:rPr>
          <w:rFonts w:hint="eastAsia" w:ascii="宋体" w:hAnsi="宋体" w:cs="宋体"/>
          <w:b/>
          <w:color w:val="auto"/>
          <w:kern w:val="0"/>
          <w:sz w:val="24"/>
          <w:highlight w:val="none"/>
          <w:lang w:val="en-GB"/>
        </w:rPr>
      </w:pPr>
      <w:r>
        <w:rPr>
          <w:rFonts w:hint="eastAsia" w:ascii="宋体" w:hAnsi="宋体" w:cs="宋体"/>
          <w:b/>
          <w:color w:val="auto"/>
          <w:kern w:val="0"/>
          <w:sz w:val="24"/>
          <w:highlight w:val="none"/>
          <w:lang w:val="en-GB"/>
        </w:rPr>
        <w:t>致：海南通尚工程管理有限公司</w:t>
      </w:r>
    </w:p>
    <w:p>
      <w:pPr>
        <w:spacing w:line="440" w:lineRule="exact"/>
        <w:ind w:firstLine="576"/>
        <w:rPr>
          <w:rFonts w:hint="eastAsia" w:ascii="宋体" w:hAnsi="宋体"/>
          <w:color w:val="auto"/>
          <w:sz w:val="24"/>
          <w:highlight w:val="none"/>
        </w:rPr>
      </w:pPr>
      <w:r>
        <w:rPr>
          <w:rFonts w:hint="eastAsia" w:ascii="宋体" w:hAnsi="宋体"/>
          <w:color w:val="auto"/>
          <w:sz w:val="24"/>
          <w:highlight w:val="none"/>
        </w:rPr>
        <w:t>为响应</w:t>
      </w:r>
      <w:r>
        <w:rPr>
          <w:rFonts w:hint="eastAsia" w:ascii="宋体" w:hAnsi="宋体" w:cs="宋体"/>
          <w:color w:val="auto"/>
          <w:sz w:val="24"/>
          <w:highlight w:val="none"/>
        </w:rPr>
        <w:t>贵公司组织的</w:t>
      </w:r>
      <w:r>
        <w:rPr>
          <w:rFonts w:hint="eastAsia" w:ascii="宋体" w:hAnsi="宋体" w:cs="宋体"/>
          <w:b/>
          <w:bCs/>
          <w:color w:val="auto"/>
          <w:sz w:val="24"/>
          <w:highlight w:val="none"/>
          <w:u w:val="single"/>
          <w:lang w:eastAsia="zh-CN"/>
        </w:rPr>
        <w:t>2023年万宁市建成区及兴隆区、和乐镇病媒生物防制服务项目</w:t>
      </w:r>
      <w:r>
        <w:rPr>
          <w:rFonts w:hint="eastAsia" w:ascii="宋体" w:hAnsi="宋体" w:cs="宋体"/>
          <w:b/>
          <w:bCs/>
          <w:color w:val="auto"/>
          <w:sz w:val="24"/>
          <w:highlight w:val="none"/>
          <w:u w:val="single"/>
        </w:rPr>
        <w:t>（项目编号：</w:t>
      </w:r>
      <w:r>
        <w:rPr>
          <w:rFonts w:hint="eastAsia" w:ascii="宋体" w:hAnsi="宋体" w:cs="宋体"/>
          <w:b/>
          <w:bCs/>
          <w:color w:val="auto"/>
          <w:kern w:val="0"/>
          <w:sz w:val="24"/>
          <w:highlight w:val="none"/>
          <w:u w:val="single"/>
          <w:lang w:eastAsia="zh-CN"/>
        </w:rPr>
        <w:t>HNTS-2023-056</w:t>
      </w:r>
      <w:r>
        <w:rPr>
          <w:rFonts w:hint="eastAsia" w:ascii="宋体" w:hAnsi="宋体" w:cs="宋体"/>
          <w:b/>
          <w:bCs/>
          <w:color w:val="auto"/>
          <w:kern w:val="0"/>
          <w:sz w:val="24"/>
          <w:highlight w:val="none"/>
          <w:u w:val="single"/>
          <w:lang w:val="en-US" w:eastAsia="zh-CN"/>
        </w:rPr>
        <w:t>包号：A包/B包</w:t>
      </w:r>
      <w:r>
        <w:rPr>
          <w:rFonts w:hint="eastAsia" w:ascii="宋体" w:hAnsi="宋体" w:cs="宋体"/>
          <w:b/>
          <w:bCs/>
          <w:color w:val="auto"/>
          <w:sz w:val="24"/>
          <w:highlight w:val="none"/>
          <w:u w:val="single"/>
        </w:rPr>
        <w:t>）</w:t>
      </w:r>
      <w:r>
        <w:rPr>
          <w:rFonts w:hint="eastAsia" w:ascii="宋体" w:hAnsi="宋体"/>
          <w:color w:val="auto"/>
          <w:sz w:val="24"/>
          <w:highlight w:val="none"/>
        </w:rPr>
        <w:t>的</w:t>
      </w:r>
      <w:r>
        <w:rPr>
          <w:rFonts w:hint="eastAsia" w:ascii="宋体" w:hAnsi="宋体" w:cs="宋体"/>
          <w:color w:val="auto"/>
          <w:sz w:val="24"/>
          <w:highlight w:val="none"/>
        </w:rPr>
        <w:t>磋商采购活动</w:t>
      </w:r>
      <w:r>
        <w:rPr>
          <w:rFonts w:hint="eastAsia" w:ascii="宋体" w:hAnsi="宋体"/>
          <w:color w:val="auto"/>
          <w:sz w:val="24"/>
          <w:highlight w:val="none"/>
        </w:rPr>
        <w:t>，我公司愿意参与报价。</w:t>
      </w:r>
    </w:p>
    <w:p>
      <w:pPr>
        <w:spacing w:line="440" w:lineRule="exact"/>
        <w:ind w:firstLine="576"/>
        <w:rPr>
          <w:rFonts w:hint="eastAsia" w:ascii="宋体" w:hAnsi="宋体"/>
          <w:color w:val="auto"/>
          <w:sz w:val="24"/>
          <w:highlight w:val="none"/>
        </w:rPr>
      </w:pPr>
      <w:r>
        <w:rPr>
          <w:rFonts w:hint="eastAsia" w:ascii="宋体" w:hAnsi="宋体"/>
          <w:color w:val="auto"/>
          <w:sz w:val="24"/>
          <w:highlight w:val="none"/>
        </w:rPr>
        <w:t>我公司在法律、财务和运作上符合磋商邀请函对供应商的资格要求，提供“用户需求书”中全部的要求及相关服务，提交的所有文件和全部说明是真实的和正确的。</w:t>
      </w:r>
    </w:p>
    <w:p>
      <w:pPr>
        <w:spacing w:line="440" w:lineRule="exact"/>
        <w:ind w:firstLine="576"/>
        <w:rPr>
          <w:rFonts w:hint="eastAsia" w:ascii="宋体" w:hAnsi="宋体"/>
          <w:color w:val="auto"/>
          <w:sz w:val="24"/>
          <w:highlight w:val="none"/>
        </w:rPr>
      </w:pPr>
      <w:r>
        <w:rPr>
          <w:rFonts w:hint="eastAsia" w:ascii="宋体" w:hAnsi="宋体"/>
          <w:color w:val="auto"/>
          <w:sz w:val="24"/>
          <w:highlight w:val="none"/>
        </w:rPr>
        <w:t>我公司理解贵公司可能还要求提供更进一步的资格资料，并愿意应贵公司的要求提交。</w:t>
      </w:r>
    </w:p>
    <w:p>
      <w:pPr>
        <w:spacing w:line="440" w:lineRule="exact"/>
        <w:ind w:firstLine="576"/>
        <w:rPr>
          <w:rFonts w:hint="eastAsia" w:ascii="宋体" w:hAnsi="宋体"/>
          <w:b/>
          <w:bCs/>
          <w:color w:val="auto"/>
          <w:sz w:val="24"/>
          <w:highlight w:val="none"/>
        </w:rPr>
      </w:pPr>
      <w:r>
        <w:rPr>
          <w:rFonts w:hint="eastAsia" w:ascii="宋体" w:hAnsi="宋体"/>
          <w:b/>
          <w:bCs/>
          <w:color w:val="auto"/>
          <w:sz w:val="24"/>
          <w:highlight w:val="none"/>
        </w:rPr>
        <w:t>我公司承诺：在参加本次政府采购活动前三年内，</w:t>
      </w:r>
      <w:r>
        <w:rPr>
          <w:rFonts w:hint="eastAsia" w:ascii="宋体" w:hAnsi="宋体" w:cs="宋体"/>
          <w:b/>
          <w:bCs/>
          <w:color w:val="auto"/>
          <w:kern w:val="0"/>
          <w:sz w:val="24"/>
          <w:highlight w:val="none"/>
          <w:lang w:val="en-GB"/>
        </w:rPr>
        <w:t>在经营活动中没有重大事故、违法记录</w:t>
      </w:r>
      <w:r>
        <w:rPr>
          <w:rFonts w:hint="eastAsia" w:ascii="宋体" w:hAnsi="宋体"/>
          <w:b/>
          <w:bCs/>
          <w:color w:val="auto"/>
          <w:sz w:val="24"/>
          <w:highlight w:val="none"/>
        </w:rPr>
        <w:t>。</w:t>
      </w:r>
    </w:p>
    <w:p>
      <w:pPr>
        <w:spacing w:line="440" w:lineRule="exact"/>
        <w:ind w:firstLine="576"/>
        <w:rPr>
          <w:rFonts w:hint="eastAsia" w:ascii="宋体" w:hAnsi="宋体"/>
          <w:color w:val="auto"/>
          <w:sz w:val="24"/>
          <w:highlight w:val="none"/>
        </w:rPr>
      </w:pPr>
    </w:p>
    <w:p>
      <w:pPr>
        <w:spacing w:line="440" w:lineRule="exact"/>
        <w:ind w:firstLine="576"/>
        <w:rPr>
          <w:rFonts w:hint="eastAsia" w:ascii="宋体" w:hAnsi="宋体"/>
          <w:color w:val="auto"/>
          <w:sz w:val="24"/>
          <w:highlight w:val="none"/>
        </w:rPr>
      </w:pPr>
    </w:p>
    <w:p>
      <w:pPr>
        <w:spacing w:line="440" w:lineRule="exact"/>
        <w:ind w:firstLine="576"/>
        <w:rPr>
          <w:rFonts w:hint="eastAsia" w:ascii="宋体" w:hAnsi="宋体"/>
          <w:color w:val="auto"/>
          <w:sz w:val="24"/>
          <w:highlight w:val="none"/>
        </w:rPr>
      </w:pPr>
    </w:p>
    <w:p>
      <w:pPr>
        <w:adjustRightInd w:val="0"/>
        <w:snapToGrid w:val="0"/>
        <w:spacing w:line="720" w:lineRule="auto"/>
        <w:ind w:right="210" w:rightChars="100"/>
        <w:jc w:val="right"/>
        <w:rPr>
          <w:rFonts w:hint="eastAsia"/>
          <w:color w:val="auto"/>
          <w:sz w:val="24"/>
          <w:highlight w:val="none"/>
          <w:u w:val="single"/>
        </w:rPr>
      </w:pPr>
      <w:r>
        <w:rPr>
          <w:rFonts w:hint="eastAsia"/>
          <w:color w:val="auto"/>
          <w:sz w:val="24"/>
          <w:highlight w:val="none"/>
        </w:rPr>
        <w:t>供应商</w:t>
      </w:r>
      <w:r>
        <w:rPr>
          <w:rFonts w:hint="eastAsia"/>
          <w:iCs/>
          <w:color w:val="auto"/>
          <w:sz w:val="24"/>
          <w:highlight w:val="none"/>
        </w:rPr>
        <w:t>名称</w:t>
      </w:r>
      <w:r>
        <w:rPr>
          <w:rFonts w:hint="eastAsia"/>
          <w:color w:val="auto"/>
          <w:sz w:val="24"/>
          <w:highlight w:val="none"/>
        </w:rPr>
        <w:t>：</w:t>
      </w:r>
      <w:r>
        <w:rPr>
          <w:rFonts w:hint="eastAsia"/>
          <w:color w:val="auto"/>
          <w:sz w:val="24"/>
          <w:highlight w:val="none"/>
          <w:u w:val="single"/>
        </w:rPr>
        <w:t xml:space="preserve">                            （公章）</w:t>
      </w:r>
    </w:p>
    <w:p>
      <w:pPr>
        <w:adjustRightInd w:val="0"/>
        <w:snapToGrid w:val="0"/>
        <w:spacing w:line="720" w:lineRule="auto"/>
        <w:ind w:right="210" w:rightChars="100"/>
        <w:jc w:val="right"/>
        <w:rPr>
          <w:rFonts w:hint="eastAsia"/>
          <w:color w:val="auto"/>
          <w:sz w:val="24"/>
          <w:highlight w:val="none"/>
        </w:rPr>
      </w:pPr>
      <w:r>
        <w:rPr>
          <w:rFonts w:hint="eastAsia"/>
          <w:color w:val="auto"/>
          <w:sz w:val="24"/>
          <w:highlight w:val="none"/>
        </w:rPr>
        <w:t>法定代表人或被授权人：</w:t>
      </w:r>
      <w:r>
        <w:rPr>
          <w:rFonts w:hint="eastAsia"/>
          <w:color w:val="auto"/>
          <w:sz w:val="24"/>
          <w:highlight w:val="none"/>
          <w:u w:val="single"/>
        </w:rPr>
        <w:t xml:space="preserve">              </w:t>
      </w:r>
      <w:r>
        <w:rPr>
          <w:rFonts w:hint="eastAsia" w:ascii="宋体" w:hAnsi="宋体" w:cs="宋体"/>
          <w:bCs/>
          <w:color w:val="auto"/>
          <w:sz w:val="24"/>
          <w:highlight w:val="none"/>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highlight w:val="none"/>
          <w:lang w:val="en-GB"/>
        </w:rPr>
      </w:pPr>
      <w:r>
        <w:rPr>
          <w:rFonts w:hint="eastAsia"/>
          <w:color w:val="auto"/>
          <w:sz w:val="24"/>
          <w:highlight w:val="none"/>
        </w:rPr>
        <w:t xml:space="preserve">        申明日期：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p>
    <w:p>
      <w:pPr>
        <w:spacing w:line="440" w:lineRule="exac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5. 报价明细表</w:t>
      </w:r>
    </w:p>
    <w:p>
      <w:pPr>
        <w:spacing w:line="440" w:lineRule="exact"/>
        <w:jc w:val="center"/>
        <w:rPr>
          <w:rFonts w:hint="eastAsia" w:ascii="宋体" w:hAnsi="宋体" w:cs="宋体"/>
          <w:b/>
          <w:bCs/>
          <w:color w:val="auto"/>
          <w:kern w:val="0"/>
          <w:sz w:val="30"/>
          <w:szCs w:val="30"/>
          <w:highlight w:val="none"/>
        </w:rPr>
      </w:pPr>
    </w:p>
    <w:tbl>
      <w:tblPr>
        <w:tblStyle w:val="2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409"/>
        <w:gridCol w:w="2978"/>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62" w:type="dxa"/>
            <w:gridSpan w:val="7"/>
            <w:shd w:val="clear" w:color="auto" w:fill="D9D9D9"/>
            <w:vAlign w:val="center"/>
          </w:tcPr>
          <w:p>
            <w:pPr>
              <w:spacing w:before="94" w:beforeLines="30" w:after="94" w:afterLines="30" w:line="440" w:lineRule="exact"/>
              <w:rPr>
                <w:rFonts w:hint="eastAsia" w:ascii="宋体" w:hAnsi="宋体" w:cs="宋体"/>
                <w:b/>
                <w:bCs/>
                <w:color w:val="auto"/>
                <w:sz w:val="24"/>
                <w:highlight w:val="none"/>
              </w:rPr>
            </w:pPr>
            <w:r>
              <w:rPr>
                <w:rFonts w:hint="eastAsia" w:ascii="宋体" w:hAnsi="宋体" w:cs="宋体"/>
                <w:b/>
                <w:color w:val="auto"/>
                <w:sz w:val="24"/>
                <w:highlight w:val="none"/>
              </w:rPr>
              <w:t>项目名称：</w:t>
            </w:r>
            <w:r>
              <w:rPr>
                <w:rFonts w:hint="eastAsia" w:ascii="宋体" w:hAnsi="宋体" w:cs="宋体"/>
                <w:b/>
                <w:bCs/>
                <w:color w:val="auto"/>
                <w:sz w:val="24"/>
                <w:highlight w:val="none"/>
                <w:lang w:val="en-GB" w:eastAsia="zh-CN"/>
              </w:rPr>
              <w:t>2023年万宁市建成区及兴隆区、和乐镇病媒生物防制服务项目</w:t>
            </w:r>
            <w:r>
              <w:rPr>
                <w:rFonts w:hint="eastAsia" w:ascii="宋体" w:hAnsi="宋体" w:cs="宋体"/>
                <w:b/>
                <w:bCs/>
                <w:color w:val="auto"/>
                <w:sz w:val="24"/>
                <w:highlight w:val="none"/>
              </w:rPr>
              <w:t xml:space="preserve">   </w:t>
            </w:r>
          </w:p>
          <w:p>
            <w:pPr>
              <w:spacing w:before="94" w:beforeLines="30" w:after="94" w:afterLines="30" w:line="440" w:lineRule="exact"/>
              <w:rPr>
                <w:rFonts w:ascii="宋体" w:hAnsi="宋体" w:cs="宋体"/>
                <w:b/>
                <w:color w:val="auto"/>
                <w:sz w:val="24"/>
                <w:highlight w:val="none"/>
              </w:rPr>
            </w:pP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w:t>
            </w:r>
            <w:r>
              <w:rPr>
                <w:rFonts w:hint="eastAsia" w:ascii="宋体" w:hAnsi="宋体" w:eastAsia="宋体" w:cs="宋体"/>
                <w:b/>
                <w:bCs/>
                <w:color w:val="auto"/>
                <w:sz w:val="24"/>
                <w:highlight w:val="none"/>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shd w:val="clear" w:color="auto" w:fill="D9D9D9"/>
            <w:vAlign w:val="center"/>
          </w:tcPr>
          <w:p>
            <w:pPr>
              <w:pStyle w:val="68"/>
              <w:spacing w:before="94" w:beforeLines="30" w:after="94" w:afterLines="30" w:line="440" w:lineRule="exact"/>
              <w:jc w:val="center"/>
              <w:rPr>
                <w:rFonts w:hint="eastAsia" w:ascii="宋体" w:hAnsi="宋体" w:eastAsia="宋体" w:cs="宋体"/>
                <w:b/>
                <w:bCs w:val="0"/>
                <w:color w:val="auto"/>
                <w:spacing w:val="0"/>
                <w:kern w:val="2"/>
                <w:sz w:val="24"/>
                <w:szCs w:val="24"/>
                <w:highlight w:val="none"/>
                <w:lang w:val="en-GB" w:eastAsia="zh-CN" w:bidi="ar-SA"/>
              </w:rPr>
            </w:pPr>
            <w:r>
              <w:rPr>
                <w:rFonts w:hint="eastAsia" w:ascii="宋体" w:hAnsi="宋体" w:eastAsia="宋体" w:cs="宋体"/>
                <w:b/>
                <w:bCs w:val="0"/>
                <w:color w:val="auto"/>
                <w:spacing w:val="0"/>
                <w:kern w:val="2"/>
                <w:sz w:val="24"/>
                <w:szCs w:val="24"/>
                <w:highlight w:val="none"/>
                <w:lang w:val="en-GB" w:eastAsia="zh-CN" w:bidi="ar-SA"/>
              </w:rPr>
              <w:t>序号</w:t>
            </w:r>
          </w:p>
        </w:tc>
        <w:tc>
          <w:tcPr>
            <w:tcW w:w="1409" w:type="dxa"/>
            <w:shd w:val="clear" w:color="auto" w:fill="D9D9D9"/>
            <w:vAlign w:val="center"/>
          </w:tcPr>
          <w:p>
            <w:pPr>
              <w:spacing w:before="93" w:beforeLines="30" w:after="93" w:afterLines="30" w:line="560" w:lineRule="exact"/>
              <w:jc w:val="center"/>
              <w:rPr>
                <w:rFonts w:hint="eastAsia" w:ascii="宋体" w:hAnsi="宋体" w:eastAsia="宋体" w:cs="宋体"/>
                <w:b/>
                <w:bCs w:val="0"/>
                <w:color w:val="auto"/>
                <w:spacing w:val="0"/>
                <w:kern w:val="2"/>
                <w:sz w:val="24"/>
                <w:szCs w:val="24"/>
                <w:highlight w:val="none"/>
                <w:lang w:val="en-GB" w:eastAsia="zh-CN" w:bidi="ar-SA"/>
              </w:rPr>
            </w:pPr>
            <w:r>
              <w:rPr>
                <w:rFonts w:hint="eastAsia" w:ascii="宋体" w:hAnsi="宋体" w:eastAsia="宋体" w:cs="宋体"/>
                <w:b/>
                <w:bCs w:val="0"/>
                <w:color w:val="auto"/>
                <w:spacing w:val="0"/>
                <w:kern w:val="2"/>
                <w:sz w:val="24"/>
                <w:szCs w:val="24"/>
                <w:highlight w:val="none"/>
                <w:lang w:val="en-GB" w:eastAsia="zh-CN" w:bidi="ar-SA"/>
              </w:rPr>
              <w:t>服务名称</w:t>
            </w:r>
          </w:p>
        </w:tc>
        <w:tc>
          <w:tcPr>
            <w:tcW w:w="2978" w:type="dxa"/>
            <w:shd w:val="clear" w:color="auto" w:fill="D9D9D9"/>
            <w:vAlign w:val="center"/>
          </w:tcPr>
          <w:p>
            <w:pPr>
              <w:spacing w:before="156" w:beforeLines="50" w:after="156" w:afterLines="50" w:line="560" w:lineRule="exact"/>
              <w:jc w:val="center"/>
              <w:rPr>
                <w:rFonts w:hint="eastAsia" w:ascii="宋体" w:hAnsi="宋体" w:eastAsia="宋体" w:cs="宋体"/>
                <w:b/>
                <w:bCs w:val="0"/>
                <w:color w:val="auto"/>
                <w:spacing w:val="0"/>
                <w:kern w:val="2"/>
                <w:sz w:val="24"/>
                <w:szCs w:val="24"/>
                <w:highlight w:val="none"/>
                <w:lang w:val="en-GB" w:eastAsia="zh-CN" w:bidi="ar-SA"/>
              </w:rPr>
            </w:pPr>
            <w:r>
              <w:rPr>
                <w:rFonts w:hint="eastAsia" w:ascii="宋体" w:hAnsi="宋体" w:eastAsia="宋体" w:cs="宋体"/>
                <w:b/>
                <w:bCs w:val="0"/>
                <w:color w:val="auto"/>
                <w:spacing w:val="0"/>
                <w:kern w:val="2"/>
                <w:sz w:val="24"/>
                <w:szCs w:val="24"/>
                <w:highlight w:val="none"/>
                <w:lang w:val="en-GB" w:eastAsia="zh-CN" w:bidi="ar-SA"/>
              </w:rPr>
              <w:t>服务内容</w:t>
            </w:r>
          </w:p>
        </w:tc>
        <w:tc>
          <w:tcPr>
            <w:tcW w:w="931"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数量</w:t>
            </w:r>
          </w:p>
        </w:tc>
        <w:tc>
          <w:tcPr>
            <w:tcW w:w="932"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单位</w:t>
            </w:r>
          </w:p>
        </w:tc>
        <w:tc>
          <w:tcPr>
            <w:tcW w:w="1346"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单价（元）</w:t>
            </w:r>
          </w:p>
        </w:tc>
        <w:tc>
          <w:tcPr>
            <w:tcW w:w="1346" w:type="dxa"/>
            <w:shd w:val="clear" w:color="auto" w:fill="D9D9D9"/>
            <w:vAlign w:val="center"/>
          </w:tcPr>
          <w:p>
            <w:pPr>
              <w:spacing w:before="94" w:beforeLines="30" w:after="94"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1</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top"/>
          </w:tcPr>
          <w:p>
            <w:pPr>
              <w:spacing w:before="94" w:beforeLines="30" w:after="94" w:afterLines="30" w:line="440" w:lineRule="exact"/>
              <w:jc w:val="left"/>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2</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3</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4</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5</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0"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6</w:t>
            </w:r>
          </w:p>
        </w:tc>
        <w:tc>
          <w:tcPr>
            <w:tcW w:w="1409"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r>
              <w:rPr>
                <w:rFonts w:hint="eastAsia" w:ascii="宋体" w:hAnsi="宋体" w:cs="宋体"/>
                <w:bCs/>
                <w:color w:val="auto"/>
                <w:sz w:val="24"/>
                <w:highlight w:val="none"/>
                <w:lang w:val="en-GB"/>
              </w:rPr>
              <w:t>…</w:t>
            </w:r>
          </w:p>
        </w:tc>
        <w:tc>
          <w:tcPr>
            <w:tcW w:w="2978"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1"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932"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c>
          <w:tcPr>
            <w:tcW w:w="1346" w:type="dxa"/>
            <w:vAlign w:val="center"/>
          </w:tcPr>
          <w:p>
            <w:pPr>
              <w:spacing w:before="94" w:beforeLines="30" w:after="94" w:afterLines="30" w:line="440" w:lineRule="exact"/>
              <w:jc w:val="center"/>
              <w:rPr>
                <w:rFonts w:hint="eastAsia" w:ascii="宋体" w:hAnsi="宋体" w:cs="宋体"/>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229" w:type="dxa"/>
            <w:gridSpan w:val="2"/>
            <w:vAlign w:val="center"/>
          </w:tcPr>
          <w:p>
            <w:pPr>
              <w:spacing w:before="156" w:beforeLines="50" w:after="156" w:afterLines="50" w:line="440" w:lineRule="exact"/>
              <w:jc w:val="center"/>
              <w:rPr>
                <w:rFonts w:hint="eastAsia" w:ascii="宋体" w:hAnsi="宋体" w:cs="宋体"/>
                <w:color w:val="auto"/>
                <w:sz w:val="24"/>
                <w:highlight w:val="none"/>
                <w:lang w:val="en-GB"/>
              </w:rPr>
            </w:pPr>
            <w:r>
              <w:rPr>
                <w:rFonts w:hint="eastAsia" w:ascii="宋体" w:hAnsi="宋体" w:cs="宋体"/>
                <w:b/>
                <w:bCs/>
                <w:color w:val="auto"/>
                <w:sz w:val="24"/>
                <w:highlight w:val="none"/>
                <w:lang w:val="en-GB"/>
              </w:rPr>
              <w:t>响应报价总计</w:t>
            </w:r>
          </w:p>
        </w:tc>
        <w:tc>
          <w:tcPr>
            <w:tcW w:w="7533" w:type="dxa"/>
            <w:gridSpan w:val="5"/>
            <w:vAlign w:val="center"/>
          </w:tcPr>
          <w:p>
            <w:pPr>
              <w:spacing w:before="312" w:beforeLines="100" w:after="312" w:afterLines="10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312" w:beforeLines="100" w:after="312" w:afterLines="100"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bl>
    <w:p>
      <w:pPr>
        <w:spacing w:before="468" w:beforeLines="15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hint="eastAsia" w:ascii="宋体" w:hAnsi="宋体" w:cs="宋体"/>
          <w:color w:val="auto"/>
          <w:sz w:val="24"/>
          <w:highlight w:val="none"/>
          <w:lang w:val="en-GB"/>
        </w:rPr>
      </w:pPr>
      <w:r>
        <w:rPr>
          <w:rFonts w:hint="eastAsia" w:ascii="宋体" w:hAnsi="宋体" w:cs="宋体"/>
          <w:color w:val="auto"/>
          <w:sz w:val="24"/>
          <w:highlight w:val="none"/>
        </w:rPr>
        <w:t>法定代表人或被授权人</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156" w:beforeLines="50" w:after="156" w:after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此表为表样，行数及列数可以根据项目实际情况自行添加，但表式不变；</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相关明细费用、及其他所有费用由供应商自行计算填列；</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总价=单价×数量，数量由供应商自行计算并填表；</w:t>
      </w:r>
    </w:p>
    <w:p>
      <w:pPr>
        <w:spacing w:line="440" w:lineRule="exact"/>
        <w:ind w:firstLine="480" w:firstLineChars="200"/>
        <w:rPr>
          <w:rFonts w:hint="eastAsia"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“报价明细表”中“响应报价总计”数应当等于“报价一览表”中“响应报价总计”数。</w:t>
      </w:r>
    </w:p>
    <w:p>
      <w:pPr>
        <w:spacing w:line="440" w:lineRule="exact"/>
        <w:rPr>
          <w:rFonts w:hint="eastAsia" w:ascii="宋体" w:hAnsi="宋体" w:cs="宋体"/>
          <w:b/>
          <w:bCs/>
          <w:color w:val="auto"/>
          <w:sz w:val="24"/>
          <w:highlight w:val="none"/>
        </w:rPr>
      </w:pPr>
    </w:p>
    <w:p>
      <w:pPr>
        <w:spacing w:line="440" w:lineRule="exact"/>
        <w:rPr>
          <w:rFonts w:hint="eastAsia" w:ascii="宋体" w:hAnsi="宋体" w:cs="宋体"/>
          <w:b/>
          <w:bCs/>
          <w:color w:val="auto"/>
          <w:sz w:val="24"/>
          <w:highlight w:val="none"/>
        </w:rPr>
      </w:pPr>
    </w:p>
    <w:p>
      <w:pPr>
        <w:pStyle w:val="2"/>
        <w:rPr>
          <w:rFonts w:hint="eastAsia"/>
          <w:color w:val="auto"/>
          <w:highlight w:val="none"/>
        </w:rPr>
      </w:pPr>
    </w:p>
    <w:p>
      <w:pPr>
        <w:spacing w:before="156" w:beforeLines="50" w:after="156" w:afterLines="50" w:line="440" w:lineRule="exact"/>
        <w:jc w:val="center"/>
        <w:rPr>
          <w:rFonts w:hint="eastAsia" w:ascii="宋体" w:hAnsi="宋体" w:cs="宋体"/>
          <w:b/>
          <w:color w:val="auto"/>
          <w:sz w:val="24"/>
          <w:highlight w:val="none"/>
        </w:rPr>
      </w:pPr>
      <w:r>
        <w:rPr>
          <w:rFonts w:hint="eastAsia" w:ascii="宋体" w:hAnsi="宋体" w:cs="宋体"/>
          <w:b/>
          <w:color w:val="auto"/>
          <w:sz w:val="30"/>
          <w:szCs w:val="30"/>
          <w:highlight w:val="none"/>
        </w:rPr>
        <w:t>6. 技术</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lang w:val="en-US" w:eastAsia="zh-CN"/>
        </w:rPr>
        <w:t>商务</w:t>
      </w:r>
      <w:r>
        <w:rPr>
          <w:rFonts w:hint="eastAsia" w:ascii="宋体" w:hAnsi="宋体" w:cs="宋体"/>
          <w:b/>
          <w:color w:val="auto"/>
          <w:sz w:val="30"/>
          <w:szCs w:val="30"/>
          <w:highlight w:val="none"/>
        </w:rPr>
        <w:t>响应情况表</w:t>
      </w:r>
    </w:p>
    <w:p>
      <w:pPr>
        <w:adjustRightInd w:val="0"/>
        <w:snapToGrid w:val="0"/>
        <w:spacing w:after="156" w:afterLines="50" w:line="440" w:lineRule="exact"/>
        <w:ind w:firstLine="482" w:firstLineChars="200"/>
        <w:rPr>
          <w:rFonts w:hint="eastAsia" w:ascii="宋体" w:hAnsi="宋体" w:cs="宋体"/>
          <w:b/>
          <w:bCs/>
          <w:color w:val="auto"/>
          <w:sz w:val="24"/>
          <w:highlight w:val="none"/>
          <w:u w:val="single"/>
        </w:rPr>
      </w:pPr>
      <w:r>
        <w:rPr>
          <w:rFonts w:hint="eastAsia" w:ascii="宋体" w:hAnsi="宋体" w:cs="宋体"/>
          <w:b/>
          <w:bCs/>
          <w:color w:val="auto"/>
          <w:sz w:val="24"/>
          <w:highlight w:val="none"/>
        </w:rPr>
        <w:t>说明：</w:t>
      </w:r>
      <w:r>
        <w:rPr>
          <w:rFonts w:hint="eastAsia" w:ascii="宋体" w:hAnsi="宋体" w:cs="宋体"/>
          <w:color w:val="auto"/>
          <w:sz w:val="24"/>
          <w:highlight w:val="none"/>
        </w:rPr>
        <w:t>供应商必须仔细阅读磋商文件中所有技术规范条款和相关功能要求，并对所有技术规范和功能条目列入下表，未列入下表的视作报价人不响应。带</w:t>
      </w:r>
      <w:r>
        <w:rPr>
          <w:rFonts w:hint="eastAsia" w:ascii="宋体" w:hAnsi="宋体" w:cs="宋体"/>
          <w:color w:val="auto"/>
          <w:szCs w:val="21"/>
          <w:highlight w:val="none"/>
        </w:rPr>
        <w:t>★</w:t>
      </w:r>
      <w:r>
        <w:rPr>
          <w:rFonts w:hint="eastAsia" w:ascii="宋体" w:hAnsi="宋体" w:cs="宋体"/>
          <w:color w:val="auto"/>
          <w:sz w:val="24"/>
          <w:highlight w:val="none"/>
        </w:rPr>
        <w:t>的指标列入下表时，必须在指标前面保留</w:t>
      </w:r>
      <w:r>
        <w:rPr>
          <w:rFonts w:hint="eastAsia" w:ascii="宋体" w:hAnsi="宋体" w:cs="宋体"/>
          <w:color w:val="auto"/>
          <w:szCs w:val="21"/>
          <w:highlight w:val="none"/>
        </w:rPr>
        <w:t>★</w:t>
      </w:r>
      <w:r>
        <w:rPr>
          <w:rFonts w:hint="eastAsia" w:ascii="宋体" w:hAnsi="宋体" w:cs="宋体"/>
          <w:color w:val="auto"/>
          <w:sz w:val="24"/>
          <w:highlight w:val="none"/>
        </w:rPr>
        <w:t>，否则视为不响应。</w:t>
      </w:r>
      <w:r>
        <w:rPr>
          <w:rFonts w:hint="eastAsia" w:ascii="宋体" w:hAnsi="宋体" w:cs="宋体"/>
          <w:b/>
          <w:bCs/>
          <w:color w:val="auto"/>
          <w:sz w:val="24"/>
          <w:highlight w:val="none"/>
          <w:u w:val="single"/>
        </w:rPr>
        <w:t>供应商必须根据所响应货物的实际情况如实填写，如发现有虚假描述的，该响应文件无效，并报政府采购主管部门严肃处理，并没收其磋商保证金。</w:t>
      </w:r>
    </w:p>
    <w:p>
      <w:pPr>
        <w:spacing w:before="156" w:beforeLines="50" w:after="156" w:afterLines="50" w:line="440" w:lineRule="exact"/>
        <w:rPr>
          <w:rFonts w:hint="eastAsia" w:ascii="宋体" w:hAnsi="宋体" w:eastAsia="宋体" w:cs="宋体"/>
          <w:b/>
          <w:color w:val="auto"/>
          <w:kern w:val="0"/>
          <w:sz w:val="24"/>
          <w:highlight w:val="none"/>
          <w:lang w:eastAsia="zh-CN"/>
        </w:rPr>
      </w:pPr>
      <w:r>
        <w:rPr>
          <w:rFonts w:hint="eastAsia" w:ascii="宋体" w:hAnsi="宋体" w:cs="宋体"/>
          <w:b/>
          <w:color w:val="auto"/>
          <w:kern w:val="0"/>
          <w:sz w:val="24"/>
          <w:highlight w:val="none"/>
        </w:rPr>
        <w:t>项目编号：</w:t>
      </w:r>
      <w:r>
        <w:rPr>
          <w:rFonts w:hint="eastAsia" w:ascii="宋体" w:hAnsi="宋体" w:cs="宋体"/>
          <w:b/>
          <w:color w:val="auto"/>
          <w:kern w:val="0"/>
          <w:sz w:val="24"/>
          <w:highlight w:val="none"/>
          <w:lang w:eastAsia="zh-CN"/>
        </w:rPr>
        <w:t>HNTS-2023-056</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w:t>
      </w:r>
      <w:r>
        <w:rPr>
          <w:rFonts w:hint="eastAsia" w:ascii="宋体" w:hAnsi="宋体" w:eastAsia="宋体" w:cs="宋体"/>
          <w:b/>
          <w:bCs/>
          <w:color w:val="auto"/>
          <w:sz w:val="24"/>
          <w:highlight w:val="none"/>
          <w:lang w:val="en-GB" w:eastAsia="zh-CN"/>
        </w:rPr>
        <w:t xml:space="preserve">   </w:t>
      </w:r>
    </w:p>
    <w:p>
      <w:pPr>
        <w:spacing w:before="156" w:beforeLines="50" w:after="156" w:afterLines="50" w:line="440" w:lineRule="exact"/>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项目名称：</w:t>
      </w:r>
      <w:r>
        <w:rPr>
          <w:rFonts w:hint="eastAsia" w:ascii="宋体" w:hAnsi="宋体" w:cs="宋体"/>
          <w:b/>
          <w:color w:val="auto"/>
          <w:kern w:val="0"/>
          <w:sz w:val="24"/>
          <w:highlight w:val="none"/>
          <w:lang w:eastAsia="zh-CN"/>
        </w:rPr>
        <w:t>2023年万宁市建成区及兴隆区、和乐镇病媒生物防制服务项目</w:t>
      </w:r>
    </w:p>
    <w:tbl>
      <w:tblPr>
        <w:tblStyle w:val="2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343"/>
        <w:gridCol w:w="291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序号</w:t>
            </w:r>
          </w:p>
        </w:tc>
        <w:tc>
          <w:tcPr>
            <w:tcW w:w="3343"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原技术规范主要条款描述</w:t>
            </w:r>
          </w:p>
        </w:tc>
        <w:tc>
          <w:tcPr>
            <w:tcW w:w="2910"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供应商技术规范描述</w:t>
            </w:r>
          </w:p>
        </w:tc>
        <w:tc>
          <w:tcPr>
            <w:tcW w:w="2535"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偏离情况说明</w:t>
            </w:r>
          </w:p>
          <w:p>
            <w:pPr>
              <w:adjustRightInd w:val="0"/>
              <w:snapToGrid w:val="0"/>
              <w:spacing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1</w:t>
            </w:r>
          </w:p>
        </w:tc>
        <w:tc>
          <w:tcPr>
            <w:tcW w:w="3343"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910"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535"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2</w:t>
            </w:r>
          </w:p>
        </w:tc>
        <w:tc>
          <w:tcPr>
            <w:tcW w:w="3343"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910"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535"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blHeader/>
        </w:trPr>
        <w:tc>
          <w:tcPr>
            <w:tcW w:w="738" w:type="dxa"/>
            <w:vAlign w:val="center"/>
          </w:tcPr>
          <w:p>
            <w:pPr>
              <w:spacing w:before="94" w:beforeLines="30" w:after="94" w:afterLines="30" w:line="44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3</w:t>
            </w:r>
          </w:p>
        </w:tc>
        <w:tc>
          <w:tcPr>
            <w:tcW w:w="3343"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910"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c>
          <w:tcPr>
            <w:tcW w:w="2535" w:type="dxa"/>
            <w:vAlign w:val="center"/>
          </w:tcPr>
          <w:p>
            <w:pPr>
              <w:snapToGrid w:val="0"/>
              <w:spacing w:before="94" w:beforeLines="30" w:after="94" w:afterLines="30" w:line="440" w:lineRule="exact"/>
              <w:jc w:val="center"/>
              <w:rPr>
                <w:rFonts w:hint="eastAsia" w:ascii="宋体" w:hAnsi="宋体" w:cs="宋体"/>
                <w:color w:val="auto"/>
                <w:sz w:val="24"/>
                <w:highlight w:val="none"/>
              </w:rPr>
            </w:pPr>
          </w:p>
        </w:tc>
      </w:tr>
    </w:tbl>
    <w:p>
      <w:pPr>
        <w:spacing w:before="468" w:beforeLines="15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spacing w:before="156" w:beforeLines="50" w:after="156" w:afterLines="50" w:line="440" w:lineRule="exact"/>
        <w:jc w:val="left"/>
        <w:rPr>
          <w:rFonts w:hint="eastAsia"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1. 此表为表样，供应商必须把招标项目的全部技术参数列入此表，并对技术参数进行逐一应答，行数可自行添加，但表式不变。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 按照招标项目技术参数要求的顺序对应填写“技术响应情况表”；</w:t>
      </w:r>
      <w:r>
        <w:rPr>
          <w:rFonts w:hint="eastAsia" w:ascii="宋体" w:hAnsi="宋体" w:cs="宋体"/>
          <w:color w:val="auto"/>
          <w:sz w:val="24"/>
          <w:highlight w:val="none"/>
        </w:rPr>
        <w:tab/>
      </w:r>
    </w:p>
    <w:p>
      <w:pPr>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 请在“</w:t>
      </w:r>
      <w:r>
        <w:rPr>
          <w:rFonts w:hint="eastAsia" w:ascii="宋体" w:hAnsi="宋体" w:cs="宋体"/>
          <w:bCs/>
          <w:color w:val="auto"/>
          <w:sz w:val="24"/>
          <w:highlight w:val="none"/>
        </w:rPr>
        <w:t>供应商技术规范描述</w:t>
      </w:r>
      <w:r>
        <w:rPr>
          <w:rFonts w:hint="eastAsia" w:ascii="宋体" w:hAnsi="宋体" w:cs="宋体"/>
          <w:color w:val="auto"/>
          <w:sz w:val="24"/>
          <w:highlight w:val="none"/>
        </w:rPr>
        <w:t xml:space="preserve">” </w:t>
      </w:r>
      <w:r>
        <w:rPr>
          <w:rFonts w:hint="eastAsia" w:ascii="宋体" w:hAnsi="宋体" w:cs="宋体"/>
          <w:bCs/>
          <w:color w:val="auto"/>
          <w:sz w:val="24"/>
          <w:highlight w:val="none"/>
        </w:rPr>
        <w:t>中列出所投货物的详细技术参数情况</w:t>
      </w:r>
      <w:r>
        <w:rPr>
          <w:rFonts w:hint="eastAsia" w:ascii="宋体" w:hAnsi="宋体" w:cs="宋体"/>
          <w:color w:val="auto"/>
          <w:sz w:val="24"/>
          <w:highlight w:val="none"/>
        </w:rPr>
        <w:t>；</w:t>
      </w:r>
    </w:p>
    <w:p>
      <w:pPr>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 xml:space="preserve">4. </w:t>
      </w:r>
      <w:r>
        <w:rPr>
          <w:rFonts w:hint="eastAsia" w:ascii="宋体" w:hAnsi="宋体" w:cs="宋体"/>
          <w:bCs/>
          <w:color w:val="auto"/>
          <w:sz w:val="24"/>
          <w:highlight w:val="none"/>
        </w:rPr>
        <w:t>是否偏离用符号“</w:t>
      </w:r>
      <w:r>
        <w:rPr>
          <w:rFonts w:hint="eastAsia" w:ascii="宋体" w:hAnsi="宋体" w:cs="宋体"/>
          <w:bCs/>
          <w:color w:val="auto"/>
          <w:sz w:val="28"/>
          <w:szCs w:val="28"/>
          <w:highlight w:val="none"/>
        </w:rPr>
        <w:t>+、=、-</w:t>
      </w:r>
      <w:r>
        <w:rPr>
          <w:rFonts w:hint="eastAsia" w:ascii="宋体" w:hAnsi="宋体" w:cs="宋体"/>
          <w:bCs/>
          <w:color w:val="auto"/>
          <w:sz w:val="24"/>
          <w:highlight w:val="none"/>
        </w:rPr>
        <w:t>”分别表示正偏离、完全响应、负偏离，必须逐次对应响应。</w:t>
      </w:r>
    </w:p>
    <w:p>
      <w:pPr>
        <w:adjustRightInd w:val="0"/>
        <w:snapToGrid w:val="0"/>
        <w:spacing w:line="44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5. 供应商必须据实填写，不得虚假填写，否则将取消其响应或成交资格。</w:t>
      </w:r>
    </w:p>
    <w:p>
      <w:pPr>
        <w:spacing w:after="156" w:afterLines="50" w:line="440" w:lineRule="exact"/>
        <w:rPr>
          <w:rFonts w:hint="eastAsia" w:ascii="宋体" w:hAnsi="宋体" w:cs="宋体"/>
          <w:b/>
          <w:bCs/>
          <w:color w:val="auto"/>
          <w:kern w:val="0"/>
          <w:sz w:val="30"/>
          <w:szCs w:val="30"/>
          <w:highlight w:val="none"/>
        </w:rPr>
      </w:pPr>
    </w:p>
    <w:p>
      <w:pPr>
        <w:pStyle w:val="2"/>
        <w:rPr>
          <w:rFonts w:hint="eastAsia"/>
          <w:color w:val="auto"/>
          <w:highlight w:val="none"/>
        </w:rPr>
      </w:pPr>
    </w:p>
    <w:p>
      <w:pPr>
        <w:spacing w:after="156" w:afterLines="50" w:line="440" w:lineRule="exact"/>
        <w:jc w:val="center"/>
        <w:rPr>
          <w:rFonts w:hint="eastAsia" w:ascii="宋体" w:hAnsi="宋体" w:cs="宋体"/>
          <w:b/>
          <w:bCs/>
          <w:color w:val="auto"/>
          <w:kern w:val="0"/>
          <w:sz w:val="24"/>
          <w:highlight w:val="none"/>
        </w:rPr>
      </w:pPr>
      <w:r>
        <w:rPr>
          <w:rFonts w:hint="eastAsia" w:ascii="宋体" w:hAnsi="宋体" w:cs="宋体"/>
          <w:b/>
          <w:bCs/>
          <w:color w:val="auto"/>
          <w:kern w:val="0"/>
          <w:sz w:val="30"/>
          <w:szCs w:val="30"/>
          <w:highlight w:val="none"/>
        </w:rPr>
        <w:t>7.服务承诺（格式自拟）</w:t>
      </w:r>
    </w:p>
    <w:p>
      <w:pPr>
        <w:spacing w:before="156" w:beforeLines="50" w:after="156" w:afterLines="50" w:line="440" w:lineRule="exact"/>
        <w:rPr>
          <w:rFonts w:hint="default" w:ascii="宋体" w:hAnsi="宋体" w:eastAsia="宋体" w:cs="宋体"/>
          <w:b/>
          <w:color w:val="auto"/>
          <w:kern w:val="0"/>
          <w:sz w:val="24"/>
          <w:highlight w:val="none"/>
          <w:lang w:val="en-US" w:eastAsia="zh-CN"/>
        </w:rPr>
      </w:pPr>
      <w:r>
        <w:rPr>
          <w:rFonts w:hint="eastAsia" w:ascii="宋体" w:hAnsi="宋体" w:cs="宋体"/>
          <w:b/>
          <w:color w:val="auto"/>
          <w:kern w:val="0"/>
          <w:sz w:val="24"/>
          <w:highlight w:val="none"/>
        </w:rPr>
        <w:t>项目编号：</w:t>
      </w:r>
      <w:r>
        <w:rPr>
          <w:rFonts w:hint="eastAsia" w:ascii="宋体" w:hAnsi="宋体" w:cs="宋体"/>
          <w:b/>
          <w:color w:val="auto"/>
          <w:kern w:val="0"/>
          <w:sz w:val="24"/>
          <w:highlight w:val="none"/>
          <w:lang w:eastAsia="zh-CN"/>
        </w:rPr>
        <w:t>HNTS-2023-056</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w:t>
      </w:r>
      <w:r>
        <w:rPr>
          <w:rFonts w:hint="eastAsia" w:ascii="宋体" w:hAnsi="宋体" w:eastAsia="宋体" w:cs="宋体"/>
          <w:b/>
          <w:bCs/>
          <w:color w:val="auto"/>
          <w:sz w:val="24"/>
          <w:highlight w:val="none"/>
          <w:lang w:val="en-GB" w:eastAsia="zh-CN"/>
        </w:rPr>
        <w:t xml:space="preserve">   </w:t>
      </w:r>
    </w:p>
    <w:p>
      <w:pPr>
        <w:spacing w:before="156" w:beforeLines="50" w:after="156" w:afterLines="50" w:line="440" w:lineRule="exact"/>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项目名称：</w:t>
      </w:r>
      <w:r>
        <w:rPr>
          <w:rFonts w:hint="eastAsia" w:ascii="宋体" w:hAnsi="宋体" w:cs="宋体"/>
          <w:b/>
          <w:color w:val="auto"/>
          <w:kern w:val="0"/>
          <w:sz w:val="24"/>
          <w:highlight w:val="none"/>
          <w:lang w:eastAsia="zh-CN"/>
        </w:rPr>
        <w:t>2023年万宁市建成区及兴隆区、和乐镇病媒生物防制服务项目</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1. </w:t>
      </w:r>
      <w:r>
        <w:rPr>
          <w:rFonts w:hint="eastAsia" w:ascii="宋体" w:hAnsi="宋体" w:cs="宋体"/>
          <w:color w:val="auto"/>
          <w:sz w:val="24"/>
          <w:highlight w:val="none"/>
          <w:lang w:val="zh-CN"/>
        </w:rPr>
        <w:t>本附件内容由各供应商</w:t>
      </w:r>
      <w:r>
        <w:rPr>
          <w:rFonts w:hint="eastAsia" w:ascii="宋体" w:hAnsi="宋体" w:cs="宋体"/>
          <w:color w:val="auto"/>
          <w:sz w:val="24"/>
          <w:highlight w:val="none"/>
        </w:rPr>
        <w:t>自行</w:t>
      </w:r>
      <w:r>
        <w:rPr>
          <w:rFonts w:hint="eastAsia" w:ascii="宋体" w:hAnsi="宋体" w:cs="宋体"/>
          <w:color w:val="auto"/>
          <w:sz w:val="24"/>
          <w:highlight w:val="none"/>
          <w:lang w:val="zh-CN"/>
        </w:rPr>
        <w:t>进行填写，应至少包括</w:t>
      </w:r>
      <w:r>
        <w:rPr>
          <w:rFonts w:hint="eastAsia" w:ascii="宋体" w:hAnsi="宋体" w:cs="宋体"/>
          <w:color w:val="auto"/>
          <w:sz w:val="24"/>
          <w:highlight w:val="none"/>
        </w:rPr>
        <w:t>磋商</w:t>
      </w:r>
      <w:r>
        <w:rPr>
          <w:rFonts w:hint="eastAsia" w:ascii="宋体" w:hAnsi="宋体" w:cs="宋体"/>
          <w:color w:val="auto"/>
          <w:sz w:val="24"/>
          <w:highlight w:val="none"/>
          <w:lang w:val="zh-CN"/>
        </w:rPr>
        <w:t>文件要求的服务内容的响应条件；</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2</w:t>
      </w:r>
      <w:r>
        <w:rPr>
          <w:rFonts w:hint="eastAsia" w:ascii="宋体" w:hAnsi="宋体" w:cs="宋体"/>
          <w:color w:val="auto"/>
          <w:sz w:val="24"/>
          <w:highlight w:val="none"/>
        </w:rPr>
        <w:t xml:space="preserve">. </w:t>
      </w:r>
      <w:r>
        <w:rPr>
          <w:rFonts w:hint="eastAsia" w:ascii="宋体" w:hAnsi="宋体" w:cs="宋体"/>
          <w:color w:val="auto"/>
          <w:sz w:val="24"/>
          <w:highlight w:val="none"/>
          <w:lang w:val="zh-CN"/>
        </w:rPr>
        <w:t>质保期应明确；</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 xml:space="preserve">3. </w:t>
      </w:r>
      <w:r>
        <w:rPr>
          <w:rFonts w:hint="eastAsia" w:ascii="宋体" w:hAnsi="宋体" w:cs="宋体"/>
          <w:color w:val="auto"/>
          <w:sz w:val="24"/>
          <w:highlight w:val="none"/>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tabs>
          <w:tab w:val="left" w:pos="720"/>
        </w:tabs>
        <w:autoSpaceDE w:val="0"/>
        <w:autoSpaceDN w:val="0"/>
        <w:adjustRightInd w:val="0"/>
        <w:spacing w:line="440" w:lineRule="exact"/>
        <w:rPr>
          <w:rFonts w:hint="eastAsia" w:ascii="宋体" w:hAnsi="宋体" w:cs="宋体"/>
          <w:color w:val="auto"/>
          <w:sz w:val="24"/>
          <w:highlight w:val="none"/>
          <w:lang w:val="zh-CN"/>
        </w:rPr>
      </w:pPr>
    </w:p>
    <w:p>
      <w:pPr>
        <w:spacing w:after="156" w:line="440" w:lineRule="exact"/>
        <w:jc w:val="center"/>
        <w:textAlignment w:val="baseline"/>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8、中小企业声明函（格式）</w:t>
      </w:r>
    </w:p>
    <w:p>
      <w:pPr>
        <w:spacing w:after="156" w:line="440" w:lineRule="exact"/>
        <w:jc w:val="center"/>
        <w:textAlignment w:val="baseline"/>
        <w:rPr>
          <w:rFonts w:ascii="宋体" w:hAnsi="宋体" w:cs="宋体"/>
          <w:color w:val="auto"/>
          <w:kern w:val="0"/>
          <w:sz w:val="28"/>
          <w:szCs w:val="28"/>
          <w:highlight w:val="none"/>
        </w:rPr>
      </w:pPr>
      <w:r>
        <w:rPr>
          <w:rFonts w:hint="eastAsia" w:ascii="宋体" w:hAnsi="宋体" w:cs="宋体"/>
          <w:color w:val="auto"/>
          <w:kern w:val="0"/>
          <w:sz w:val="28"/>
          <w:szCs w:val="28"/>
          <w:highlight w:val="none"/>
        </w:rPr>
        <w:t>（如不是中小微企业则不需提供此项申明）</w:t>
      </w:r>
    </w:p>
    <w:p>
      <w:pPr>
        <w:spacing w:after="156" w:afterLines="50" w:line="440" w:lineRule="exact"/>
        <w:jc w:val="center"/>
        <w:rPr>
          <w:rFonts w:ascii="宋体" w:hAnsi="宋体" w:eastAsia="宋体" w:cs="宋体"/>
          <w:b/>
          <w:bCs/>
          <w:color w:val="auto"/>
          <w:kern w:val="0"/>
          <w:sz w:val="36"/>
          <w:szCs w:val="36"/>
          <w:highlight w:val="none"/>
        </w:rPr>
      </w:pPr>
      <w:r>
        <w:rPr>
          <w:rFonts w:hint="eastAsia" w:ascii="Times New Roman" w:hAnsi="Times New Roman" w:eastAsia="宋体" w:cs="Times New Roman"/>
          <w:b/>
          <w:bCs/>
          <w:color w:val="auto"/>
          <w:sz w:val="36"/>
          <w:szCs w:val="36"/>
          <w:highlight w:val="none"/>
        </w:rPr>
        <w:t>中小企业声明函（工程、服务）</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本公司（联合体）郑重声明，根据《政府采购促进中小企业发展管理办法》（财库﹝2020﹞46 号）的规定，本公司（联合体）参加</w:t>
      </w:r>
      <w:r>
        <w:rPr>
          <w:rFonts w:hint="eastAsia" w:ascii="宋体" w:hAnsi="宋体" w:eastAsia="宋体" w:cs="宋体"/>
          <w:color w:val="auto"/>
          <w:kern w:val="0"/>
          <w:sz w:val="24"/>
          <w:szCs w:val="24"/>
          <w:highlight w:val="none"/>
          <w:u w:val="single"/>
          <w:lang w:val="en-US" w:eastAsia="zh-CN" w:bidi="ar-SA"/>
        </w:rPr>
        <w:t xml:space="preserve">  （单位名称）   </w:t>
      </w:r>
      <w:r>
        <w:rPr>
          <w:rFonts w:hint="eastAsia" w:ascii="宋体" w:hAnsi="宋体" w:eastAsia="宋体" w:cs="宋体"/>
          <w:color w:val="auto"/>
          <w:kern w:val="0"/>
          <w:sz w:val="24"/>
          <w:szCs w:val="24"/>
          <w:highlight w:val="none"/>
          <w:lang w:val="en-US" w:eastAsia="zh-CN" w:bidi="ar-SA"/>
        </w:rPr>
        <w:t>的</w:t>
      </w:r>
      <w:r>
        <w:rPr>
          <w:rFonts w:hint="eastAsia" w:ascii="宋体" w:hAnsi="宋体" w:eastAsia="宋体" w:cs="宋体"/>
          <w:color w:val="auto"/>
          <w:kern w:val="0"/>
          <w:sz w:val="24"/>
          <w:szCs w:val="24"/>
          <w:highlight w:val="none"/>
          <w:u w:val="single"/>
          <w:lang w:val="en-US" w:eastAsia="zh-CN" w:bidi="ar-SA"/>
        </w:rPr>
        <w:t xml:space="preserve">（项目名称）  </w:t>
      </w:r>
      <w:r>
        <w:rPr>
          <w:rFonts w:hint="eastAsia" w:ascii="宋体" w:hAnsi="宋体" w:eastAsia="宋体" w:cs="宋体"/>
          <w:color w:val="auto"/>
          <w:kern w:val="0"/>
          <w:sz w:val="24"/>
          <w:szCs w:val="24"/>
          <w:highlight w:val="none"/>
          <w:lang w:val="en-US" w:eastAsia="zh-CN" w:bidi="ar-SA"/>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numPr>
          <w:ilvl w:val="0"/>
          <w:numId w:val="4"/>
        </w:numPr>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u w:val="single"/>
          <w:lang w:val="en-US" w:eastAsia="zh-CN" w:bidi="ar-SA"/>
        </w:rPr>
        <w:t xml:space="preserve"> （ 标的名称 ）    </w:t>
      </w:r>
      <w:r>
        <w:rPr>
          <w:rFonts w:hint="eastAsia" w:ascii="宋体" w:hAnsi="宋体" w:eastAsia="宋体" w:cs="宋体"/>
          <w:color w:val="auto"/>
          <w:kern w:val="0"/>
          <w:sz w:val="24"/>
          <w:szCs w:val="24"/>
          <w:highlight w:val="none"/>
          <w:lang w:val="en-US" w:eastAsia="zh-CN" w:bidi="ar-SA"/>
        </w:rPr>
        <w:t xml:space="preserve"> ，属于</w:t>
      </w:r>
      <w:r>
        <w:rPr>
          <w:rFonts w:hint="eastAsia" w:ascii="宋体" w:hAnsi="宋体" w:eastAsia="宋体" w:cs="宋体"/>
          <w:color w:val="auto"/>
          <w:kern w:val="0"/>
          <w:sz w:val="24"/>
          <w:szCs w:val="24"/>
          <w:highlight w:val="none"/>
          <w:u w:val="single"/>
          <w:lang w:val="en-US" w:eastAsia="zh-CN" w:bidi="ar-SA"/>
        </w:rPr>
        <w:t xml:space="preserve"> 其他未列明行业   </w:t>
      </w:r>
      <w:r>
        <w:rPr>
          <w:rFonts w:hint="eastAsia" w:ascii="宋体" w:hAnsi="宋体" w:eastAsia="宋体" w:cs="宋体"/>
          <w:color w:val="auto"/>
          <w:kern w:val="0"/>
          <w:sz w:val="24"/>
          <w:szCs w:val="24"/>
          <w:highlight w:val="none"/>
          <w:lang w:val="en-US" w:eastAsia="zh-CN" w:bidi="ar-SA"/>
        </w:rPr>
        <w:t xml:space="preserve"> ； 承建（承接）企业为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u w:val="single"/>
          <w:lang w:val="en-US" w:eastAsia="zh-CN" w:bidi="ar-SA"/>
        </w:rPr>
        <w:t xml:space="preserve"> （企业名称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 xml:space="preserve"> ，从业人员</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人，营业收入为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万元，资产总额为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w:t>
      </w:r>
      <w:r>
        <w:rPr>
          <w:rFonts w:hint="eastAsia" w:ascii="宋体" w:hAnsi="宋体" w:eastAsia="宋体" w:cs="宋体"/>
          <w:color w:val="auto"/>
          <w:kern w:val="0"/>
          <w:sz w:val="32"/>
          <w:szCs w:val="32"/>
          <w:highlight w:val="none"/>
          <w:vertAlign w:val="superscript"/>
          <w:lang w:val="en-US" w:eastAsia="zh-CN" w:bidi="ar-SA"/>
        </w:rPr>
        <w:t>1</w:t>
      </w:r>
      <w:r>
        <w:rPr>
          <w:rFonts w:hint="eastAsia" w:ascii="宋体" w:hAnsi="宋体" w:eastAsia="宋体" w:cs="宋体"/>
          <w:color w:val="auto"/>
          <w:kern w:val="0"/>
          <w:sz w:val="24"/>
          <w:szCs w:val="24"/>
          <w:highlight w:val="none"/>
          <w:lang w:val="en-US" w:eastAsia="zh-CN" w:bidi="ar-SA"/>
        </w:rPr>
        <w:t>，属于 （中型企业、 小型企业 、 微型企业）；</w:t>
      </w:r>
    </w:p>
    <w:p>
      <w:pPr>
        <w:widowControl/>
        <w:numPr>
          <w:ilvl w:val="0"/>
          <w:numId w:val="4"/>
        </w:numPr>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u w:val="single"/>
          <w:lang w:val="en-US" w:eastAsia="zh-CN" w:bidi="ar-SA"/>
        </w:rPr>
        <w:t xml:space="preserve"> （ 标的名称 ）    </w:t>
      </w:r>
      <w:r>
        <w:rPr>
          <w:rFonts w:hint="eastAsia" w:ascii="宋体" w:hAnsi="宋体" w:eastAsia="宋体" w:cs="宋体"/>
          <w:color w:val="auto"/>
          <w:kern w:val="0"/>
          <w:sz w:val="24"/>
          <w:szCs w:val="24"/>
          <w:highlight w:val="none"/>
          <w:lang w:val="en-US" w:eastAsia="zh-CN" w:bidi="ar-SA"/>
        </w:rPr>
        <w:t xml:space="preserve"> ，属于</w:t>
      </w:r>
      <w:r>
        <w:rPr>
          <w:rFonts w:hint="eastAsia" w:ascii="宋体" w:hAnsi="宋体" w:eastAsia="宋体" w:cs="宋体"/>
          <w:color w:val="auto"/>
          <w:kern w:val="0"/>
          <w:sz w:val="24"/>
          <w:szCs w:val="24"/>
          <w:highlight w:val="none"/>
          <w:u w:val="single"/>
          <w:lang w:val="en-US" w:eastAsia="zh-CN" w:bidi="ar-SA"/>
        </w:rPr>
        <w:t xml:space="preserve"> 其他未列明行业 </w:t>
      </w:r>
      <w:r>
        <w:rPr>
          <w:rFonts w:hint="eastAsia" w:ascii="宋体" w:hAnsi="宋体" w:eastAsia="宋体" w:cs="宋体"/>
          <w:color w:val="auto"/>
          <w:kern w:val="0"/>
          <w:sz w:val="24"/>
          <w:szCs w:val="24"/>
          <w:highlight w:val="none"/>
          <w:lang w:val="en-US" w:eastAsia="zh-CN" w:bidi="ar-SA"/>
        </w:rPr>
        <w:t xml:space="preserve"> ； 承建（承接）企业为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u w:val="single"/>
          <w:lang w:val="en-US" w:eastAsia="zh-CN" w:bidi="ar-SA"/>
        </w:rPr>
        <w:t xml:space="preserve"> （企业名称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 xml:space="preserve"> ，从业人员</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人，营业收入为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万元，资产总额为</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万元，属于 （中型企业、 小型企业 、 微型企业）；</w:t>
      </w:r>
    </w:p>
    <w:p>
      <w:pPr>
        <w:widowControl/>
        <w:spacing w:before="100" w:beforeAutospacing="1" w:after="100" w:afterAutospacing="1" w:line="440" w:lineRule="exact"/>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w:t>
      </w:r>
    </w:p>
    <w:p>
      <w:pPr>
        <w:widowControl/>
        <w:spacing w:before="100" w:beforeAutospacing="1" w:after="100" w:afterAutospacing="1" w:line="440" w:lineRule="exact"/>
        <w:ind w:firstLine="48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以上企业，不属于大企业的分支机构，不存在控股股东 为大企业的情形，也不存在与大企业的负责人为同一人的情形。 本企业对上述声明内容的真实性负责。如有虚假，将依法承担相应责任。</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w:t>
      </w:r>
    </w:p>
    <w:p>
      <w:pPr>
        <w:widowControl/>
        <w:spacing w:before="100" w:beforeAutospacing="1" w:after="100" w:afterAutospacing="1" w:line="440" w:lineRule="exact"/>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　　　　　　　　　　　　　　　企业名称（盖章）：    </w:t>
      </w:r>
    </w:p>
    <w:p>
      <w:pPr>
        <w:widowControl/>
        <w:spacing w:before="100" w:beforeAutospacing="1" w:after="100" w:afterAutospacing="1" w:line="440" w:lineRule="exact"/>
        <w:ind w:firstLine="4142" w:firstLineChars="1726"/>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日 期：</w:t>
      </w:r>
    </w:p>
    <w:p>
      <w:pPr>
        <w:widowControl/>
        <w:spacing w:before="100" w:beforeAutospacing="1" w:after="100" w:afterAutospacing="1" w:line="440" w:lineRule="exact"/>
        <w:jc w:val="left"/>
        <w:rPr>
          <w:rFonts w:ascii="宋体" w:hAnsi="宋体" w:eastAsia="宋体" w:cs="宋体"/>
          <w:color w:val="auto"/>
          <w:kern w:val="0"/>
          <w:sz w:val="24"/>
          <w:szCs w:val="24"/>
          <w:highlight w:val="none"/>
          <w:lang w:val="en-US" w:eastAsia="zh-CN" w:bidi="ar-SA"/>
        </w:rPr>
      </w:pPr>
    </w:p>
    <w:p>
      <w:pPr>
        <w:spacing w:after="156" w:afterLines="50" w:line="440" w:lineRule="exact"/>
        <w:jc w:val="center"/>
        <w:rPr>
          <w:rFonts w:hint="eastAsia" w:ascii="宋体" w:hAnsi="宋体" w:eastAsia="宋体" w:cs="宋体"/>
          <w:b/>
          <w:bCs/>
          <w:color w:val="auto"/>
          <w:kern w:val="0"/>
          <w:sz w:val="30"/>
          <w:szCs w:val="30"/>
          <w:highlight w:val="none"/>
        </w:rPr>
      </w:pPr>
      <w:r>
        <w:rPr>
          <w:rFonts w:hint="eastAsia" w:ascii="Times New Roman" w:hAnsi="Times New Roman" w:eastAsia="宋体" w:cs="Times New Roman"/>
          <w:color w:val="auto"/>
          <w:sz w:val="18"/>
          <w:szCs w:val="18"/>
          <w:highlight w:val="none"/>
          <w:vertAlign w:val="superscript"/>
        </w:rPr>
        <w:t>1</w:t>
      </w:r>
      <w:r>
        <w:rPr>
          <w:rFonts w:hint="eastAsia" w:ascii="Times New Roman" w:hAnsi="Times New Roman" w:eastAsia="宋体" w:cs="Times New Roman"/>
          <w:color w:val="auto"/>
          <w:sz w:val="18"/>
          <w:szCs w:val="18"/>
          <w:highlight w:val="none"/>
        </w:rPr>
        <w:t>从业人员、营业收入、资产总额填报上一年度数据，无上一年度数据的新成立企业可不填报</w:t>
      </w:r>
    </w:p>
    <w:p>
      <w:pPr>
        <w:spacing w:line="440" w:lineRule="exact"/>
        <w:jc w:val="center"/>
        <w:rPr>
          <w:rFonts w:hint="eastAsia" w:ascii="宋体" w:hAnsi="宋体" w:cs="宋体"/>
          <w:b/>
          <w:color w:val="auto"/>
          <w:sz w:val="30"/>
          <w:szCs w:val="30"/>
          <w:highlight w:val="none"/>
        </w:rPr>
      </w:pPr>
    </w:p>
    <w:p>
      <w:pPr>
        <w:spacing w:line="440" w:lineRule="exact"/>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9. 响应保证金证明单据</w:t>
      </w: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ind w:firstLine="602" w:firstLineChars="200"/>
        <w:jc w:val="center"/>
        <w:rPr>
          <w:rFonts w:hint="eastAsia" w:ascii="宋体" w:hAnsi="宋体" w:cs="宋体"/>
          <w:b/>
          <w:color w:val="auto"/>
          <w:sz w:val="30"/>
          <w:szCs w:val="30"/>
          <w:highlight w:val="none"/>
        </w:rPr>
      </w:pPr>
    </w:p>
    <w:p>
      <w:pPr>
        <w:spacing w:line="440" w:lineRule="exact"/>
        <w:rPr>
          <w:rFonts w:hint="eastAsia" w:ascii="宋体" w:hAnsi="宋体" w:cs="宋体"/>
          <w:b/>
          <w:color w:val="auto"/>
          <w:sz w:val="30"/>
          <w:szCs w:val="30"/>
          <w:highlight w:val="none"/>
        </w:rPr>
      </w:pPr>
      <w:r>
        <w:rPr>
          <w:rFonts w:hint="eastAsia" w:ascii="宋体" w:hAnsi="宋体" w:cs="宋体"/>
          <w:b/>
          <w:color w:val="auto"/>
          <w:sz w:val="30"/>
          <w:szCs w:val="30"/>
          <w:highlight w:val="none"/>
        </w:rPr>
        <w:t>10.响应资格证明文件（磋商文件“邀请函”中“供应商资格要求”）</w:t>
      </w:r>
    </w:p>
    <w:p>
      <w:pPr>
        <w:spacing w:line="440" w:lineRule="exact"/>
        <w:jc w:val="center"/>
        <w:rPr>
          <w:rFonts w:hint="eastAsia" w:ascii="宋体" w:hAnsi="宋体" w:cs="宋体"/>
          <w:b/>
          <w:bCs/>
          <w:color w:val="auto"/>
          <w:kern w:val="0"/>
          <w:sz w:val="30"/>
          <w:szCs w:val="30"/>
          <w:highlight w:val="none"/>
        </w:rPr>
      </w:pPr>
      <w:r>
        <w:rPr>
          <w:rFonts w:ascii="宋体" w:hAnsi="宋体" w:cs="宋体"/>
          <w:b/>
          <w:color w:val="auto"/>
          <w:sz w:val="30"/>
          <w:szCs w:val="30"/>
          <w:highlight w:val="none"/>
        </w:rPr>
        <w:br w:type="page"/>
      </w:r>
      <w:r>
        <w:rPr>
          <w:rFonts w:hint="eastAsia" w:ascii="宋体" w:hAnsi="宋体" w:cs="宋体"/>
          <w:b/>
          <w:bCs/>
          <w:color w:val="auto"/>
          <w:kern w:val="0"/>
          <w:sz w:val="30"/>
          <w:szCs w:val="30"/>
          <w:highlight w:val="none"/>
        </w:rPr>
        <w:t>11.供应商认为对其中标有利的其它书面材料</w:t>
      </w:r>
    </w:p>
    <w:p>
      <w:pPr>
        <w:spacing w:line="440" w:lineRule="exac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 xml:space="preserve">（可自行添加序号及内容） </w:t>
      </w: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最后磋商报价表（二次报价）</w:t>
      </w:r>
    </w:p>
    <w:p>
      <w:pPr>
        <w:spacing w:before="156" w:beforeLines="50" w:after="156" w:afterLines="50" w:line="440" w:lineRule="exact"/>
        <w:rPr>
          <w:rFonts w:hint="default" w:ascii="宋体" w:hAnsi="宋体" w:eastAsia="宋体" w:cs="宋体"/>
          <w:b/>
          <w:color w:val="auto"/>
          <w:kern w:val="0"/>
          <w:sz w:val="24"/>
          <w:highlight w:val="none"/>
          <w:lang w:val="en-US" w:eastAsia="zh-CN"/>
        </w:rPr>
      </w:pPr>
      <w:r>
        <w:rPr>
          <w:rFonts w:hint="eastAsia" w:ascii="宋体" w:hAnsi="宋体" w:cs="宋体"/>
          <w:b/>
          <w:color w:val="auto"/>
          <w:kern w:val="0"/>
          <w:sz w:val="24"/>
          <w:highlight w:val="none"/>
        </w:rPr>
        <w:t>项目编号：</w:t>
      </w:r>
      <w:r>
        <w:rPr>
          <w:rFonts w:hint="eastAsia" w:ascii="宋体" w:hAnsi="宋体" w:cs="宋体"/>
          <w:b/>
          <w:color w:val="auto"/>
          <w:kern w:val="0"/>
          <w:sz w:val="24"/>
          <w:highlight w:val="none"/>
          <w:lang w:eastAsia="zh-CN"/>
        </w:rPr>
        <w:t>HNTS-2023-056</w:t>
      </w:r>
      <w:r>
        <w:rPr>
          <w:rFonts w:hint="eastAsia" w:ascii="宋体" w:hAnsi="宋体" w:cs="宋体"/>
          <w:b/>
          <w:color w:val="auto"/>
          <w:kern w:val="0"/>
          <w:sz w:val="24"/>
          <w:highlight w:val="none"/>
          <w:lang w:val="en-US" w:eastAsia="zh-CN"/>
        </w:rPr>
        <w:t xml:space="preserve"> </w:t>
      </w:r>
      <w:r>
        <w:rPr>
          <w:rFonts w:hint="eastAsia" w:ascii="宋体" w:hAnsi="宋体" w:eastAsia="宋体" w:cs="宋体"/>
          <w:b/>
          <w:bCs/>
          <w:color w:val="auto"/>
          <w:sz w:val="24"/>
          <w:highlight w:val="none"/>
          <w:lang w:val="en-US" w:eastAsia="zh-CN"/>
        </w:rPr>
        <w:t>包号：</w:t>
      </w:r>
      <w:r>
        <w:rPr>
          <w:rFonts w:hint="eastAsia" w:ascii="宋体" w:hAnsi="宋体" w:cs="宋体"/>
          <w:b/>
          <w:bCs/>
          <w:color w:val="auto"/>
          <w:sz w:val="24"/>
          <w:highlight w:val="none"/>
          <w:lang w:val="en-GB" w:eastAsia="zh-CN"/>
        </w:rPr>
        <w:t>A包/B包</w:t>
      </w:r>
      <w:r>
        <w:rPr>
          <w:rFonts w:hint="eastAsia" w:ascii="宋体" w:hAnsi="宋体" w:eastAsia="宋体" w:cs="宋体"/>
          <w:b/>
          <w:bCs/>
          <w:color w:val="auto"/>
          <w:sz w:val="24"/>
          <w:highlight w:val="none"/>
          <w:lang w:val="en-GB" w:eastAsia="zh-CN"/>
        </w:rPr>
        <w:t xml:space="preserve">   </w:t>
      </w:r>
    </w:p>
    <w:p>
      <w:pPr>
        <w:spacing w:before="156" w:beforeLines="50" w:after="156" w:afterLines="50" w:line="440" w:lineRule="exact"/>
        <w:rPr>
          <w:rFonts w:hint="eastAsia" w:ascii="宋体" w:hAnsi="宋体" w:eastAsia="宋体" w:cs="宋体"/>
          <w:b/>
          <w:color w:val="auto"/>
          <w:kern w:val="0"/>
          <w:sz w:val="24"/>
          <w:highlight w:val="none"/>
          <w:lang w:eastAsia="zh-CN"/>
        </w:rPr>
      </w:pPr>
      <w:r>
        <w:rPr>
          <w:rFonts w:hint="eastAsia" w:ascii="宋体" w:hAnsi="宋体" w:cs="宋体"/>
          <w:b/>
          <w:color w:val="auto"/>
          <w:kern w:val="0"/>
          <w:sz w:val="24"/>
          <w:highlight w:val="none"/>
        </w:rPr>
        <w:t>项目名称：</w:t>
      </w:r>
      <w:r>
        <w:rPr>
          <w:rFonts w:hint="eastAsia" w:ascii="宋体" w:hAnsi="宋体" w:cs="宋体"/>
          <w:b/>
          <w:color w:val="auto"/>
          <w:kern w:val="0"/>
          <w:sz w:val="24"/>
          <w:highlight w:val="none"/>
          <w:lang w:eastAsia="zh-CN"/>
        </w:rPr>
        <w:t>2023年万宁市建成区及兴隆区、和乐镇病媒生物防制服务项目</w:t>
      </w:r>
    </w:p>
    <w:tbl>
      <w:tblPr>
        <w:tblStyle w:val="24"/>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4"/>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4" w:type="dxa"/>
            <w:vAlign w:val="center"/>
          </w:tcPr>
          <w:p>
            <w:pPr>
              <w:spacing w:before="156" w:beforeLines="50" w:after="156" w:afterLines="50"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投标人名称</w:t>
            </w:r>
          </w:p>
        </w:tc>
        <w:tc>
          <w:tcPr>
            <w:tcW w:w="6163" w:type="dxa"/>
          </w:tcPr>
          <w:p>
            <w:pPr>
              <w:spacing w:before="156" w:beforeLines="50" w:after="156" w:afterLines="50" w:line="440" w:lineRule="exact"/>
              <w:jc w:val="center"/>
              <w:rPr>
                <w:rFonts w:hint="eastAsia"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4" w:type="dxa"/>
            <w:vAlign w:val="center"/>
          </w:tcPr>
          <w:p>
            <w:pPr>
              <w:spacing w:before="156" w:beforeLines="50" w:after="156" w:afterLines="50"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最终报价 （ 二次报价 ）</w:t>
            </w:r>
          </w:p>
        </w:tc>
        <w:tc>
          <w:tcPr>
            <w:tcW w:w="6163" w:type="dxa"/>
          </w:tcPr>
          <w:p>
            <w:pPr>
              <w:spacing w:line="440" w:lineRule="exact"/>
              <w:jc w:val="left"/>
              <w:rPr>
                <w:rFonts w:hint="eastAsia" w:ascii="宋体" w:hAnsi="宋体" w:cs="宋体"/>
                <w:bCs/>
                <w:color w:val="auto"/>
                <w:kern w:val="0"/>
                <w:sz w:val="24"/>
                <w:highlight w:val="none"/>
              </w:rPr>
            </w:pPr>
          </w:p>
          <w:p>
            <w:pPr>
              <w:spacing w:line="440" w:lineRule="exact"/>
              <w:jc w:val="left"/>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小写：</w:t>
            </w:r>
            <w:r>
              <w:rPr>
                <w:rFonts w:hint="eastAsia" w:ascii="宋体" w:hAnsi="宋体" w:cs="宋体"/>
                <w:bCs/>
                <w:color w:val="auto"/>
                <w:kern w:val="0"/>
                <w:sz w:val="24"/>
                <w:highlight w:val="none"/>
                <w:u w:val="single"/>
              </w:rPr>
              <w:t xml:space="preserve">                                          </w:t>
            </w:r>
          </w:p>
          <w:p>
            <w:pPr>
              <w:spacing w:line="440" w:lineRule="exact"/>
              <w:jc w:val="left"/>
              <w:rPr>
                <w:rFonts w:hint="eastAsia" w:ascii="宋体" w:hAnsi="宋体" w:cs="宋体"/>
                <w:bCs/>
                <w:color w:val="auto"/>
                <w:kern w:val="0"/>
                <w:sz w:val="24"/>
                <w:highlight w:val="none"/>
              </w:rPr>
            </w:pPr>
          </w:p>
          <w:p>
            <w:pPr>
              <w:spacing w:line="440" w:lineRule="exact"/>
              <w:jc w:val="left"/>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大写：</w:t>
            </w:r>
            <w:r>
              <w:rPr>
                <w:rFonts w:hint="eastAsia" w:ascii="宋体" w:hAnsi="宋体" w:cs="宋体"/>
                <w:bCs/>
                <w:color w:val="auto"/>
                <w:kern w:val="0"/>
                <w:sz w:val="24"/>
                <w:highlight w:val="none"/>
                <w:u w:val="single"/>
              </w:rPr>
              <w:t xml:space="preserve">                                           </w:t>
            </w:r>
          </w:p>
          <w:p>
            <w:pPr>
              <w:spacing w:line="440" w:lineRule="exact"/>
              <w:jc w:val="left"/>
              <w:rPr>
                <w:rFonts w:hint="eastAsia"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4" w:type="dxa"/>
            <w:vAlign w:val="center"/>
          </w:tcPr>
          <w:p>
            <w:pPr>
              <w:spacing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投标单位代表签名／盖章</w:t>
            </w:r>
          </w:p>
          <w:p>
            <w:pPr>
              <w:spacing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 法人或委托人 ）</w:t>
            </w:r>
          </w:p>
        </w:tc>
        <w:tc>
          <w:tcPr>
            <w:tcW w:w="6163" w:type="dxa"/>
          </w:tcPr>
          <w:p>
            <w:pPr>
              <w:spacing w:line="440" w:lineRule="exact"/>
              <w:rPr>
                <w:rFonts w:hint="eastAsia" w:ascii="宋体" w:hAnsi="宋体" w:cs="宋体"/>
                <w:bCs/>
                <w:color w:val="auto"/>
                <w:kern w:val="0"/>
                <w:sz w:val="24"/>
                <w:highlight w:val="none"/>
              </w:rPr>
            </w:pPr>
          </w:p>
          <w:p>
            <w:pPr>
              <w:spacing w:line="440" w:lineRule="exact"/>
              <w:rPr>
                <w:rFonts w:hint="eastAsia" w:ascii="宋体" w:hAnsi="宋体" w:cs="宋体"/>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4" w:type="dxa"/>
            <w:vAlign w:val="center"/>
          </w:tcPr>
          <w:p>
            <w:pPr>
              <w:spacing w:before="156" w:beforeLines="50" w:after="156" w:afterLines="50" w:line="440" w:lineRule="exact"/>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备注</w:t>
            </w:r>
          </w:p>
        </w:tc>
        <w:tc>
          <w:tcPr>
            <w:tcW w:w="6163" w:type="dxa"/>
          </w:tcPr>
          <w:p>
            <w:pPr>
              <w:spacing w:line="440" w:lineRule="exact"/>
              <w:rPr>
                <w:rFonts w:hint="eastAsia" w:ascii="宋体" w:hAnsi="宋体" w:cs="宋体"/>
                <w:bCs/>
                <w:color w:val="auto"/>
                <w:kern w:val="0"/>
                <w:sz w:val="24"/>
                <w:highlight w:val="none"/>
              </w:rPr>
            </w:pPr>
          </w:p>
          <w:p>
            <w:pPr>
              <w:spacing w:line="440" w:lineRule="exact"/>
              <w:rPr>
                <w:rFonts w:hint="eastAsia" w:ascii="宋体" w:hAnsi="宋体" w:cs="宋体"/>
                <w:bCs/>
                <w:color w:val="auto"/>
                <w:kern w:val="0"/>
                <w:sz w:val="24"/>
                <w:highlight w:val="none"/>
              </w:rPr>
            </w:pPr>
          </w:p>
        </w:tc>
      </w:tr>
    </w:tbl>
    <w:p>
      <w:pPr>
        <w:spacing w:before="156" w:beforeLines="50" w:line="440" w:lineRule="exact"/>
        <w:rPr>
          <w:rFonts w:hint="eastAsia" w:ascii="宋体" w:hAnsi="宋体" w:cs="宋体"/>
          <w:bCs/>
          <w:color w:val="auto"/>
          <w:kern w:val="0"/>
          <w:sz w:val="24"/>
          <w:highlight w:val="none"/>
        </w:rPr>
      </w:pPr>
      <w:r>
        <w:rPr>
          <w:rFonts w:hint="eastAsia" w:ascii="宋体" w:hAnsi="宋体" w:cs="宋体"/>
          <w:b/>
          <w:color w:val="auto"/>
          <w:kern w:val="0"/>
          <w:sz w:val="24"/>
          <w:highlight w:val="none"/>
        </w:rPr>
        <w:t>注：</w:t>
      </w:r>
      <w:r>
        <w:rPr>
          <w:rFonts w:hint="eastAsia" w:ascii="宋体" w:hAnsi="宋体" w:cs="宋体"/>
          <w:bCs/>
          <w:color w:val="auto"/>
          <w:kern w:val="0"/>
          <w:sz w:val="24"/>
          <w:highlight w:val="none"/>
        </w:rPr>
        <w:t>1. 磋商报价应包括磋商文件所规定的采购范围的全部内容；</w:t>
      </w:r>
    </w:p>
    <w:p>
      <w:pPr>
        <w:numPr>
          <w:ilvl w:val="0"/>
          <w:numId w:val="5"/>
        </w:numPr>
        <w:spacing w:line="440" w:lineRule="exact"/>
        <w:ind w:firstLine="480" w:firstLineChars="200"/>
        <w:rPr>
          <w:rFonts w:hint="eastAsia" w:ascii="宋体" w:hAnsi="宋体" w:cs="宋体"/>
          <w:bCs/>
          <w:color w:val="auto"/>
          <w:kern w:val="0"/>
          <w:sz w:val="24"/>
          <w:highlight w:val="none"/>
        </w:rPr>
      </w:pPr>
      <w:r>
        <w:rPr>
          <w:rFonts w:hint="eastAsia" w:ascii="宋体" w:hAnsi="宋体" w:cs="宋体"/>
          <w:bCs/>
          <w:color w:val="auto"/>
          <w:kern w:val="0"/>
          <w:sz w:val="24"/>
          <w:highlight w:val="none"/>
        </w:rPr>
        <w:t>磋商小组发现供应商的报价明显低于其他磋商报价，或者其磋商报价可能低于其成本的，应当要求该供应商作出书面说明并提供相应的证明材料。供应商不能合理说明或者不能提供相应证明材料的，由磋商小组认定该供应商以低于成本报价竞标，其投标作废标处理。</w:t>
      </w:r>
    </w:p>
    <w:p>
      <w:pPr>
        <w:numPr>
          <w:ilvl w:val="0"/>
          <w:numId w:val="5"/>
        </w:numPr>
        <w:spacing w:line="440" w:lineRule="exact"/>
        <w:ind w:firstLine="482" w:firstLineChars="200"/>
        <w:rPr>
          <w:rFonts w:hint="eastAsia" w:ascii="宋体" w:hAnsi="宋体" w:cs="宋体"/>
          <w:b/>
          <w:color w:val="auto"/>
          <w:kern w:val="0"/>
          <w:sz w:val="24"/>
          <w:highlight w:val="none"/>
        </w:rPr>
      </w:pPr>
      <w:r>
        <w:rPr>
          <w:rFonts w:hint="eastAsia" w:ascii="宋体" w:hAnsi="宋体" w:cs="宋体"/>
          <w:b/>
          <w:color w:val="auto"/>
          <w:kern w:val="0"/>
          <w:sz w:val="24"/>
          <w:highlight w:val="none"/>
        </w:rPr>
        <w:t>在开标时，供应商应自行打印携带此最后磋商报价表，投标单位代表应签名并盖好公章。开标现场招标代理工作人员通知开始最后磋商报价时，供应商方可填写最后磋商报价表，并递交招标代理公司工作人员，如未携带最后磋商报价表，视为放弃本项目投标。</w:t>
      </w:r>
    </w:p>
    <w:p>
      <w:pPr>
        <w:spacing w:before="312" w:beforeLines="100" w:after="312" w:afterLines="100" w:line="440" w:lineRule="exact"/>
        <w:ind w:firstLine="480" w:firstLineChars="200"/>
        <w:rPr>
          <w:rFonts w:ascii="宋体" w:hAnsi="宋体" w:cs="宋体"/>
          <w:bCs/>
          <w:color w:val="auto"/>
          <w:kern w:val="0"/>
          <w:sz w:val="24"/>
          <w:highlight w:val="none"/>
          <w:u w:val="single"/>
        </w:rPr>
      </w:pPr>
      <w:r>
        <w:rPr>
          <w:rFonts w:hint="eastAsia" w:ascii="宋体" w:hAnsi="宋体" w:cs="宋体"/>
          <w:bCs/>
          <w:color w:val="auto"/>
          <w:kern w:val="0"/>
          <w:sz w:val="24"/>
          <w:highlight w:val="none"/>
        </w:rPr>
        <w:t>供应商名称（盖章）：</w:t>
      </w:r>
      <w:r>
        <w:rPr>
          <w:rFonts w:hint="eastAsia" w:ascii="宋体" w:hAnsi="宋体" w:cs="宋体"/>
          <w:bCs/>
          <w:color w:val="auto"/>
          <w:kern w:val="0"/>
          <w:sz w:val="24"/>
          <w:highlight w:val="none"/>
          <w:u w:val="single"/>
        </w:rPr>
        <w:t xml:space="preserve">                         </w:t>
      </w:r>
    </w:p>
    <w:p>
      <w:pPr>
        <w:spacing w:before="312" w:beforeLines="100" w:after="312" w:afterLines="100" w:line="440" w:lineRule="exact"/>
        <w:ind w:firstLine="480" w:firstLineChars="200"/>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供应商授权代表（签字）：</w:t>
      </w:r>
      <w:r>
        <w:rPr>
          <w:rFonts w:hint="eastAsia" w:ascii="宋体" w:hAnsi="宋体" w:cs="宋体"/>
          <w:bCs/>
          <w:color w:val="auto"/>
          <w:kern w:val="0"/>
          <w:sz w:val="24"/>
          <w:highlight w:val="none"/>
          <w:u w:val="single"/>
        </w:rPr>
        <w:t xml:space="preserve">                     </w:t>
      </w:r>
    </w:p>
    <w:p>
      <w:pPr>
        <w:spacing w:before="312" w:beforeLines="100" w:after="312" w:afterLines="100" w:line="440" w:lineRule="exact"/>
        <w:ind w:firstLine="480" w:firstLineChars="200"/>
        <w:rPr>
          <w:rFonts w:hint="eastAsia" w:ascii="宋体" w:hAnsi="宋体" w:cs="宋体"/>
          <w:b/>
          <w:color w:val="auto"/>
          <w:kern w:val="0"/>
          <w:sz w:val="30"/>
          <w:szCs w:val="30"/>
          <w:highlight w:val="none"/>
        </w:rPr>
      </w:pPr>
      <w:r>
        <w:rPr>
          <w:rFonts w:hint="eastAsia" w:ascii="宋体" w:hAnsi="宋体" w:cs="宋体"/>
          <w:bCs/>
          <w:color w:val="auto"/>
          <w:kern w:val="0"/>
          <w:sz w:val="24"/>
          <w:highlight w:val="none"/>
        </w:rPr>
        <w:t>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ind w:firstLine="602" w:firstLineChars="200"/>
        <w:jc w:val="center"/>
        <w:rPr>
          <w:rFonts w:hint="eastAsia" w:ascii="宋体" w:hAnsi="宋体" w:cs="宋体"/>
          <w:b/>
          <w:color w:val="auto"/>
          <w:kern w:val="0"/>
          <w:sz w:val="30"/>
          <w:szCs w:val="30"/>
          <w:highlight w:val="none"/>
        </w:rPr>
      </w:pPr>
    </w:p>
    <w:p>
      <w:pPr>
        <w:spacing w:line="440" w:lineRule="exact"/>
        <w:rPr>
          <w:rFonts w:hint="eastAsia" w:ascii="宋体" w:hAnsi="宋体" w:cs="宋体"/>
          <w:b/>
          <w:color w:val="auto"/>
          <w:kern w:val="0"/>
          <w:sz w:val="30"/>
          <w:szCs w:val="30"/>
          <w:highlight w:val="none"/>
        </w:rPr>
      </w:pPr>
    </w:p>
    <w:p>
      <w:pPr>
        <w:spacing w:line="440" w:lineRule="exact"/>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rPr>
        <w:t>保证金退还申请书</w:t>
      </w:r>
    </w:p>
    <w:p>
      <w:pPr>
        <w:tabs>
          <w:tab w:val="left" w:pos="540"/>
        </w:tabs>
        <w:spacing w:before="156" w:beforeLines="50" w:line="440" w:lineRule="exact"/>
        <w:outlineLvl w:val="1"/>
        <w:rPr>
          <w:rFonts w:hint="eastAsia" w:ascii="宋体" w:hAnsi="宋体" w:cs="宋体"/>
          <w:b/>
          <w:bCs/>
          <w:color w:val="auto"/>
          <w:kern w:val="0"/>
          <w:sz w:val="24"/>
          <w:highlight w:val="none"/>
        </w:rPr>
      </w:pPr>
      <w:bookmarkStart w:id="163" w:name="_Toc14512"/>
      <w:bookmarkStart w:id="164" w:name="_Toc23793"/>
      <w:r>
        <w:rPr>
          <w:rFonts w:hint="eastAsia" w:ascii="宋体" w:hAnsi="宋体" w:cs="宋体"/>
          <w:b/>
          <w:bCs/>
          <w:color w:val="auto"/>
          <w:kern w:val="0"/>
          <w:sz w:val="24"/>
          <w:highlight w:val="none"/>
        </w:rPr>
        <w:t>致：海南通尚工程管理有限公司</w:t>
      </w:r>
      <w:bookmarkEnd w:id="163"/>
      <w:bookmarkEnd w:id="164"/>
    </w:p>
    <w:p>
      <w:pPr>
        <w:tabs>
          <w:tab w:val="left" w:pos="540"/>
        </w:tabs>
        <w:spacing w:line="440" w:lineRule="exact"/>
        <w:ind w:firstLine="480" w:firstLineChars="200"/>
        <w:outlineLvl w:val="1"/>
        <w:rPr>
          <w:rFonts w:hint="eastAsia" w:ascii="宋体" w:hAnsi="宋体" w:cs="宋体"/>
          <w:color w:val="auto"/>
          <w:kern w:val="0"/>
          <w:sz w:val="24"/>
          <w:highlight w:val="none"/>
        </w:rPr>
      </w:pPr>
      <w:bookmarkStart w:id="165" w:name="_Toc1656"/>
      <w:bookmarkStart w:id="166" w:name="_Toc21531"/>
      <w:r>
        <w:rPr>
          <w:rFonts w:hint="eastAsia" w:ascii="宋体" w:hAnsi="宋体" w:cs="宋体"/>
          <w:color w:val="auto"/>
          <w:kern w:val="0"/>
          <w:sz w:val="24"/>
          <w:highlight w:val="none"/>
        </w:rPr>
        <w:t>我司于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日为</w:t>
      </w:r>
      <w:r>
        <w:rPr>
          <w:rFonts w:hint="eastAsia" w:ascii="宋体" w:hAnsi="宋体" w:cs="宋体"/>
          <w:b/>
          <w:bCs/>
          <w:color w:val="auto"/>
          <w:kern w:val="0"/>
          <w:sz w:val="24"/>
          <w:highlight w:val="none"/>
          <w:u w:val="single"/>
          <w:lang w:eastAsia="zh-CN"/>
        </w:rPr>
        <w:t>2023年万宁市建成区及兴隆区、和乐镇病媒生物防制服务项目</w:t>
      </w:r>
      <w:r>
        <w:rPr>
          <w:rFonts w:hint="eastAsia" w:ascii="宋体" w:hAnsi="宋体" w:cs="宋体"/>
          <w:b/>
          <w:bCs/>
          <w:color w:val="auto"/>
          <w:kern w:val="0"/>
          <w:sz w:val="24"/>
          <w:highlight w:val="none"/>
          <w:u w:val="single"/>
        </w:rPr>
        <w:t>（项目编号：</w:t>
      </w:r>
      <w:r>
        <w:rPr>
          <w:rFonts w:hint="eastAsia" w:ascii="宋体" w:hAnsi="宋体" w:cs="宋体"/>
          <w:b/>
          <w:bCs/>
          <w:color w:val="auto"/>
          <w:kern w:val="0"/>
          <w:sz w:val="24"/>
          <w:highlight w:val="none"/>
          <w:u w:val="single"/>
          <w:lang w:eastAsia="zh-CN"/>
        </w:rPr>
        <w:t>HNTS-2023-056</w:t>
      </w:r>
      <w:r>
        <w:rPr>
          <w:rFonts w:hint="eastAsia" w:ascii="宋体" w:hAnsi="宋体" w:eastAsia="宋体" w:cs="宋体"/>
          <w:b/>
          <w:bCs/>
          <w:color w:val="auto"/>
          <w:sz w:val="24"/>
          <w:highlight w:val="none"/>
          <w:u w:val="single"/>
          <w:lang w:val="en-US" w:eastAsia="zh-CN"/>
        </w:rPr>
        <w:t>包号：</w:t>
      </w:r>
      <w:r>
        <w:rPr>
          <w:rFonts w:hint="eastAsia" w:ascii="宋体" w:hAnsi="宋体" w:cs="宋体"/>
          <w:b/>
          <w:bCs/>
          <w:color w:val="auto"/>
          <w:sz w:val="24"/>
          <w:highlight w:val="none"/>
          <w:u w:val="single"/>
          <w:lang w:val="en-GB" w:eastAsia="zh-CN"/>
        </w:rPr>
        <w:t>A包/B包</w:t>
      </w:r>
      <w:r>
        <w:rPr>
          <w:rFonts w:hint="eastAsia" w:ascii="宋体" w:hAnsi="宋体" w:cs="宋体"/>
          <w:b/>
          <w:bCs/>
          <w:color w:val="auto"/>
          <w:kern w:val="0"/>
          <w:sz w:val="24"/>
          <w:highlight w:val="none"/>
          <w:u w:val="single"/>
        </w:rPr>
        <w:t>）</w:t>
      </w:r>
      <w:r>
        <w:rPr>
          <w:rFonts w:hint="eastAsia" w:ascii="宋体" w:hAnsi="宋体" w:cs="宋体"/>
          <w:color w:val="auto"/>
          <w:kern w:val="0"/>
          <w:sz w:val="24"/>
          <w:highlight w:val="none"/>
        </w:rPr>
        <w:t>所提交的保证金人民币</w:t>
      </w:r>
      <w:r>
        <w:rPr>
          <w:rFonts w:hint="eastAsia" w:ascii="宋体" w:hAnsi="宋体" w:cs="宋体"/>
          <w:b/>
          <w:bCs/>
          <w:color w:val="auto"/>
          <w:kern w:val="0"/>
          <w:sz w:val="24"/>
          <w:highlight w:val="none"/>
          <w:u w:val="single"/>
        </w:rPr>
        <w:t>￥</w:t>
      </w:r>
      <w:r>
        <w:rPr>
          <w:rFonts w:hint="eastAsia" w:ascii="宋体" w:hAnsi="宋体" w:cs="宋体"/>
          <w:b/>
          <w:bCs/>
          <w:color w:val="auto"/>
          <w:kern w:val="0"/>
          <w:sz w:val="24"/>
          <w:highlight w:val="none"/>
          <w:u w:val="single"/>
          <w:lang w:val="en-US" w:eastAsia="zh-CN"/>
        </w:rPr>
        <w:t>5</w:t>
      </w:r>
      <w:r>
        <w:rPr>
          <w:rFonts w:hint="eastAsia" w:ascii="宋体" w:hAnsi="宋体" w:cs="宋体"/>
          <w:b/>
          <w:bCs/>
          <w:color w:val="auto"/>
          <w:kern w:val="0"/>
          <w:sz w:val="24"/>
          <w:highlight w:val="none"/>
          <w:u w:val="single"/>
          <w:lang w:eastAsia="zh-CN"/>
        </w:rPr>
        <w:t>000.00</w:t>
      </w:r>
      <w:r>
        <w:rPr>
          <w:rFonts w:hint="eastAsia" w:ascii="宋体" w:hAnsi="宋体" w:cs="宋体"/>
          <w:color w:val="auto"/>
          <w:kern w:val="0"/>
          <w:sz w:val="24"/>
          <w:highlight w:val="none"/>
        </w:rPr>
        <w:t>，请贵司退还时划到以下账户：</w:t>
      </w:r>
      <w:bookmarkEnd w:id="165"/>
      <w:bookmarkEnd w:id="166"/>
    </w:p>
    <w:p>
      <w:pPr>
        <w:tabs>
          <w:tab w:val="left" w:pos="720"/>
        </w:tabs>
        <w:autoSpaceDE w:val="0"/>
        <w:autoSpaceDN w:val="0"/>
        <w:adjustRightInd w:val="0"/>
        <w:spacing w:line="240" w:lineRule="exact"/>
        <w:rPr>
          <w:rFonts w:hint="eastAsia" w:ascii="宋体" w:hAnsi="宋体" w:cs="宋体"/>
          <w:color w:val="auto"/>
          <w:sz w:val="24"/>
          <w:highlight w:val="none"/>
          <w:lang w:val="zh-CN"/>
        </w:rPr>
      </w:pPr>
    </w:p>
    <w:tbl>
      <w:tblPr>
        <w:tblStyle w:val="24"/>
        <w:tblW w:w="0" w:type="auto"/>
        <w:tblInd w:w="108" w:type="dxa"/>
        <w:tblLayout w:type="fixed"/>
        <w:tblCellMar>
          <w:top w:w="0" w:type="dxa"/>
          <w:left w:w="108" w:type="dxa"/>
          <w:bottom w:w="0" w:type="dxa"/>
          <w:right w:w="108" w:type="dxa"/>
        </w:tblCellMar>
      </w:tblPr>
      <w:tblGrid>
        <w:gridCol w:w="696"/>
        <w:gridCol w:w="1665"/>
        <w:gridCol w:w="3219"/>
        <w:gridCol w:w="1338"/>
        <w:gridCol w:w="2158"/>
      </w:tblGrid>
      <w:tr>
        <w:tblPrEx>
          <w:tblCellMar>
            <w:top w:w="0" w:type="dxa"/>
            <w:left w:w="108" w:type="dxa"/>
            <w:bottom w:w="0" w:type="dxa"/>
            <w:right w:w="108" w:type="dxa"/>
          </w:tblCellMar>
        </w:tblPrEx>
        <w:trPr>
          <w:cantSplit/>
          <w:trHeight w:val="795" w:hRule="atLeast"/>
        </w:trPr>
        <w:tc>
          <w:tcPr>
            <w:tcW w:w="696" w:type="dxa"/>
            <w:vMerge w:val="restart"/>
            <w:tcBorders>
              <w:top w:val="single" w:color="auto" w:sz="4" w:space="0"/>
              <w:left w:val="single" w:color="auto" w:sz="4" w:space="0"/>
              <w:right w:val="single" w:color="auto" w:sz="4" w:space="0"/>
            </w:tcBorders>
            <w:vAlign w:val="center"/>
          </w:tcPr>
          <w:p>
            <w:pPr>
              <w:spacing w:line="540" w:lineRule="exact"/>
              <w:jc w:val="center"/>
              <w:rPr>
                <w:rFonts w:hint="eastAsia" w:ascii="宋体" w:hAnsi="宋体"/>
                <w:b/>
                <w:color w:val="auto"/>
                <w:sz w:val="24"/>
                <w:highlight w:val="none"/>
              </w:rPr>
            </w:pPr>
            <w:r>
              <w:rPr>
                <w:rFonts w:hint="eastAsia" w:ascii="宋体" w:hAnsi="宋体"/>
                <w:b/>
                <w:color w:val="auto"/>
                <w:sz w:val="24"/>
                <w:highlight w:val="none"/>
              </w:rPr>
              <w:t>收款单位</w:t>
            </w:r>
          </w:p>
        </w:tc>
        <w:tc>
          <w:tcPr>
            <w:tcW w:w="1665"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 xml:space="preserve">收款单位名称 </w:t>
            </w:r>
          </w:p>
        </w:tc>
        <w:tc>
          <w:tcPr>
            <w:tcW w:w="6715" w:type="dxa"/>
            <w:gridSpan w:val="3"/>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r>
        <w:tblPrEx>
          <w:tblCellMar>
            <w:top w:w="0" w:type="dxa"/>
            <w:left w:w="108" w:type="dxa"/>
            <w:bottom w:w="0" w:type="dxa"/>
            <w:right w:w="108" w:type="dxa"/>
          </w:tblCellMar>
        </w:tblPrEx>
        <w:trPr>
          <w:cantSplit/>
          <w:trHeight w:val="795" w:hRule="atLeast"/>
        </w:trPr>
        <w:tc>
          <w:tcPr>
            <w:tcW w:w="696" w:type="dxa"/>
            <w:vMerge w:val="continue"/>
            <w:tcBorders>
              <w:left w:val="single" w:color="auto" w:sz="4" w:space="0"/>
              <w:right w:val="single" w:color="auto" w:sz="4" w:space="0"/>
            </w:tcBorders>
            <w:vAlign w:val="center"/>
          </w:tcPr>
          <w:p>
            <w:pPr>
              <w:widowControl/>
              <w:spacing w:line="540" w:lineRule="exact"/>
              <w:jc w:val="left"/>
              <w:rPr>
                <w:rFonts w:hint="eastAsia" w:ascii="宋体" w:hAnsi="宋体"/>
                <w:b/>
                <w:color w:val="auto"/>
                <w:sz w:val="24"/>
                <w:highlight w:val="none"/>
              </w:rPr>
            </w:pPr>
          </w:p>
        </w:tc>
        <w:tc>
          <w:tcPr>
            <w:tcW w:w="1665" w:type="dxa"/>
            <w:tcBorders>
              <w:top w:val="nil"/>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 xml:space="preserve">收款单位地址 </w:t>
            </w:r>
          </w:p>
        </w:tc>
        <w:tc>
          <w:tcPr>
            <w:tcW w:w="6715" w:type="dxa"/>
            <w:gridSpan w:val="3"/>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r>
        <w:tblPrEx>
          <w:tblCellMar>
            <w:top w:w="0" w:type="dxa"/>
            <w:left w:w="108" w:type="dxa"/>
            <w:bottom w:w="0" w:type="dxa"/>
            <w:right w:w="108" w:type="dxa"/>
          </w:tblCellMar>
        </w:tblPrEx>
        <w:trPr>
          <w:cantSplit/>
          <w:trHeight w:val="795" w:hRule="atLeast"/>
        </w:trPr>
        <w:tc>
          <w:tcPr>
            <w:tcW w:w="696" w:type="dxa"/>
            <w:vMerge w:val="continue"/>
            <w:tcBorders>
              <w:left w:val="single" w:color="auto" w:sz="4" w:space="0"/>
              <w:right w:val="single" w:color="auto" w:sz="4" w:space="0"/>
            </w:tcBorders>
            <w:vAlign w:val="center"/>
          </w:tcPr>
          <w:p>
            <w:pPr>
              <w:widowControl/>
              <w:spacing w:line="540" w:lineRule="exact"/>
              <w:jc w:val="left"/>
              <w:rPr>
                <w:rFonts w:hint="eastAsia" w:ascii="宋体" w:hAnsi="宋体"/>
                <w:b/>
                <w:color w:val="auto"/>
                <w:sz w:val="24"/>
                <w:highlight w:val="none"/>
              </w:rPr>
            </w:pPr>
          </w:p>
        </w:tc>
        <w:tc>
          <w:tcPr>
            <w:tcW w:w="1665" w:type="dxa"/>
            <w:tcBorders>
              <w:top w:val="nil"/>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开 户 银 行</w:t>
            </w:r>
          </w:p>
        </w:tc>
        <w:tc>
          <w:tcPr>
            <w:tcW w:w="3219"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c>
          <w:tcPr>
            <w:tcW w:w="1338" w:type="dxa"/>
            <w:tcBorders>
              <w:top w:val="nil"/>
              <w:left w:val="nil"/>
              <w:bottom w:val="single" w:color="auto" w:sz="4" w:space="0"/>
              <w:right w:val="single" w:color="auto" w:sz="4" w:space="0"/>
            </w:tcBorders>
            <w:vAlign w:val="center"/>
          </w:tcPr>
          <w:p>
            <w:pPr>
              <w:spacing w:line="540" w:lineRule="exact"/>
              <w:jc w:val="center"/>
              <w:rPr>
                <w:rFonts w:hint="eastAsia" w:ascii="宋体" w:hAnsi="宋体"/>
                <w:b/>
                <w:color w:val="auto"/>
                <w:sz w:val="24"/>
                <w:highlight w:val="none"/>
              </w:rPr>
            </w:pPr>
            <w:r>
              <w:rPr>
                <w:rFonts w:hint="eastAsia" w:ascii="宋体" w:hAnsi="宋体"/>
                <w:b/>
                <w:color w:val="auto"/>
                <w:sz w:val="24"/>
                <w:highlight w:val="none"/>
              </w:rPr>
              <w:t>联 系 人</w:t>
            </w:r>
          </w:p>
        </w:tc>
        <w:tc>
          <w:tcPr>
            <w:tcW w:w="2158" w:type="dxa"/>
            <w:tcBorders>
              <w:top w:val="nil"/>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r>
        <w:tblPrEx>
          <w:tblCellMar>
            <w:top w:w="0" w:type="dxa"/>
            <w:left w:w="108" w:type="dxa"/>
            <w:bottom w:w="0" w:type="dxa"/>
            <w:right w:w="108" w:type="dxa"/>
          </w:tblCellMar>
        </w:tblPrEx>
        <w:trPr>
          <w:trHeight w:val="795" w:hRule="atLeast"/>
        </w:trPr>
        <w:tc>
          <w:tcPr>
            <w:tcW w:w="696" w:type="dxa"/>
            <w:vMerge w:val="continue"/>
            <w:tcBorders>
              <w:left w:val="single" w:color="auto" w:sz="4" w:space="0"/>
              <w:bottom w:val="single" w:color="000000" w:sz="4" w:space="0"/>
              <w:right w:val="single" w:color="auto" w:sz="4" w:space="0"/>
            </w:tcBorders>
            <w:vAlign w:val="center"/>
          </w:tcPr>
          <w:p>
            <w:pPr>
              <w:spacing w:line="540" w:lineRule="exact"/>
              <w:rPr>
                <w:rFonts w:hint="eastAsia" w:ascii="宋体" w:hAnsi="宋体"/>
                <w:b/>
                <w:color w:val="auto"/>
                <w:sz w:val="24"/>
                <w:highlight w:val="none"/>
              </w:rPr>
            </w:pPr>
          </w:p>
        </w:tc>
        <w:tc>
          <w:tcPr>
            <w:tcW w:w="1665"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r>
              <w:rPr>
                <w:rFonts w:hint="eastAsia" w:ascii="宋体" w:hAnsi="宋体"/>
                <w:b/>
                <w:color w:val="auto"/>
                <w:sz w:val="24"/>
                <w:highlight w:val="none"/>
              </w:rPr>
              <w:t>帐       号</w:t>
            </w:r>
          </w:p>
        </w:tc>
        <w:tc>
          <w:tcPr>
            <w:tcW w:w="3219"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c>
          <w:tcPr>
            <w:tcW w:w="1338" w:type="dxa"/>
            <w:tcBorders>
              <w:top w:val="single" w:color="auto" w:sz="4" w:space="0"/>
              <w:left w:val="nil"/>
              <w:bottom w:val="single" w:color="auto" w:sz="4" w:space="0"/>
              <w:right w:val="single" w:color="auto" w:sz="4" w:space="0"/>
            </w:tcBorders>
            <w:vAlign w:val="center"/>
          </w:tcPr>
          <w:p>
            <w:pPr>
              <w:spacing w:line="540" w:lineRule="exact"/>
              <w:jc w:val="center"/>
              <w:rPr>
                <w:rFonts w:hint="eastAsia" w:ascii="宋体" w:hAnsi="宋体"/>
                <w:b/>
                <w:color w:val="auto"/>
                <w:sz w:val="24"/>
                <w:highlight w:val="none"/>
              </w:rPr>
            </w:pPr>
            <w:r>
              <w:rPr>
                <w:rFonts w:hint="eastAsia" w:ascii="宋体" w:hAnsi="宋体"/>
                <w:b/>
                <w:color w:val="auto"/>
                <w:sz w:val="24"/>
                <w:highlight w:val="none"/>
              </w:rPr>
              <w:t>联系电话</w:t>
            </w:r>
          </w:p>
        </w:tc>
        <w:tc>
          <w:tcPr>
            <w:tcW w:w="2158" w:type="dxa"/>
            <w:tcBorders>
              <w:top w:val="single" w:color="auto" w:sz="4" w:space="0"/>
              <w:left w:val="nil"/>
              <w:bottom w:val="single" w:color="auto" w:sz="4" w:space="0"/>
              <w:right w:val="single" w:color="auto" w:sz="4" w:space="0"/>
            </w:tcBorders>
            <w:vAlign w:val="center"/>
          </w:tcPr>
          <w:p>
            <w:pPr>
              <w:spacing w:line="540" w:lineRule="exact"/>
              <w:rPr>
                <w:rFonts w:hint="eastAsia" w:ascii="宋体" w:hAnsi="宋体"/>
                <w:b/>
                <w:color w:val="auto"/>
                <w:sz w:val="24"/>
                <w:highlight w:val="none"/>
              </w:rPr>
            </w:pPr>
          </w:p>
        </w:tc>
      </w:tr>
    </w:tbl>
    <w:p>
      <w:pPr>
        <w:spacing w:before="468" w:beforeLines="150" w:line="440" w:lineRule="exact"/>
        <w:rPr>
          <w:rFonts w:hint="eastAsia"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（公章）</w:t>
      </w:r>
    </w:p>
    <w:p>
      <w:pPr>
        <w:spacing w:before="468" w:beforeLines="150"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bCs/>
          <w:color w:val="auto"/>
          <w:sz w:val="24"/>
          <w:highlight w:val="none"/>
          <w:u w:val="single"/>
          <w:lang w:val="en-GB"/>
        </w:rPr>
        <w:t>（亲笔签名）</w:t>
      </w:r>
    </w:p>
    <w:p>
      <w:pPr>
        <w:tabs>
          <w:tab w:val="left" w:pos="540"/>
        </w:tabs>
        <w:spacing w:before="468" w:beforeLines="150" w:after="312" w:afterLines="100" w:line="440" w:lineRule="exact"/>
        <w:outlineLvl w:val="1"/>
        <w:rPr>
          <w:rFonts w:hint="eastAsia" w:ascii="宋体" w:hAnsi="宋体" w:cs="宋体"/>
          <w:color w:val="auto"/>
          <w:kern w:val="0"/>
          <w:sz w:val="24"/>
          <w:highlight w:val="none"/>
        </w:rPr>
      </w:pPr>
      <w:bookmarkStart w:id="167" w:name="_Toc1341"/>
      <w:bookmarkStart w:id="168" w:name="_Toc1047"/>
      <w:r>
        <w:rPr>
          <w:rFonts w:hint="eastAsia" w:ascii="宋体" w:hAnsi="宋体" w:cs="宋体"/>
          <w:color w:val="auto"/>
          <w:kern w:val="0"/>
          <w:sz w:val="24"/>
          <w:highlight w:val="none"/>
        </w:rPr>
        <w:t>日    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bookmarkEnd w:id="167"/>
      <w:bookmarkEnd w:id="168"/>
    </w:p>
    <w:p>
      <w:pPr>
        <w:tabs>
          <w:tab w:val="left" w:pos="540"/>
        </w:tabs>
        <w:spacing w:before="312" w:beforeLines="100" w:after="312" w:afterLines="100" w:line="440" w:lineRule="exact"/>
        <w:ind w:firstLine="482" w:firstLineChars="200"/>
        <w:outlineLvl w:val="1"/>
        <w:rPr>
          <w:rFonts w:hint="eastAsia" w:ascii="宋体" w:hAnsi="宋体" w:cs="宋体"/>
          <w:b/>
          <w:bCs/>
          <w:color w:val="auto"/>
          <w:kern w:val="0"/>
          <w:sz w:val="24"/>
          <w:highlight w:val="none"/>
        </w:rPr>
      </w:pPr>
      <w:bookmarkStart w:id="169" w:name="_Toc26648"/>
      <w:bookmarkStart w:id="170" w:name="_Toc15118"/>
      <w:r>
        <w:rPr>
          <w:rFonts w:hint="eastAsia" w:ascii="宋体" w:hAnsi="宋体" w:cs="宋体"/>
          <w:b/>
          <w:bCs/>
          <w:color w:val="auto"/>
          <w:kern w:val="0"/>
          <w:sz w:val="24"/>
          <w:highlight w:val="none"/>
        </w:rPr>
        <w:t>注：请将此申请书在递交响应文件时，提交至海南通尚工程管理有限公司代理机构人员。并附上响应保证金证明单据。</w:t>
      </w:r>
      <w:bookmarkEnd w:id="169"/>
      <w:bookmarkEnd w:id="170"/>
    </w:p>
    <w:p>
      <w:pPr>
        <w:tabs>
          <w:tab w:val="left" w:pos="540"/>
        </w:tabs>
        <w:spacing w:before="312" w:beforeLines="100" w:after="312" w:afterLines="100" w:line="440" w:lineRule="exact"/>
        <w:ind w:firstLine="482" w:firstLineChars="200"/>
        <w:outlineLvl w:val="1"/>
        <w:rPr>
          <w:rFonts w:hint="eastAsia" w:ascii="宋体" w:hAnsi="宋体" w:cs="宋体"/>
          <w:b/>
          <w:bCs/>
          <w:color w:val="auto"/>
          <w:kern w:val="0"/>
          <w:sz w:val="24"/>
          <w:highlight w:val="none"/>
        </w:rPr>
      </w:pPr>
      <w:bookmarkStart w:id="171" w:name="_Toc22192"/>
      <w:bookmarkStart w:id="172" w:name="_Toc12332"/>
      <w:r>
        <w:rPr>
          <w:rFonts w:hint="eastAsia" w:ascii="宋体" w:hAnsi="宋体" w:cs="宋体"/>
          <w:b/>
          <w:bCs/>
          <w:color w:val="auto"/>
          <w:kern w:val="0"/>
          <w:sz w:val="24"/>
          <w:highlight w:val="none"/>
        </w:rPr>
        <w:t>（递交响应文件时需单独提交此申请书，请勿放入响应文件中）</w:t>
      </w:r>
      <w:bookmarkEnd w:id="171"/>
      <w:bookmarkEnd w:id="172"/>
    </w:p>
    <w:p>
      <w:pPr>
        <w:tabs>
          <w:tab w:val="left" w:pos="540"/>
        </w:tabs>
        <w:spacing w:before="312" w:beforeLines="100" w:after="312" w:afterLines="100" w:line="440" w:lineRule="exact"/>
        <w:ind w:firstLine="482" w:firstLineChars="200"/>
        <w:outlineLvl w:val="1"/>
        <w:rPr>
          <w:rFonts w:ascii="微软雅黑" w:hAnsi="微软雅黑"/>
          <w:color w:val="auto"/>
          <w:sz w:val="22"/>
          <w:szCs w:val="22"/>
          <w:highlight w:val="none"/>
          <w:shd w:val="clear" w:color="auto" w:fill="FFEDC4"/>
        </w:rPr>
      </w:pPr>
      <w:bookmarkStart w:id="173" w:name="_Toc4664"/>
      <w:bookmarkStart w:id="174" w:name="_Toc19420"/>
      <w:r>
        <w:rPr>
          <w:rFonts w:hint="eastAsia" w:ascii="宋体" w:hAnsi="宋体" w:cs="宋体"/>
          <w:b/>
          <w:bCs/>
          <w:color w:val="auto"/>
          <w:kern w:val="0"/>
          <w:sz w:val="24"/>
          <w:highlight w:val="none"/>
        </w:rPr>
        <w:t>联 系 人：</w:t>
      </w:r>
      <w:r>
        <w:rPr>
          <w:rFonts w:hint="eastAsia" w:ascii="宋体" w:hAnsi="宋体" w:cs="宋体"/>
          <w:b/>
          <w:bCs/>
          <w:color w:val="auto"/>
          <w:kern w:val="0"/>
          <w:sz w:val="24"/>
          <w:highlight w:val="none"/>
          <w:lang w:val="en-US" w:eastAsia="zh-CN"/>
        </w:rPr>
        <w:t>唐女士</w:t>
      </w:r>
      <w:r>
        <w:rPr>
          <w:rFonts w:hint="eastAsia" w:ascii="宋体" w:hAnsi="宋体" w:cs="宋体"/>
          <w:b/>
          <w:bCs/>
          <w:color w:val="auto"/>
          <w:kern w:val="0"/>
          <w:sz w:val="24"/>
          <w:highlight w:val="none"/>
        </w:rPr>
        <w:t xml:space="preserve">    联系电话:0898-65881061</w:t>
      </w:r>
      <w:bookmarkEnd w:id="173"/>
      <w:bookmarkEnd w:id="174"/>
    </w:p>
    <w:p>
      <w:pPr>
        <w:tabs>
          <w:tab w:val="left" w:pos="540"/>
        </w:tabs>
        <w:spacing w:before="312" w:beforeLines="100" w:after="312" w:afterLines="100" w:line="440" w:lineRule="exact"/>
        <w:ind w:firstLine="482" w:firstLineChars="200"/>
        <w:outlineLvl w:val="1"/>
        <w:rPr>
          <w:rFonts w:hint="eastAsia" w:ascii="宋体" w:hAnsi="宋体" w:cs="宋体"/>
          <w:b/>
          <w:bCs/>
          <w:color w:val="auto"/>
          <w:kern w:val="0"/>
          <w:sz w:val="24"/>
          <w:highlight w:val="none"/>
        </w:rPr>
      </w:pPr>
      <w:bookmarkStart w:id="175" w:name="_Toc9028"/>
      <w:bookmarkStart w:id="176" w:name="_Toc27765"/>
      <w:r>
        <w:rPr>
          <w:rFonts w:hint="eastAsia" w:ascii="宋体" w:hAnsi="宋体" w:cs="宋体"/>
          <w:b/>
          <w:bCs/>
          <w:color w:val="auto"/>
          <w:kern w:val="0"/>
          <w:sz w:val="24"/>
          <w:highlight w:val="none"/>
        </w:rPr>
        <w:t>联系地址：海口市琼山区海航豪庭南苑一区7栋1602室</w:t>
      </w:r>
      <w:bookmarkEnd w:id="175"/>
      <w:bookmarkEnd w:id="176"/>
    </w:p>
    <w:p>
      <w:pPr>
        <w:rPr>
          <w:rFonts w:hint="eastAsia"/>
          <w:color w:val="auto"/>
          <w:highlight w:val="none"/>
        </w:rPr>
      </w:pPr>
    </w:p>
    <w:p>
      <w:pPr>
        <w:rPr>
          <w:rFonts w:hint="eastAsia"/>
          <w:color w:val="auto"/>
          <w:highlight w:val="none"/>
        </w:rPr>
      </w:pPr>
    </w:p>
    <w:p>
      <w:pPr>
        <w:rPr>
          <w:color w:val="auto"/>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134" w:right="1274" w:bottom="1440" w:left="1418" w:header="851" w:footer="992" w:gutter="0"/>
          <w:pgBorders>
            <w:top w:val="none" w:sz="0" w:space="0"/>
            <w:left w:val="none" w:sz="0" w:space="0"/>
            <w:bottom w:val="none" w:sz="0" w:space="0"/>
            <w:right w:val="none" w:sz="0" w:space="0"/>
          </w:pgBorders>
          <w:pgNumType w:fmt="decimal" w:start="1"/>
          <w:cols w:space="708" w:num="1"/>
          <w:docGrid w:type="lines" w:linePitch="312" w:charSpace="0"/>
        </w:sectPr>
      </w:pPr>
    </w:p>
    <w:p>
      <w:pPr>
        <w:spacing w:before="156" w:beforeLines="50" w:after="156" w:afterLines="50" w:line="360" w:lineRule="auto"/>
        <w:jc w:val="center"/>
        <w:outlineLvl w:val="0"/>
        <w:rPr>
          <w:rFonts w:hint="eastAsia" w:ascii="宋体" w:hAnsi="宋体" w:eastAsia="宋体" w:cs="宋体"/>
          <w:b/>
          <w:color w:val="auto"/>
          <w:sz w:val="44"/>
          <w:szCs w:val="44"/>
          <w:highlight w:val="none"/>
          <w:lang w:val="en-GB" w:eastAsia="zh-CN"/>
        </w:rPr>
      </w:pPr>
      <w:bookmarkStart w:id="177" w:name="_Toc350"/>
      <w:r>
        <w:rPr>
          <w:rFonts w:hint="eastAsia" w:ascii="宋体" w:hAnsi="宋体" w:eastAsia="宋体" w:cs="宋体"/>
          <w:b/>
          <w:color w:val="auto"/>
          <w:sz w:val="44"/>
          <w:szCs w:val="44"/>
          <w:highlight w:val="none"/>
        </w:rPr>
        <w:t>第五部分  用户需求书</w:t>
      </w:r>
      <w:bookmarkEnd w:id="177"/>
    </w:p>
    <w:p>
      <w:pPr>
        <w:keepNext w:val="0"/>
        <w:keepLines w:val="0"/>
        <w:pageBreakBefore w:val="0"/>
        <w:numPr>
          <w:ilvl w:val="0"/>
          <w:numId w:val="6"/>
        </w:numPr>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rPr>
        <w:t>项目概述</w:t>
      </w:r>
      <w:bookmarkStart w:id="178" w:name="_Toc322564400"/>
    </w:p>
    <w:p>
      <w:pPr>
        <w:keepNext w:val="0"/>
        <w:keepLines w:val="0"/>
        <w:pageBreakBefore w:val="0"/>
        <w:numPr>
          <w:ilvl w:val="0"/>
          <w:numId w:val="0"/>
        </w:numPr>
        <w:tabs>
          <w:tab w:val="left" w:pos="2730"/>
          <w:tab w:val="left" w:pos="2835"/>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（一）项目名称：2023年万宁市建成区及兴隆区、和乐镇病媒生物防制服务项目。</w:t>
      </w:r>
    </w:p>
    <w:p>
      <w:pPr>
        <w:pStyle w:val="2"/>
        <w:keepNext w:val="0"/>
        <w:keepLines w:val="0"/>
        <w:pageBreakBefore w:val="0"/>
        <w:kinsoku/>
        <w:wordWrap/>
        <w:overflowPunct/>
        <w:topLinePunct w:val="0"/>
        <w:autoSpaceDE/>
        <w:autoSpaceDN/>
        <w:bidi w:val="0"/>
        <w:spacing w:after="0" w:afterLines="0" w:line="560" w:lineRule="exact"/>
        <w:ind w:firstLine="480" w:firstLineChars="200"/>
        <w:jc w:val="both"/>
        <w:textAlignment w:val="auto"/>
        <w:rPr>
          <w:rFonts w:hint="eastAsia" w:ascii="宋体" w:hAnsi="宋体" w:eastAsia="宋体" w:cs="仿宋_GB2312"/>
          <w:b w:val="0"/>
          <w:sz w:val="24"/>
          <w:szCs w:val="32"/>
          <w:lang w:eastAsia="zh-CN"/>
        </w:rPr>
      </w:pPr>
      <w:r>
        <w:rPr>
          <w:rFonts w:hint="eastAsia" w:ascii="宋体" w:hAnsi="宋体" w:eastAsia="宋体" w:cs="仿宋_GB2312"/>
          <w:b w:val="0"/>
          <w:sz w:val="24"/>
          <w:szCs w:val="32"/>
        </w:rPr>
        <w:t>（二）服务周期：</w:t>
      </w:r>
      <w:r>
        <w:rPr>
          <w:rFonts w:hint="eastAsia" w:ascii="宋体" w:hAnsi="宋体" w:eastAsia="宋体" w:cs="仿宋_GB2312"/>
          <w:b w:val="0"/>
          <w:sz w:val="24"/>
          <w:szCs w:val="32"/>
          <w:lang w:val="en-US" w:eastAsia="zh-CN"/>
        </w:rPr>
        <w:t>自合同签订生效之日起壹</w:t>
      </w:r>
      <w:r>
        <w:rPr>
          <w:rFonts w:hint="eastAsia" w:ascii="宋体" w:hAnsi="宋体" w:eastAsia="宋体" w:cs="仿宋_GB2312"/>
          <w:b w:val="0"/>
          <w:sz w:val="24"/>
          <w:szCs w:val="32"/>
        </w:rPr>
        <w:t>年</w:t>
      </w:r>
      <w:r>
        <w:rPr>
          <w:rFonts w:hint="eastAsia" w:ascii="宋体" w:hAnsi="宋体" w:eastAsia="宋体" w:cs="仿宋_GB2312"/>
          <w:b w:val="0"/>
          <w:sz w:val="24"/>
          <w:szCs w:val="32"/>
          <w:lang w:eastAsia="zh-CN"/>
        </w:rPr>
        <w:t>。</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（三）项目服务区域和范围：</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1、服务区域：万宁市建成区、城乡结合部区域范围（约16.68平方公里）和</w:t>
      </w:r>
      <w:r>
        <w:rPr>
          <w:rFonts w:hint="eastAsia" w:ascii="宋体" w:hAnsi="宋体" w:eastAsia="宋体" w:cs="仿宋_GB2312"/>
          <w:b w:val="0"/>
          <w:sz w:val="24"/>
          <w:szCs w:val="32"/>
          <w:lang w:val="en-US" w:eastAsia="zh-CN"/>
        </w:rPr>
        <w:t>2</w:t>
      </w:r>
      <w:r>
        <w:rPr>
          <w:rFonts w:hint="eastAsia" w:ascii="宋体" w:hAnsi="宋体" w:eastAsia="宋体" w:cs="仿宋_GB2312"/>
          <w:b w:val="0"/>
          <w:sz w:val="24"/>
          <w:szCs w:val="32"/>
        </w:rPr>
        <w:t>个乡镇镇墟辖区。其中：</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（1）A包服务区域：市建成区万州大道、文明路以东片区（建成区一区）病媒生物预防控制，共</w:t>
      </w:r>
      <w:r>
        <w:rPr>
          <w:rFonts w:hint="eastAsia" w:ascii="宋体" w:hAnsi="宋体" w:eastAsia="宋体" w:cs="仿宋_GB2312"/>
          <w:b w:val="0"/>
          <w:sz w:val="24"/>
          <w:szCs w:val="32"/>
          <w:u w:val="single"/>
        </w:rPr>
        <w:t>8.34</w:t>
      </w:r>
      <w:r>
        <w:rPr>
          <w:rFonts w:hint="eastAsia" w:ascii="宋体" w:hAnsi="宋体" w:eastAsia="宋体" w:cs="仿宋_GB2312"/>
          <w:b w:val="0"/>
          <w:sz w:val="24"/>
          <w:szCs w:val="32"/>
        </w:rPr>
        <w:t>平方公里</w:t>
      </w:r>
      <w:r>
        <w:rPr>
          <w:rFonts w:hint="eastAsia" w:ascii="宋体" w:hAnsi="宋体" w:eastAsia="宋体" w:cs="仿宋_GB2312"/>
          <w:b w:val="0"/>
          <w:color w:val="000000"/>
          <w:kern w:val="0"/>
          <w:sz w:val="24"/>
          <w:szCs w:val="32"/>
          <w:lang w:bidi="ar"/>
        </w:rPr>
        <w:t>的</w:t>
      </w:r>
      <w:r>
        <w:rPr>
          <w:rFonts w:hint="eastAsia" w:ascii="宋体" w:hAnsi="宋体" w:eastAsia="宋体" w:cs="仿宋_GB2312"/>
          <w:b w:val="0"/>
          <w:color w:val="000000"/>
          <w:sz w:val="24"/>
          <w:szCs w:val="32"/>
        </w:rPr>
        <w:t>内环境和公共外环境。本包次预算总金额为</w:t>
      </w:r>
      <w:r>
        <w:rPr>
          <w:rFonts w:hint="eastAsia" w:ascii="宋体" w:hAnsi="宋体" w:eastAsia="宋体" w:cs="仿宋_GB2312"/>
          <w:b w:val="0"/>
          <w:color w:val="000000"/>
          <w:sz w:val="24"/>
          <w:szCs w:val="32"/>
          <w:lang w:val="en-US" w:eastAsia="zh-CN"/>
        </w:rPr>
        <w:t>125.1万</w:t>
      </w:r>
      <w:r>
        <w:rPr>
          <w:rFonts w:hint="eastAsia" w:ascii="宋体" w:hAnsi="宋体" w:eastAsia="宋体" w:cs="仿宋_GB2312"/>
          <w:b w:val="0"/>
          <w:color w:val="000000"/>
          <w:sz w:val="24"/>
          <w:szCs w:val="32"/>
        </w:rPr>
        <w:t>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（2）B包服务区域：市建成区万州大道、文明路以西片区（建成区二区）病媒生物预防控制，共</w:t>
      </w:r>
      <w:r>
        <w:rPr>
          <w:rFonts w:hint="eastAsia" w:ascii="宋体" w:hAnsi="宋体" w:eastAsia="宋体" w:cs="仿宋_GB2312"/>
          <w:b w:val="0"/>
          <w:sz w:val="24"/>
          <w:szCs w:val="32"/>
          <w:u w:val="single"/>
        </w:rPr>
        <w:t>8.34</w:t>
      </w:r>
      <w:r>
        <w:rPr>
          <w:rFonts w:hint="eastAsia" w:ascii="宋体" w:hAnsi="宋体" w:eastAsia="宋体" w:cs="仿宋_GB2312"/>
          <w:b w:val="0"/>
          <w:sz w:val="24"/>
          <w:szCs w:val="32"/>
        </w:rPr>
        <w:t>平方公里</w:t>
      </w:r>
      <w:r>
        <w:rPr>
          <w:rFonts w:hint="eastAsia" w:ascii="宋体" w:hAnsi="宋体" w:eastAsia="宋体" w:cs="仿宋_GB2312"/>
          <w:b w:val="0"/>
          <w:color w:val="000000"/>
          <w:kern w:val="0"/>
          <w:sz w:val="24"/>
          <w:szCs w:val="32"/>
          <w:lang w:bidi="ar"/>
        </w:rPr>
        <w:t>的</w:t>
      </w:r>
      <w:r>
        <w:rPr>
          <w:rFonts w:hint="eastAsia" w:ascii="宋体" w:hAnsi="宋体" w:eastAsia="宋体" w:cs="仿宋_GB2312"/>
          <w:b w:val="0"/>
          <w:color w:val="000000"/>
          <w:sz w:val="24"/>
          <w:szCs w:val="32"/>
        </w:rPr>
        <w:t>内环境和公共外环境。本包次预算总金额为</w:t>
      </w:r>
      <w:r>
        <w:rPr>
          <w:rFonts w:hint="eastAsia" w:ascii="宋体" w:hAnsi="宋体" w:eastAsia="宋体" w:cs="仿宋_GB2312"/>
          <w:b w:val="0"/>
          <w:color w:val="000000"/>
          <w:sz w:val="24"/>
          <w:szCs w:val="32"/>
          <w:lang w:val="en-US" w:eastAsia="zh-CN"/>
        </w:rPr>
        <w:t>125.1万</w:t>
      </w:r>
      <w:r>
        <w:rPr>
          <w:rFonts w:hint="eastAsia" w:ascii="宋体" w:hAnsi="宋体" w:eastAsia="宋体" w:cs="仿宋_GB2312"/>
          <w:b w:val="0"/>
          <w:color w:val="000000"/>
          <w:sz w:val="24"/>
          <w:szCs w:val="32"/>
        </w:rPr>
        <w:t>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cs="仿宋_GB2312"/>
          <w:b w:val="0"/>
          <w:sz w:val="24"/>
          <w:szCs w:val="32"/>
          <w:lang w:val="en-US" w:eastAsia="zh-CN"/>
        </w:rPr>
        <w:t>3</w:t>
      </w:r>
      <w:r>
        <w:rPr>
          <w:rFonts w:hint="eastAsia" w:ascii="宋体" w:hAnsi="宋体" w:eastAsia="宋体" w:cs="仿宋_GB2312"/>
          <w:b w:val="0"/>
          <w:sz w:val="24"/>
          <w:szCs w:val="32"/>
        </w:rPr>
        <w:t>）防制对象：老鼠、蚊子、苍蝇、蟑螂。</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lang w:eastAsia="zh-CN"/>
        </w:rPr>
        <w:t>二</w:t>
      </w:r>
      <w:r>
        <w:rPr>
          <w:rFonts w:hint="eastAsia" w:ascii="宋体" w:hAnsi="宋体" w:eastAsia="宋体" w:cs="黑体"/>
          <w:b/>
          <w:bCs/>
          <w:sz w:val="24"/>
          <w:szCs w:val="32"/>
        </w:rPr>
        <w:t>、服务范围</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以下所指服务范围包括内外环境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（1）各机关、企事业单位，省驻万宁市各单位，各公立学校、医院、车站等；</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（2）辖区范围内的居民区；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（3）公共区域的内外环境（农贸市场、广场、公园、绿化带、公厕、垃圾收集站点、道路、沟渠等）；</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lang w:eastAsia="zh-CN"/>
        </w:rPr>
      </w:pPr>
      <w:r>
        <w:rPr>
          <w:rFonts w:hint="eastAsia" w:ascii="宋体" w:hAnsi="宋体" w:eastAsia="宋体" w:cs="仿宋_GB2312"/>
          <w:b w:val="0"/>
          <w:bCs w:val="0"/>
          <w:sz w:val="24"/>
          <w:szCs w:val="32"/>
        </w:rPr>
        <w:t>（4）无物业管理、无主管单位、无经济收入的小区</w:t>
      </w:r>
      <w:r>
        <w:rPr>
          <w:rFonts w:hint="eastAsia" w:ascii="宋体" w:hAnsi="宋体" w:cs="仿宋_GB2312"/>
          <w:b w:val="0"/>
          <w:bCs w:val="0"/>
          <w:sz w:val="24"/>
          <w:szCs w:val="32"/>
          <w:lang w:eastAsia="zh-CN"/>
        </w:rPr>
        <w:t>；</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（5）200平方米以下的小饮食店、小网吧、小美容美发店、小食品店、小旅馆、小歌舞厅；</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（6）城区周边城乡结合部，城中村；</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val="0"/>
          <w:sz w:val="24"/>
          <w:szCs w:val="32"/>
        </w:rPr>
      </w:pPr>
      <w:r>
        <w:rPr>
          <w:rFonts w:hint="eastAsia" w:ascii="宋体" w:hAnsi="宋体" w:eastAsia="宋体" w:cs="仿宋_GB2312"/>
          <w:b w:val="0"/>
          <w:bCs w:val="0"/>
          <w:sz w:val="24"/>
          <w:szCs w:val="32"/>
        </w:rPr>
        <w:t>（7）建拆工地及其他需要服务的区域。</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lang w:eastAsia="zh-CN"/>
        </w:rPr>
      </w:pPr>
      <w:r>
        <w:rPr>
          <w:rFonts w:hint="eastAsia" w:ascii="宋体" w:hAnsi="宋体" w:eastAsia="宋体" w:cs="黑体"/>
          <w:b/>
          <w:bCs/>
          <w:sz w:val="24"/>
          <w:szCs w:val="32"/>
          <w:lang w:eastAsia="zh-CN"/>
        </w:rPr>
        <w:t>三、防制服务标准</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服务区域鼠类、蚊虫、蝇类、蜚蠊的密度达到国家病媒生物密度控制水平标准C级</w:t>
      </w:r>
      <w:r>
        <w:rPr>
          <w:rFonts w:hint="eastAsia" w:ascii="宋体" w:hAnsi="宋体" w:eastAsia="宋体" w:cs="仿宋_GB2312"/>
          <w:b w:val="0"/>
          <w:sz w:val="24"/>
          <w:szCs w:val="32"/>
          <w:lang w:eastAsia="zh-CN"/>
        </w:rPr>
        <w:t>及</w:t>
      </w:r>
      <w:r>
        <w:rPr>
          <w:rFonts w:hint="eastAsia" w:ascii="宋体" w:hAnsi="宋体" w:eastAsia="宋体" w:cs="仿宋_GB2312"/>
          <w:b w:val="0"/>
          <w:sz w:val="24"/>
          <w:szCs w:val="32"/>
        </w:rPr>
        <w:t>以上（含C级）要求。</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lang w:eastAsia="zh-CN"/>
        </w:rPr>
        <w:t>四</w:t>
      </w:r>
      <w:r>
        <w:rPr>
          <w:rFonts w:hint="eastAsia" w:ascii="宋体" w:hAnsi="宋体" w:eastAsia="宋体" w:cs="黑体"/>
          <w:b/>
          <w:bCs/>
          <w:sz w:val="24"/>
          <w:szCs w:val="32"/>
        </w:rPr>
        <w:t>、防制要求</w:t>
      </w:r>
    </w:p>
    <w:p>
      <w:pPr>
        <w:keepNext w:val="0"/>
        <w:keepLines w:val="0"/>
        <w:pageBreakBefore w:val="0"/>
        <w:tabs>
          <w:tab w:val="left" w:pos="2730"/>
          <w:tab w:val="left" w:pos="2835"/>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（一）作业要求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1、实施杀灭作业前，必须先到现场调查病媒生物的基本情况、记录详细，对病媒生物的种类、栖息部位、密度状况及孳生环境等情况有全面的了解，因地制宜地制定合理的害虫综合控制方案。</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2、根据控制方案备好药品器械和个人防护用品。</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3、实施防制作业，应遵守安全操作规定，合理用药，施药到位，保证防制效果，并防止药品污染环境。</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4、作业完成后应认真填写《病媒生物防制服务记录卡》并交由采购人签认，社区、市爱卫办各一份，保存备查。</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5、根据卫生害虫种类和有关规定，定期进行虫害密度监测和防制效果监测，监测资料及时统计、分析上报市爱卫办，并归档保存。</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lang w:val="en-US" w:eastAsia="zh-CN"/>
        </w:rPr>
        <w:t xml:space="preserve">（二）人员要求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从事万宁市病媒生物防制消杀工作的人员，均需经过专业培训合格后，或取得由相关部门颁发的有害生物防制员《职业资格证书》后，方可上岗，并统一着装，持证上岗，文明服务，着装要符合防护要求。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三</w:t>
      </w:r>
      <w:r>
        <w:rPr>
          <w:rFonts w:hint="eastAsia" w:ascii="宋体" w:hAnsi="宋体" w:eastAsia="宋体" w:cs="楷体_GB2312"/>
          <w:b w:val="0"/>
          <w:bCs/>
          <w:sz w:val="24"/>
          <w:szCs w:val="32"/>
        </w:rPr>
        <w:t>）药物</w:t>
      </w:r>
      <w:r>
        <w:rPr>
          <w:rFonts w:hint="eastAsia" w:ascii="宋体" w:hAnsi="宋体" w:eastAsia="宋体" w:cs="楷体_GB2312"/>
          <w:b w:val="0"/>
          <w:bCs/>
          <w:sz w:val="24"/>
          <w:szCs w:val="32"/>
          <w:lang w:eastAsia="zh-CN"/>
        </w:rPr>
        <w:t>和器械</w:t>
      </w:r>
      <w:r>
        <w:rPr>
          <w:rFonts w:hint="eastAsia" w:ascii="宋体" w:hAnsi="宋体" w:eastAsia="宋体" w:cs="楷体_GB2312"/>
          <w:b w:val="0"/>
          <w:bCs/>
          <w:sz w:val="24"/>
          <w:szCs w:val="32"/>
        </w:rPr>
        <w:t>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1、卫生害虫防制所使用的药物必须是国家规定允许使用的卫生杀虫剂（以下简称药物），其使用范围、使用剂型、浓度、剂量应符合规范要求。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2、从事卫生害虫防制服务的单位应确保所使用的药物符合国家和市有关部门的现行规定。</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3、药物必须是国家有关主管部门批准生产（具有三证）的合格产品。药物包装应符合化工产品通用标准。严禁把农用杀虫剂、国家违禁药品用于病媒生物防制工作，药品每半年更换一次。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4、不同类型药物的混合配伍用药，应注意互补增效作用，并进行相应的测试，避免两用药配伍产生拮抗作用，影响防制效果。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5、药物在不同环境用于不同的防制对象，应采用相配套的喷洒器械。滞留喷洒应采用手动或背负式、手推式机动喷雾器，室内空间喷杀应采用超低容量电动喷雾机，特殊环境喷杀应采用热烟雾发生机或机动喷雾器。</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6、用于卫生害虫防制的药物，其性能应符合化学性质的稳定，且残效期较长：安全、高效、低毒，对人畜及环境基本无害：具有显著的击倒和致死作用等要求。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7、药物必须存放在专用仓库，分类离墙离地存放，并设有专人管理，要有建全的药物采购及进出仓库的制度，不得存放过期的杀虫剂和杀鼠剂，不得存放国家禁用的杀虫剂、杀鼠剂。不得使用莓烂变质的药物。</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8,存放药物专用仓库，应当符合有关安全防火规定，要设置相应的通风、防爆、防火、报警等安全设施。</w:t>
      </w:r>
    </w:p>
    <w:p>
      <w:pPr>
        <w:keepNext w:val="0"/>
        <w:keepLines w:val="0"/>
        <w:pageBreakBefore w:val="0"/>
        <w:numPr>
          <w:ilvl w:val="0"/>
          <w:numId w:val="7"/>
        </w:numPr>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sz w:val="24"/>
          <w:szCs w:val="32"/>
        </w:rPr>
      </w:pPr>
      <w:r>
        <w:rPr>
          <w:rFonts w:hint="eastAsia" w:ascii="宋体" w:hAnsi="宋体" w:eastAsia="宋体" w:cs="仿宋_GB2312"/>
          <w:b w:val="0"/>
          <w:sz w:val="24"/>
          <w:szCs w:val="32"/>
          <w:lang w:val="en-US" w:eastAsia="zh-CN"/>
        </w:rPr>
        <w:t>盛装药物的容器，入库时必须检查包装是否完好无损。药品进货渠道正规，有规范、完整的药品进出记录，药品台账与药品相符。药物使用完毕，应按照环境保护法的有关规定，妥善处理。</w:t>
      </w:r>
    </w:p>
    <w:p>
      <w:pPr>
        <w:keepNext w:val="0"/>
        <w:keepLines w:val="0"/>
        <w:pageBreakBefore w:val="0"/>
        <w:numPr>
          <w:ilvl w:val="0"/>
          <w:numId w:val="0"/>
        </w:numPr>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四</w:t>
      </w:r>
      <w:r>
        <w:rPr>
          <w:rFonts w:hint="eastAsia" w:ascii="宋体" w:hAnsi="宋体" w:eastAsia="宋体" w:cs="楷体_GB2312"/>
          <w:b w:val="0"/>
          <w:bCs/>
          <w:sz w:val="24"/>
          <w:szCs w:val="32"/>
        </w:rPr>
        <w:t>）消杀次数要求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每月对防制范围组织全面消杀两次，逢2、3、4、5、8、9、10月份每月消杀三次；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2、在承包服务期限内，如遇病媒生物突发事件和应急消杀工作，中标人要第一时间到达现场，按采购人的要求进行全面防制，待防制工作结束后，由此产生的防制费用由双方协商解决。</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五</w:t>
      </w:r>
      <w:r>
        <w:rPr>
          <w:rFonts w:hint="eastAsia" w:ascii="宋体" w:hAnsi="宋体" w:eastAsia="宋体" w:cs="楷体_GB2312"/>
          <w:b w:val="0"/>
          <w:bCs/>
          <w:sz w:val="24"/>
          <w:szCs w:val="32"/>
        </w:rPr>
        <w:t>）安全防护</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1、从事卫生虫害防制从业人员必须经过职业培训，熟悉卫生杀虫器械的使用，并熟知所用药物说明书上的注意事项和急救措施，必须持有有害防制职业资格证书。</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2、在操作过程中必须戴防毒口罩、穿长袖衣、长裤和鞋袜，佩戴上岗证，配备解毒药品。</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3、防制人员应以体魄健康的中青年为宜。患皮肤病者，有禁忌症者以及“三期”（即经期、孕期、哺乳期）妇女不得从事配药、施药工作。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4、药物稀释喷杀的操作人员，应熟悉药物的性质和配制方法，使用专门的量具，按要求正确配置使用。</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5、定期检测施药器械和所有的密封（圈）垫及断流阀，保证使用性能良好，以防发生渗漏，污染皮肤及其它现场物品；不得使用质量低劣或时有故障的器械，防止器械伤人。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6、室内喷药应关掉电风扇及抽风设备。</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7、作业时禁止吸烟、饮酒、吃东西，不能用手擦嘴、眼睛，绝对不准互相喷射。作业后喝水、抽烟、吃东西前，必须有肥皂彻底洗手、洗脸、清水漱口。作业完毕应及时洗澡，换洗防护用品。</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8、施药人员每天喷药时间一般不超过6小时，使用背负式机动喷雾机、热烟雾发生机要两人轮换操作。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9、当皮肤、眼睛粘有药液时，应立即有肥皂或清水冲洗；如出现头痛、头晕、恶心、呕吐等症状时，应立即离开施药现场，并及时送医院治疗。</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10、施药结束后，应及时清洗器械，盛药的空瓶或容器应集中处理，不得任意丢弃或作它用。未用完的药液或崐药剂应加上标签，运回仓库妥善保管。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11、在作业过程中，作业人员出现安全事故由中标人全权负责。</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w:t>
      </w:r>
      <w:r>
        <w:rPr>
          <w:rFonts w:hint="eastAsia" w:ascii="宋体" w:hAnsi="宋体" w:eastAsia="宋体" w:cs="楷体_GB2312"/>
          <w:b w:val="0"/>
          <w:bCs/>
          <w:sz w:val="24"/>
          <w:szCs w:val="32"/>
          <w:lang w:eastAsia="zh-CN"/>
        </w:rPr>
        <w:t>六</w:t>
      </w:r>
      <w:r>
        <w:rPr>
          <w:rFonts w:hint="eastAsia" w:ascii="宋体" w:hAnsi="宋体" w:eastAsia="宋体" w:cs="楷体_GB2312"/>
          <w:b w:val="0"/>
          <w:bCs/>
          <w:sz w:val="24"/>
          <w:szCs w:val="32"/>
        </w:rPr>
        <w:t>）服务组织实施方案</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须制定完整、可行、详细的消杀服务组织实施方案，明确组织机构、人员配备、消杀要求、安全措施、奖惩措施、应急预案等。</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lang w:eastAsia="zh-CN"/>
        </w:rPr>
        <w:t>（七）</w:t>
      </w:r>
      <w:r>
        <w:rPr>
          <w:rFonts w:hint="eastAsia" w:ascii="宋体" w:hAnsi="宋体" w:eastAsia="宋体" w:cs="楷体_GB2312"/>
          <w:b w:val="0"/>
          <w:bCs/>
          <w:sz w:val="24"/>
          <w:szCs w:val="32"/>
        </w:rPr>
        <w:t xml:space="preserve">项目考核验收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万宁市建成区、城乡结合部和2个乡镇镇墟辖区、外环境病媒生物考核评估工作，由采购单位聘请第三方专业评估机构对</w:t>
      </w:r>
      <w:r>
        <w:rPr>
          <w:rFonts w:hint="eastAsia" w:ascii="宋体" w:hAnsi="宋体" w:eastAsia="宋体" w:cs="仿宋_GB2312"/>
          <w:b w:val="0"/>
          <w:sz w:val="24"/>
          <w:szCs w:val="32"/>
        </w:rPr>
        <w:t>万宁市</w:t>
      </w:r>
      <w:r>
        <w:rPr>
          <w:rFonts w:hint="eastAsia" w:ascii="宋体" w:hAnsi="宋体" w:eastAsia="宋体" w:cs="仿宋_GB2312"/>
          <w:b w:val="0"/>
          <w:sz w:val="24"/>
          <w:szCs w:val="32"/>
          <w:lang w:val="en-US" w:eastAsia="zh-CN"/>
        </w:rPr>
        <w:t>病媒生物防制工作进行效果评估，考核评估结果作为向供应商付款的依据。考核评估结果，在检查后的10个工作日内，以书面形式通报给供应商（紧急情况下，现场口头通报）。供应商要针对存在的问题，及时落实整改。并在规定的期限内将整改情况以书面反馈给采购单位。供应商也要自行做到经常性地进行自我检查和监测，确保万宁市内外环境病媒生物密度控制在国家病媒生物控制水平 C 级标准之内。</w:t>
      </w:r>
    </w:p>
    <w:p>
      <w:pPr>
        <w:keepNext w:val="0"/>
        <w:keepLines w:val="0"/>
        <w:pageBreakBefore w:val="0"/>
        <w:widowControl/>
        <w:suppressLineNumbers w:val="0"/>
        <w:kinsoku/>
        <w:wordWrap/>
        <w:overflowPunct/>
        <w:topLinePunct w:val="0"/>
        <w:autoSpaceDE/>
        <w:autoSpaceDN/>
        <w:bidi w:val="0"/>
        <w:spacing w:line="560" w:lineRule="exact"/>
        <w:ind w:firstLine="482" w:firstLineChars="200"/>
        <w:jc w:val="both"/>
        <w:textAlignment w:val="auto"/>
        <w:rPr>
          <w:rFonts w:hint="eastAsia" w:ascii="宋体" w:hAnsi="宋体" w:eastAsia="宋体" w:cs="仿宋_GB2312"/>
          <w:b/>
          <w:bCs/>
          <w:sz w:val="24"/>
          <w:szCs w:val="32"/>
        </w:rPr>
      </w:pPr>
      <w:r>
        <w:rPr>
          <w:rFonts w:hint="eastAsia" w:ascii="宋体" w:hAnsi="宋体" w:eastAsia="宋体" w:cs="黑体"/>
          <w:b/>
          <w:bCs/>
          <w:sz w:val="24"/>
          <w:szCs w:val="32"/>
          <w:lang w:eastAsia="zh-CN"/>
        </w:rPr>
        <w:t>五、</w:t>
      </w:r>
      <w:r>
        <w:rPr>
          <w:rFonts w:hint="eastAsia" w:ascii="宋体" w:hAnsi="宋体" w:eastAsia="宋体" w:cs="黑体"/>
          <w:b/>
          <w:bCs/>
          <w:color w:val="000000"/>
          <w:kern w:val="0"/>
          <w:sz w:val="24"/>
          <w:szCs w:val="32"/>
          <w:lang w:val="en-US" w:eastAsia="zh-CN" w:bidi="ar"/>
        </w:rPr>
        <w:t>其他要求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（1）</w:t>
      </w:r>
      <w:r>
        <w:rPr>
          <w:rFonts w:hint="eastAsia" w:ascii="宋体" w:hAnsi="宋体" w:eastAsia="宋体" w:cs="仿宋_GB2312"/>
          <w:b w:val="0"/>
          <w:sz w:val="24"/>
          <w:szCs w:val="32"/>
        </w:rPr>
        <w:t>为做好此项工作，要求A、B包</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在合同期限内所投入的作业技术人员不得少于10名，其中至少有2名取得</w:t>
      </w:r>
      <w:r>
        <w:rPr>
          <w:rFonts w:hint="eastAsia" w:ascii="宋体" w:hAnsi="宋体" w:eastAsia="宋体" w:cs="仿宋_GB2312"/>
          <w:b w:val="0"/>
          <w:sz w:val="24"/>
          <w:szCs w:val="32"/>
          <w:lang w:val="en-US" w:eastAsia="zh-CN"/>
        </w:rPr>
        <w:t>相关</w:t>
      </w:r>
      <w:r>
        <w:rPr>
          <w:rFonts w:hint="eastAsia" w:ascii="宋体" w:hAnsi="宋体" w:eastAsia="宋体" w:cs="仿宋_GB2312"/>
          <w:b w:val="0"/>
          <w:sz w:val="24"/>
          <w:szCs w:val="32"/>
        </w:rPr>
        <w:t>部门颁发的病媒生物（有害生物）职业技术资格证书的专业技术员。并且要保证24小时有人员值班，24小时接受采购人的监督、检查</w:t>
      </w:r>
      <w:r>
        <w:rPr>
          <w:rFonts w:hint="eastAsia" w:ascii="宋体" w:hAnsi="宋体" w:eastAsia="宋体" w:cs="仿宋_GB2312"/>
          <w:b w:val="0"/>
          <w:sz w:val="24"/>
          <w:szCs w:val="32"/>
          <w:lang w:eastAsia="zh-CN"/>
        </w:rPr>
        <w:t>。</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 xml:space="preserve">（2）调查摸底，建立台账。每月进行一次病媒生物孳生地调查，并登记建册，制定病媒生物孳生地的处理计划。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 xml:space="preserve">（3）每月监测一次病媒生物密度，密切关注病媒生物孳生和密度情况，制定工作计划。原则上一般单位每月至少全面消杀2轮次，重点单位每月至少全面消杀3轮次，对各类雨水井、雨污水井、大型水体及无法清除的积水等每月投放 1 次球形芽孢杆菌，以控制蚊幼孳生。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lang w:val="en-US" w:eastAsia="zh-CN"/>
        </w:rPr>
        <w:t xml:space="preserve">（4）清理病媒生物防制孳生地和栖息地，原则上每日巡查，发现小型“四害”孳生地及时清除，如堵鼠洞、翻盆倒罐、填埋小坑小洼、清除易积水小容器如塑料瓶、易拉罐、椰子壳、一次性快餐盒等；对暴露垃圾、杂物乱堆乱放、大量废旧轮胎等需要相关部门配合清除的“四害”孳生地，上报市爱卫办协调相关单位协同处理。 </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（5）及时报送相关工作材料：消杀记录、病媒生物密度监测、病媒生物孳生地调查和处理情况等，每月30日前上报市爱卫办。</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lang w:val="en-US" w:eastAsia="zh-CN"/>
        </w:rPr>
        <w:t>（6）供应商成交后当月必须在采购人所在地（万宁市）设有办公服务场地，办公场地必须具备办公、食宿、仓库等功能，供应商在万宁市的办公场地租赁期从投标之月起不得少于一年。</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7</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必须配合好采购人交办的与此项工作有关联的任务。</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8</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应安排专业技术人员每月对</w:t>
      </w:r>
      <w:r>
        <w:rPr>
          <w:rFonts w:hint="eastAsia" w:ascii="宋体" w:hAnsi="宋体" w:eastAsia="宋体" w:cs="仿宋_GB2312"/>
          <w:b w:val="0"/>
          <w:sz w:val="24"/>
          <w:szCs w:val="32"/>
          <w:lang w:eastAsia="zh-CN"/>
        </w:rPr>
        <w:t>服务区域内</w:t>
      </w:r>
      <w:r>
        <w:rPr>
          <w:rFonts w:hint="eastAsia" w:ascii="宋体" w:hAnsi="宋体" w:eastAsia="宋体" w:cs="仿宋_GB2312"/>
          <w:b w:val="0"/>
          <w:sz w:val="24"/>
          <w:szCs w:val="32"/>
        </w:rPr>
        <w:t>的不同行业、不同单位进行巡查指导工作。</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9</w:t>
      </w:r>
      <w:r>
        <w:rPr>
          <w:rFonts w:hint="eastAsia" w:ascii="宋体" w:hAnsi="宋体" w:eastAsia="宋体" w:cs="仿宋_GB2312"/>
          <w:b w:val="0"/>
          <w:sz w:val="24"/>
          <w:szCs w:val="32"/>
        </w:rPr>
        <w:t>）若出现有投诉情况，</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必须在3小时内做出响应，24小时内指派作业服务人员到达所投诉现场处理问题。</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10</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实施作业服务后，必须做到经常性地自我检查和监测，做好病媒孳生地调查并把服务区域病媒生物密度控制在国家规定的C级标准之内。</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11</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进场实施病媒生物防制工作的作业记录、巡查记录、现场照片、药剂器械出入库记录、监测密度记录、病媒孳生地调查报告等按月报送采购人，年度工作总结、技术实施方案、报告等资料必须整理形成竣工验收资料交于采购人。</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12</w:t>
      </w: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将该服务合同转包或部分分包给第三者，采购人将终止合同，经济损失和法律责任由中标单位承担。</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13</w:t>
      </w:r>
      <w:r>
        <w:rPr>
          <w:rFonts w:hint="eastAsia" w:ascii="宋体" w:hAnsi="宋体" w:eastAsia="宋体" w:cs="仿宋_GB2312"/>
          <w:b w:val="0"/>
          <w:sz w:val="24"/>
          <w:szCs w:val="32"/>
        </w:rPr>
        <w:t>）实施作业过程中，出现的所有安全责任均由</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全权负责，与采购人无关。</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仿宋_GB2312"/>
          <w:b w:val="0"/>
          <w:sz w:val="24"/>
          <w:szCs w:val="32"/>
          <w:lang w:val="en-US" w:eastAsia="zh-CN"/>
        </w:rPr>
      </w:pPr>
      <w:r>
        <w:rPr>
          <w:rFonts w:hint="eastAsia" w:ascii="宋体" w:hAnsi="宋体" w:eastAsia="宋体" w:cs="仿宋_GB2312"/>
          <w:b w:val="0"/>
          <w:sz w:val="24"/>
          <w:szCs w:val="32"/>
        </w:rPr>
        <w:t>（</w:t>
      </w:r>
      <w:r>
        <w:rPr>
          <w:rFonts w:hint="eastAsia" w:ascii="宋体" w:hAnsi="宋体" w:eastAsia="宋体" w:cs="仿宋_GB2312"/>
          <w:b w:val="0"/>
          <w:sz w:val="24"/>
          <w:szCs w:val="32"/>
          <w:lang w:val="en-US" w:eastAsia="zh-CN"/>
        </w:rPr>
        <w:t>14</w:t>
      </w:r>
      <w:r>
        <w:rPr>
          <w:rFonts w:hint="eastAsia" w:ascii="宋体" w:hAnsi="宋体" w:eastAsia="宋体" w:cs="仿宋_GB2312"/>
          <w:b w:val="0"/>
          <w:sz w:val="24"/>
          <w:szCs w:val="32"/>
        </w:rPr>
        <w:t>）为做好此项工作，</w:t>
      </w:r>
      <w:r>
        <w:rPr>
          <w:rFonts w:hint="eastAsia" w:ascii="宋体" w:hAnsi="宋体" w:eastAsia="宋体" w:cs="仿宋_GB2312"/>
          <w:b w:val="0"/>
          <w:sz w:val="24"/>
          <w:szCs w:val="32"/>
          <w:lang w:val="en-US" w:eastAsia="zh-CN"/>
        </w:rPr>
        <w:t>成交供应商</w:t>
      </w:r>
      <w:r>
        <w:rPr>
          <w:rFonts w:hint="eastAsia" w:ascii="宋体" w:hAnsi="宋体" w:eastAsia="宋体" w:cs="仿宋_GB2312"/>
          <w:b w:val="0"/>
          <w:sz w:val="24"/>
          <w:szCs w:val="32"/>
        </w:rPr>
        <w:t>必须履行或具备采购人提出的以上要求条件，否则采购人有权拒签或终止合同，经济损失和法律责任由中标单位承担。</w:t>
      </w:r>
    </w:p>
    <w:p>
      <w:pPr>
        <w:keepNext w:val="0"/>
        <w:keepLines w:val="0"/>
        <w:pageBreakBefore w:val="0"/>
        <w:numPr>
          <w:ilvl w:val="0"/>
          <w:numId w:val="0"/>
        </w:numPr>
        <w:tabs>
          <w:tab w:val="left" w:pos="2730"/>
          <w:tab w:val="left" w:pos="2835"/>
        </w:tabs>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黑体"/>
          <w:b/>
          <w:bCs/>
          <w:sz w:val="24"/>
          <w:szCs w:val="32"/>
        </w:rPr>
      </w:pPr>
      <w:r>
        <w:rPr>
          <w:rFonts w:hint="eastAsia" w:ascii="宋体" w:hAnsi="宋体" w:eastAsia="宋体" w:cs="黑体"/>
          <w:b/>
          <w:bCs/>
          <w:sz w:val="24"/>
          <w:szCs w:val="32"/>
          <w:lang w:val="en-US" w:eastAsia="zh-CN"/>
        </w:rPr>
        <w:t>六、</w:t>
      </w:r>
      <w:r>
        <w:rPr>
          <w:rFonts w:hint="eastAsia" w:ascii="宋体" w:hAnsi="宋体" w:eastAsia="宋体" w:cs="黑体"/>
          <w:b/>
          <w:bCs/>
          <w:sz w:val="24"/>
          <w:szCs w:val="32"/>
        </w:rPr>
        <w:t>商务要求</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（一）服务期限、经费说明及承包方式</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sz w:val="24"/>
          <w:szCs w:val="32"/>
        </w:rPr>
      </w:pPr>
      <w:r>
        <w:rPr>
          <w:rFonts w:hint="eastAsia" w:ascii="宋体" w:hAnsi="宋体" w:eastAsia="宋体" w:cs="仿宋_GB2312"/>
          <w:b w:val="0"/>
          <w:color w:val="000000"/>
          <w:sz w:val="24"/>
          <w:szCs w:val="32"/>
        </w:rPr>
        <w:t>1、</w:t>
      </w:r>
      <w:r>
        <w:rPr>
          <w:rFonts w:hint="eastAsia" w:ascii="宋体" w:hAnsi="宋体" w:eastAsia="宋体" w:cs="仿宋_GB2312"/>
          <w:b w:val="0"/>
          <w:color w:val="000000"/>
          <w:kern w:val="0"/>
          <w:sz w:val="24"/>
          <w:szCs w:val="32"/>
        </w:rPr>
        <w:t>本项目</w:t>
      </w:r>
      <w:r>
        <w:rPr>
          <w:rFonts w:hint="eastAsia" w:ascii="宋体" w:hAnsi="宋体" w:eastAsia="宋体" w:cs="仿宋_GB2312"/>
          <w:b w:val="0"/>
          <w:color w:val="000000"/>
          <w:kern w:val="0"/>
          <w:sz w:val="24"/>
          <w:szCs w:val="32"/>
          <w:lang w:val="en-US" w:eastAsia="zh-CN"/>
        </w:rPr>
        <w:t>服务期限</w:t>
      </w:r>
      <w:r>
        <w:rPr>
          <w:rFonts w:hint="eastAsia" w:ascii="宋体" w:hAnsi="宋体" w:eastAsia="宋体" w:cs="仿宋_GB2312"/>
          <w:b w:val="0"/>
          <w:color w:val="000000"/>
          <w:kern w:val="0"/>
          <w:sz w:val="24"/>
          <w:szCs w:val="32"/>
        </w:rPr>
        <w:t>为</w:t>
      </w:r>
      <w:r>
        <w:rPr>
          <w:rFonts w:hint="eastAsia" w:ascii="宋体" w:hAnsi="宋体" w:eastAsia="宋体" w:cs="仿宋_GB2312"/>
          <w:b w:val="0"/>
          <w:sz w:val="24"/>
          <w:szCs w:val="32"/>
          <w:lang w:val="en-US" w:eastAsia="zh-CN"/>
        </w:rPr>
        <w:t>自合同签订生效之日起壹</w:t>
      </w:r>
      <w:r>
        <w:rPr>
          <w:rFonts w:hint="eastAsia" w:ascii="宋体" w:hAnsi="宋体" w:eastAsia="宋体" w:cs="仿宋_GB2312"/>
          <w:b w:val="0"/>
          <w:sz w:val="24"/>
          <w:szCs w:val="32"/>
        </w:rPr>
        <w:t>年</w:t>
      </w:r>
      <w:r>
        <w:rPr>
          <w:rFonts w:hint="eastAsia" w:ascii="宋体" w:hAnsi="宋体" w:eastAsia="宋体" w:cs="仿宋_GB2312"/>
          <w:b w:val="0"/>
          <w:color w:val="000000"/>
          <w:kern w:val="0"/>
          <w:sz w:val="24"/>
          <w:szCs w:val="32"/>
        </w:rPr>
        <w:t>，经</w:t>
      </w:r>
      <w:r>
        <w:rPr>
          <w:rFonts w:hint="eastAsia" w:ascii="宋体" w:hAnsi="宋体" w:eastAsia="宋体" w:cs="仿宋_GB2312"/>
          <w:b w:val="0"/>
          <w:color w:val="000000"/>
          <w:sz w:val="24"/>
          <w:szCs w:val="32"/>
        </w:rPr>
        <w:t>费总额为</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u w:val="single"/>
          <w:lang w:val="en-US" w:eastAsia="zh-CN"/>
        </w:rPr>
        <w:t>290.2</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rPr>
        <w:t>万元，其中：A包</w:t>
      </w:r>
      <w:r>
        <w:rPr>
          <w:rFonts w:hint="eastAsia" w:ascii="宋体" w:hAnsi="宋体" w:eastAsia="宋体" w:cs="仿宋_GB2312"/>
          <w:b w:val="0"/>
          <w:color w:val="000000"/>
          <w:sz w:val="24"/>
          <w:szCs w:val="32"/>
          <w:u w:val="single"/>
          <w:lang w:val="en-US" w:eastAsia="zh-CN"/>
        </w:rPr>
        <w:t>125.1</w:t>
      </w:r>
      <w:r>
        <w:rPr>
          <w:rFonts w:hint="eastAsia" w:ascii="宋体" w:hAnsi="宋体" w:eastAsia="宋体" w:cs="仿宋_GB2312"/>
          <w:b w:val="0"/>
          <w:color w:val="000000"/>
          <w:sz w:val="24"/>
          <w:szCs w:val="32"/>
        </w:rPr>
        <w:t>万元，B包</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u w:val="single"/>
          <w:lang w:val="en-US" w:eastAsia="zh-CN"/>
        </w:rPr>
        <w:t>125.1</w:t>
      </w:r>
      <w:r>
        <w:rPr>
          <w:rFonts w:hint="eastAsia" w:ascii="宋体" w:hAnsi="宋体" w:eastAsia="宋体" w:cs="仿宋_GB2312"/>
          <w:b w:val="0"/>
          <w:color w:val="000000"/>
          <w:sz w:val="24"/>
          <w:szCs w:val="32"/>
          <w:u w:val="single"/>
        </w:rPr>
        <w:t xml:space="preserve"> </w:t>
      </w:r>
      <w:r>
        <w:rPr>
          <w:rFonts w:hint="eastAsia" w:ascii="宋体" w:hAnsi="宋体" w:eastAsia="宋体" w:cs="仿宋_GB2312"/>
          <w:b w:val="0"/>
          <w:color w:val="000000"/>
          <w:sz w:val="24"/>
          <w:szCs w:val="32"/>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kern w:val="0"/>
          <w:sz w:val="24"/>
          <w:szCs w:val="32"/>
        </w:rPr>
      </w:pPr>
      <w:r>
        <w:rPr>
          <w:rFonts w:hint="eastAsia" w:ascii="宋体" w:hAnsi="宋体" w:eastAsia="宋体" w:cs="仿宋_GB2312"/>
          <w:b w:val="0"/>
          <w:color w:val="000000"/>
          <w:kern w:val="0"/>
          <w:sz w:val="24"/>
          <w:szCs w:val="32"/>
        </w:rPr>
        <w:t>2、采用全包干形式，即业务包干、经费包干。中标人按采购人的管理要求和标准组织病媒防制工作，并接受采购人的指导、监督。</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kern w:val="0"/>
          <w:sz w:val="24"/>
          <w:szCs w:val="32"/>
        </w:rPr>
      </w:pPr>
      <w:r>
        <w:rPr>
          <w:rFonts w:hint="eastAsia" w:ascii="宋体" w:hAnsi="宋体" w:eastAsia="宋体" w:cs="仿宋_GB2312"/>
          <w:b w:val="0"/>
          <w:color w:val="000000"/>
          <w:kern w:val="0"/>
          <w:sz w:val="24"/>
          <w:szCs w:val="32"/>
        </w:rPr>
        <w:t>3、中标人正式进场服务前，若采购人委托代管公司提供病媒生物防制服务工作，代管费用由中标人以合同金额为计费基数(即合同中标价月均价)支付给代管公司。</w:t>
      </w:r>
    </w:p>
    <w:p>
      <w:pPr>
        <w:keepNext w:val="0"/>
        <w:keepLines w:val="0"/>
        <w:pageBreakBefore w:val="0"/>
        <w:kinsoku/>
        <w:wordWrap/>
        <w:overflowPunct/>
        <w:topLinePunct w:val="0"/>
        <w:autoSpaceDE/>
        <w:autoSpaceDN/>
        <w:bidi w:val="0"/>
        <w:snapToGrid w:val="0"/>
        <w:spacing w:line="560" w:lineRule="exact"/>
        <w:ind w:firstLine="480" w:firstLineChars="200"/>
        <w:contextualSpacing/>
        <w:jc w:val="both"/>
        <w:textAlignment w:val="auto"/>
        <w:rPr>
          <w:rFonts w:hint="eastAsia" w:ascii="宋体" w:hAnsi="宋体" w:eastAsia="宋体" w:cs="楷体_GB2312"/>
          <w:b w:val="0"/>
          <w:bCs/>
          <w:sz w:val="24"/>
          <w:szCs w:val="32"/>
        </w:rPr>
      </w:pPr>
      <w:r>
        <w:rPr>
          <w:rFonts w:hint="eastAsia" w:ascii="宋体" w:hAnsi="宋体" w:eastAsia="宋体" w:cs="楷体_GB2312"/>
          <w:b w:val="0"/>
          <w:bCs/>
          <w:sz w:val="24"/>
          <w:szCs w:val="32"/>
        </w:rPr>
        <w:t>（二）付款方式、时间</w:t>
      </w:r>
    </w:p>
    <w:p>
      <w:pPr>
        <w:keepNext w:val="0"/>
        <w:keepLines w:val="0"/>
        <w:pageBreakBefore w:val="0"/>
        <w:kinsoku/>
        <w:wordWrap/>
        <w:overflowPunct/>
        <w:topLinePunct w:val="0"/>
        <w:autoSpaceDE/>
        <w:autoSpaceDN/>
        <w:bidi w:val="0"/>
        <w:spacing w:line="560" w:lineRule="exact"/>
        <w:ind w:firstLine="480" w:firstLineChars="200"/>
        <w:jc w:val="both"/>
        <w:textAlignment w:val="auto"/>
        <w:rPr>
          <w:rFonts w:hint="eastAsia" w:ascii="宋体" w:hAnsi="宋体" w:eastAsia="宋体" w:cs="仿宋_GB2312"/>
          <w:b w:val="0"/>
          <w:sz w:val="24"/>
          <w:szCs w:val="32"/>
        </w:rPr>
      </w:pPr>
      <w:r>
        <w:rPr>
          <w:rFonts w:hint="eastAsia" w:ascii="宋体" w:hAnsi="宋体" w:eastAsia="宋体" w:cs="仿宋_GB2312"/>
          <w:b w:val="0"/>
          <w:color w:val="000000"/>
          <w:kern w:val="0"/>
          <w:sz w:val="24"/>
          <w:szCs w:val="32"/>
          <w:lang w:val="en-US" w:eastAsia="zh-CN"/>
        </w:rPr>
        <w:t>自</w:t>
      </w:r>
      <w:r>
        <w:rPr>
          <w:rFonts w:hint="eastAsia" w:ascii="宋体" w:hAnsi="宋体" w:eastAsia="宋体" w:cs="仿宋_GB2312"/>
          <w:b w:val="0"/>
          <w:color w:val="000000"/>
          <w:kern w:val="0"/>
          <w:sz w:val="24"/>
          <w:szCs w:val="32"/>
        </w:rPr>
        <w:t>合同签订</w:t>
      </w:r>
      <w:r>
        <w:rPr>
          <w:rFonts w:hint="eastAsia" w:ascii="宋体" w:hAnsi="宋体" w:eastAsia="宋体" w:cs="仿宋_GB2312"/>
          <w:b w:val="0"/>
          <w:color w:val="000000"/>
          <w:kern w:val="0"/>
          <w:sz w:val="24"/>
          <w:szCs w:val="32"/>
          <w:lang w:val="en-US" w:eastAsia="zh-CN"/>
        </w:rPr>
        <w:t>之日起</w:t>
      </w:r>
      <w:r>
        <w:rPr>
          <w:rFonts w:hint="eastAsia" w:ascii="宋体" w:hAnsi="宋体" w:eastAsia="宋体" w:cs="仿宋_GB2312"/>
          <w:b w:val="0"/>
          <w:color w:val="000000"/>
          <w:kern w:val="0"/>
          <w:sz w:val="24"/>
          <w:szCs w:val="32"/>
        </w:rPr>
        <w:t>10个工作日内，采购人向中标人支付合同金额30%的预付款；采购人根据项目进度情况，分阶段进行付款。</w:t>
      </w:r>
    </w:p>
    <w:bookmarkEnd w:id="178"/>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仿宋_GB2312"/>
          <w:b w:val="0"/>
          <w:color w:val="000000"/>
          <w:kern w:val="0"/>
          <w:sz w:val="24"/>
          <w:szCs w:val="32"/>
        </w:rPr>
      </w:pPr>
    </w:p>
    <w:p>
      <w:pPr>
        <w:rPr>
          <w:rFonts w:hint="eastAsia"/>
          <w:color w:val="auto"/>
          <w:highlight w:val="none"/>
        </w:rPr>
      </w:pPr>
    </w:p>
    <w:sectPr>
      <w:footerReference r:id="rId10" w:type="default"/>
      <w:pgSz w:w="11906" w:h="16838"/>
      <w:pgMar w:top="1134" w:right="1274" w:bottom="1440" w:left="1418" w:header="851" w:footer="992" w:gutter="0"/>
      <w:pgBorders>
        <w:top w:val="none" w:sz="0" w:space="0"/>
        <w:left w:val="none" w:sz="0" w:space="0"/>
        <w:bottom w:val="none" w:sz="0" w:space="0"/>
        <w:right w:val="none" w:sz="0" w:space="0"/>
      </w:pgBorders>
      <w:pgNumType w:fmt="decimal"/>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Î¢ï¿½ï¿½ï¿½Åºï¿½">
    <w:altName w:val="Segoe Print"/>
    <w:panose1 w:val="00000000000000000000"/>
    <w:charset w:val="00"/>
    <w:family w:val="auto"/>
    <w:pitch w:val="default"/>
    <w:sig w:usb0="00000000" w:usb1="00000000" w:usb2="00000000" w:usb3="00000000" w:csb0="00040001" w:csb1="00000000"/>
  </w:font>
  <w:font w:name="微软雅黑">
    <w:panose1 w:val="020B0503020204020204"/>
    <w:charset w:val="7A"/>
    <w:family w:val="swiss"/>
    <w:pitch w:val="default"/>
    <w:sig w:usb0="80000287" w:usb1="2ACF3C50" w:usb2="00000016" w:usb3="00000000" w:csb0="0004001F" w:csb1="00000000"/>
  </w:font>
  <w:font w:name="方正黑体简体">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VESATK+??Regular">
    <w:altName w:val="Segoe Print"/>
    <w:panose1 w:val="00000000000000000000"/>
    <w:charset w:val="01"/>
    <w:family w:val="auto"/>
    <w:pitch w:val="default"/>
    <w:sig w:usb0="00000000" w:usb1="00000000" w:usb2="01010101" w:usb3="01010101" w:csb0="01010101" w:csb1="01010101"/>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98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3</w:t>
                </w:r>
                <w:r>
                  <w:fldChar w:fldCharType="end"/>
                </w:r>
                <w: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hint="eastAsia"/>
        <w:sz w:val="20"/>
      </w:rPr>
    </w:pPr>
    <w:r>
      <w:rPr>
        <w:sz w:val="20"/>
      </w:rPr>
      <w:pict>
        <v:shape id="文本框 4"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6"/>
                </w:pPr>
                <w:r>
                  <w:t xml:space="preserve">— </w:t>
                </w:r>
                <w:r>
                  <w:fldChar w:fldCharType="begin"/>
                </w:r>
                <w:r>
                  <w:instrText xml:space="preserve"> PAGE  \* MERGEFORMAT </w:instrText>
                </w:r>
                <w:r>
                  <w:fldChar w:fldCharType="separate"/>
                </w:r>
                <w:r>
                  <w:t>39</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left"/>
    </w:pPr>
    <w:r>
      <w:rPr>
        <w:rFonts w:hint="eastAsia" w:ascii="宋体" w:hAnsi="宋体" w:cs="宋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9EA2D"/>
    <w:multiLevelType w:val="singleLevel"/>
    <w:tmpl w:val="8EA9EA2D"/>
    <w:lvl w:ilvl="0" w:tentative="0">
      <w:start w:val="1"/>
      <w:numFmt w:val="chineseCounting"/>
      <w:suff w:val="nothing"/>
      <w:lvlText w:val="%1、"/>
      <w:lvlJc w:val="left"/>
      <w:rPr>
        <w:rFonts w:hint="eastAsia"/>
      </w:rPr>
    </w:lvl>
  </w:abstractNum>
  <w:abstractNum w:abstractNumId="1">
    <w:nsid w:val="A148BF2A"/>
    <w:multiLevelType w:val="singleLevel"/>
    <w:tmpl w:val="A148BF2A"/>
    <w:lvl w:ilvl="0" w:tentative="0">
      <w:start w:val="1"/>
      <w:numFmt w:val="decimal"/>
      <w:suff w:val="nothing"/>
      <w:lvlText w:val="%1、"/>
      <w:lvlJc w:val="left"/>
    </w:lvl>
  </w:abstractNum>
  <w:abstractNum w:abstractNumId="2">
    <w:nsid w:val="E769D0AB"/>
    <w:multiLevelType w:val="singleLevel"/>
    <w:tmpl w:val="E769D0AB"/>
    <w:lvl w:ilvl="0" w:tentative="0">
      <w:start w:val="1"/>
      <w:numFmt w:val="decimal"/>
      <w:suff w:val="space"/>
      <w:lvlText w:val="%1."/>
      <w:lvlJc w:val="left"/>
    </w:lvl>
  </w:abstractNum>
  <w:abstractNum w:abstractNumId="3">
    <w:nsid w:val="00000003"/>
    <w:multiLevelType w:val="singleLevel"/>
    <w:tmpl w:val="00000003"/>
    <w:lvl w:ilvl="0" w:tentative="0">
      <w:start w:val="2"/>
      <w:numFmt w:val="decimal"/>
      <w:suff w:val="space"/>
      <w:lvlText w:val="%1."/>
      <w:lvlJc w:val="left"/>
    </w:lvl>
  </w:abstractNum>
  <w:abstractNum w:abstractNumId="4">
    <w:nsid w:val="00000004"/>
    <w:multiLevelType w:val="multilevel"/>
    <w:tmpl w:val="00000004"/>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06"/>
    <w:multiLevelType w:val="singleLevel"/>
    <w:tmpl w:val="00000006"/>
    <w:lvl w:ilvl="0" w:tentative="0">
      <w:start w:val="20"/>
      <w:numFmt w:val="decimal"/>
      <w:suff w:val="nothing"/>
      <w:lvlText w:val="%1、"/>
      <w:lvlJc w:val="left"/>
    </w:lvl>
  </w:abstractNum>
  <w:abstractNum w:abstractNumId="6">
    <w:nsid w:val="5E968712"/>
    <w:multiLevelType w:val="singleLevel"/>
    <w:tmpl w:val="5E968712"/>
    <w:lvl w:ilvl="0" w:tentative="0">
      <w:start w:val="9"/>
      <w:numFmt w:val="decimal"/>
      <w:suff w:val="nothing"/>
      <w:lvlText w:val="%1、"/>
      <w:lvlJc w:val="left"/>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0"/>
  <w:drawingGridVerticalSpacing w:val="156"/>
  <w:doNotShadeFormData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172A27"/>
    <w:rsid w:val="00003ED8"/>
    <w:rsid w:val="00014681"/>
    <w:rsid w:val="00032BFF"/>
    <w:rsid w:val="000406C6"/>
    <w:rsid w:val="0004232B"/>
    <w:rsid w:val="00050735"/>
    <w:rsid w:val="000533DE"/>
    <w:rsid w:val="00054962"/>
    <w:rsid w:val="0005673D"/>
    <w:rsid w:val="00061327"/>
    <w:rsid w:val="00062212"/>
    <w:rsid w:val="00064D63"/>
    <w:rsid w:val="00076F44"/>
    <w:rsid w:val="0008326D"/>
    <w:rsid w:val="00087570"/>
    <w:rsid w:val="00087D87"/>
    <w:rsid w:val="0009311A"/>
    <w:rsid w:val="00094DB1"/>
    <w:rsid w:val="00096FB3"/>
    <w:rsid w:val="00097684"/>
    <w:rsid w:val="000A0845"/>
    <w:rsid w:val="000A1D8A"/>
    <w:rsid w:val="000A1F97"/>
    <w:rsid w:val="000A4A2F"/>
    <w:rsid w:val="000A7196"/>
    <w:rsid w:val="000B65AC"/>
    <w:rsid w:val="000B717C"/>
    <w:rsid w:val="000C0F53"/>
    <w:rsid w:val="000C13BF"/>
    <w:rsid w:val="000C3592"/>
    <w:rsid w:val="000C380C"/>
    <w:rsid w:val="000C6C3B"/>
    <w:rsid w:val="000C6F3F"/>
    <w:rsid w:val="000D0DE8"/>
    <w:rsid w:val="000F313D"/>
    <w:rsid w:val="001006F9"/>
    <w:rsid w:val="00106C4A"/>
    <w:rsid w:val="00110485"/>
    <w:rsid w:val="00111977"/>
    <w:rsid w:val="0011680C"/>
    <w:rsid w:val="0012654B"/>
    <w:rsid w:val="001267DC"/>
    <w:rsid w:val="00132B52"/>
    <w:rsid w:val="001421A8"/>
    <w:rsid w:val="00144146"/>
    <w:rsid w:val="0014744D"/>
    <w:rsid w:val="00150172"/>
    <w:rsid w:val="001503B2"/>
    <w:rsid w:val="001505E6"/>
    <w:rsid w:val="00151B8B"/>
    <w:rsid w:val="00152D62"/>
    <w:rsid w:val="001564C6"/>
    <w:rsid w:val="00156F84"/>
    <w:rsid w:val="001622F3"/>
    <w:rsid w:val="00162D42"/>
    <w:rsid w:val="00170BFC"/>
    <w:rsid w:val="001723F8"/>
    <w:rsid w:val="00177605"/>
    <w:rsid w:val="00186D25"/>
    <w:rsid w:val="00195532"/>
    <w:rsid w:val="001A64FB"/>
    <w:rsid w:val="001C2F98"/>
    <w:rsid w:val="001D07FE"/>
    <w:rsid w:val="001E2618"/>
    <w:rsid w:val="001E48CC"/>
    <w:rsid w:val="001E5F44"/>
    <w:rsid w:val="00200E4A"/>
    <w:rsid w:val="002022D3"/>
    <w:rsid w:val="002050D5"/>
    <w:rsid w:val="00206030"/>
    <w:rsid w:val="0021715B"/>
    <w:rsid w:val="00225F43"/>
    <w:rsid w:val="0022786D"/>
    <w:rsid w:val="002331C3"/>
    <w:rsid w:val="00234F9D"/>
    <w:rsid w:val="002374DC"/>
    <w:rsid w:val="0024544C"/>
    <w:rsid w:val="00245C87"/>
    <w:rsid w:val="0024705A"/>
    <w:rsid w:val="00251A82"/>
    <w:rsid w:val="00257B7B"/>
    <w:rsid w:val="00257CBE"/>
    <w:rsid w:val="0026333D"/>
    <w:rsid w:val="00263AC1"/>
    <w:rsid w:val="00267485"/>
    <w:rsid w:val="00282ECC"/>
    <w:rsid w:val="00282F8A"/>
    <w:rsid w:val="00286066"/>
    <w:rsid w:val="0028779E"/>
    <w:rsid w:val="00290A9A"/>
    <w:rsid w:val="00291989"/>
    <w:rsid w:val="0029365F"/>
    <w:rsid w:val="00293C89"/>
    <w:rsid w:val="002949F6"/>
    <w:rsid w:val="00297249"/>
    <w:rsid w:val="002A010F"/>
    <w:rsid w:val="002A0443"/>
    <w:rsid w:val="002A1128"/>
    <w:rsid w:val="002A24B6"/>
    <w:rsid w:val="002A2EFC"/>
    <w:rsid w:val="002A62DB"/>
    <w:rsid w:val="002A72E6"/>
    <w:rsid w:val="002B4DD0"/>
    <w:rsid w:val="002B55A7"/>
    <w:rsid w:val="002C4214"/>
    <w:rsid w:val="002D1F38"/>
    <w:rsid w:val="002D6C4B"/>
    <w:rsid w:val="002E07A9"/>
    <w:rsid w:val="002E1051"/>
    <w:rsid w:val="002E4B67"/>
    <w:rsid w:val="002E6376"/>
    <w:rsid w:val="002F0B5A"/>
    <w:rsid w:val="002F51B7"/>
    <w:rsid w:val="002F51F2"/>
    <w:rsid w:val="002F7C18"/>
    <w:rsid w:val="0030307B"/>
    <w:rsid w:val="003061F5"/>
    <w:rsid w:val="00307450"/>
    <w:rsid w:val="003109F2"/>
    <w:rsid w:val="00314033"/>
    <w:rsid w:val="003148D9"/>
    <w:rsid w:val="00320CA3"/>
    <w:rsid w:val="0032686E"/>
    <w:rsid w:val="00334561"/>
    <w:rsid w:val="003356AC"/>
    <w:rsid w:val="00345937"/>
    <w:rsid w:val="00346762"/>
    <w:rsid w:val="003470A4"/>
    <w:rsid w:val="00350147"/>
    <w:rsid w:val="003545CC"/>
    <w:rsid w:val="00367775"/>
    <w:rsid w:val="00370397"/>
    <w:rsid w:val="00371F7F"/>
    <w:rsid w:val="003734BF"/>
    <w:rsid w:val="00382B2F"/>
    <w:rsid w:val="0038587D"/>
    <w:rsid w:val="003966F3"/>
    <w:rsid w:val="003A5190"/>
    <w:rsid w:val="003A6B9A"/>
    <w:rsid w:val="003A6E63"/>
    <w:rsid w:val="003B1004"/>
    <w:rsid w:val="003B50C0"/>
    <w:rsid w:val="003B71F8"/>
    <w:rsid w:val="003C6360"/>
    <w:rsid w:val="003C6FD6"/>
    <w:rsid w:val="003C7448"/>
    <w:rsid w:val="003D072E"/>
    <w:rsid w:val="003D1E4D"/>
    <w:rsid w:val="003D6031"/>
    <w:rsid w:val="003E23CF"/>
    <w:rsid w:val="003E2F06"/>
    <w:rsid w:val="003E3EFE"/>
    <w:rsid w:val="003E728A"/>
    <w:rsid w:val="003F3AD5"/>
    <w:rsid w:val="003F69EE"/>
    <w:rsid w:val="00403C81"/>
    <w:rsid w:val="00406DC8"/>
    <w:rsid w:val="004140BD"/>
    <w:rsid w:val="004179E4"/>
    <w:rsid w:val="00417A0D"/>
    <w:rsid w:val="00431295"/>
    <w:rsid w:val="00437B6A"/>
    <w:rsid w:val="00443CC9"/>
    <w:rsid w:val="004462E4"/>
    <w:rsid w:val="00446973"/>
    <w:rsid w:val="00446DBE"/>
    <w:rsid w:val="00447243"/>
    <w:rsid w:val="0044785F"/>
    <w:rsid w:val="004502AA"/>
    <w:rsid w:val="004546F5"/>
    <w:rsid w:val="004557EF"/>
    <w:rsid w:val="00462CA5"/>
    <w:rsid w:val="004808EE"/>
    <w:rsid w:val="004822D5"/>
    <w:rsid w:val="0048615C"/>
    <w:rsid w:val="0049097F"/>
    <w:rsid w:val="004919CA"/>
    <w:rsid w:val="004919E2"/>
    <w:rsid w:val="00495E78"/>
    <w:rsid w:val="004A0ECD"/>
    <w:rsid w:val="004A19A3"/>
    <w:rsid w:val="004A5ED2"/>
    <w:rsid w:val="004B1277"/>
    <w:rsid w:val="004B58B5"/>
    <w:rsid w:val="004B5D3C"/>
    <w:rsid w:val="004B68B5"/>
    <w:rsid w:val="004C4B72"/>
    <w:rsid w:val="004D6A8C"/>
    <w:rsid w:val="004E186E"/>
    <w:rsid w:val="004F15C2"/>
    <w:rsid w:val="004F4967"/>
    <w:rsid w:val="00500898"/>
    <w:rsid w:val="00500A97"/>
    <w:rsid w:val="00500B8F"/>
    <w:rsid w:val="005022BA"/>
    <w:rsid w:val="00503F0C"/>
    <w:rsid w:val="005105CB"/>
    <w:rsid w:val="00511ED1"/>
    <w:rsid w:val="005127E1"/>
    <w:rsid w:val="0051578F"/>
    <w:rsid w:val="005164E3"/>
    <w:rsid w:val="00524EC6"/>
    <w:rsid w:val="00525587"/>
    <w:rsid w:val="00526035"/>
    <w:rsid w:val="005269FB"/>
    <w:rsid w:val="005311EA"/>
    <w:rsid w:val="00535E5C"/>
    <w:rsid w:val="00542B7B"/>
    <w:rsid w:val="0055095C"/>
    <w:rsid w:val="00552033"/>
    <w:rsid w:val="00552980"/>
    <w:rsid w:val="00556FDC"/>
    <w:rsid w:val="00564445"/>
    <w:rsid w:val="0056529D"/>
    <w:rsid w:val="00577C5B"/>
    <w:rsid w:val="005810B1"/>
    <w:rsid w:val="00584800"/>
    <w:rsid w:val="005857DD"/>
    <w:rsid w:val="00586820"/>
    <w:rsid w:val="00591B50"/>
    <w:rsid w:val="0059412B"/>
    <w:rsid w:val="0059513D"/>
    <w:rsid w:val="00596367"/>
    <w:rsid w:val="005972DC"/>
    <w:rsid w:val="005A071D"/>
    <w:rsid w:val="005A31D2"/>
    <w:rsid w:val="005A45B2"/>
    <w:rsid w:val="005A7591"/>
    <w:rsid w:val="005B20F1"/>
    <w:rsid w:val="005B379F"/>
    <w:rsid w:val="005C13DD"/>
    <w:rsid w:val="005E1BC0"/>
    <w:rsid w:val="005E2E9D"/>
    <w:rsid w:val="005E34C2"/>
    <w:rsid w:val="005E6C2F"/>
    <w:rsid w:val="005F1A26"/>
    <w:rsid w:val="005F2994"/>
    <w:rsid w:val="00601746"/>
    <w:rsid w:val="006034A3"/>
    <w:rsid w:val="006047C3"/>
    <w:rsid w:val="00610A62"/>
    <w:rsid w:val="00612166"/>
    <w:rsid w:val="00612ACB"/>
    <w:rsid w:val="0062293D"/>
    <w:rsid w:val="00624124"/>
    <w:rsid w:val="00630522"/>
    <w:rsid w:val="00631565"/>
    <w:rsid w:val="00633308"/>
    <w:rsid w:val="00634FFF"/>
    <w:rsid w:val="00636C0F"/>
    <w:rsid w:val="00643A7E"/>
    <w:rsid w:val="00647582"/>
    <w:rsid w:val="00650661"/>
    <w:rsid w:val="00652301"/>
    <w:rsid w:val="00654874"/>
    <w:rsid w:val="00660D32"/>
    <w:rsid w:val="00674CA6"/>
    <w:rsid w:val="00677348"/>
    <w:rsid w:val="0068185D"/>
    <w:rsid w:val="00687D2D"/>
    <w:rsid w:val="006A0D5D"/>
    <w:rsid w:val="006A2335"/>
    <w:rsid w:val="006A42EF"/>
    <w:rsid w:val="006A4976"/>
    <w:rsid w:val="006A4DAD"/>
    <w:rsid w:val="006A73A1"/>
    <w:rsid w:val="006B1B62"/>
    <w:rsid w:val="006B31F7"/>
    <w:rsid w:val="006D1C35"/>
    <w:rsid w:val="006D287F"/>
    <w:rsid w:val="006D5EEE"/>
    <w:rsid w:val="006E33A5"/>
    <w:rsid w:val="006E3B11"/>
    <w:rsid w:val="006F339C"/>
    <w:rsid w:val="006F62D4"/>
    <w:rsid w:val="006F7D05"/>
    <w:rsid w:val="00703B5B"/>
    <w:rsid w:val="00717FD9"/>
    <w:rsid w:val="00720813"/>
    <w:rsid w:val="007234E6"/>
    <w:rsid w:val="00727E4B"/>
    <w:rsid w:val="007309DD"/>
    <w:rsid w:val="00735A8B"/>
    <w:rsid w:val="00737F26"/>
    <w:rsid w:val="00743863"/>
    <w:rsid w:val="00743991"/>
    <w:rsid w:val="00763BE0"/>
    <w:rsid w:val="00766ABD"/>
    <w:rsid w:val="0077661C"/>
    <w:rsid w:val="007769DA"/>
    <w:rsid w:val="00782857"/>
    <w:rsid w:val="00790EA5"/>
    <w:rsid w:val="0079333B"/>
    <w:rsid w:val="007A086C"/>
    <w:rsid w:val="007A51A2"/>
    <w:rsid w:val="007B6AFE"/>
    <w:rsid w:val="007B7249"/>
    <w:rsid w:val="007C30DD"/>
    <w:rsid w:val="007C34AF"/>
    <w:rsid w:val="007C3792"/>
    <w:rsid w:val="007D697C"/>
    <w:rsid w:val="007D77C1"/>
    <w:rsid w:val="007E2021"/>
    <w:rsid w:val="007E41EE"/>
    <w:rsid w:val="007E596A"/>
    <w:rsid w:val="0081417F"/>
    <w:rsid w:val="0081562D"/>
    <w:rsid w:val="00816A3A"/>
    <w:rsid w:val="00824B05"/>
    <w:rsid w:val="00831E85"/>
    <w:rsid w:val="00834C6B"/>
    <w:rsid w:val="008354DB"/>
    <w:rsid w:val="008357DF"/>
    <w:rsid w:val="008416F3"/>
    <w:rsid w:val="00841FCF"/>
    <w:rsid w:val="00844DA8"/>
    <w:rsid w:val="00844E2E"/>
    <w:rsid w:val="0084549D"/>
    <w:rsid w:val="00846A19"/>
    <w:rsid w:val="00853FFC"/>
    <w:rsid w:val="00857F15"/>
    <w:rsid w:val="00865597"/>
    <w:rsid w:val="00875423"/>
    <w:rsid w:val="008763E2"/>
    <w:rsid w:val="00885272"/>
    <w:rsid w:val="008A4B7D"/>
    <w:rsid w:val="008B0A20"/>
    <w:rsid w:val="008B0C8B"/>
    <w:rsid w:val="008B18B6"/>
    <w:rsid w:val="008B609A"/>
    <w:rsid w:val="008B6AEA"/>
    <w:rsid w:val="008C68F9"/>
    <w:rsid w:val="008D08E8"/>
    <w:rsid w:val="008D1E9C"/>
    <w:rsid w:val="008D3683"/>
    <w:rsid w:val="008F2F0D"/>
    <w:rsid w:val="008F5B17"/>
    <w:rsid w:val="008F70C4"/>
    <w:rsid w:val="008F78C1"/>
    <w:rsid w:val="008F7CF3"/>
    <w:rsid w:val="009001C9"/>
    <w:rsid w:val="00903025"/>
    <w:rsid w:val="0090455D"/>
    <w:rsid w:val="009052EB"/>
    <w:rsid w:val="0090555D"/>
    <w:rsid w:val="0091280F"/>
    <w:rsid w:val="00915DCC"/>
    <w:rsid w:val="009209FF"/>
    <w:rsid w:val="0092111B"/>
    <w:rsid w:val="00923D79"/>
    <w:rsid w:val="0092641C"/>
    <w:rsid w:val="00932FEF"/>
    <w:rsid w:val="0093318B"/>
    <w:rsid w:val="00936F0E"/>
    <w:rsid w:val="009407F6"/>
    <w:rsid w:val="00943D00"/>
    <w:rsid w:val="00952DD4"/>
    <w:rsid w:val="0096164F"/>
    <w:rsid w:val="0096262B"/>
    <w:rsid w:val="009653AA"/>
    <w:rsid w:val="00965C3E"/>
    <w:rsid w:val="0097031E"/>
    <w:rsid w:val="009751D4"/>
    <w:rsid w:val="0097752D"/>
    <w:rsid w:val="00977818"/>
    <w:rsid w:val="00982436"/>
    <w:rsid w:val="009859E0"/>
    <w:rsid w:val="00990ED8"/>
    <w:rsid w:val="00991902"/>
    <w:rsid w:val="00994E96"/>
    <w:rsid w:val="009A07B6"/>
    <w:rsid w:val="009A44C9"/>
    <w:rsid w:val="009B7761"/>
    <w:rsid w:val="009C0B37"/>
    <w:rsid w:val="009C2DBD"/>
    <w:rsid w:val="009C79CF"/>
    <w:rsid w:val="009D41D8"/>
    <w:rsid w:val="009E5743"/>
    <w:rsid w:val="009E5F53"/>
    <w:rsid w:val="009F475A"/>
    <w:rsid w:val="009F4C9E"/>
    <w:rsid w:val="00A10DA8"/>
    <w:rsid w:val="00A133F0"/>
    <w:rsid w:val="00A14618"/>
    <w:rsid w:val="00A25BA6"/>
    <w:rsid w:val="00A30FAA"/>
    <w:rsid w:val="00A332EB"/>
    <w:rsid w:val="00A41CC5"/>
    <w:rsid w:val="00A449AE"/>
    <w:rsid w:val="00A52E7C"/>
    <w:rsid w:val="00A53054"/>
    <w:rsid w:val="00A56DD4"/>
    <w:rsid w:val="00A57954"/>
    <w:rsid w:val="00A57C57"/>
    <w:rsid w:val="00A76BFC"/>
    <w:rsid w:val="00A81B47"/>
    <w:rsid w:val="00A83B0D"/>
    <w:rsid w:val="00A90F9D"/>
    <w:rsid w:val="00A9239B"/>
    <w:rsid w:val="00A9487D"/>
    <w:rsid w:val="00A9740C"/>
    <w:rsid w:val="00AA69F2"/>
    <w:rsid w:val="00AB219A"/>
    <w:rsid w:val="00AB277C"/>
    <w:rsid w:val="00AB307D"/>
    <w:rsid w:val="00AC0233"/>
    <w:rsid w:val="00AC3034"/>
    <w:rsid w:val="00AD032D"/>
    <w:rsid w:val="00AD44D4"/>
    <w:rsid w:val="00AD4BB4"/>
    <w:rsid w:val="00AE1D2E"/>
    <w:rsid w:val="00AE3535"/>
    <w:rsid w:val="00AE68F2"/>
    <w:rsid w:val="00AE6AAB"/>
    <w:rsid w:val="00B0445F"/>
    <w:rsid w:val="00B108E5"/>
    <w:rsid w:val="00B131D2"/>
    <w:rsid w:val="00B13E60"/>
    <w:rsid w:val="00B16AFA"/>
    <w:rsid w:val="00B17886"/>
    <w:rsid w:val="00B21DCA"/>
    <w:rsid w:val="00B22D50"/>
    <w:rsid w:val="00B25969"/>
    <w:rsid w:val="00B26A71"/>
    <w:rsid w:val="00B26C11"/>
    <w:rsid w:val="00B314B8"/>
    <w:rsid w:val="00B31C19"/>
    <w:rsid w:val="00B35F82"/>
    <w:rsid w:val="00B40C09"/>
    <w:rsid w:val="00B42033"/>
    <w:rsid w:val="00B44A1C"/>
    <w:rsid w:val="00B47E36"/>
    <w:rsid w:val="00B50D11"/>
    <w:rsid w:val="00B51427"/>
    <w:rsid w:val="00B619D1"/>
    <w:rsid w:val="00B64753"/>
    <w:rsid w:val="00B64FE7"/>
    <w:rsid w:val="00B70BC3"/>
    <w:rsid w:val="00B714FE"/>
    <w:rsid w:val="00B7166B"/>
    <w:rsid w:val="00B73558"/>
    <w:rsid w:val="00B77D46"/>
    <w:rsid w:val="00B8396D"/>
    <w:rsid w:val="00B83A8F"/>
    <w:rsid w:val="00B8419A"/>
    <w:rsid w:val="00B957CE"/>
    <w:rsid w:val="00B96950"/>
    <w:rsid w:val="00B97CE1"/>
    <w:rsid w:val="00BA0CA6"/>
    <w:rsid w:val="00BA2F1F"/>
    <w:rsid w:val="00BA555A"/>
    <w:rsid w:val="00BA58E5"/>
    <w:rsid w:val="00BB28B4"/>
    <w:rsid w:val="00BB2F99"/>
    <w:rsid w:val="00BB3A40"/>
    <w:rsid w:val="00BD38E8"/>
    <w:rsid w:val="00BD3A36"/>
    <w:rsid w:val="00BE780B"/>
    <w:rsid w:val="00BF0B38"/>
    <w:rsid w:val="00BF0F85"/>
    <w:rsid w:val="00BF1758"/>
    <w:rsid w:val="00BF3230"/>
    <w:rsid w:val="00BF5E9A"/>
    <w:rsid w:val="00BF6A2A"/>
    <w:rsid w:val="00C03DC0"/>
    <w:rsid w:val="00C1177D"/>
    <w:rsid w:val="00C11FCB"/>
    <w:rsid w:val="00C135F3"/>
    <w:rsid w:val="00C15F5B"/>
    <w:rsid w:val="00C2064A"/>
    <w:rsid w:val="00C21630"/>
    <w:rsid w:val="00C35ED4"/>
    <w:rsid w:val="00C37F78"/>
    <w:rsid w:val="00C42C56"/>
    <w:rsid w:val="00C42F28"/>
    <w:rsid w:val="00C5253F"/>
    <w:rsid w:val="00C5558C"/>
    <w:rsid w:val="00C5685A"/>
    <w:rsid w:val="00C6260F"/>
    <w:rsid w:val="00C7515C"/>
    <w:rsid w:val="00C777A1"/>
    <w:rsid w:val="00C81786"/>
    <w:rsid w:val="00C83B93"/>
    <w:rsid w:val="00C91A3A"/>
    <w:rsid w:val="00C92DE4"/>
    <w:rsid w:val="00CA0FC4"/>
    <w:rsid w:val="00CA53A5"/>
    <w:rsid w:val="00CB00E4"/>
    <w:rsid w:val="00CB74B2"/>
    <w:rsid w:val="00CC7751"/>
    <w:rsid w:val="00CD1E65"/>
    <w:rsid w:val="00CD6100"/>
    <w:rsid w:val="00CE29AA"/>
    <w:rsid w:val="00CE3432"/>
    <w:rsid w:val="00CE41B3"/>
    <w:rsid w:val="00D03F49"/>
    <w:rsid w:val="00D0412D"/>
    <w:rsid w:val="00D06D96"/>
    <w:rsid w:val="00D100CE"/>
    <w:rsid w:val="00D123B0"/>
    <w:rsid w:val="00D12FA9"/>
    <w:rsid w:val="00D1484B"/>
    <w:rsid w:val="00D1528C"/>
    <w:rsid w:val="00D23EFD"/>
    <w:rsid w:val="00D252D4"/>
    <w:rsid w:val="00D267EA"/>
    <w:rsid w:val="00D3408A"/>
    <w:rsid w:val="00D36DB2"/>
    <w:rsid w:val="00D40219"/>
    <w:rsid w:val="00D45F27"/>
    <w:rsid w:val="00D502DC"/>
    <w:rsid w:val="00D51CC8"/>
    <w:rsid w:val="00D5373E"/>
    <w:rsid w:val="00D53A10"/>
    <w:rsid w:val="00D6786F"/>
    <w:rsid w:val="00D8147C"/>
    <w:rsid w:val="00D84059"/>
    <w:rsid w:val="00D847CC"/>
    <w:rsid w:val="00D91BAB"/>
    <w:rsid w:val="00D950E0"/>
    <w:rsid w:val="00DA29E7"/>
    <w:rsid w:val="00DA3BB5"/>
    <w:rsid w:val="00DA4362"/>
    <w:rsid w:val="00DB2CDF"/>
    <w:rsid w:val="00DB639D"/>
    <w:rsid w:val="00DC2DDE"/>
    <w:rsid w:val="00DC7B24"/>
    <w:rsid w:val="00DE20CE"/>
    <w:rsid w:val="00DE4F3F"/>
    <w:rsid w:val="00DF16CF"/>
    <w:rsid w:val="00DF2041"/>
    <w:rsid w:val="00DF5C11"/>
    <w:rsid w:val="00DF653B"/>
    <w:rsid w:val="00E217A6"/>
    <w:rsid w:val="00E249EE"/>
    <w:rsid w:val="00E27A6F"/>
    <w:rsid w:val="00E34713"/>
    <w:rsid w:val="00E403E2"/>
    <w:rsid w:val="00E43426"/>
    <w:rsid w:val="00E45BF9"/>
    <w:rsid w:val="00E534C6"/>
    <w:rsid w:val="00E74345"/>
    <w:rsid w:val="00E774C9"/>
    <w:rsid w:val="00E854CC"/>
    <w:rsid w:val="00E87106"/>
    <w:rsid w:val="00E877F6"/>
    <w:rsid w:val="00E87A09"/>
    <w:rsid w:val="00E87DCF"/>
    <w:rsid w:val="00E92505"/>
    <w:rsid w:val="00E958C7"/>
    <w:rsid w:val="00EA5F9E"/>
    <w:rsid w:val="00EA60BC"/>
    <w:rsid w:val="00EC037D"/>
    <w:rsid w:val="00EC21E8"/>
    <w:rsid w:val="00EE0266"/>
    <w:rsid w:val="00EE7116"/>
    <w:rsid w:val="00EF1FBB"/>
    <w:rsid w:val="00F075F2"/>
    <w:rsid w:val="00F0761D"/>
    <w:rsid w:val="00F12630"/>
    <w:rsid w:val="00F2201A"/>
    <w:rsid w:val="00F2434E"/>
    <w:rsid w:val="00F25BFC"/>
    <w:rsid w:val="00F26A88"/>
    <w:rsid w:val="00F30DA7"/>
    <w:rsid w:val="00F362E5"/>
    <w:rsid w:val="00F40D32"/>
    <w:rsid w:val="00F46D72"/>
    <w:rsid w:val="00F54B02"/>
    <w:rsid w:val="00F5555B"/>
    <w:rsid w:val="00F5773F"/>
    <w:rsid w:val="00F71F15"/>
    <w:rsid w:val="00F8145D"/>
    <w:rsid w:val="00F849BB"/>
    <w:rsid w:val="00F86447"/>
    <w:rsid w:val="00F90203"/>
    <w:rsid w:val="00F91918"/>
    <w:rsid w:val="00F93D9F"/>
    <w:rsid w:val="00F947BA"/>
    <w:rsid w:val="00FA1FBC"/>
    <w:rsid w:val="00FA2D2A"/>
    <w:rsid w:val="00FA4A31"/>
    <w:rsid w:val="00FB131B"/>
    <w:rsid w:val="00FC185D"/>
    <w:rsid w:val="00FC3430"/>
    <w:rsid w:val="00FD15E4"/>
    <w:rsid w:val="00FD472C"/>
    <w:rsid w:val="00FD6C72"/>
    <w:rsid w:val="00FD7B74"/>
    <w:rsid w:val="00FE113E"/>
    <w:rsid w:val="00FE187F"/>
    <w:rsid w:val="00FE4FC2"/>
    <w:rsid w:val="00FF081F"/>
    <w:rsid w:val="00FF2DA2"/>
    <w:rsid w:val="00FF7F59"/>
    <w:rsid w:val="010D7DD7"/>
    <w:rsid w:val="014B4812"/>
    <w:rsid w:val="015973FF"/>
    <w:rsid w:val="017D7872"/>
    <w:rsid w:val="01803CC8"/>
    <w:rsid w:val="01812B40"/>
    <w:rsid w:val="01973B44"/>
    <w:rsid w:val="01C10223"/>
    <w:rsid w:val="02272738"/>
    <w:rsid w:val="02691435"/>
    <w:rsid w:val="02865372"/>
    <w:rsid w:val="02B817E5"/>
    <w:rsid w:val="02BE3DA3"/>
    <w:rsid w:val="02D80E4A"/>
    <w:rsid w:val="0311603A"/>
    <w:rsid w:val="031B1E83"/>
    <w:rsid w:val="03D570F2"/>
    <w:rsid w:val="03F304A4"/>
    <w:rsid w:val="04612790"/>
    <w:rsid w:val="048E6FE7"/>
    <w:rsid w:val="04A9605C"/>
    <w:rsid w:val="04AC1213"/>
    <w:rsid w:val="04DE6669"/>
    <w:rsid w:val="05546FE3"/>
    <w:rsid w:val="05AE452C"/>
    <w:rsid w:val="05D8391B"/>
    <w:rsid w:val="06064406"/>
    <w:rsid w:val="06727FAD"/>
    <w:rsid w:val="06AB4C7D"/>
    <w:rsid w:val="06D76DC6"/>
    <w:rsid w:val="06DE302B"/>
    <w:rsid w:val="07280C7C"/>
    <w:rsid w:val="082A2571"/>
    <w:rsid w:val="088D567E"/>
    <w:rsid w:val="08A00474"/>
    <w:rsid w:val="08AC4379"/>
    <w:rsid w:val="092D02F2"/>
    <w:rsid w:val="096F5443"/>
    <w:rsid w:val="09963826"/>
    <w:rsid w:val="09AF52D7"/>
    <w:rsid w:val="09EE1557"/>
    <w:rsid w:val="0A077EC6"/>
    <w:rsid w:val="0A257905"/>
    <w:rsid w:val="0A5773B6"/>
    <w:rsid w:val="0AAF5076"/>
    <w:rsid w:val="0AC2787D"/>
    <w:rsid w:val="0AD77724"/>
    <w:rsid w:val="0B140F45"/>
    <w:rsid w:val="0B1A7F16"/>
    <w:rsid w:val="0B4F226C"/>
    <w:rsid w:val="0B6A5211"/>
    <w:rsid w:val="0B9E6CCA"/>
    <w:rsid w:val="0C8258A7"/>
    <w:rsid w:val="0C8F58A0"/>
    <w:rsid w:val="0CB56E80"/>
    <w:rsid w:val="0CCB12B9"/>
    <w:rsid w:val="0CEF4DC9"/>
    <w:rsid w:val="0D695AC9"/>
    <w:rsid w:val="0D974E8F"/>
    <w:rsid w:val="0DC343D2"/>
    <w:rsid w:val="0DF513F2"/>
    <w:rsid w:val="0E5928AD"/>
    <w:rsid w:val="0E920377"/>
    <w:rsid w:val="0EA248CE"/>
    <w:rsid w:val="0EF90CB8"/>
    <w:rsid w:val="0FC50C69"/>
    <w:rsid w:val="0FE13D84"/>
    <w:rsid w:val="0FF66081"/>
    <w:rsid w:val="103730BB"/>
    <w:rsid w:val="10426733"/>
    <w:rsid w:val="104409E9"/>
    <w:rsid w:val="10755633"/>
    <w:rsid w:val="10B95EBE"/>
    <w:rsid w:val="10D95F51"/>
    <w:rsid w:val="11090569"/>
    <w:rsid w:val="120A2FD6"/>
    <w:rsid w:val="12451307"/>
    <w:rsid w:val="129F5E89"/>
    <w:rsid w:val="12B57162"/>
    <w:rsid w:val="12B65ABF"/>
    <w:rsid w:val="12CC1B5F"/>
    <w:rsid w:val="132144AC"/>
    <w:rsid w:val="13306E2E"/>
    <w:rsid w:val="13380755"/>
    <w:rsid w:val="13891C3A"/>
    <w:rsid w:val="139B7C54"/>
    <w:rsid w:val="13C67B3B"/>
    <w:rsid w:val="13EA17DE"/>
    <w:rsid w:val="13F13E4A"/>
    <w:rsid w:val="14CD65AD"/>
    <w:rsid w:val="15653B8A"/>
    <w:rsid w:val="1575324F"/>
    <w:rsid w:val="162F3042"/>
    <w:rsid w:val="169A72D9"/>
    <w:rsid w:val="16B551AD"/>
    <w:rsid w:val="16C317C2"/>
    <w:rsid w:val="16DA2C4D"/>
    <w:rsid w:val="16E06831"/>
    <w:rsid w:val="16E213DE"/>
    <w:rsid w:val="16E639C4"/>
    <w:rsid w:val="16F85CE1"/>
    <w:rsid w:val="16FC5FDA"/>
    <w:rsid w:val="172642B2"/>
    <w:rsid w:val="1791378D"/>
    <w:rsid w:val="17B02252"/>
    <w:rsid w:val="17C15218"/>
    <w:rsid w:val="17CA20E4"/>
    <w:rsid w:val="17CE29FC"/>
    <w:rsid w:val="181C5722"/>
    <w:rsid w:val="1848387A"/>
    <w:rsid w:val="187E018E"/>
    <w:rsid w:val="18FF55A2"/>
    <w:rsid w:val="1925254A"/>
    <w:rsid w:val="19481170"/>
    <w:rsid w:val="195E521C"/>
    <w:rsid w:val="199D21E8"/>
    <w:rsid w:val="1A215139"/>
    <w:rsid w:val="1A3F6F70"/>
    <w:rsid w:val="1A5520AB"/>
    <w:rsid w:val="1A561CB1"/>
    <w:rsid w:val="1A660803"/>
    <w:rsid w:val="1BBB0703"/>
    <w:rsid w:val="1BC70F8D"/>
    <w:rsid w:val="1BD32840"/>
    <w:rsid w:val="1BFF4838"/>
    <w:rsid w:val="1C2173E4"/>
    <w:rsid w:val="1C335DC2"/>
    <w:rsid w:val="1C3E30E2"/>
    <w:rsid w:val="1C5047CF"/>
    <w:rsid w:val="1C617531"/>
    <w:rsid w:val="1C782158"/>
    <w:rsid w:val="1CB3287C"/>
    <w:rsid w:val="1CB568DC"/>
    <w:rsid w:val="1D086DFF"/>
    <w:rsid w:val="1D0C0478"/>
    <w:rsid w:val="1D486FCE"/>
    <w:rsid w:val="1D773233"/>
    <w:rsid w:val="1DD847F1"/>
    <w:rsid w:val="1DDC382B"/>
    <w:rsid w:val="1E0D2D57"/>
    <w:rsid w:val="1E1F6ABF"/>
    <w:rsid w:val="1E272665"/>
    <w:rsid w:val="1EE14CFD"/>
    <w:rsid w:val="1F6A2039"/>
    <w:rsid w:val="1F8F5FC9"/>
    <w:rsid w:val="1FA3211C"/>
    <w:rsid w:val="1FD9189E"/>
    <w:rsid w:val="1FFC375A"/>
    <w:rsid w:val="2009009E"/>
    <w:rsid w:val="204F3B10"/>
    <w:rsid w:val="207667A4"/>
    <w:rsid w:val="208D4AE4"/>
    <w:rsid w:val="2091505C"/>
    <w:rsid w:val="20C57D69"/>
    <w:rsid w:val="215138B9"/>
    <w:rsid w:val="21670967"/>
    <w:rsid w:val="21FC5507"/>
    <w:rsid w:val="22005A4D"/>
    <w:rsid w:val="223E41F0"/>
    <w:rsid w:val="225C69B4"/>
    <w:rsid w:val="231238A6"/>
    <w:rsid w:val="23694EE9"/>
    <w:rsid w:val="23863E8B"/>
    <w:rsid w:val="23A46266"/>
    <w:rsid w:val="24183022"/>
    <w:rsid w:val="24556069"/>
    <w:rsid w:val="245825F4"/>
    <w:rsid w:val="246F48BF"/>
    <w:rsid w:val="24813E4C"/>
    <w:rsid w:val="24840F58"/>
    <w:rsid w:val="248F79C1"/>
    <w:rsid w:val="24AC76D5"/>
    <w:rsid w:val="24E46F1D"/>
    <w:rsid w:val="256A4F48"/>
    <w:rsid w:val="258E3A20"/>
    <w:rsid w:val="25B62C27"/>
    <w:rsid w:val="25EC5D44"/>
    <w:rsid w:val="2691239E"/>
    <w:rsid w:val="26D63AD5"/>
    <w:rsid w:val="2726427B"/>
    <w:rsid w:val="273B28C6"/>
    <w:rsid w:val="275B283C"/>
    <w:rsid w:val="27F126BC"/>
    <w:rsid w:val="28193AE2"/>
    <w:rsid w:val="28250C42"/>
    <w:rsid w:val="2864211E"/>
    <w:rsid w:val="289F04A7"/>
    <w:rsid w:val="292E37EB"/>
    <w:rsid w:val="29A92EF0"/>
    <w:rsid w:val="29EF5A73"/>
    <w:rsid w:val="29F224B1"/>
    <w:rsid w:val="29F94E9C"/>
    <w:rsid w:val="2A044C11"/>
    <w:rsid w:val="2A0D692A"/>
    <w:rsid w:val="2A7212D4"/>
    <w:rsid w:val="2AAE6D8D"/>
    <w:rsid w:val="2AE82B97"/>
    <w:rsid w:val="2AF25CF6"/>
    <w:rsid w:val="2B2362C5"/>
    <w:rsid w:val="2BB05DAB"/>
    <w:rsid w:val="2BBB4FB5"/>
    <w:rsid w:val="2CA42BB0"/>
    <w:rsid w:val="2CD667D3"/>
    <w:rsid w:val="2CE17262"/>
    <w:rsid w:val="2D121AE4"/>
    <w:rsid w:val="2D46074B"/>
    <w:rsid w:val="2D4F75E0"/>
    <w:rsid w:val="2D624DE7"/>
    <w:rsid w:val="2DDA1194"/>
    <w:rsid w:val="2DEA03E3"/>
    <w:rsid w:val="2E172A4F"/>
    <w:rsid w:val="2E2959A0"/>
    <w:rsid w:val="2E2E5C5A"/>
    <w:rsid w:val="2E704F10"/>
    <w:rsid w:val="2F080680"/>
    <w:rsid w:val="2F340201"/>
    <w:rsid w:val="2F670536"/>
    <w:rsid w:val="2F933C86"/>
    <w:rsid w:val="2FCB4D26"/>
    <w:rsid w:val="2FD56890"/>
    <w:rsid w:val="2FFF4B29"/>
    <w:rsid w:val="30116AA7"/>
    <w:rsid w:val="301E0CC4"/>
    <w:rsid w:val="303E1EB0"/>
    <w:rsid w:val="30561744"/>
    <w:rsid w:val="307A70F5"/>
    <w:rsid w:val="30A12C6F"/>
    <w:rsid w:val="30E03C65"/>
    <w:rsid w:val="315C608D"/>
    <w:rsid w:val="31637C73"/>
    <w:rsid w:val="31E339E7"/>
    <w:rsid w:val="322905D7"/>
    <w:rsid w:val="32396B85"/>
    <w:rsid w:val="32714BBA"/>
    <w:rsid w:val="32D518A6"/>
    <w:rsid w:val="32FE61BD"/>
    <w:rsid w:val="331704BD"/>
    <w:rsid w:val="3346455C"/>
    <w:rsid w:val="3366460A"/>
    <w:rsid w:val="337251F3"/>
    <w:rsid w:val="33725666"/>
    <w:rsid w:val="33744E44"/>
    <w:rsid w:val="337733F7"/>
    <w:rsid w:val="337A31F7"/>
    <w:rsid w:val="338A57E6"/>
    <w:rsid w:val="33996CB0"/>
    <w:rsid w:val="33B232A1"/>
    <w:rsid w:val="34015157"/>
    <w:rsid w:val="34386393"/>
    <w:rsid w:val="348E25D8"/>
    <w:rsid w:val="34945B3E"/>
    <w:rsid w:val="34970425"/>
    <w:rsid w:val="3498707D"/>
    <w:rsid w:val="34A772A4"/>
    <w:rsid w:val="34F553E3"/>
    <w:rsid w:val="34F75E0B"/>
    <w:rsid w:val="35157315"/>
    <w:rsid w:val="354166FA"/>
    <w:rsid w:val="35506F8A"/>
    <w:rsid w:val="35B83534"/>
    <w:rsid w:val="35D46B3A"/>
    <w:rsid w:val="35F14239"/>
    <w:rsid w:val="360E3CD5"/>
    <w:rsid w:val="36404B5A"/>
    <w:rsid w:val="36646A31"/>
    <w:rsid w:val="366F170D"/>
    <w:rsid w:val="368A2C03"/>
    <w:rsid w:val="370407DA"/>
    <w:rsid w:val="37122649"/>
    <w:rsid w:val="37205A91"/>
    <w:rsid w:val="37AA25EC"/>
    <w:rsid w:val="37BF1F63"/>
    <w:rsid w:val="38870C2F"/>
    <w:rsid w:val="38DB1F8D"/>
    <w:rsid w:val="38E33971"/>
    <w:rsid w:val="38F63CEC"/>
    <w:rsid w:val="38F94D4C"/>
    <w:rsid w:val="392A7991"/>
    <w:rsid w:val="39364E45"/>
    <w:rsid w:val="397A2FB0"/>
    <w:rsid w:val="3A10140F"/>
    <w:rsid w:val="3A7B65BE"/>
    <w:rsid w:val="3A8A1086"/>
    <w:rsid w:val="3AE460D3"/>
    <w:rsid w:val="3AE46C52"/>
    <w:rsid w:val="3AED7D56"/>
    <w:rsid w:val="3AF84368"/>
    <w:rsid w:val="3B0B2928"/>
    <w:rsid w:val="3B365BA1"/>
    <w:rsid w:val="3B784EFE"/>
    <w:rsid w:val="3BB371F1"/>
    <w:rsid w:val="3C240F08"/>
    <w:rsid w:val="3C73075C"/>
    <w:rsid w:val="3C8F5A68"/>
    <w:rsid w:val="3CB9339F"/>
    <w:rsid w:val="3CED597C"/>
    <w:rsid w:val="3D2F676B"/>
    <w:rsid w:val="3D6C5444"/>
    <w:rsid w:val="3DA3794F"/>
    <w:rsid w:val="3DB00FA3"/>
    <w:rsid w:val="3DBC2792"/>
    <w:rsid w:val="3DC7098E"/>
    <w:rsid w:val="3DF65244"/>
    <w:rsid w:val="3E4A3E52"/>
    <w:rsid w:val="3E555D63"/>
    <w:rsid w:val="3EAD260D"/>
    <w:rsid w:val="3EFE4FF1"/>
    <w:rsid w:val="3F131348"/>
    <w:rsid w:val="3FC739F0"/>
    <w:rsid w:val="40145F54"/>
    <w:rsid w:val="401B7039"/>
    <w:rsid w:val="40503261"/>
    <w:rsid w:val="40A07AA5"/>
    <w:rsid w:val="40AB7817"/>
    <w:rsid w:val="40C35866"/>
    <w:rsid w:val="40C45B63"/>
    <w:rsid w:val="40C51E70"/>
    <w:rsid w:val="40D20119"/>
    <w:rsid w:val="40DC4023"/>
    <w:rsid w:val="40EF24BB"/>
    <w:rsid w:val="4114177B"/>
    <w:rsid w:val="41162F87"/>
    <w:rsid w:val="412A0D01"/>
    <w:rsid w:val="41B139AD"/>
    <w:rsid w:val="41BF09C5"/>
    <w:rsid w:val="41CE268F"/>
    <w:rsid w:val="41D52C1C"/>
    <w:rsid w:val="41E53AD5"/>
    <w:rsid w:val="41F80AB3"/>
    <w:rsid w:val="42103997"/>
    <w:rsid w:val="42194B58"/>
    <w:rsid w:val="42666D6B"/>
    <w:rsid w:val="42E04750"/>
    <w:rsid w:val="42F57B14"/>
    <w:rsid w:val="42F73E67"/>
    <w:rsid w:val="43343FFC"/>
    <w:rsid w:val="43D450D0"/>
    <w:rsid w:val="43EE6705"/>
    <w:rsid w:val="44240915"/>
    <w:rsid w:val="44E72F2A"/>
    <w:rsid w:val="44E85BB5"/>
    <w:rsid w:val="45561319"/>
    <w:rsid w:val="459E1BE7"/>
    <w:rsid w:val="45AF0798"/>
    <w:rsid w:val="45BF6F94"/>
    <w:rsid w:val="45DE39CE"/>
    <w:rsid w:val="45E23609"/>
    <w:rsid w:val="45FA402D"/>
    <w:rsid w:val="460A58D5"/>
    <w:rsid w:val="46231A5C"/>
    <w:rsid w:val="464A32B7"/>
    <w:rsid w:val="46A97219"/>
    <w:rsid w:val="46B72862"/>
    <w:rsid w:val="47021B26"/>
    <w:rsid w:val="471E67FC"/>
    <w:rsid w:val="47231877"/>
    <w:rsid w:val="47490194"/>
    <w:rsid w:val="47782AE6"/>
    <w:rsid w:val="47984155"/>
    <w:rsid w:val="47C73A2F"/>
    <w:rsid w:val="47D07812"/>
    <w:rsid w:val="47E511D7"/>
    <w:rsid w:val="48454A8A"/>
    <w:rsid w:val="48582954"/>
    <w:rsid w:val="488A54E4"/>
    <w:rsid w:val="48967BD0"/>
    <w:rsid w:val="48A722BC"/>
    <w:rsid w:val="492E4278"/>
    <w:rsid w:val="49BA1BD6"/>
    <w:rsid w:val="49D76BF6"/>
    <w:rsid w:val="4A1B667A"/>
    <w:rsid w:val="4B1A19AD"/>
    <w:rsid w:val="4B4C2876"/>
    <w:rsid w:val="4B7C67F3"/>
    <w:rsid w:val="4B9410BD"/>
    <w:rsid w:val="4C284C86"/>
    <w:rsid w:val="4C7F33A3"/>
    <w:rsid w:val="4C9B2A50"/>
    <w:rsid w:val="4CDD40CE"/>
    <w:rsid w:val="4CE64AA9"/>
    <w:rsid w:val="4D0C69C4"/>
    <w:rsid w:val="4D3569B9"/>
    <w:rsid w:val="4D5D0B4F"/>
    <w:rsid w:val="4DC4732A"/>
    <w:rsid w:val="4DF0215B"/>
    <w:rsid w:val="4DF029D8"/>
    <w:rsid w:val="4DF54A37"/>
    <w:rsid w:val="4E4E3026"/>
    <w:rsid w:val="4E5A52AA"/>
    <w:rsid w:val="4E814F2A"/>
    <w:rsid w:val="4EBC2735"/>
    <w:rsid w:val="4F2A21CB"/>
    <w:rsid w:val="4F2D3B75"/>
    <w:rsid w:val="4F36734E"/>
    <w:rsid w:val="4F6730BD"/>
    <w:rsid w:val="4F8D6993"/>
    <w:rsid w:val="4FE9162B"/>
    <w:rsid w:val="502842A9"/>
    <w:rsid w:val="505718DF"/>
    <w:rsid w:val="506A4A79"/>
    <w:rsid w:val="50873C9F"/>
    <w:rsid w:val="50963B0B"/>
    <w:rsid w:val="50985E1C"/>
    <w:rsid w:val="50D86F7C"/>
    <w:rsid w:val="511F4862"/>
    <w:rsid w:val="51251086"/>
    <w:rsid w:val="513D3580"/>
    <w:rsid w:val="519E474F"/>
    <w:rsid w:val="51A04ED4"/>
    <w:rsid w:val="51A4281D"/>
    <w:rsid w:val="51AD4C72"/>
    <w:rsid w:val="51D664E2"/>
    <w:rsid w:val="51E07046"/>
    <w:rsid w:val="520E2AB0"/>
    <w:rsid w:val="52270BD4"/>
    <w:rsid w:val="52700939"/>
    <w:rsid w:val="52816712"/>
    <w:rsid w:val="52C61160"/>
    <w:rsid w:val="52DB1A31"/>
    <w:rsid w:val="52DD4729"/>
    <w:rsid w:val="52E80913"/>
    <w:rsid w:val="52EB1015"/>
    <w:rsid w:val="532843AF"/>
    <w:rsid w:val="532F512B"/>
    <w:rsid w:val="53374374"/>
    <w:rsid w:val="534830A7"/>
    <w:rsid w:val="535F4339"/>
    <w:rsid w:val="53F86D4D"/>
    <w:rsid w:val="54006631"/>
    <w:rsid w:val="542717BF"/>
    <w:rsid w:val="549332C4"/>
    <w:rsid w:val="54CB0CB0"/>
    <w:rsid w:val="54F702DB"/>
    <w:rsid w:val="5503669C"/>
    <w:rsid w:val="55805378"/>
    <w:rsid w:val="558519F5"/>
    <w:rsid w:val="559C414E"/>
    <w:rsid w:val="55CD1844"/>
    <w:rsid w:val="55F97CF2"/>
    <w:rsid w:val="560B26C8"/>
    <w:rsid w:val="563D5BDD"/>
    <w:rsid w:val="5666549D"/>
    <w:rsid w:val="56B83DA3"/>
    <w:rsid w:val="56C34AE4"/>
    <w:rsid w:val="570B3E0D"/>
    <w:rsid w:val="572D3F89"/>
    <w:rsid w:val="573916F4"/>
    <w:rsid w:val="576622D5"/>
    <w:rsid w:val="57892A60"/>
    <w:rsid w:val="578F1019"/>
    <w:rsid w:val="579D6AAF"/>
    <w:rsid w:val="57A0542E"/>
    <w:rsid w:val="57D029EE"/>
    <w:rsid w:val="57DA00ED"/>
    <w:rsid w:val="57F2787F"/>
    <w:rsid w:val="582C59B6"/>
    <w:rsid w:val="58311772"/>
    <w:rsid w:val="585E0D11"/>
    <w:rsid w:val="58A9462F"/>
    <w:rsid w:val="58D14DB1"/>
    <w:rsid w:val="58DD052E"/>
    <w:rsid w:val="58FC726F"/>
    <w:rsid w:val="592607D6"/>
    <w:rsid w:val="59352F2E"/>
    <w:rsid w:val="59484655"/>
    <w:rsid w:val="59516AC0"/>
    <w:rsid w:val="595C3229"/>
    <w:rsid w:val="59717DB4"/>
    <w:rsid w:val="5A0453AA"/>
    <w:rsid w:val="5A9852F7"/>
    <w:rsid w:val="5ABF570A"/>
    <w:rsid w:val="5B1D4910"/>
    <w:rsid w:val="5B3626BB"/>
    <w:rsid w:val="5B3C0A1C"/>
    <w:rsid w:val="5B3E21DC"/>
    <w:rsid w:val="5B547C51"/>
    <w:rsid w:val="5B7C3729"/>
    <w:rsid w:val="5C356AB4"/>
    <w:rsid w:val="5C497754"/>
    <w:rsid w:val="5C5C6C96"/>
    <w:rsid w:val="5C904CB9"/>
    <w:rsid w:val="5C9267DE"/>
    <w:rsid w:val="5C9B4D9D"/>
    <w:rsid w:val="5CB51FA2"/>
    <w:rsid w:val="5CB85927"/>
    <w:rsid w:val="5CBD57D0"/>
    <w:rsid w:val="5CE878CE"/>
    <w:rsid w:val="5D183F9D"/>
    <w:rsid w:val="5D1F5F50"/>
    <w:rsid w:val="5D5C7EC4"/>
    <w:rsid w:val="5DC27E3E"/>
    <w:rsid w:val="5DC34B2C"/>
    <w:rsid w:val="5DD3350F"/>
    <w:rsid w:val="5DE74DAC"/>
    <w:rsid w:val="5DEA3DD3"/>
    <w:rsid w:val="5E467CA8"/>
    <w:rsid w:val="5E745C9A"/>
    <w:rsid w:val="5EB818C6"/>
    <w:rsid w:val="5EDE6BF8"/>
    <w:rsid w:val="5EF938B9"/>
    <w:rsid w:val="5EFD45BE"/>
    <w:rsid w:val="5F386FBF"/>
    <w:rsid w:val="5FCF0EF1"/>
    <w:rsid w:val="5FDF21A0"/>
    <w:rsid w:val="5FF7077F"/>
    <w:rsid w:val="60093105"/>
    <w:rsid w:val="602B11DE"/>
    <w:rsid w:val="604F3130"/>
    <w:rsid w:val="606247B8"/>
    <w:rsid w:val="606B0293"/>
    <w:rsid w:val="606C55D2"/>
    <w:rsid w:val="60756240"/>
    <w:rsid w:val="609C73C0"/>
    <w:rsid w:val="60A747E5"/>
    <w:rsid w:val="60DF465E"/>
    <w:rsid w:val="610C6932"/>
    <w:rsid w:val="61500B43"/>
    <w:rsid w:val="615D6CCC"/>
    <w:rsid w:val="61A15272"/>
    <w:rsid w:val="62061579"/>
    <w:rsid w:val="621300B9"/>
    <w:rsid w:val="627631A3"/>
    <w:rsid w:val="627E4871"/>
    <w:rsid w:val="62B40FD5"/>
    <w:rsid w:val="632A480A"/>
    <w:rsid w:val="6330043A"/>
    <w:rsid w:val="63587844"/>
    <w:rsid w:val="63C73AF8"/>
    <w:rsid w:val="63F608AF"/>
    <w:rsid w:val="643335CD"/>
    <w:rsid w:val="648311C2"/>
    <w:rsid w:val="64AE79DF"/>
    <w:rsid w:val="64C15145"/>
    <w:rsid w:val="64C47E4A"/>
    <w:rsid w:val="64D53272"/>
    <w:rsid w:val="65094122"/>
    <w:rsid w:val="651E504A"/>
    <w:rsid w:val="654A4D84"/>
    <w:rsid w:val="65F212A6"/>
    <w:rsid w:val="660F1FF9"/>
    <w:rsid w:val="66392DD7"/>
    <w:rsid w:val="6696322A"/>
    <w:rsid w:val="66C5189D"/>
    <w:rsid w:val="66F15D62"/>
    <w:rsid w:val="66F27CA9"/>
    <w:rsid w:val="66F64FAA"/>
    <w:rsid w:val="67312132"/>
    <w:rsid w:val="676663B4"/>
    <w:rsid w:val="67766CFA"/>
    <w:rsid w:val="67D55B2E"/>
    <w:rsid w:val="67DB42F6"/>
    <w:rsid w:val="680971E6"/>
    <w:rsid w:val="68152516"/>
    <w:rsid w:val="68271210"/>
    <w:rsid w:val="68764EAE"/>
    <w:rsid w:val="68D552B3"/>
    <w:rsid w:val="690774D8"/>
    <w:rsid w:val="691937FC"/>
    <w:rsid w:val="6A7E206A"/>
    <w:rsid w:val="6A8C47BC"/>
    <w:rsid w:val="6AA655C6"/>
    <w:rsid w:val="6AB9187F"/>
    <w:rsid w:val="6B4C414C"/>
    <w:rsid w:val="6BD9304F"/>
    <w:rsid w:val="6C064F7B"/>
    <w:rsid w:val="6C1513A7"/>
    <w:rsid w:val="6CCD72EF"/>
    <w:rsid w:val="6CDE1BF2"/>
    <w:rsid w:val="6D05236F"/>
    <w:rsid w:val="6D2C0239"/>
    <w:rsid w:val="6D9863FE"/>
    <w:rsid w:val="6DCB15AF"/>
    <w:rsid w:val="6DE93968"/>
    <w:rsid w:val="6E0A33E1"/>
    <w:rsid w:val="6E1F3E77"/>
    <w:rsid w:val="6E265A37"/>
    <w:rsid w:val="6E5A699D"/>
    <w:rsid w:val="6E754017"/>
    <w:rsid w:val="6EBF74E0"/>
    <w:rsid w:val="6EC70E38"/>
    <w:rsid w:val="6ECE61DA"/>
    <w:rsid w:val="6EE071A4"/>
    <w:rsid w:val="6EED6C34"/>
    <w:rsid w:val="6F29450E"/>
    <w:rsid w:val="6F3251DE"/>
    <w:rsid w:val="6F3D671F"/>
    <w:rsid w:val="6F3E02BE"/>
    <w:rsid w:val="6F3F66B7"/>
    <w:rsid w:val="6F5B3EB4"/>
    <w:rsid w:val="6FE81745"/>
    <w:rsid w:val="6FF4791D"/>
    <w:rsid w:val="70146353"/>
    <w:rsid w:val="704B1EC8"/>
    <w:rsid w:val="70815558"/>
    <w:rsid w:val="70851D4A"/>
    <w:rsid w:val="70CE3BAA"/>
    <w:rsid w:val="70D84BC7"/>
    <w:rsid w:val="70F4250F"/>
    <w:rsid w:val="71242638"/>
    <w:rsid w:val="714B51FB"/>
    <w:rsid w:val="716E4D76"/>
    <w:rsid w:val="71710218"/>
    <w:rsid w:val="718C3FFD"/>
    <w:rsid w:val="71A0418F"/>
    <w:rsid w:val="71A96E10"/>
    <w:rsid w:val="721468AD"/>
    <w:rsid w:val="72287234"/>
    <w:rsid w:val="72BD2B8C"/>
    <w:rsid w:val="72CC3825"/>
    <w:rsid w:val="731E5309"/>
    <w:rsid w:val="73681900"/>
    <w:rsid w:val="73EF0DD2"/>
    <w:rsid w:val="7408604D"/>
    <w:rsid w:val="745368A0"/>
    <w:rsid w:val="745C5184"/>
    <w:rsid w:val="74682A53"/>
    <w:rsid w:val="747C0547"/>
    <w:rsid w:val="74B33576"/>
    <w:rsid w:val="74BC7195"/>
    <w:rsid w:val="74D745DA"/>
    <w:rsid w:val="75125A58"/>
    <w:rsid w:val="758236C9"/>
    <w:rsid w:val="75B471C8"/>
    <w:rsid w:val="75FC1618"/>
    <w:rsid w:val="761C6D83"/>
    <w:rsid w:val="76251B00"/>
    <w:rsid w:val="764E2B38"/>
    <w:rsid w:val="7682157B"/>
    <w:rsid w:val="76B03FEF"/>
    <w:rsid w:val="76F33A5B"/>
    <w:rsid w:val="77071BC4"/>
    <w:rsid w:val="77111B76"/>
    <w:rsid w:val="773F062E"/>
    <w:rsid w:val="77592EDB"/>
    <w:rsid w:val="77B91F5A"/>
    <w:rsid w:val="77D66124"/>
    <w:rsid w:val="77E47AB3"/>
    <w:rsid w:val="78162180"/>
    <w:rsid w:val="783859CB"/>
    <w:rsid w:val="78550F8D"/>
    <w:rsid w:val="78C5072C"/>
    <w:rsid w:val="78E735CB"/>
    <w:rsid w:val="795D001C"/>
    <w:rsid w:val="797376AB"/>
    <w:rsid w:val="79814E99"/>
    <w:rsid w:val="79992C0C"/>
    <w:rsid w:val="79A731EA"/>
    <w:rsid w:val="79D73DC6"/>
    <w:rsid w:val="7A1F3CC8"/>
    <w:rsid w:val="7A52248A"/>
    <w:rsid w:val="7A953970"/>
    <w:rsid w:val="7AB01B05"/>
    <w:rsid w:val="7AC85046"/>
    <w:rsid w:val="7B093D18"/>
    <w:rsid w:val="7B1B1E1B"/>
    <w:rsid w:val="7B2A0775"/>
    <w:rsid w:val="7B3F01DF"/>
    <w:rsid w:val="7B5247D9"/>
    <w:rsid w:val="7B59439C"/>
    <w:rsid w:val="7BBF2A6D"/>
    <w:rsid w:val="7BC3005C"/>
    <w:rsid w:val="7BD5587E"/>
    <w:rsid w:val="7BD63F8F"/>
    <w:rsid w:val="7BE86525"/>
    <w:rsid w:val="7C0E2C6D"/>
    <w:rsid w:val="7C773D8F"/>
    <w:rsid w:val="7C871DB0"/>
    <w:rsid w:val="7CE64029"/>
    <w:rsid w:val="7CF2227F"/>
    <w:rsid w:val="7D122C08"/>
    <w:rsid w:val="7D6112B7"/>
    <w:rsid w:val="7D7A60C4"/>
    <w:rsid w:val="7D8F4BA7"/>
    <w:rsid w:val="7E040C0B"/>
    <w:rsid w:val="7E454CA6"/>
    <w:rsid w:val="7E746860"/>
    <w:rsid w:val="7E8E3886"/>
    <w:rsid w:val="7EE2520B"/>
    <w:rsid w:val="7EE41BBF"/>
    <w:rsid w:val="7EEA790A"/>
    <w:rsid w:val="7EF14099"/>
    <w:rsid w:val="7EF84686"/>
    <w:rsid w:val="7F0F4E60"/>
    <w:rsid w:val="7F2209AA"/>
    <w:rsid w:val="7F3A5E08"/>
    <w:rsid w:val="7F3D1406"/>
    <w:rsid w:val="7F583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5"/>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paragraph" w:styleId="6">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宋体" w:cs="Times New Roman"/>
      <w:b/>
      <w:kern w:val="2"/>
      <w:sz w:val="32"/>
      <w:lang w:val="en-US" w:eastAsia="zh-CN" w:bidi="ar-SA"/>
    </w:rPr>
  </w:style>
  <w:style w:type="character" w:default="1" w:styleId="26">
    <w:name w:val="Default Paragraph Font"/>
    <w:qFormat/>
    <w:uiPriority w:val="0"/>
    <w:rPr>
      <w:rFonts w:ascii="Times New Roman" w:hAnsi="Times New Roman" w:eastAsia="宋体" w:cs="Times New Roman"/>
    </w:rPr>
  </w:style>
  <w:style w:type="table" w:default="1" w:styleId="24">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eastAsia="宋体" w:cs="Times New Roman"/>
    </w:rPr>
  </w:style>
  <w:style w:type="paragraph" w:styleId="5">
    <w:name w:val="Normal Indent"/>
    <w:basedOn w:val="1"/>
    <w:qFormat/>
    <w:uiPriority w:val="0"/>
    <w:pPr>
      <w:spacing w:before="60" w:beforeLines="0"/>
      <w:ind w:firstLine="420" w:firstLineChars="200"/>
    </w:pPr>
    <w:rPr>
      <w:rFonts w:ascii="Times New Roman" w:hAnsi="Times New Roman" w:eastAsia="宋体" w:cs="Times New Roman"/>
    </w:rPr>
  </w:style>
  <w:style w:type="paragraph" w:styleId="7">
    <w:name w:val="table of authorities"/>
    <w:basedOn w:val="1"/>
    <w:next w:val="1"/>
    <w:unhideWhenUsed/>
    <w:qFormat/>
    <w:uiPriority w:val="99"/>
    <w:pPr>
      <w:ind w:left="420" w:leftChars="200"/>
    </w:pPr>
  </w:style>
  <w:style w:type="paragraph" w:styleId="8">
    <w:name w:val="Document Map"/>
    <w:basedOn w:val="1"/>
    <w:link w:val="33"/>
    <w:qFormat/>
    <w:uiPriority w:val="0"/>
    <w:rPr>
      <w:rFonts w:ascii="宋体" w:hAnsi="Times New Roman" w:eastAsia="宋体" w:cs="Times New Roman"/>
      <w:sz w:val="18"/>
      <w:szCs w:val="18"/>
    </w:rPr>
  </w:style>
  <w:style w:type="paragraph" w:styleId="9">
    <w:name w:val="annotation text"/>
    <w:basedOn w:val="1"/>
    <w:qFormat/>
    <w:uiPriority w:val="0"/>
    <w:pPr>
      <w:jc w:val="left"/>
    </w:pPr>
    <w:rPr>
      <w:rFonts w:ascii="Times New Roman" w:hAnsi="Times New Roman" w:eastAsia="宋体" w:cs="Times New Roman"/>
    </w:rPr>
  </w:style>
  <w:style w:type="paragraph" w:styleId="10">
    <w:name w:val="Body Text Indent"/>
    <w:basedOn w:val="1"/>
    <w:next w:val="1"/>
    <w:qFormat/>
    <w:uiPriority w:val="0"/>
    <w:pPr>
      <w:adjustRightInd w:val="0"/>
      <w:snapToGrid w:val="0"/>
      <w:spacing w:line="360" w:lineRule="auto"/>
      <w:ind w:firstLine="560" w:firstLineChars="200"/>
    </w:pPr>
    <w:rPr>
      <w:rFonts w:ascii="宋体" w:hAnsi="宋体" w:eastAsia="宋体" w:cs="Times New Roman"/>
      <w:sz w:val="28"/>
    </w:rPr>
  </w:style>
  <w:style w:type="paragraph" w:styleId="11">
    <w:name w:val="Block Text"/>
    <w:basedOn w:val="1"/>
    <w:qFormat/>
    <w:uiPriority w:val="0"/>
    <w:pPr>
      <w:tabs>
        <w:tab w:val="left" w:pos="8364"/>
      </w:tabs>
      <w:ind w:left="840" w:right="-57" w:hanging="300"/>
    </w:pPr>
    <w:rPr>
      <w:rFonts w:ascii="宋体"/>
      <w:szCs w:val="20"/>
    </w:rPr>
  </w:style>
  <w:style w:type="paragraph" w:styleId="12">
    <w:name w:val="Plain Text"/>
    <w:basedOn w:val="1"/>
    <w:link w:val="34"/>
    <w:qFormat/>
    <w:uiPriority w:val="0"/>
    <w:rPr>
      <w:rFonts w:ascii="宋体" w:hAnsi="Courier New" w:eastAsia="宋体" w:cs="Times New Roman"/>
    </w:rPr>
  </w:style>
  <w:style w:type="paragraph" w:styleId="13">
    <w:name w:val="Date"/>
    <w:basedOn w:val="1"/>
    <w:next w:val="1"/>
    <w:link w:val="35"/>
    <w:qFormat/>
    <w:uiPriority w:val="0"/>
    <w:pPr>
      <w:ind w:left="100" w:leftChars="2500"/>
    </w:pPr>
    <w:rPr>
      <w:rFonts w:ascii="Times New Roman" w:hAnsi="Times New Roman" w:eastAsia="宋体" w:cs="Times New Roman"/>
    </w:rPr>
  </w:style>
  <w:style w:type="paragraph" w:styleId="14">
    <w:name w:val="Body Text Indent 2"/>
    <w:basedOn w:val="1"/>
    <w:qFormat/>
    <w:uiPriority w:val="0"/>
    <w:pPr>
      <w:spacing w:line="500" w:lineRule="exact"/>
      <w:ind w:firstLine="560" w:firstLineChars="200"/>
    </w:pPr>
    <w:rPr>
      <w:rFonts w:ascii="Times New Roman" w:hAnsi="Times New Roman" w:eastAsia="宋体" w:cs="Times New Roman"/>
      <w:color w:val="000000"/>
      <w:sz w:val="28"/>
    </w:rPr>
  </w:style>
  <w:style w:type="paragraph" w:styleId="15">
    <w:name w:val="Balloon Text"/>
    <w:basedOn w:val="1"/>
    <w:link w:val="36"/>
    <w:qFormat/>
    <w:uiPriority w:val="0"/>
    <w:rPr>
      <w:rFonts w:ascii="Times New Roman" w:hAnsi="Times New Roman" w:eastAsia="宋体" w:cs="Times New Roman"/>
      <w:sz w:val="18"/>
      <w:szCs w:val="18"/>
    </w:rPr>
  </w:style>
  <w:style w:type="paragraph" w:styleId="16">
    <w:name w:val="footer"/>
    <w:basedOn w:val="1"/>
    <w:link w:val="37"/>
    <w:qFormat/>
    <w:uiPriority w:val="0"/>
    <w:pPr>
      <w:tabs>
        <w:tab w:val="center" w:pos="4153"/>
        <w:tab w:val="right" w:pos="8306"/>
      </w:tabs>
      <w:snapToGrid w:val="0"/>
      <w:jc w:val="left"/>
    </w:pPr>
    <w:rPr>
      <w:rFonts w:ascii="Times New Roman" w:hAnsi="Times New Roman" w:eastAsia="宋体" w:cs="Times New Roman"/>
      <w:sz w:val="18"/>
    </w:rPr>
  </w:style>
  <w:style w:type="paragraph" w:styleId="17">
    <w:name w:val="envelope return"/>
    <w:basedOn w:val="1"/>
    <w:unhideWhenUsed/>
    <w:qFormat/>
    <w:uiPriority w:val="99"/>
    <w:pPr>
      <w:snapToGrid w:val="0"/>
    </w:pPr>
    <w:rPr>
      <w:rFonts w:ascii="Arial" w:hAnsi="Arial"/>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19">
    <w:name w:val="toc 1"/>
    <w:basedOn w:val="1"/>
    <w:next w:val="1"/>
    <w:qFormat/>
    <w:uiPriority w:val="0"/>
    <w:rPr>
      <w:rFonts w:ascii="Times New Roman" w:hAnsi="Times New Roman" w:eastAsia="宋体" w:cs="Times New Roman"/>
    </w:rPr>
  </w:style>
  <w:style w:type="paragraph" w:styleId="20">
    <w:name w:val="toc 2"/>
    <w:basedOn w:val="1"/>
    <w:next w:val="1"/>
    <w:qFormat/>
    <w:uiPriority w:val="0"/>
    <w:pPr>
      <w:ind w:left="420" w:leftChars="200"/>
    </w:pPr>
    <w:rPr>
      <w:rFonts w:ascii="Times New Roman" w:hAnsi="Times New Roman" w:eastAsia="宋体" w:cs="Times New Roman"/>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styleId="22">
    <w:name w:val="Body Text First Indent"/>
    <w:basedOn w:val="2"/>
    <w:unhideWhenUsed/>
    <w:qFormat/>
    <w:uiPriority w:val="0"/>
    <w:pPr>
      <w:spacing w:after="0" w:line="360" w:lineRule="auto"/>
      <w:ind w:firstLine="420" w:firstLineChars="100"/>
    </w:pPr>
    <w:rPr>
      <w:rFonts w:ascii="方正小标宋_GBK" w:hAnsi="方正小标宋_GBK" w:eastAsia="Calibri"/>
      <w:b/>
      <w:bCs/>
      <w:sz w:val="32"/>
      <w:szCs w:val="32"/>
    </w:rPr>
  </w:style>
  <w:style w:type="paragraph" w:styleId="23">
    <w:name w:val="Body Text First Indent 2"/>
    <w:basedOn w:val="10"/>
    <w:next w:val="22"/>
    <w:qFormat/>
    <w:uiPriority w:val="0"/>
    <w:pPr>
      <w:spacing w:line="240" w:lineRule="auto"/>
      <w:ind w:firstLine="420" w:firstLineChars="200"/>
    </w:pPr>
    <w:rPr>
      <w:rFonts w:ascii="Times New Roman" w:hAnsi="Times New Roman" w:eastAsia="宋体" w:cs="Times New Roman"/>
      <w:szCs w:val="24"/>
    </w:rPr>
  </w:style>
  <w:style w:type="table" w:styleId="25">
    <w:name w:val="Table Grid"/>
    <w:basedOn w:val="2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rFonts w:ascii="Times New Roman" w:hAnsi="Times New Roman" w:eastAsia="宋体" w:cs="Times New Roman"/>
      <w:b/>
      <w:bCs/>
    </w:rPr>
  </w:style>
  <w:style w:type="character" w:styleId="28">
    <w:name w:val="page number"/>
    <w:qFormat/>
    <w:uiPriority w:val="0"/>
    <w:rPr>
      <w:rFonts w:ascii="仿宋_GB2312" w:hAnsi="Tahoma" w:eastAsia="仿宋_GB2312" w:cs="Times New Roman"/>
      <w:kern w:val="2"/>
      <w:sz w:val="28"/>
      <w:szCs w:val="28"/>
      <w:lang w:val="en-US" w:eastAsia="zh-CN" w:bidi="ar-SA"/>
    </w:rPr>
  </w:style>
  <w:style w:type="character" w:styleId="29">
    <w:name w:val="FollowedHyperlink"/>
    <w:basedOn w:val="26"/>
    <w:qFormat/>
    <w:uiPriority w:val="0"/>
    <w:rPr>
      <w:rFonts w:ascii="Times New Roman" w:hAnsi="Times New Roman" w:eastAsia="宋体" w:cs="Times New Roman"/>
      <w:color w:val="262626"/>
      <w:sz w:val="18"/>
      <w:szCs w:val="18"/>
      <w:u w:val="none"/>
    </w:rPr>
  </w:style>
  <w:style w:type="character" w:styleId="30">
    <w:name w:val="Emphasis"/>
    <w:qFormat/>
    <w:uiPriority w:val="0"/>
    <w:rPr>
      <w:rFonts w:ascii="Times New Roman" w:hAnsi="Times New Roman" w:eastAsia="宋体" w:cs="Times New Roman"/>
    </w:rPr>
  </w:style>
  <w:style w:type="character" w:styleId="31">
    <w:name w:val="Hyperlink"/>
    <w:basedOn w:val="26"/>
    <w:qFormat/>
    <w:uiPriority w:val="0"/>
    <w:rPr>
      <w:rFonts w:ascii="Times New Roman" w:hAnsi="Times New Roman" w:eastAsia="宋体" w:cs="Times New Roman"/>
      <w:color w:val="262626"/>
      <w:sz w:val="18"/>
      <w:szCs w:val="18"/>
      <w:u w:val="none"/>
    </w:rPr>
  </w:style>
  <w:style w:type="character" w:customStyle="1" w:styleId="32">
    <w:name w:val="标题 1 Char1"/>
    <w:link w:val="3"/>
    <w:qFormat/>
    <w:uiPriority w:val="0"/>
    <w:rPr>
      <w:rFonts w:ascii="Times New Roman" w:hAnsi="Times New Roman" w:eastAsia="宋体" w:cs="Times New Roman"/>
      <w:b/>
      <w:bCs/>
      <w:kern w:val="44"/>
      <w:sz w:val="44"/>
      <w:szCs w:val="44"/>
    </w:rPr>
  </w:style>
  <w:style w:type="character" w:customStyle="1" w:styleId="33">
    <w:name w:val="文档结构图 Char"/>
    <w:basedOn w:val="26"/>
    <w:link w:val="8"/>
    <w:qFormat/>
    <w:uiPriority w:val="0"/>
    <w:rPr>
      <w:rFonts w:ascii="宋体" w:hAnsi="Times New Roman" w:eastAsia="宋体" w:cs="Times New Roman"/>
      <w:kern w:val="2"/>
      <w:sz w:val="18"/>
      <w:szCs w:val="18"/>
    </w:rPr>
  </w:style>
  <w:style w:type="character" w:customStyle="1" w:styleId="34">
    <w:name w:val="纯文本 Char"/>
    <w:link w:val="12"/>
    <w:qFormat/>
    <w:uiPriority w:val="0"/>
    <w:rPr>
      <w:rFonts w:ascii="宋体" w:hAnsi="Courier New" w:eastAsia="宋体" w:cs="Times New Roman"/>
      <w:kern w:val="2"/>
      <w:sz w:val="21"/>
      <w:szCs w:val="24"/>
    </w:rPr>
  </w:style>
  <w:style w:type="character" w:customStyle="1" w:styleId="35">
    <w:name w:val="日期 Char"/>
    <w:link w:val="13"/>
    <w:qFormat/>
    <w:uiPriority w:val="0"/>
    <w:rPr>
      <w:rFonts w:ascii="Times New Roman" w:hAnsi="Times New Roman" w:eastAsia="宋体" w:cs="Times New Roman"/>
      <w:kern w:val="2"/>
      <w:sz w:val="21"/>
      <w:szCs w:val="24"/>
    </w:rPr>
  </w:style>
  <w:style w:type="character" w:customStyle="1" w:styleId="36">
    <w:name w:val="批注框文本 Char"/>
    <w:link w:val="15"/>
    <w:qFormat/>
    <w:uiPriority w:val="0"/>
    <w:rPr>
      <w:rFonts w:ascii="Times New Roman" w:hAnsi="Times New Roman" w:eastAsia="宋体" w:cs="Times New Roman"/>
      <w:kern w:val="2"/>
      <w:sz w:val="18"/>
      <w:szCs w:val="18"/>
    </w:rPr>
  </w:style>
  <w:style w:type="character" w:customStyle="1" w:styleId="37">
    <w:name w:val="页脚 Char"/>
    <w:link w:val="16"/>
    <w:qFormat/>
    <w:uiPriority w:val="0"/>
    <w:rPr>
      <w:rFonts w:ascii="Times New Roman" w:hAnsi="Times New Roman" w:eastAsia="宋体" w:cs="Times New Roman"/>
      <w:kern w:val="2"/>
      <w:sz w:val="18"/>
      <w:szCs w:val="24"/>
    </w:rPr>
  </w:style>
  <w:style w:type="character" w:customStyle="1" w:styleId="38">
    <w:name w:val="item-name"/>
    <w:basedOn w:val="26"/>
    <w:qFormat/>
    <w:uiPriority w:val="0"/>
    <w:rPr>
      <w:rFonts w:ascii="Times New Roman" w:hAnsi="Times New Roman" w:eastAsia="宋体" w:cs="Times New Roman"/>
    </w:rPr>
  </w:style>
  <w:style w:type="character" w:customStyle="1" w:styleId="39">
    <w:name w:val="font151"/>
    <w:basedOn w:val="26"/>
    <w:qFormat/>
    <w:uiPriority w:val="0"/>
    <w:rPr>
      <w:rFonts w:hint="eastAsia" w:ascii="宋体" w:hAnsi="宋体" w:eastAsia="宋体" w:cs="宋体"/>
      <w:color w:val="000000"/>
      <w:sz w:val="20"/>
      <w:szCs w:val="20"/>
      <w:u w:val="none"/>
    </w:rPr>
  </w:style>
  <w:style w:type="character" w:customStyle="1" w:styleId="40">
    <w:name w:val="zt-lm1-r-t-xz"/>
    <w:basedOn w:val="26"/>
    <w:qFormat/>
    <w:uiPriority w:val="0"/>
    <w:rPr>
      <w:shd w:val="clear" w:color="auto" w:fill="0359A6"/>
    </w:rPr>
  </w:style>
  <w:style w:type="character" w:customStyle="1" w:styleId="41">
    <w:name w:val="font111"/>
    <w:basedOn w:val="26"/>
    <w:qFormat/>
    <w:uiPriority w:val="0"/>
    <w:rPr>
      <w:rFonts w:hint="eastAsia" w:ascii="宋体" w:hAnsi="宋体" w:eastAsia="宋体" w:cs="宋体"/>
      <w:color w:val="000000"/>
      <w:sz w:val="21"/>
      <w:szCs w:val="21"/>
      <w:u w:val="none"/>
    </w:rPr>
  </w:style>
  <w:style w:type="character" w:customStyle="1" w:styleId="42">
    <w:name w:val="hui1"/>
    <w:basedOn w:val="26"/>
    <w:qFormat/>
    <w:uiPriority w:val="0"/>
    <w:rPr>
      <w:color w:val="999999"/>
    </w:rPr>
  </w:style>
  <w:style w:type="character" w:customStyle="1" w:styleId="43">
    <w:name w:val="NormalCharacter"/>
    <w:qFormat/>
    <w:uiPriority w:val="0"/>
    <w:rPr>
      <w:rFonts w:ascii="Times New Roman" w:hAnsi="Times New Roman" w:eastAsia="宋体" w:cs="Times New Roman"/>
    </w:rPr>
  </w:style>
  <w:style w:type="character" w:customStyle="1" w:styleId="44">
    <w:name w:val="font81"/>
    <w:basedOn w:val="26"/>
    <w:qFormat/>
    <w:uiPriority w:val="0"/>
    <w:rPr>
      <w:rFonts w:hint="eastAsia" w:ascii="宋体" w:hAnsi="宋体" w:eastAsia="宋体" w:cs="宋体"/>
      <w:color w:val="000000"/>
      <w:sz w:val="20"/>
      <w:szCs w:val="20"/>
      <w:u w:val="none"/>
    </w:rPr>
  </w:style>
  <w:style w:type="character" w:customStyle="1" w:styleId="45">
    <w:name w:val="zt-lm1-r-t-xz1"/>
    <w:basedOn w:val="26"/>
    <w:qFormat/>
    <w:uiPriority w:val="0"/>
  </w:style>
  <w:style w:type="character" w:customStyle="1" w:styleId="46">
    <w:name w:val="标题 1 Char"/>
    <w:basedOn w:val="26"/>
    <w:qFormat/>
    <w:uiPriority w:val="0"/>
    <w:rPr>
      <w:rFonts w:hint="default" w:ascii="Arial" w:hAnsi="Arial" w:eastAsia="宋体" w:cs="Arial"/>
      <w:bCs/>
      <w:kern w:val="32"/>
      <w:sz w:val="32"/>
      <w:szCs w:val="32"/>
      <w:lang w:val="en-US" w:eastAsia="zh-CN" w:bidi="ar-SA"/>
    </w:rPr>
  </w:style>
  <w:style w:type="character" w:customStyle="1" w:styleId="47">
    <w:name w:val="font181"/>
    <w:basedOn w:val="26"/>
    <w:qFormat/>
    <w:uiPriority w:val="0"/>
    <w:rPr>
      <w:rFonts w:hint="eastAsia" w:ascii="宋体" w:hAnsi="宋体" w:eastAsia="宋体" w:cs="宋体"/>
      <w:color w:val="000000"/>
      <w:sz w:val="21"/>
      <w:szCs w:val="21"/>
      <w:u w:val="none"/>
    </w:rPr>
  </w:style>
  <w:style w:type="character" w:customStyle="1" w:styleId="48">
    <w:name w:val="zx-xuan1"/>
    <w:basedOn w:val="26"/>
    <w:qFormat/>
    <w:uiPriority w:val="0"/>
    <w:rPr>
      <w:rFonts w:ascii="Î¢ï¿½ï¿½ï¿½Åºï¿½" w:hAnsi="Î¢ï¿½ï¿½ï¿½Åºï¿½" w:eastAsia="Î¢ï¿½ï¿½ï¿½Åºï¿½" w:cs="Î¢ï¿½ï¿½ï¿½Åºï¿½"/>
      <w:color w:val="FFFFFF"/>
      <w:sz w:val="27"/>
      <w:szCs w:val="27"/>
      <w:shd w:val="clear" w:color="auto" w:fill="3F6ECF"/>
    </w:rPr>
  </w:style>
  <w:style w:type="character" w:customStyle="1" w:styleId="49">
    <w:name w:val="font71"/>
    <w:basedOn w:val="26"/>
    <w:qFormat/>
    <w:uiPriority w:val="0"/>
    <w:rPr>
      <w:rFonts w:hint="eastAsia" w:ascii="宋体" w:hAnsi="宋体" w:eastAsia="宋体" w:cs="宋体"/>
      <w:color w:val="000000"/>
      <w:sz w:val="22"/>
      <w:szCs w:val="22"/>
      <w:u w:val="none"/>
    </w:rPr>
  </w:style>
  <w:style w:type="character" w:customStyle="1" w:styleId="50">
    <w:name w:val="标题 1 Char_0"/>
    <w:qFormat/>
    <w:uiPriority w:val="0"/>
    <w:rPr>
      <w:rFonts w:hint="default" w:ascii="Arial" w:hAnsi="Arial" w:eastAsia="宋体" w:cs="Arial"/>
      <w:bCs/>
      <w:kern w:val="32"/>
      <w:sz w:val="32"/>
      <w:szCs w:val="32"/>
      <w:lang w:val="en-US" w:eastAsia="zh-CN" w:bidi="ar-SA"/>
    </w:rPr>
  </w:style>
  <w:style w:type="character" w:customStyle="1" w:styleId="51">
    <w:name w:val="HTML 打字机 New"/>
    <w:qFormat/>
    <w:uiPriority w:val="0"/>
    <w:rPr>
      <w:rFonts w:ascii="宋体" w:hAnsi="宋体" w:eastAsia="宋体" w:cs="宋体"/>
      <w:sz w:val="18"/>
      <w:szCs w:val="18"/>
    </w:rPr>
  </w:style>
  <w:style w:type="character" w:customStyle="1" w:styleId="52">
    <w:name w:val="font281"/>
    <w:basedOn w:val="26"/>
    <w:qFormat/>
    <w:uiPriority w:val="0"/>
    <w:rPr>
      <w:rFonts w:hint="eastAsia" w:ascii="宋体" w:hAnsi="宋体" w:eastAsia="宋体" w:cs="宋体"/>
      <w:color w:val="FF0000"/>
      <w:sz w:val="21"/>
      <w:szCs w:val="21"/>
      <w:u w:val="none"/>
    </w:rPr>
  </w:style>
  <w:style w:type="character" w:customStyle="1" w:styleId="53">
    <w:name w:val="font21"/>
    <w:basedOn w:val="26"/>
    <w:qFormat/>
    <w:uiPriority w:val="0"/>
    <w:rPr>
      <w:rFonts w:hint="eastAsia" w:ascii="微软雅黑" w:hAnsi="微软雅黑" w:eastAsia="微软雅黑" w:cs="微软雅黑"/>
      <w:color w:val="000000"/>
      <w:sz w:val="20"/>
      <w:szCs w:val="20"/>
      <w:u w:val="none"/>
    </w:rPr>
  </w:style>
  <w:style w:type="character" w:customStyle="1" w:styleId="54">
    <w:name w:val="font122"/>
    <w:basedOn w:val="26"/>
    <w:qFormat/>
    <w:uiPriority w:val="0"/>
    <w:rPr>
      <w:rFonts w:hint="eastAsia" w:ascii="宋体" w:hAnsi="宋体" w:eastAsia="宋体" w:cs="宋体"/>
      <w:color w:val="000000"/>
      <w:sz w:val="20"/>
      <w:szCs w:val="20"/>
      <w:u w:val="none"/>
    </w:rPr>
  </w:style>
  <w:style w:type="character" w:customStyle="1" w:styleId="55">
    <w:name w:val="font271"/>
    <w:basedOn w:val="26"/>
    <w:qFormat/>
    <w:uiPriority w:val="0"/>
    <w:rPr>
      <w:rFonts w:hint="eastAsia" w:ascii="宋体" w:hAnsi="宋体" w:eastAsia="宋体" w:cs="宋体"/>
      <w:color w:val="FF0000"/>
      <w:sz w:val="21"/>
      <w:szCs w:val="21"/>
      <w:u w:val="none"/>
    </w:rPr>
  </w:style>
  <w:style w:type="character" w:customStyle="1" w:styleId="56">
    <w:name w:val="font31"/>
    <w:basedOn w:val="26"/>
    <w:qFormat/>
    <w:uiPriority w:val="0"/>
    <w:rPr>
      <w:rFonts w:hint="eastAsia" w:ascii="宋体" w:hAnsi="宋体" w:eastAsia="宋体" w:cs="宋体"/>
      <w:color w:val="FF0000"/>
      <w:sz w:val="20"/>
      <w:szCs w:val="20"/>
      <w:u w:val="none"/>
    </w:rPr>
  </w:style>
  <w:style w:type="character" w:customStyle="1" w:styleId="57">
    <w:name w:val="item-name1"/>
    <w:basedOn w:val="26"/>
    <w:qFormat/>
    <w:uiPriority w:val="0"/>
    <w:rPr>
      <w:rFonts w:hint="eastAsia" w:ascii="宋体" w:hAnsi="宋体" w:eastAsia="宋体" w:cs="宋体"/>
      <w:color w:val="438BD3"/>
      <w:sz w:val="18"/>
      <w:szCs w:val="18"/>
      <w:u w:val="none"/>
    </w:rPr>
  </w:style>
  <w:style w:type="character" w:customStyle="1" w:styleId="58">
    <w:name w:val="zt-lm1-r-t-xz2"/>
    <w:basedOn w:val="26"/>
    <w:qFormat/>
    <w:uiPriority w:val="0"/>
  </w:style>
  <w:style w:type="character" w:customStyle="1" w:styleId="59">
    <w:name w:val="item-name2"/>
    <w:basedOn w:val="26"/>
    <w:qFormat/>
    <w:uiPriority w:val="0"/>
    <w:rPr>
      <w:rFonts w:ascii="Times New Roman" w:hAnsi="Times New Roman" w:eastAsia="宋体" w:cs="Times New Roman"/>
    </w:rPr>
  </w:style>
  <w:style w:type="character" w:customStyle="1" w:styleId="60">
    <w:name w:val="hui"/>
    <w:basedOn w:val="26"/>
    <w:qFormat/>
    <w:uiPriority w:val="0"/>
    <w:rPr>
      <w:color w:val="999999"/>
    </w:rPr>
  </w:style>
  <w:style w:type="character" w:customStyle="1" w:styleId="61">
    <w:name w:val="font331"/>
    <w:basedOn w:val="26"/>
    <w:qFormat/>
    <w:uiPriority w:val="0"/>
    <w:rPr>
      <w:rFonts w:ascii="宋体" w:hAnsi="宋体" w:eastAsia="宋体" w:cs="宋体"/>
      <w:color w:val="000000"/>
      <w:sz w:val="21"/>
      <w:szCs w:val="21"/>
      <w:u w:val="none"/>
    </w:rPr>
  </w:style>
  <w:style w:type="character" w:customStyle="1" w:styleId="62">
    <w:name w:val="font11"/>
    <w:basedOn w:val="26"/>
    <w:qFormat/>
    <w:uiPriority w:val="0"/>
    <w:rPr>
      <w:rFonts w:hint="eastAsia" w:ascii="宋体" w:hAnsi="宋体" w:eastAsia="宋体" w:cs="宋体"/>
      <w:color w:val="FF0000"/>
      <w:sz w:val="20"/>
      <w:szCs w:val="20"/>
      <w:u w:val="none"/>
    </w:rPr>
  </w:style>
  <w:style w:type="paragraph" w:customStyle="1" w:styleId="63">
    <w:name w:val="_Style 1"/>
    <w:basedOn w:val="1"/>
    <w:next w:val="1"/>
    <w:qFormat/>
    <w:uiPriority w:val="0"/>
    <w:pPr>
      <w:pBdr>
        <w:bottom w:val="single" w:color="auto" w:sz="6" w:space="1"/>
      </w:pBdr>
      <w:jc w:val="center"/>
    </w:pPr>
    <w:rPr>
      <w:rFonts w:ascii="Arial" w:hAnsi="Times New Roman" w:eastAsia="宋体" w:cs="Times New Roman"/>
      <w:vanish/>
      <w:sz w:val="16"/>
      <w:szCs w:val="24"/>
    </w:rPr>
  </w:style>
  <w:style w:type="paragraph" w:customStyle="1" w:styleId="64">
    <w:name w:val="xl32"/>
    <w:basedOn w:val="1"/>
    <w:qFormat/>
    <w:uiPriority w:val="0"/>
    <w:pPr>
      <w:adjustRightInd/>
      <w:snapToGrid/>
      <w:spacing w:beforeAutospacing="1" w:after="100" w:afterAutospacing="1"/>
      <w:jc w:val="center"/>
    </w:pPr>
    <w:rPr>
      <w:rFonts w:hint="eastAsia" w:ascii="方正黑体简体" w:hAnsi="宋体" w:eastAsia="方正黑体简体" w:cs="Calibri"/>
      <w:b/>
      <w:bCs/>
      <w:sz w:val="36"/>
      <w:szCs w:val="36"/>
    </w:rPr>
  </w:style>
  <w:style w:type="paragraph" w:customStyle="1" w:styleId="65">
    <w:name w:val="newstyle16"/>
    <w:basedOn w:val="1"/>
    <w:qFormat/>
    <w:uiPriority w:val="0"/>
    <w:pPr>
      <w:widowControl/>
      <w:jc w:val="left"/>
    </w:pPr>
    <w:rPr>
      <w:rFonts w:ascii="宋体" w:hAnsi="宋体" w:eastAsia="宋体" w:cs="宋体"/>
      <w:kern w:val="0"/>
      <w:sz w:val="24"/>
    </w:rPr>
  </w:style>
  <w:style w:type="paragraph" w:customStyle="1" w:styleId="66">
    <w:name w:val="HKIC表格正文左"/>
    <w:basedOn w:val="1"/>
    <w:qFormat/>
    <w:uiPriority w:val="0"/>
    <w:pPr>
      <w:spacing w:line="240" w:lineRule="exact"/>
      <w:jc w:val="left"/>
    </w:pPr>
    <w:rPr>
      <w:rFonts w:ascii="Arial" w:hAnsi="宋体" w:eastAsia="宋体" w:cs="Times New Roman"/>
      <w:kern w:val="0"/>
      <w:szCs w:val="21"/>
    </w:rPr>
  </w:style>
  <w:style w:type="paragraph" w:customStyle="1" w:styleId="67">
    <w:name w:val="p0"/>
    <w:basedOn w:val="1"/>
    <w:qFormat/>
    <w:uiPriority w:val="0"/>
    <w:pPr>
      <w:widowControl/>
    </w:pPr>
    <w:rPr>
      <w:rFonts w:ascii="Times New Roman" w:hAnsi="Times New Roman" w:eastAsia="宋体" w:cs="Times New Roman"/>
      <w:kern w:val="0"/>
      <w:szCs w:val="21"/>
    </w:rPr>
  </w:style>
  <w:style w:type="paragraph" w:customStyle="1" w:styleId="68">
    <w:name w:val="表格文字"/>
    <w:basedOn w:val="1"/>
    <w:qFormat/>
    <w:uiPriority w:val="0"/>
    <w:pPr>
      <w:spacing w:before="25" w:beforeLines="0" w:after="25" w:afterLines="0"/>
      <w:jc w:val="left"/>
    </w:pPr>
    <w:rPr>
      <w:rFonts w:ascii="Times New Roman" w:hAnsi="Times New Roman" w:eastAsia="宋体" w:cs="Times New Roman"/>
      <w:bCs/>
      <w:spacing w:val="10"/>
      <w:kern w:val="0"/>
      <w:sz w:val="24"/>
      <w:szCs w:val="20"/>
    </w:rPr>
  </w:style>
  <w:style w:type="paragraph" w:customStyle="1" w:styleId="69">
    <w:name w:val="样式1"/>
    <w:basedOn w:val="1"/>
    <w:qFormat/>
    <w:uiPriority w:val="0"/>
    <w:pPr>
      <w:numPr>
        <w:ilvl w:val="0"/>
        <w:numId w:val="1"/>
      </w:numPr>
      <w:adjustRightInd w:val="0"/>
      <w:textAlignment w:val="baseline"/>
    </w:pPr>
    <w:rPr>
      <w:rFonts w:ascii="宋体" w:hAnsi="宋体" w:eastAsia="宋体" w:cs="Times New Roman"/>
      <w:kern w:val="0"/>
    </w:rPr>
  </w:style>
  <w:style w:type="paragraph" w:styleId="70">
    <w:name w:val="List Paragraph"/>
    <w:basedOn w:val="1"/>
    <w:qFormat/>
    <w:uiPriority w:val="0"/>
    <w:pPr>
      <w:ind w:firstLine="420" w:firstLineChars="200"/>
    </w:pPr>
    <w:rPr>
      <w:rFonts w:ascii="Times New Roman" w:hAnsi="Times New Roman" w:eastAsia="宋体" w:cs="Times New Roman"/>
      <w:szCs w:val="22"/>
    </w:rPr>
  </w:style>
  <w:style w:type="paragraph" w:customStyle="1" w:styleId="71">
    <w:name w:val="普通 (Web)"/>
    <w:basedOn w:val="1"/>
    <w:qFormat/>
    <w:uiPriority w:val="0"/>
    <w:pPr>
      <w:widowControl/>
      <w:spacing w:before="100" w:beforeAutospacing="1" w:after="100" w:afterAutospacing="1"/>
      <w:jc w:val="left"/>
    </w:pPr>
    <w:rPr>
      <w:rFonts w:ascii="宋体" w:hAnsi="宋体" w:eastAsia="宋体" w:cs="Times New Roman"/>
      <w:color w:val="000000"/>
      <w:kern w:val="0"/>
      <w:sz w:val="24"/>
      <w:szCs w:val="20"/>
    </w:rPr>
  </w:style>
  <w:style w:type="paragraph" w:customStyle="1" w:styleId="72">
    <w:name w:val=" Char Char1 Char Char Char Char"/>
    <w:basedOn w:val="1"/>
    <w:qFormat/>
    <w:uiPriority w:val="0"/>
    <w:pPr>
      <w:adjustRightInd w:val="0"/>
      <w:snapToGrid w:val="0"/>
      <w:spacing w:line="360" w:lineRule="auto"/>
      <w:ind w:firstLine="200" w:firstLineChars="200"/>
    </w:pPr>
    <w:rPr>
      <w:rFonts w:ascii="Times New Roman" w:hAnsi="Times New Roman" w:eastAsia="宋体" w:cs="Times New Roman"/>
      <w:sz w:val="24"/>
    </w:rPr>
  </w:style>
  <w:style w:type="paragraph" w:customStyle="1" w:styleId="73">
    <w:name w:val="Heading2"/>
    <w:basedOn w:val="1"/>
    <w:next w:val="1"/>
    <w:qFormat/>
    <w:uiPriority w:val="0"/>
    <w:pPr>
      <w:spacing w:before="100" w:beforeAutospacing="1" w:after="100" w:afterAutospacing="1"/>
      <w:jc w:val="left"/>
    </w:pPr>
    <w:rPr>
      <w:rFonts w:ascii="宋体" w:hAnsi="宋体" w:eastAsia="宋体" w:cs="Times New Roman"/>
      <w:kern w:val="0"/>
      <w:sz w:val="36"/>
      <w:szCs w:val="36"/>
    </w:rPr>
  </w:style>
  <w:style w:type="paragraph" w:customStyle="1" w:styleId="7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TOC Heading"/>
    <w:basedOn w:val="3"/>
    <w:next w:val="1"/>
    <w:qFormat/>
    <w:uiPriority w:val="0"/>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76">
    <w:name w:val=" Char Char Char"/>
    <w:basedOn w:val="1"/>
    <w:qFormat/>
    <w:uiPriority w:val="0"/>
    <w:pPr>
      <w:widowControl/>
      <w:spacing w:after="160" w:afterLines="0" w:line="240" w:lineRule="exact"/>
      <w:jc w:val="left"/>
    </w:pPr>
    <w:rPr>
      <w:rFonts w:ascii="Times New Roman" w:hAnsi="Times New Roman" w:eastAsia="宋体" w:cs="Times New Roman"/>
    </w:rPr>
  </w:style>
  <w:style w:type="paragraph" w:customStyle="1" w:styleId="77">
    <w:name w:val="_Style 3"/>
    <w:basedOn w:val="1"/>
    <w:next w:val="1"/>
    <w:qFormat/>
    <w:uiPriority w:val="0"/>
    <w:pPr>
      <w:pBdr>
        <w:top w:val="single" w:color="auto" w:sz="6" w:space="1"/>
      </w:pBdr>
      <w:jc w:val="center"/>
    </w:pPr>
    <w:rPr>
      <w:rFonts w:ascii="Arial" w:hAnsi="Times New Roman" w:eastAsia="宋体" w:cs="Times New Roman"/>
      <w:vanish/>
      <w:sz w:val="16"/>
      <w:szCs w:val="24"/>
    </w:rPr>
  </w:style>
  <w:style w:type="paragraph" w:customStyle="1" w:styleId="78">
    <w:name w:val="*正文"/>
    <w:basedOn w:val="1"/>
    <w:qFormat/>
    <w:uiPriority w:val="0"/>
    <w:pPr>
      <w:spacing w:line="360" w:lineRule="auto"/>
      <w:ind w:firstLine="200" w:firstLineChars="200"/>
    </w:pPr>
    <w:rPr>
      <w:rFonts w:ascii="宋体" w:hAnsi="宋体" w:eastAsia="宋体" w:cs="Times New Roman"/>
      <w:snapToGrid w:val="0"/>
      <w:kern w:val="0"/>
      <w:sz w:val="24"/>
    </w:rPr>
  </w:style>
  <w:style w:type="paragraph" w:customStyle="1" w:styleId="79">
    <w:name w:val="Table Paragraph"/>
    <w:basedOn w:val="1"/>
    <w:qFormat/>
    <w:uiPriority w:val="1"/>
    <w:rPr>
      <w:rFonts w:ascii="宋体" w:hAnsi="宋体" w:eastAsia="宋体" w:cs="宋体"/>
      <w:lang w:val="zh-CN" w:eastAsia="zh-CN" w:bidi="zh-CN"/>
    </w:rPr>
  </w:style>
  <w:style w:type="paragraph" w:customStyle="1" w:styleId="80">
    <w:name w:val="正文首行缩进两字符"/>
    <w:basedOn w:val="1"/>
    <w:qFormat/>
    <w:uiPriority w:val="0"/>
    <w:pPr>
      <w:spacing w:line="360" w:lineRule="auto"/>
      <w:ind w:firstLine="200" w:firstLineChars="200"/>
    </w:pPr>
    <w:rPr>
      <w:rFonts w:ascii="Times New Roman" w:hAnsi="Times New Roman" w:eastAsia="宋体" w:cs="Times New Roman"/>
    </w:rPr>
  </w:style>
  <w:style w:type="paragraph" w:customStyle="1" w:styleId="81">
    <w:name w:val="Char Char Char"/>
    <w:basedOn w:val="1"/>
    <w:qFormat/>
    <w:uiPriority w:val="0"/>
    <w:pPr>
      <w:spacing w:line="400" w:lineRule="exact"/>
      <w:jc w:val="center"/>
    </w:pPr>
    <w:rPr>
      <w:rFonts w:ascii="Times New Roman" w:hAnsi="Times New Roman" w:eastAsia="宋体" w:cs="Times New Roman"/>
    </w:rPr>
  </w:style>
  <w:style w:type="character" w:customStyle="1" w:styleId="82">
    <w:name w:val="t14"/>
    <w:basedOn w:val="26"/>
    <w:qFormat/>
    <w:uiPriority w:val="0"/>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4">
    <w:name w:val="Normal_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85">
    <w:name w:val="Normal_4_0"/>
    <w:qFormat/>
    <w:uiPriority w:val="0"/>
    <w:pPr>
      <w:spacing w:before="120" w:after="240"/>
      <w:jc w:val="both"/>
    </w:pPr>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21057</Words>
  <Characters>22399</Characters>
  <Lines>157</Lines>
  <Paragraphs>44</Paragraphs>
  <TotalTime>30</TotalTime>
  <ScaleCrop>false</ScaleCrop>
  <LinksUpToDate>false</LinksUpToDate>
  <CharactersWithSpaces>24874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2018-05-25T15:02:00Z</dcterms:created>
  <dc:creator>杨哲</dc:creator>
  <cp:lastModifiedBy>苏鱼灯</cp:lastModifiedBy>
  <cp:lastPrinted>2021-01-22T02:04:00Z</cp:lastPrinted>
  <dcterms:modified xsi:type="dcterms:W3CDTF">2023-09-14T13:24:26Z</dcterms:modified>
  <dc:subject>公开招标采购文件</dc:subject>
  <dc:title>公开招标范本初稿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6AF9149EF65941DC99AF6BD6EA331674_13</vt:lpwstr>
  </property>
  <property fmtid="{D5CDD505-2E9C-101B-9397-08002B2CF9AE}" pid="3" name="KSOProductBuildVer">
    <vt:lpwstr>2052-11.1.0.14309</vt:lpwstr>
  </property>
</Properties>
</file>