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76" w:lineRule="auto"/>
        <w:jc w:val="center"/>
        <w:rPr>
          <w:sz w:val="36"/>
          <w:szCs w:val="36"/>
        </w:rPr>
      </w:pPr>
      <w:bookmarkStart w:id="0" w:name="_Toc534281292"/>
      <w:bookmarkStart w:id="1" w:name="_Toc107418624"/>
      <w:bookmarkStart w:id="2" w:name="_Toc534281122"/>
      <w:bookmarkStart w:id="3" w:name="_Toc31641"/>
      <w:bookmarkStart w:id="4" w:name="_Toc67648278"/>
      <w:bookmarkStart w:id="5" w:name="_Toc67648193"/>
      <w:bookmarkStart w:id="6" w:name="_Toc105684223"/>
      <w:bookmarkStart w:id="7" w:name="_Toc105684306"/>
      <w:bookmarkStart w:id="8" w:name="_Toc29171"/>
      <w:r>
        <w:rPr>
          <w:rFonts w:hint="eastAsia"/>
          <w:sz w:val="36"/>
          <w:szCs w:val="36"/>
        </w:rPr>
        <w:t>采购需求</w:t>
      </w:r>
      <w:bookmarkEnd w:id="0"/>
      <w:bookmarkEnd w:id="1"/>
      <w:bookmarkEnd w:id="2"/>
      <w:bookmarkEnd w:id="3"/>
      <w:bookmarkEnd w:id="4"/>
      <w:bookmarkEnd w:id="5"/>
      <w:bookmarkEnd w:id="6"/>
      <w:bookmarkEnd w:id="7"/>
      <w:bookmarkEnd w:id="8"/>
    </w:p>
    <w:p>
      <w:pPr>
        <w:adjustRightInd w:val="0"/>
        <w:snapToGrid w:val="0"/>
        <w:spacing w:line="360" w:lineRule="auto"/>
        <w:ind w:right="-426" w:rightChars="-203"/>
        <w:rPr>
          <w:rFonts w:cs="黑体"/>
          <w:b/>
          <w:bCs/>
          <w:sz w:val="24"/>
        </w:rPr>
      </w:pPr>
      <w:r>
        <w:rPr>
          <w:rFonts w:hint="eastAsia" w:hAnsi="宋体" w:cs="黑体"/>
          <w:b/>
          <w:bCs/>
          <w:sz w:val="24"/>
        </w:rPr>
        <w:t>一、项目概况</w:t>
      </w:r>
    </w:p>
    <w:p>
      <w:pPr>
        <w:adjustRightInd w:val="0"/>
        <w:snapToGrid w:val="0"/>
        <w:spacing w:line="360" w:lineRule="auto"/>
        <w:ind w:left="210" w:leftChars="100" w:right="-426" w:rightChars="-203" w:firstLine="355" w:firstLineChars="148"/>
        <w:rPr>
          <w:rFonts w:cs="仿宋_GB2312"/>
          <w:bCs/>
          <w:sz w:val="24"/>
        </w:rPr>
      </w:pPr>
      <w:r>
        <w:rPr>
          <w:rFonts w:hint="eastAsia" w:cs="仿宋_GB2312"/>
          <w:bCs/>
          <w:sz w:val="24"/>
        </w:rPr>
        <w:t>1</w:t>
      </w:r>
      <w:r>
        <w:rPr>
          <w:rFonts w:hint="eastAsia" w:hAnsi="宋体" w:cs="仿宋_GB2312"/>
          <w:bCs/>
          <w:sz w:val="24"/>
        </w:rPr>
        <w:t>、项目名称：残疾人机构托养服务费</w:t>
      </w:r>
    </w:p>
    <w:p>
      <w:pPr>
        <w:adjustRightInd w:val="0"/>
        <w:snapToGrid w:val="0"/>
        <w:spacing w:line="360" w:lineRule="auto"/>
        <w:ind w:left="210" w:leftChars="100" w:right="-426" w:rightChars="-203" w:firstLine="355" w:firstLineChars="148"/>
        <w:rPr>
          <w:rFonts w:cs="仿宋_GB2312"/>
          <w:bCs/>
          <w:sz w:val="24"/>
        </w:rPr>
      </w:pPr>
      <w:r>
        <w:rPr>
          <w:rFonts w:hint="eastAsia" w:cs="仿宋_GB2312"/>
          <w:bCs/>
          <w:sz w:val="24"/>
        </w:rPr>
        <w:t>2</w:t>
      </w:r>
      <w:r>
        <w:rPr>
          <w:rFonts w:hint="eastAsia" w:hAnsi="宋体" w:cs="仿宋_GB2312"/>
          <w:bCs/>
          <w:sz w:val="24"/>
        </w:rPr>
        <w:t>、预算金额：人民币伍佰肆拾万元整（￥</w:t>
      </w:r>
      <w:r>
        <w:rPr>
          <w:rFonts w:hint="eastAsia" w:cs="仿宋_GB2312"/>
          <w:bCs/>
          <w:sz w:val="24"/>
        </w:rPr>
        <w:t>5400000.00</w:t>
      </w:r>
      <w:r>
        <w:rPr>
          <w:rFonts w:hint="eastAsia" w:hAnsi="宋体" w:cs="仿宋_GB2312"/>
          <w:bCs/>
          <w:sz w:val="24"/>
        </w:rPr>
        <w:t>元），预算单价为1500元每人每月，</w:t>
      </w:r>
      <w:r>
        <w:rPr>
          <w:rFonts w:hint="eastAsia" w:ascii="宋体" w:hAnsi="宋体" w:cs="宋体"/>
          <w:kern w:val="0"/>
          <w:sz w:val="24"/>
        </w:rPr>
        <w:t>报价不得超过预算金额及预算单价，超过的按无效投标处理</w:t>
      </w:r>
      <w:r>
        <w:rPr>
          <w:rFonts w:hint="eastAsia" w:hAnsi="宋体" w:cs="仿宋_GB2312"/>
          <w:bCs/>
          <w:sz w:val="24"/>
        </w:rPr>
        <w:t>；</w:t>
      </w:r>
    </w:p>
    <w:p>
      <w:pPr>
        <w:adjustRightInd w:val="0"/>
        <w:snapToGrid w:val="0"/>
        <w:spacing w:line="360" w:lineRule="auto"/>
        <w:ind w:left="210" w:leftChars="100" w:right="-426" w:rightChars="-203" w:firstLine="355" w:firstLineChars="148"/>
        <w:rPr>
          <w:rFonts w:cs="仿宋_GB2312"/>
          <w:bCs/>
          <w:sz w:val="24"/>
        </w:rPr>
      </w:pPr>
      <w:r>
        <w:rPr>
          <w:rFonts w:hint="eastAsia" w:cs="仿宋_GB2312"/>
          <w:bCs/>
          <w:sz w:val="24"/>
        </w:rPr>
        <w:t>3</w:t>
      </w:r>
      <w:r>
        <w:rPr>
          <w:rFonts w:hint="eastAsia" w:hAnsi="宋体" w:cs="仿宋_GB2312"/>
          <w:bCs/>
          <w:sz w:val="24"/>
        </w:rPr>
        <w:t>、项目简介：托养中心是澄迈县重点民生项目，位于金江镇山口岭，中心占地</w:t>
      </w:r>
      <w:r>
        <w:rPr>
          <w:rFonts w:hint="eastAsia" w:cs="仿宋_GB2312"/>
          <w:bCs/>
          <w:sz w:val="24"/>
        </w:rPr>
        <w:t>15</w:t>
      </w:r>
      <w:r>
        <w:rPr>
          <w:rFonts w:hint="eastAsia" w:hAnsi="宋体" w:cs="仿宋_GB2312"/>
          <w:bCs/>
          <w:sz w:val="24"/>
        </w:rPr>
        <w:t>亩，规模为一幢高五层楼，建筑面积</w:t>
      </w:r>
      <w:r>
        <w:rPr>
          <w:rFonts w:hint="eastAsia" w:cs="仿宋_GB2312"/>
          <w:bCs/>
          <w:sz w:val="24"/>
        </w:rPr>
        <w:t>2990</w:t>
      </w:r>
      <w:r>
        <w:rPr>
          <w:rFonts w:hint="eastAsia" w:hAnsi="宋体" w:cs="仿宋_GB2312"/>
          <w:bCs/>
          <w:sz w:val="24"/>
        </w:rPr>
        <w:t>平方米。主要功能是为残疾人提供生活护理、康复治疗、适应性能力训练、辅助性就业、职业技能培训等服务。</w:t>
      </w:r>
    </w:p>
    <w:p>
      <w:pPr>
        <w:adjustRightInd w:val="0"/>
        <w:snapToGrid w:val="0"/>
        <w:spacing w:line="360" w:lineRule="auto"/>
        <w:ind w:right="-426" w:rightChars="-203"/>
        <w:rPr>
          <w:rFonts w:cs="黑体"/>
          <w:b/>
          <w:bCs/>
          <w:sz w:val="24"/>
        </w:rPr>
      </w:pPr>
      <w:r>
        <w:rPr>
          <w:rFonts w:hint="eastAsia" w:hAnsi="宋体" w:cs="黑体"/>
          <w:b/>
          <w:bCs/>
          <w:sz w:val="24"/>
        </w:rPr>
        <w:t>二、项目实施要点</w:t>
      </w:r>
    </w:p>
    <w:p>
      <w:pPr>
        <w:adjustRightInd w:val="0"/>
        <w:snapToGrid w:val="0"/>
        <w:spacing w:line="360" w:lineRule="auto"/>
        <w:ind w:firstLine="482" w:firstLineChars="200"/>
        <w:rPr>
          <w:rFonts w:hAnsi="宋体" w:cs="黑体"/>
          <w:b/>
          <w:bCs/>
          <w:sz w:val="24"/>
        </w:rPr>
      </w:pPr>
      <w:r>
        <w:rPr>
          <w:rFonts w:hint="eastAsia" w:hAnsi="宋体" w:cs="黑体"/>
          <w:b/>
          <w:bCs/>
          <w:sz w:val="24"/>
        </w:rPr>
        <w:t>（一）基本原则</w:t>
      </w:r>
    </w:p>
    <w:p>
      <w:pPr>
        <w:spacing w:line="360" w:lineRule="auto"/>
        <w:ind w:firstLine="360" w:firstLineChars="150"/>
        <w:rPr>
          <w:rFonts w:hAnsi="宋体" w:cs="黑体"/>
          <w:bCs/>
          <w:sz w:val="24"/>
        </w:rPr>
      </w:pPr>
      <w:r>
        <w:rPr>
          <w:rFonts w:hint="eastAsia" w:hAnsi="宋体" w:cs="黑体"/>
          <w:bCs/>
          <w:sz w:val="24"/>
        </w:rPr>
        <w:t>1、坚持国有资产产权不变。残疾人托养服务机构推行公建民营，应当做到产权清晰，始终保持土地、设施设备等国有资产公有属性，运营方对国有资产拥有运营使用权，确保国有资产的用途不变，同时应加强设施设备的维护与保养，确保国有资产保值增值。</w:t>
      </w:r>
    </w:p>
    <w:p>
      <w:pPr>
        <w:spacing w:line="360" w:lineRule="auto"/>
        <w:ind w:firstLine="480" w:firstLineChars="200"/>
        <w:rPr>
          <w:rFonts w:hAnsi="宋体" w:cs="黑体"/>
          <w:bCs/>
          <w:sz w:val="24"/>
        </w:rPr>
      </w:pPr>
      <w:r>
        <w:rPr>
          <w:rFonts w:hint="eastAsia" w:hAnsi="宋体" w:cs="黑体"/>
          <w:bCs/>
          <w:sz w:val="24"/>
        </w:rPr>
        <w:t>2、坚持兜底残疾人托养保障职能不变。公建民营残疾人托养服务机构须确保残疾人托养服务性质不改变，保障本县户籍，年龄在 16-59 周岁，持有《中华人民共和国残疾人证》，有托养服务需求的智力、精神及重度肢体残疾人，全力把托养中心打造成“专业性强、运行规范、具有示范效应和辐射作用的骨干示范托养服务机构”。</w:t>
      </w:r>
    </w:p>
    <w:p>
      <w:pPr>
        <w:spacing w:line="360" w:lineRule="auto"/>
        <w:ind w:firstLine="480" w:firstLineChars="200"/>
        <w:rPr>
          <w:rFonts w:hAnsi="宋体" w:cs="黑体"/>
          <w:bCs/>
          <w:sz w:val="24"/>
        </w:rPr>
      </w:pPr>
      <w:r>
        <w:rPr>
          <w:rFonts w:hint="eastAsia" w:hAnsi="宋体" w:cs="黑体"/>
          <w:bCs/>
          <w:sz w:val="24"/>
        </w:rPr>
        <w:t>3、坚持公益性和普惠性相结合。政府无偿提供场地、设施设备等，坚持以解决残疾人困难为己任，享受政府普惠性政策，不以营利为目的，突出托养服务的公益性。</w:t>
      </w:r>
    </w:p>
    <w:p>
      <w:pPr>
        <w:adjustRightInd w:val="0"/>
        <w:snapToGrid w:val="0"/>
        <w:spacing w:line="360" w:lineRule="auto"/>
        <w:ind w:firstLine="480" w:firstLineChars="200"/>
        <w:rPr>
          <w:rFonts w:hAnsi="宋体" w:cs="黑体"/>
          <w:bCs/>
          <w:sz w:val="24"/>
        </w:rPr>
      </w:pPr>
      <w:r>
        <w:rPr>
          <w:rFonts w:hint="eastAsia" w:hAnsi="宋体" w:cs="黑体"/>
          <w:bCs/>
          <w:sz w:val="24"/>
        </w:rPr>
        <w:t>4、坚持注重运营监管与风险防范。建立健全公建民营残疾人托养服务机构监管体系，明确经营范围、服务内容、收费标准等运营要求，建立退出、续约、风险防控等约束机制，业务主管部门加强日常运营监管，同时加强行业自律和行业监管，创建公正公开、健康有序的发展环境。</w:t>
      </w:r>
    </w:p>
    <w:p>
      <w:pPr>
        <w:adjustRightInd w:val="0"/>
        <w:snapToGrid w:val="0"/>
        <w:spacing w:line="360" w:lineRule="auto"/>
        <w:ind w:firstLine="482" w:firstLineChars="200"/>
        <w:rPr>
          <w:rFonts w:cs="黑体"/>
          <w:b/>
          <w:bCs/>
          <w:sz w:val="24"/>
        </w:rPr>
      </w:pPr>
      <w:r>
        <w:rPr>
          <w:rFonts w:hint="eastAsia" w:hAnsi="宋体" w:cs="黑体"/>
          <w:b/>
          <w:bCs/>
          <w:sz w:val="24"/>
        </w:rPr>
        <w:t>（二）合作模式</w:t>
      </w:r>
    </w:p>
    <w:p>
      <w:pPr>
        <w:adjustRightInd w:val="0"/>
        <w:snapToGrid w:val="0"/>
        <w:spacing w:line="360" w:lineRule="auto"/>
        <w:ind w:firstLine="480" w:firstLineChars="200"/>
        <w:rPr>
          <w:rFonts w:cs="黑体"/>
          <w:bCs/>
          <w:sz w:val="24"/>
        </w:rPr>
      </w:pPr>
      <w:r>
        <w:rPr>
          <w:rFonts w:hint="eastAsia" w:hAnsi="宋体" w:cs="黑体"/>
          <w:bCs/>
          <w:sz w:val="24"/>
        </w:rPr>
        <w:t>本项目采用</w:t>
      </w:r>
      <w:r>
        <w:rPr>
          <w:rFonts w:hint="eastAsia" w:cs="黑体"/>
          <w:bCs/>
          <w:sz w:val="24"/>
        </w:rPr>
        <w:t>“</w:t>
      </w:r>
      <w:r>
        <w:rPr>
          <w:rFonts w:hint="eastAsia" w:hAnsi="宋体" w:cs="黑体"/>
          <w:bCs/>
          <w:sz w:val="24"/>
        </w:rPr>
        <w:t>委托运营</w:t>
      </w:r>
      <w:r>
        <w:rPr>
          <w:rFonts w:hint="eastAsia" w:cs="黑体"/>
          <w:bCs/>
          <w:sz w:val="24"/>
        </w:rPr>
        <w:t>”</w:t>
      </w:r>
      <w:r>
        <w:rPr>
          <w:rFonts w:hint="eastAsia" w:hAnsi="宋体" w:cs="黑体"/>
          <w:bCs/>
          <w:sz w:val="24"/>
        </w:rPr>
        <w:t>合作模式∶</w:t>
      </w:r>
    </w:p>
    <w:p>
      <w:pPr>
        <w:adjustRightInd w:val="0"/>
        <w:snapToGrid w:val="0"/>
        <w:spacing w:line="360" w:lineRule="auto"/>
        <w:ind w:firstLine="480" w:firstLineChars="200"/>
        <w:rPr>
          <w:rFonts w:cs="黑体"/>
          <w:bCs/>
          <w:sz w:val="24"/>
        </w:rPr>
      </w:pPr>
      <w:r>
        <w:rPr>
          <w:rFonts w:hint="eastAsia" w:cs="黑体"/>
          <w:bCs/>
          <w:sz w:val="24"/>
        </w:rPr>
        <w:t>1、</w:t>
      </w:r>
      <w:r>
        <w:rPr>
          <w:rFonts w:hint="eastAsia" w:hAnsi="宋体" w:cs="黑体"/>
          <w:bCs/>
          <w:sz w:val="24"/>
        </w:rPr>
        <w:t>委托运营事项界定。对托养中心的残疾人托养服务业务进行委托运营。</w:t>
      </w:r>
    </w:p>
    <w:p>
      <w:pPr>
        <w:adjustRightInd w:val="0"/>
        <w:snapToGrid w:val="0"/>
        <w:spacing w:line="360" w:lineRule="auto"/>
        <w:ind w:firstLine="480" w:firstLineChars="200"/>
        <w:rPr>
          <w:rFonts w:cs="黑体"/>
          <w:bCs/>
          <w:sz w:val="24"/>
        </w:rPr>
      </w:pPr>
      <w:r>
        <w:rPr>
          <w:rFonts w:hint="eastAsia" w:cs="黑体"/>
          <w:bCs/>
          <w:sz w:val="24"/>
        </w:rPr>
        <w:t>2、</w:t>
      </w:r>
      <w:r>
        <w:rPr>
          <w:rFonts w:hint="eastAsia" w:hAnsi="宋体" w:cs="黑体"/>
          <w:bCs/>
          <w:sz w:val="24"/>
        </w:rPr>
        <w:t>运营方法律身份界定。运营方需依法成立机构并取得残疾人托养服务的资质，设立专门账户，对所承接的残疾人托养服务业务进行运营。</w:t>
      </w:r>
    </w:p>
    <w:p>
      <w:pPr>
        <w:adjustRightInd w:val="0"/>
        <w:snapToGrid w:val="0"/>
        <w:spacing w:line="360" w:lineRule="auto"/>
        <w:ind w:firstLine="482" w:firstLineChars="200"/>
        <w:rPr>
          <w:rFonts w:cs="黑体"/>
          <w:b/>
          <w:bCs/>
          <w:sz w:val="24"/>
        </w:rPr>
      </w:pPr>
      <w:r>
        <w:rPr>
          <w:rFonts w:hint="eastAsia" w:hAnsi="宋体" w:cs="黑体"/>
          <w:b/>
          <w:bCs/>
          <w:sz w:val="24"/>
        </w:rPr>
        <w:t>（三）项目服务对象</w:t>
      </w:r>
    </w:p>
    <w:p>
      <w:pPr>
        <w:adjustRightInd w:val="0"/>
        <w:snapToGrid w:val="0"/>
        <w:spacing w:line="360" w:lineRule="auto"/>
        <w:ind w:firstLine="480" w:firstLineChars="200"/>
        <w:rPr>
          <w:rFonts w:cs="黑体"/>
          <w:bCs/>
          <w:sz w:val="24"/>
        </w:rPr>
      </w:pPr>
      <w:r>
        <w:rPr>
          <w:rFonts w:hint="eastAsia" w:cs="黑体"/>
          <w:bCs/>
          <w:sz w:val="24"/>
        </w:rPr>
        <w:t>1、</w:t>
      </w:r>
      <w:r>
        <w:rPr>
          <w:rFonts w:hint="eastAsia" w:hAnsi="宋体" w:cs="黑体"/>
          <w:bCs/>
          <w:sz w:val="24"/>
        </w:rPr>
        <w:t>具有本县户籍</w:t>
      </w:r>
      <w:r>
        <w:rPr>
          <w:rFonts w:hint="eastAsia" w:cs="黑体"/>
          <w:bCs/>
          <w:sz w:val="24"/>
        </w:rPr>
        <w:t>,</w:t>
      </w:r>
      <w:r>
        <w:rPr>
          <w:rFonts w:hint="eastAsia" w:hAnsi="宋体" w:cs="黑体"/>
          <w:bCs/>
          <w:sz w:val="24"/>
        </w:rPr>
        <w:t>年龄在</w:t>
      </w:r>
      <w:r>
        <w:rPr>
          <w:rFonts w:hint="eastAsia" w:cs="黑体"/>
          <w:bCs/>
          <w:sz w:val="24"/>
        </w:rPr>
        <w:t xml:space="preserve"> 16-59 </w:t>
      </w:r>
      <w:r>
        <w:rPr>
          <w:rFonts w:hint="eastAsia" w:hAnsi="宋体" w:cs="黑体"/>
          <w:bCs/>
          <w:sz w:val="24"/>
        </w:rPr>
        <w:t>周岁</w:t>
      </w:r>
      <w:r>
        <w:rPr>
          <w:rFonts w:hint="eastAsia" w:cs="黑体"/>
          <w:bCs/>
          <w:sz w:val="24"/>
        </w:rPr>
        <w:t>,</w:t>
      </w:r>
      <w:r>
        <w:rPr>
          <w:rFonts w:hint="eastAsia" w:hAnsi="宋体" w:cs="黑体"/>
          <w:bCs/>
          <w:sz w:val="24"/>
        </w:rPr>
        <w:t>持有《中华人民共和国残疾人证》。</w:t>
      </w:r>
    </w:p>
    <w:p>
      <w:pPr>
        <w:adjustRightInd w:val="0"/>
        <w:snapToGrid w:val="0"/>
        <w:spacing w:line="360" w:lineRule="auto"/>
        <w:ind w:firstLine="480" w:firstLineChars="200"/>
        <w:rPr>
          <w:rFonts w:cs="黑体"/>
          <w:bCs/>
          <w:sz w:val="24"/>
        </w:rPr>
      </w:pPr>
      <w:r>
        <w:rPr>
          <w:rFonts w:hint="eastAsia" w:cs="黑体"/>
          <w:bCs/>
          <w:sz w:val="24"/>
        </w:rPr>
        <w:t>2、</w:t>
      </w:r>
      <w:r>
        <w:rPr>
          <w:rFonts w:hint="eastAsia" w:hAnsi="宋体" w:cs="黑体"/>
          <w:bCs/>
          <w:sz w:val="24"/>
        </w:rPr>
        <w:t>纳入托养服务范围的残疾人是智力、精神及重度肢体残疾人。</w:t>
      </w:r>
    </w:p>
    <w:p>
      <w:pPr>
        <w:adjustRightInd w:val="0"/>
        <w:snapToGrid w:val="0"/>
        <w:spacing w:line="360" w:lineRule="auto"/>
        <w:ind w:firstLine="482" w:firstLineChars="200"/>
        <w:rPr>
          <w:rFonts w:cs="黑体"/>
          <w:b/>
          <w:bCs/>
          <w:sz w:val="24"/>
        </w:rPr>
      </w:pPr>
      <w:r>
        <w:rPr>
          <w:rFonts w:hint="eastAsia" w:hAnsi="宋体" w:cs="黑体"/>
          <w:b/>
          <w:bCs/>
          <w:sz w:val="24"/>
        </w:rPr>
        <w:t>（四）合作双方权责界定</w:t>
      </w:r>
    </w:p>
    <w:p>
      <w:pPr>
        <w:adjustRightInd w:val="0"/>
        <w:snapToGrid w:val="0"/>
        <w:spacing w:line="360" w:lineRule="auto"/>
        <w:ind w:firstLine="480" w:firstLineChars="200"/>
        <w:rPr>
          <w:rFonts w:cs="黑体"/>
          <w:bCs/>
          <w:sz w:val="24"/>
        </w:rPr>
      </w:pPr>
      <w:r>
        <w:rPr>
          <w:rFonts w:hint="eastAsia" w:cs="黑体"/>
          <w:bCs/>
          <w:sz w:val="24"/>
        </w:rPr>
        <w:t>1、</w:t>
      </w:r>
      <w:r>
        <w:rPr>
          <w:rFonts w:hint="eastAsia" w:hAnsi="宋体" w:cs="黑体"/>
          <w:bCs/>
          <w:sz w:val="24"/>
        </w:rPr>
        <w:t>采购人权责</w:t>
      </w:r>
    </w:p>
    <w:p>
      <w:pPr>
        <w:adjustRightInd w:val="0"/>
        <w:snapToGrid w:val="0"/>
        <w:spacing w:line="360" w:lineRule="auto"/>
        <w:ind w:firstLine="480" w:firstLineChars="200"/>
        <w:rPr>
          <w:rFonts w:cs="黑体"/>
          <w:bCs/>
          <w:sz w:val="24"/>
        </w:rPr>
      </w:pPr>
      <w:r>
        <w:rPr>
          <w:rFonts w:hint="eastAsia" w:hAnsi="宋体" w:cs="黑体"/>
          <w:bCs/>
          <w:sz w:val="24"/>
        </w:rPr>
        <w:t>（</w:t>
      </w:r>
      <w:r>
        <w:rPr>
          <w:rFonts w:hint="eastAsia" w:cs="黑体"/>
          <w:bCs/>
          <w:sz w:val="24"/>
        </w:rPr>
        <w:t>1</w:t>
      </w:r>
      <w:r>
        <w:rPr>
          <w:rFonts w:hint="eastAsia" w:hAnsi="宋体" w:cs="黑体"/>
          <w:bCs/>
          <w:sz w:val="24"/>
        </w:rPr>
        <w:t>）采购人将本项目范围内国有资产、设施设备的使用权提供给中标运营方，用于开展残疾人托养服务，并保留该批资产的国有产权属性不变。</w:t>
      </w:r>
    </w:p>
    <w:p>
      <w:pPr>
        <w:adjustRightInd w:val="0"/>
        <w:snapToGrid w:val="0"/>
        <w:spacing w:line="360" w:lineRule="auto"/>
        <w:ind w:firstLine="480" w:firstLineChars="200"/>
        <w:rPr>
          <w:rFonts w:cs="黑体"/>
          <w:bCs/>
          <w:sz w:val="24"/>
        </w:rPr>
      </w:pPr>
      <w:r>
        <w:rPr>
          <w:rFonts w:hint="eastAsia" w:hAnsi="宋体" w:cs="黑体"/>
          <w:bCs/>
          <w:sz w:val="24"/>
        </w:rPr>
        <w:t>（</w:t>
      </w:r>
      <w:r>
        <w:rPr>
          <w:rFonts w:hint="eastAsia" w:cs="黑体"/>
          <w:bCs/>
          <w:sz w:val="24"/>
        </w:rPr>
        <w:t>2</w:t>
      </w:r>
      <w:r>
        <w:rPr>
          <w:rFonts w:hint="eastAsia" w:hAnsi="宋体" w:cs="黑体"/>
          <w:bCs/>
          <w:sz w:val="24"/>
        </w:rPr>
        <w:t>）采购人委托具有资产评估资质的评估机构对涉及本项目的国有资产进行评估，单独登记造册，实施专项资产监督管理，确保国有资产不流失不损失。同时，采购人对该批资产重大建筑质量问题承担修缮责任。</w:t>
      </w:r>
    </w:p>
    <w:p>
      <w:pPr>
        <w:adjustRightInd w:val="0"/>
        <w:snapToGrid w:val="0"/>
        <w:spacing w:line="360" w:lineRule="auto"/>
        <w:ind w:firstLine="480" w:firstLineChars="200"/>
        <w:rPr>
          <w:rFonts w:cs="黑体"/>
          <w:bCs/>
          <w:sz w:val="24"/>
        </w:rPr>
      </w:pPr>
      <w:r>
        <w:rPr>
          <w:rFonts w:hint="eastAsia" w:hAnsi="宋体" w:cs="黑体"/>
          <w:bCs/>
          <w:sz w:val="24"/>
        </w:rPr>
        <w:t>（</w:t>
      </w:r>
      <w:r>
        <w:rPr>
          <w:rFonts w:hint="eastAsia" w:cs="黑体"/>
          <w:bCs/>
          <w:sz w:val="24"/>
        </w:rPr>
        <w:t>3</w:t>
      </w:r>
      <w:r>
        <w:rPr>
          <w:rFonts w:hint="eastAsia" w:hAnsi="宋体" w:cs="黑体"/>
          <w:bCs/>
          <w:sz w:val="24"/>
        </w:rPr>
        <w:t>）采购人不参与运营方的日常管理，对于运营方的运营风险、财务风险和法律风险等相关风险不承担责任。</w:t>
      </w:r>
    </w:p>
    <w:p>
      <w:pPr>
        <w:adjustRightInd w:val="0"/>
        <w:snapToGrid w:val="0"/>
        <w:spacing w:line="360" w:lineRule="auto"/>
        <w:ind w:firstLine="480" w:firstLineChars="200"/>
        <w:rPr>
          <w:rFonts w:cs="黑体"/>
          <w:bCs/>
          <w:sz w:val="24"/>
        </w:rPr>
      </w:pPr>
      <w:r>
        <w:rPr>
          <w:rFonts w:hint="eastAsia" w:hAnsi="宋体" w:cs="黑体"/>
          <w:bCs/>
          <w:sz w:val="24"/>
        </w:rPr>
        <w:t>（</w:t>
      </w:r>
      <w:r>
        <w:rPr>
          <w:rFonts w:hint="eastAsia" w:cs="黑体"/>
          <w:bCs/>
          <w:sz w:val="24"/>
        </w:rPr>
        <w:t>4</w:t>
      </w:r>
      <w:r>
        <w:rPr>
          <w:rFonts w:hint="eastAsia" w:hAnsi="宋体" w:cs="黑体"/>
          <w:bCs/>
          <w:sz w:val="24"/>
        </w:rPr>
        <w:t>）采购人对运营方实施业务监管、国有资产保全监管以及安全服务监管。其中，业务监管包含运营方的管理、收费标准、托养服务质量、公众评议等方面。</w:t>
      </w:r>
    </w:p>
    <w:p>
      <w:pPr>
        <w:adjustRightInd w:val="0"/>
        <w:snapToGrid w:val="0"/>
        <w:spacing w:line="360" w:lineRule="auto"/>
        <w:ind w:firstLine="480" w:firstLineChars="200"/>
        <w:rPr>
          <w:rFonts w:cs="黑体"/>
          <w:bCs/>
          <w:sz w:val="24"/>
        </w:rPr>
      </w:pPr>
      <w:r>
        <w:rPr>
          <w:rFonts w:hint="eastAsia" w:cs="黑体"/>
          <w:bCs/>
          <w:sz w:val="24"/>
        </w:rPr>
        <w:t>2、</w:t>
      </w:r>
      <w:r>
        <w:rPr>
          <w:rFonts w:hint="eastAsia" w:hAnsi="宋体" w:cs="黑体"/>
          <w:bCs/>
          <w:sz w:val="24"/>
        </w:rPr>
        <w:t>运营方权责</w:t>
      </w:r>
    </w:p>
    <w:p>
      <w:pPr>
        <w:adjustRightInd w:val="0"/>
        <w:snapToGrid w:val="0"/>
        <w:spacing w:line="360" w:lineRule="auto"/>
        <w:ind w:firstLine="480" w:firstLineChars="200"/>
        <w:rPr>
          <w:rFonts w:cs="黑体"/>
          <w:bCs/>
          <w:sz w:val="24"/>
        </w:rPr>
      </w:pPr>
      <w:r>
        <w:rPr>
          <w:rFonts w:hint="eastAsia" w:hAnsi="宋体" w:cs="黑体"/>
          <w:bCs/>
          <w:sz w:val="24"/>
        </w:rPr>
        <w:t>（</w:t>
      </w:r>
      <w:r>
        <w:rPr>
          <w:rFonts w:hint="eastAsia" w:cs="黑体"/>
          <w:bCs/>
          <w:sz w:val="24"/>
        </w:rPr>
        <w:t>1</w:t>
      </w:r>
      <w:r>
        <w:rPr>
          <w:rFonts w:hint="eastAsia" w:hAnsi="宋体" w:cs="黑体"/>
          <w:bCs/>
          <w:sz w:val="24"/>
        </w:rPr>
        <w:t>）采购人</w:t>
      </w:r>
      <w:r>
        <w:rPr>
          <w:rFonts w:hint="eastAsia" w:ascii="宋体" w:hAnsi="宋体" w:cs="仿宋"/>
          <w:sz w:val="24"/>
        </w:rPr>
        <w:t>负责托养中心的基本建设（包括水电、设备等基础配置），运营方在签订本合同后须在3个月内完善托养中心室内改造装饰、装修等硬件设施；同时完成服务设备、生活设备、护理设备、安全设备、管理设备等设施设备，并达到运营条件。</w:t>
      </w:r>
      <w:r>
        <w:rPr>
          <w:rFonts w:hint="eastAsia" w:hAnsi="宋体" w:cs="黑体"/>
          <w:bCs/>
          <w:sz w:val="24"/>
        </w:rPr>
        <w:t>运营方的装修设计、设备供应等方案应经采购人同意。</w:t>
      </w:r>
    </w:p>
    <w:p>
      <w:pPr>
        <w:adjustRightInd w:val="0"/>
        <w:snapToGrid w:val="0"/>
        <w:spacing w:line="360" w:lineRule="auto"/>
        <w:ind w:firstLine="480" w:firstLineChars="200"/>
        <w:rPr>
          <w:rFonts w:cs="黑体"/>
          <w:bCs/>
          <w:sz w:val="24"/>
        </w:rPr>
      </w:pPr>
      <w:r>
        <w:rPr>
          <w:rFonts w:hint="eastAsia" w:hAnsi="宋体" w:cs="黑体"/>
          <w:bCs/>
          <w:sz w:val="24"/>
        </w:rPr>
        <w:t>（</w:t>
      </w:r>
      <w:r>
        <w:rPr>
          <w:rFonts w:hint="eastAsia" w:cs="黑体"/>
          <w:bCs/>
          <w:sz w:val="24"/>
        </w:rPr>
        <w:t>2</w:t>
      </w:r>
      <w:r>
        <w:rPr>
          <w:rFonts w:hint="eastAsia" w:hAnsi="宋体" w:cs="黑体"/>
          <w:bCs/>
          <w:sz w:val="24"/>
        </w:rPr>
        <w:t>）为满足更多残疾人的需求，运营方可根据实际，对托养中心内部进行合理改造，增设床位至</w:t>
      </w:r>
      <w:r>
        <w:rPr>
          <w:rFonts w:hint="eastAsia" w:cs="黑体"/>
          <w:bCs/>
          <w:sz w:val="24"/>
        </w:rPr>
        <w:t>100</w:t>
      </w:r>
      <w:r>
        <w:rPr>
          <w:rFonts w:hint="eastAsia" w:hAnsi="宋体" w:cs="黑体"/>
          <w:bCs/>
          <w:sz w:val="24"/>
        </w:rPr>
        <w:t>个。并结合托养服务需要，可利用托养中心庭院空地，临建部分功能室及农疗基地，但事先需征得县残联及同级资产管理部门同意，涉及办理相关手续的，应报相关部门批准。</w:t>
      </w:r>
    </w:p>
    <w:p>
      <w:pPr>
        <w:adjustRightInd w:val="0"/>
        <w:snapToGrid w:val="0"/>
        <w:spacing w:line="360" w:lineRule="auto"/>
        <w:ind w:firstLine="480" w:firstLineChars="200"/>
        <w:rPr>
          <w:rFonts w:cs="黑体"/>
          <w:bCs/>
          <w:sz w:val="24"/>
        </w:rPr>
      </w:pPr>
      <w:r>
        <w:rPr>
          <w:rFonts w:hint="eastAsia" w:hAnsi="宋体" w:cs="黑体"/>
          <w:bCs/>
          <w:sz w:val="24"/>
        </w:rPr>
        <w:t>（</w:t>
      </w:r>
      <w:r>
        <w:rPr>
          <w:rFonts w:hint="eastAsia" w:cs="黑体"/>
          <w:bCs/>
          <w:sz w:val="24"/>
        </w:rPr>
        <w:t>3</w:t>
      </w:r>
      <w:r>
        <w:rPr>
          <w:rFonts w:hint="eastAsia" w:hAnsi="宋体" w:cs="黑体"/>
          <w:bCs/>
          <w:sz w:val="24"/>
        </w:rPr>
        <w:t>）托养中心公益性床位为</w:t>
      </w:r>
      <w:r>
        <w:rPr>
          <w:rFonts w:hint="eastAsia" w:cs="黑体"/>
          <w:bCs/>
          <w:sz w:val="24"/>
        </w:rPr>
        <w:t>70</w:t>
      </w:r>
      <w:r>
        <w:rPr>
          <w:rFonts w:hint="eastAsia" w:hAnsi="宋体" w:cs="黑体"/>
          <w:bCs/>
          <w:sz w:val="24"/>
        </w:rPr>
        <w:t>个，占</w:t>
      </w:r>
      <w:r>
        <w:rPr>
          <w:rFonts w:hint="eastAsia" w:cs="黑体"/>
          <w:bCs/>
          <w:sz w:val="24"/>
        </w:rPr>
        <w:t>70%</w:t>
      </w:r>
      <w:r>
        <w:rPr>
          <w:rFonts w:hint="eastAsia" w:hAnsi="宋体" w:cs="黑体"/>
          <w:bCs/>
          <w:sz w:val="24"/>
        </w:rPr>
        <w:t>。在保障政策性托养的基础上，运营方可以提高资源使用效率，接收有托养服务需求的其他残疾人，并获得合理的运营收益，但如政策性托养需求增加，社会化运营应相应减少。</w:t>
      </w:r>
    </w:p>
    <w:p>
      <w:pPr>
        <w:adjustRightInd w:val="0"/>
        <w:snapToGrid w:val="0"/>
        <w:spacing w:line="360" w:lineRule="auto"/>
        <w:ind w:firstLine="480" w:firstLineChars="200"/>
        <w:rPr>
          <w:rFonts w:cs="黑体"/>
          <w:bCs/>
          <w:sz w:val="24"/>
        </w:rPr>
      </w:pPr>
      <w:r>
        <w:rPr>
          <w:rFonts w:hint="eastAsia" w:hAnsi="宋体" w:cs="黑体"/>
          <w:bCs/>
          <w:sz w:val="24"/>
        </w:rPr>
        <w:t>（</w:t>
      </w:r>
      <w:r>
        <w:rPr>
          <w:rFonts w:hint="eastAsia" w:cs="黑体"/>
          <w:bCs/>
          <w:sz w:val="24"/>
        </w:rPr>
        <w:t>4</w:t>
      </w:r>
      <w:r>
        <w:rPr>
          <w:rFonts w:hint="eastAsia" w:hAnsi="宋体" w:cs="黑体"/>
          <w:bCs/>
          <w:sz w:val="24"/>
        </w:rPr>
        <w:t>）运营方自主经营、自负盈亏，独立承担运营过程中的债权债务和经济、安全、法律责任，并且不得出租、出借、处置托养中心的资产，不得以托养中心的资产进行抵押、融资、贷款、担保，不得从事残疾人服务无关的经营活动。在经营管理期间产生的债权、债务均由运营方承担，采购人不承担债务、债权清偿责任。</w:t>
      </w:r>
    </w:p>
    <w:p>
      <w:pPr>
        <w:adjustRightInd w:val="0"/>
        <w:snapToGrid w:val="0"/>
        <w:spacing w:line="360" w:lineRule="auto"/>
        <w:ind w:firstLine="480" w:firstLineChars="200"/>
        <w:rPr>
          <w:rFonts w:cs="黑体"/>
          <w:bCs/>
          <w:sz w:val="24"/>
        </w:rPr>
      </w:pPr>
      <w:r>
        <w:rPr>
          <w:rFonts w:hint="eastAsia" w:hAnsi="宋体" w:cs="黑体"/>
          <w:bCs/>
          <w:sz w:val="24"/>
        </w:rPr>
        <w:t>（</w:t>
      </w:r>
      <w:r>
        <w:rPr>
          <w:rFonts w:hint="eastAsia" w:cs="黑体"/>
          <w:bCs/>
          <w:sz w:val="24"/>
        </w:rPr>
        <w:t>5</w:t>
      </w:r>
      <w:r>
        <w:rPr>
          <w:rFonts w:hint="eastAsia" w:hAnsi="宋体" w:cs="黑体"/>
          <w:bCs/>
          <w:sz w:val="24"/>
        </w:rPr>
        <w:t>）运营方对采购人提供的国有资产、设施设备承担保养和维护责任，对因使用不当造成的资产损失负赔偿或修复责任。但该批资产出现重大建筑质量问题，由采购人承担修缮责任。</w:t>
      </w:r>
    </w:p>
    <w:p>
      <w:pPr>
        <w:adjustRightInd w:val="0"/>
        <w:snapToGrid w:val="0"/>
        <w:spacing w:line="360" w:lineRule="auto"/>
        <w:ind w:firstLine="480" w:firstLineChars="200"/>
        <w:rPr>
          <w:rFonts w:cs="黑体"/>
          <w:bCs/>
          <w:sz w:val="24"/>
        </w:rPr>
      </w:pPr>
      <w:r>
        <w:rPr>
          <w:rFonts w:hint="eastAsia" w:hAnsi="宋体" w:cs="黑体"/>
          <w:bCs/>
          <w:sz w:val="24"/>
        </w:rPr>
        <w:t>（</w:t>
      </w:r>
      <w:r>
        <w:rPr>
          <w:rFonts w:hint="eastAsia" w:cs="黑体"/>
          <w:bCs/>
          <w:sz w:val="24"/>
        </w:rPr>
        <w:t>6</w:t>
      </w:r>
      <w:r>
        <w:rPr>
          <w:rFonts w:hint="eastAsia" w:hAnsi="宋体" w:cs="黑体"/>
          <w:bCs/>
          <w:sz w:val="24"/>
        </w:rPr>
        <w:t>）运营方应制定各类管理制度，遵循国家统一的财务、会计制度，按规定实施财务管理，依法建立会计账簿并进行会计核算，所有制度不得与法律、法规相抵触。</w:t>
      </w:r>
    </w:p>
    <w:p>
      <w:pPr>
        <w:adjustRightInd w:val="0"/>
        <w:snapToGrid w:val="0"/>
        <w:spacing w:line="360" w:lineRule="auto"/>
        <w:ind w:firstLine="480" w:firstLineChars="200"/>
        <w:rPr>
          <w:rFonts w:cs="黑体"/>
          <w:bCs/>
          <w:sz w:val="24"/>
        </w:rPr>
      </w:pPr>
      <w:r>
        <w:rPr>
          <w:rFonts w:hint="eastAsia" w:hAnsi="宋体" w:cs="黑体"/>
          <w:bCs/>
          <w:sz w:val="24"/>
        </w:rPr>
        <w:t>（</w:t>
      </w:r>
      <w:r>
        <w:rPr>
          <w:rFonts w:hint="eastAsia" w:cs="黑体"/>
          <w:bCs/>
          <w:sz w:val="24"/>
        </w:rPr>
        <w:t>7</w:t>
      </w:r>
      <w:r>
        <w:rPr>
          <w:rFonts w:hint="eastAsia" w:hAnsi="宋体" w:cs="黑体"/>
          <w:bCs/>
          <w:sz w:val="24"/>
        </w:rPr>
        <w:t>）运营方接受并积极配合采购人的业务监管、国有资产保全监管以及安全服务监管等，每季度向采购人报告项目资产情况、运营情况，并及时报告突发重大事件情况。</w:t>
      </w:r>
    </w:p>
    <w:p>
      <w:pPr>
        <w:adjustRightInd w:val="0"/>
        <w:snapToGrid w:val="0"/>
        <w:spacing w:line="360" w:lineRule="auto"/>
        <w:ind w:firstLine="480" w:firstLineChars="200"/>
        <w:rPr>
          <w:rFonts w:cs="黑体"/>
          <w:bCs/>
          <w:sz w:val="24"/>
        </w:rPr>
      </w:pPr>
      <w:r>
        <w:rPr>
          <w:rFonts w:hint="eastAsia" w:hAnsi="宋体" w:cs="黑体"/>
          <w:bCs/>
          <w:sz w:val="24"/>
        </w:rPr>
        <w:t>（</w:t>
      </w:r>
      <w:r>
        <w:rPr>
          <w:rFonts w:hint="eastAsia" w:cs="黑体"/>
          <w:bCs/>
          <w:sz w:val="24"/>
        </w:rPr>
        <w:t>8</w:t>
      </w:r>
      <w:r>
        <w:rPr>
          <w:rFonts w:hint="eastAsia" w:hAnsi="宋体" w:cs="黑体"/>
          <w:bCs/>
          <w:sz w:val="24"/>
        </w:rPr>
        <w:t>）运营方可根据业务需要，自行购置设备。</w:t>
      </w:r>
    </w:p>
    <w:p>
      <w:pPr>
        <w:adjustRightInd w:val="0"/>
        <w:snapToGrid w:val="0"/>
        <w:spacing w:line="360" w:lineRule="auto"/>
        <w:ind w:firstLine="482" w:firstLineChars="200"/>
        <w:rPr>
          <w:rFonts w:cs="黑体"/>
          <w:b/>
          <w:bCs/>
          <w:sz w:val="24"/>
        </w:rPr>
      </w:pPr>
      <w:r>
        <w:rPr>
          <w:rFonts w:hint="eastAsia" w:hAnsi="宋体" w:cs="黑体"/>
          <w:b/>
          <w:bCs/>
          <w:sz w:val="24"/>
        </w:rPr>
        <w:t>（五）运营期限</w:t>
      </w:r>
    </w:p>
    <w:p>
      <w:pPr>
        <w:adjustRightInd w:val="0"/>
        <w:snapToGrid w:val="0"/>
        <w:spacing w:line="360" w:lineRule="auto"/>
        <w:ind w:firstLine="480" w:firstLineChars="200"/>
        <w:rPr>
          <w:rFonts w:cs="黑体"/>
          <w:bCs/>
          <w:sz w:val="24"/>
        </w:rPr>
      </w:pPr>
      <w:r>
        <w:rPr>
          <w:rFonts w:hint="eastAsia" w:hAnsi="宋体" w:cs="黑体"/>
          <w:bCs/>
          <w:sz w:val="24"/>
        </w:rPr>
        <w:t>以</w:t>
      </w:r>
      <w:r>
        <w:rPr>
          <w:rFonts w:hint="eastAsia" w:cs="黑体"/>
          <w:bCs/>
          <w:sz w:val="24"/>
        </w:rPr>
        <w:t>3</w:t>
      </w:r>
      <w:r>
        <w:rPr>
          <w:rFonts w:hint="eastAsia" w:hAnsi="宋体" w:cs="黑体"/>
          <w:bCs/>
          <w:sz w:val="24"/>
        </w:rPr>
        <w:t>年为一个基本委托期，委托期满后，依法按程序重新委托运营方。若原运营方未中标，新运营方应对原运营方的合理投入进行补偿，补偿标准由采购人委托第三方评估公司进行评估确定。如运营方因自身原因放弃运营，则托养中心内运营方投入的所有设备、设施及建筑物等，应无偿交给采购人。运营期免收国有资产使用费。</w:t>
      </w:r>
    </w:p>
    <w:p>
      <w:pPr>
        <w:adjustRightInd w:val="0"/>
        <w:snapToGrid w:val="0"/>
        <w:spacing w:line="360" w:lineRule="auto"/>
        <w:ind w:firstLine="482" w:firstLineChars="200"/>
        <w:rPr>
          <w:rFonts w:cs="黑体"/>
          <w:b/>
          <w:bCs/>
          <w:sz w:val="24"/>
        </w:rPr>
      </w:pPr>
      <w:r>
        <w:rPr>
          <w:rFonts w:hint="eastAsia" w:hAnsi="宋体" w:cs="黑体"/>
          <w:b/>
          <w:bCs/>
          <w:sz w:val="24"/>
        </w:rPr>
        <w:t>（六）服务规范与收费标准</w:t>
      </w:r>
    </w:p>
    <w:p>
      <w:pPr>
        <w:adjustRightInd w:val="0"/>
        <w:snapToGrid w:val="0"/>
        <w:spacing w:line="360" w:lineRule="auto"/>
        <w:ind w:firstLine="480" w:firstLineChars="200"/>
        <w:rPr>
          <w:rFonts w:cs="黑体"/>
          <w:bCs/>
          <w:sz w:val="24"/>
        </w:rPr>
      </w:pPr>
      <w:r>
        <w:rPr>
          <w:rFonts w:hint="eastAsia" w:cs="黑体"/>
          <w:bCs/>
          <w:sz w:val="24"/>
        </w:rPr>
        <w:t>1、</w:t>
      </w:r>
      <w:r>
        <w:rPr>
          <w:rFonts w:hint="eastAsia" w:hAnsi="宋体" w:cs="黑体"/>
          <w:bCs/>
          <w:sz w:val="24"/>
        </w:rPr>
        <w:t>运营方相关服务应按有关国家、行业标准与管理规定，与接受服务的残疾人或者其代理人签订服务协议，并按照协议约定为收住残疾人提供专业的、标准的生活自理能力训练、社交能力训练、运动功能训练、职业康复与劳动技能训练等多样化的残疾人托养服务。</w:t>
      </w:r>
    </w:p>
    <w:p>
      <w:pPr>
        <w:adjustRightInd w:val="0"/>
        <w:snapToGrid w:val="0"/>
        <w:spacing w:line="360" w:lineRule="auto"/>
        <w:ind w:firstLine="480" w:firstLineChars="200"/>
        <w:rPr>
          <w:rFonts w:cs="黑体"/>
          <w:bCs/>
          <w:sz w:val="24"/>
        </w:rPr>
      </w:pPr>
      <w:r>
        <w:rPr>
          <w:rFonts w:hint="eastAsia" w:cs="黑体"/>
          <w:bCs/>
          <w:sz w:val="24"/>
        </w:rPr>
        <w:t>2、</w:t>
      </w:r>
      <w:r>
        <w:rPr>
          <w:rFonts w:hint="eastAsia" w:hAnsi="宋体" w:cs="黑体"/>
          <w:bCs/>
          <w:sz w:val="24"/>
        </w:rPr>
        <w:t>运营方按照国家有关规定建立健全人身财产安全、消防安全、卫生、食品、财务、档案管理等规章制度，制定服务标准和工作流程，并予以公开。</w:t>
      </w:r>
    </w:p>
    <w:p>
      <w:pPr>
        <w:adjustRightInd w:val="0"/>
        <w:snapToGrid w:val="0"/>
        <w:spacing w:line="360" w:lineRule="auto"/>
        <w:ind w:firstLine="480" w:firstLineChars="200"/>
        <w:rPr>
          <w:rFonts w:cs="黑体"/>
          <w:bCs/>
          <w:sz w:val="24"/>
        </w:rPr>
      </w:pPr>
      <w:r>
        <w:rPr>
          <w:rFonts w:hint="eastAsia" w:cs="黑体"/>
          <w:bCs/>
          <w:sz w:val="24"/>
        </w:rPr>
        <w:t>3、</w:t>
      </w:r>
      <w:r>
        <w:rPr>
          <w:rFonts w:hint="eastAsia" w:hAnsi="宋体" w:cs="黑体"/>
          <w:bCs/>
          <w:sz w:val="24"/>
        </w:rPr>
        <w:t>运营方依据委托运营合同，结合本地残疾人托养市场的实际情况合理确定收费标准，收费须按照明码标价的要求在醒目位置进行收费公示。市场监督管理部门会同残联部门依据国家和省县相关规定对运营方的收费情况进行监管。</w:t>
      </w:r>
    </w:p>
    <w:p>
      <w:pPr>
        <w:adjustRightInd w:val="0"/>
        <w:snapToGrid w:val="0"/>
        <w:spacing w:line="360" w:lineRule="auto"/>
        <w:ind w:firstLine="480" w:firstLineChars="200"/>
        <w:rPr>
          <w:rFonts w:cs="黑体"/>
          <w:bCs/>
          <w:sz w:val="24"/>
        </w:rPr>
      </w:pPr>
    </w:p>
    <w:p>
      <w:pPr>
        <w:adjustRightInd w:val="0"/>
        <w:snapToGrid w:val="0"/>
        <w:spacing w:line="360" w:lineRule="auto"/>
        <w:ind w:firstLine="480" w:firstLineChars="200"/>
        <w:rPr>
          <w:rFonts w:ascii="宋体" w:hAnsi="宋体" w:cs="仿宋"/>
          <w:sz w:val="24"/>
        </w:rPr>
      </w:pPr>
      <w:r>
        <w:rPr>
          <w:rFonts w:hint="eastAsia" w:cs="黑体"/>
          <w:bCs/>
          <w:sz w:val="24"/>
        </w:rPr>
        <w:t>4、</w:t>
      </w:r>
      <w:r>
        <w:rPr>
          <w:rFonts w:hint="eastAsia" w:ascii="宋体" w:hAnsi="宋体" w:cs="仿宋"/>
          <w:sz w:val="24"/>
        </w:rPr>
        <w:t>从本项目执行第二年度开始，采购人可定期对托养中心的人员、设施、服务、管理、信誉、举报投诉等情况进行综合评价，并根据评价结果对运营方进行相应奖励和处罚。</w:t>
      </w:r>
    </w:p>
    <w:p>
      <w:pPr>
        <w:adjustRightInd w:val="0"/>
        <w:snapToGrid w:val="0"/>
        <w:spacing w:line="360" w:lineRule="auto"/>
        <w:ind w:firstLine="482" w:firstLineChars="200"/>
        <w:rPr>
          <w:rFonts w:hAnsi="宋体" w:cs="黑体"/>
          <w:b/>
          <w:bCs/>
          <w:sz w:val="24"/>
        </w:rPr>
      </w:pPr>
      <w:r>
        <w:rPr>
          <w:rFonts w:hint="eastAsia" w:hAnsi="宋体" w:cs="黑体"/>
          <w:b/>
          <w:bCs/>
          <w:sz w:val="24"/>
        </w:rPr>
        <w:t>（七）其他要求及说明</w:t>
      </w:r>
    </w:p>
    <w:p>
      <w:pPr>
        <w:adjustRightInd w:val="0"/>
        <w:snapToGrid w:val="0"/>
        <w:spacing w:line="360" w:lineRule="auto"/>
        <w:ind w:firstLine="480" w:firstLineChars="200"/>
        <w:rPr>
          <w:rFonts w:hAnsi="宋体" w:cs="黑体"/>
          <w:bCs/>
          <w:sz w:val="24"/>
        </w:rPr>
      </w:pPr>
      <w:r>
        <w:rPr>
          <w:rFonts w:hint="eastAsia" w:hAnsi="宋体" w:cs="黑体"/>
          <w:bCs/>
          <w:sz w:val="24"/>
        </w:rPr>
        <w:t>1、提高宣传服务，避免闲置浪费。运营方在取得运营许可权后，应积极开展宣传工作，吸纳更多残疾人加入残疾人托养服务。采购人与运营方合同中应明确规定，每年度第三方对运营方的财务进行审计时应对实际运营情况也进行审计，对实际托养人数不达标或者挪作他用的运营方，采购人可与运营方协商解除合同，避免国有资产闲置浪费。</w:t>
      </w:r>
    </w:p>
    <w:p>
      <w:pPr>
        <w:adjustRightInd w:val="0"/>
        <w:snapToGrid w:val="0"/>
        <w:spacing w:line="360" w:lineRule="auto"/>
        <w:ind w:firstLine="480" w:firstLineChars="200"/>
        <w:rPr>
          <w:rFonts w:hAnsi="宋体" w:cs="黑体"/>
          <w:bCs/>
          <w:sz w:val="24"/>
        </w:rPr>
      </w:pPr>
      <w:r>
        <w:rPr>
          <w:rFonts w:hint="eastAsia" w:hAnsi="宋体" w:cs="黑体"/>
          <w:bCs/>
          <w:sz w:val="24"/>
        </w:rPr>
        <w:t>2、注重服务质量。运营方应当依法依规运营管理托养中心相关业务，同时要注重残疾人托养服务质量提升，按规定比例合理配置管理人员、专业技术人员、服务人员，加强队伍建设，提升服务水平，开展好专业的、标准的生活自理能力训练、社交能力训练、运动功能训练、职业康复与劳动技能训练等多样化的残疾人托养服务，使受托残疾人逐渐具备基本的自理能力和社会参与能力，能够从事力所能及的劳动，能够最大化融入社会，最终实现人生价值。</w:t>
      </w:r>
    </w:p>
    <w:p>
      <w:pPr>
        <w:adjustRightInd w:val="0"/>
        <w:snapToGrid w:val="0"/>
        <w:spacing w:line="360" w:lineRule="auto"/>
        <w:ind w:firstLine="480" w:firstLineChars="200"/>
        <w:rPr>
          <w:rFonts w:hAnsi="宋体" w:cs="黑体"/>
          <w:bCs/>
          <w:sz w:val="24"/>
        </w:rPr>
      </w:pPr>
      <w:r>
        <w:rPr>
          <w:rFonts w:hint="eastAsia" w:hAnsi="宋体" w:cs="黑体"/>
          <w:bCs/>
          <w:sz w:val="24"/>
        </w:rPr>
        <w:t>3、强化考核督查。采购人会同有关部门做好监督、服务、政策引导等工作，定期或不定期对运营方运营管理工作进行督促检查，发现运营方有违规收费、借用委托方或政府机构名义谋私利等违规行为的，予以纠正；情节严重，对政府声誉或国有资产造成损失的，依法追究其赔偿责任，并终止运营合同;构成犯罪的，依法移送司法机关追究其刑事责任。</w:t>
      </w:r>
    </w:p>
    <w:p>
      <w:pPr>
        <w:adjustRightInd w:val="0"/>
        <w:snapToGrid w:val="0"/>
        <w:spacing w:line="360" w:lineRule="auto"/>
        <w:rPr>
          <w:rFonts w:cs="黑体"/>
          <w:b/>
          <w:bCs/>
          <w:sz w:val="24"/>
        </w:rPr>
      </w:pPr>
      <w:r>
        <w:rPr>
          <w:rFonts w:hint="eastAsia" w:hAnsi="宋体" w:cs="黑体"/>
          <w:b/>
          <w:bCs/>
          <w:sz w:val="24"/>
        </w:rPr>
        <w:t>三、商务要求</w:t>
      </w:r>
    </w:p>
    <w:p>
      <w:pPr>
        <w:adjustRightInd w:val="0"/>
        <w:snapToGrid w:val="0"/>
        <w:spacing w:line="360" w:lineRule="auto"/>
        <w:ind w:firstLine="480" w:firstLineChars="200"/>
        <w:rPr>
          <w:rFonts w:cs="仿宋_GB2312"/>
          <w:sz w:val="24"/>
        </w:rPr>
      </w:pPr>
      <w:r>
        <w:rPr>
          <w:rFonts w:hint="eastAsia" w:cs="仿宋_GB2312"/>
          <w:sz w:val="24"/>
        </w:rPr>
        <w:t>1</w:t>
      </w:r>
      <w:r>
        <w:rPr>
          <w:rFonts w:hint="eastAsia" w:hAnsi="宋体" w:cs="仿宋_GB2312"/>
          <w:sz w:val="24"/>
        </w:rPr>
        <w:t>、服务标准：符合采购人技术要求；</w:t>
      </w:r>
    </w:p>
    <w:p>
      <w:pPr>
        <w:adjustRightInd w:val="0"/>
        <w:snapToGrid w:val="0"/>
        <w:spacing w:line="360" w:lineRule="auto"/>
        <w:ind w:firstLine="480" w:firstLineChars="200"/>
        <w:rPr>
          <w:rFonts w:cs="仿宋_GB2312"/>
          <w:sz w:val="24"/>
        </w:rPr>
      </w:pPr>
      <w:r>
        <w:rPr>
          <w:rFonts w:hint="eastAsia" w:cs="仿宋_GB2312"/>
          <w:sz w:val="24"/>
        </w:rPr>
        <w:t>2</w:t>
      </w:r>
      <w:r>
        <w:rPr>
          <w:rFonts w:hint="eastAsia" w:hAnsi="宋体" w:cs="仿宋_GB2312"/>
          <w:sz w:val="24"/>
        </w:rPr>
        <w:t>、安全标准：符合国家、行业相关标准；</w:t>
      </w:r>
    </w:p>
    <w:p>
      <w:pPr>
        <w:adjustRightInd w:val="0"/>
        <w:snapToGrid w:val="0"/>
        <w:spacing w:line="360" w:lineRule="auto"/>
        <w:ind w:firstLine="480" w:firstLineChars="200"/>
        <w:rPr>
          <w:rFonts w:cs="仿宋_GB2312"/>
          <w:sz w:val="24"/>
        </w:rPr>
      </w:pPr>
      <w:r>
        <w:rPr>
          <w:rFonts w:hint="eastAsia" w:cs="仿宋_GB2312"/>
          <w:sz w:val="24"/>
        </w:rPr>
        <w:t>3</w:t>
      </w:r>
      <w:r>
        <w:rPr>
          <w:rFonts w:hint="eastAsia" w:hAnsi="宋体" w:cs="仿宋_GB2312"/>
          <w:sz w:val="24"/>
        </w:rPr>
        <w:t>、验收方法及标准：</w:t>
      </w:r>
      <w:r>
        <w:rPr>
          <w:rFonts w:hint="eastAsia" w:cs="仿宋_GB2312"/>
          <w:sz w:val="24"/>
        </w:rPr>
        <w:t xml:space="preserve"> </w:t>
      </w:r>
      <w:r>
        <w:rPr>
          <w:rFonts w:hint="eastAsia" w:hAnsi="宋体" w:cs="仿宋_GB2312"/>
          <w:sz w:val="24"/>
        </w:rPr>
        <w:t>根据招标文件采购需求进行验收；</w:t>
      </w:r>
    </w:p>
    <w:p>
      <w:pPr>
        <w:adjustRightInd w:val="0"/>
        <w:snapToGrid w:val="0"/>
        <w:spacing w:line="360" w:lineRule="auto"/>
        <w:ind w:firstLine="480" w:firstLineChars="200"/>
        <w:rPr>
          <w:rFonts w:cs="仿宋_GB2312"/>
          <w:sz w:val="24"/>
        </w:rPr>
      </w:pPr>
      <w:r>
        <w:rPr>
          <w:rFonts w:hint="eastAsia" w:cs="仿宋_GB2312"/>
          <w:sz w:val="24"/>
        </w:rPr>
        <w:t>4</w:t>
      </w:r>
      <w:r>
        <w:rPr>
          <w:rFonts w:hint="eastAsia" w:hAnsi="宋体" w:cs="仿宋_GB2312"/>
          <w:sz w:val="24"/>
        </w:rPr>
        <w:t>、项目的实质性要求：按采购文件要求实施；</w:t>
      </w:r>
    </w:p>
    <w:p>
      <w:pPr>
        <w:adjustRightInd w:val="0"/>
        <w:snapToGrid w:val="0"/>
        <w:spacing w:line="360" w:lineRule="auto"/>
        <w:ind w:firstLine="480" w:firstLineChars="200"/>
        <w:rPr>
          <w:rFonts w:cs="仿宋_GB2312"/>
          <w:sz w:val="24"/>
        </w:rPr>
      </w:pPr>
      <w:r>
        <w:rPr>
          <w:rFonts w:hint="eastAsia" w:cs="仿宋_GB2312"/>
          <w:sz w:val="24"/>
        </w:rPr>
        <w:t>5</w:t>
      </w:r>
      <w:r>
        <w:rPr>
          <w:rFonts w:hint="eastAsia" w:hAnsi="宋体" w:cs="仿宋_GB2312"/>
          <w:sz w:val="24"/>
        </w:rPr>
        <w:t>、合同的实质性条款：按采购文件要求实施；</w:t>
      </w:r>
    </w:p>
    <w:p>
      <w:pPr>
        <w:adjustRightInd w:val="0"/>
        <w:snapToGrid w:val="0"/>
        <w:spacing w:line="360" w:lineRule="auto"/>
        <w:ind w:firstLine="480" w:firstLineChars="200"/>
        <w:rPr>
          <w:rFonts w:hAnsi="宋体" w:cs="仿宋_GB2312"/>
          <w:sz w:val="24"/>
        </w:rPr>
      </w:pPr>
      <w:r>
        <w:rPr>
          <w:rFonts w:hint="eastAsia" w:cs="仿宋_GB2312"/>
          <w:sz w:val="24"/>
        </w:rPr>
        <w:t>6</w:t>
      </w:r>
      <w:r>
        <w:rPr>
          <w:rFonts w:hint="eastAsia" w:hAnsi="宋体" w:cs="仿宋_GB2312"/>
          <w:sz w:val="24"/>
        </w:rPr>
        <w:t>、服务期限：</w:t>
      </w:r>
      <w:r>
        <w:rPr>
          <w:rFonts w:hint="eastAsia" w:cs="仿宋_GB2312"/>
          <w:sz w:val="24"/>
        </w:rPr>
        <w:t xml:space="preserve"> 合同签订之日起3年</w:t>
      </w:r>
      <w:bookmarkStart w:id="9" w:name="_GoBack"/>
      <w:bookmarkEnd w:id="9"/>
    </w:p>
    <w:p>
      <w:pPr>
        <w:adjustRightInd w:val="0"/>
        <w:snapToGrid w:val="0"/>
        <w:spacing w:line="360" w:lineRule="auto"/>
        <w:ind w:firstLine="480" w:firstLineChars="200"/>
        <w:rPr>
          <w:rFonts w:hAnsi="宋体" w:cs="仿宋_GB2312"/>
          <w:sz w:val="24"/>
        </w:rPr>
      </w:pPr>
      <w:r>
        <w:rPr>
          <w:rFonts w:hint="eastAsia" w:hAnsi="宋体" w:cs="仿宋_GB2312"/>
          <w:sz w:val="24"/>
        </w:rPr>
        <w:t>7、服务费用说明：最终费用以实际服务人数进行结算。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UyZWQ0NGQwZDgzYmEwNmMwYjI5YjMwZTZhZTc5MmIifQ=="/>
  </w:docVars>
  <w:rsids>
    <w:rsidRoot w:val="009324CB"/>
    <w:rsid w:val="00035E61"/>
    <w:rsid w:val="00052121"/>
    <w:rsid w:val="000936BD"/>
    <w:rsid w:val="00183D5A"/>
    <w:rsid w:val="002568DE"/>
    <w:rsid w:val="00275661"/>
    <w:rsid w:val="002C7FFC"/>
    <w:rsid w:val="0036120E"/>
    <w:rsid w:val="00375E71"/>
    <w:rsid w:val="003861A3"/>
    <w:rsid w:val="003D5639"/>
    <w:rsid w:val="00467257"/>
    <w:rsid w:val="004F017E"/>
    <w:rsid w:val="005D5F74"/>
    <w:rsid w:val="005F3369"/>
    <w:rsid w:val="00693D03"/>
    <w:rsid w:val="006D2E92"/>
    <w:rsid w:val="008320D6"/>
    <w:rsid w:val="008526B8"/>
    <w:rsid w:val="00882663"/>
    <w:rsid w:val="009324CB"/>
    <w:rsid w:val="00A10871"/>
    <w:rsid w:val="00A367F1"/>
    <w:rsid w:val="00A66BC9"/>
    <w:rsid w:val="00AC6320"/>
    <w:rsid w:val="00AC7EC2"/>
    <w:rsid w:val="00C85D5E"/>
    <w:rsid w:val="00DA0C82"/>
    <w:rsid w:val="00DF2336"/>
    <w:rsid w:val="00E618F7"/>
    <w:rsid w:val="6C7A7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
    <w:qFormat/>
    <w:uiPriority w:val="0"/>
    <w:pPr>
      <w:keepNext/>
      <w:keepLines/>
      <w:spacing w:before="340" w:after="330" w:line="576" w:lineRule="auto"/>
      <w:outlineLvl w:val="0"/>
    </w:pPr>
    <w:rPr>
      <w:b/>
      <w:bCs/>
      <w:kern w:val="44"/>
      <w:sz w:val="44"/>
      <w:szCs w:val="44"/>
    </w:rPr>
  </w:style>
  <w:style w:type="paragraph" w:styleId="2">
    <w:name w:val="heading 2"/>
    <w:basedOn w:val="1"/>
    <w:next w:val="1"/>
    <w:link w:val="1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uiPriority w:val="99"/>
    <w:rPr>
      <w:sz w:val="18"/>
      <w:szCs w:val="18"/>
    </w:rPr>
  </w:style>
  <w:style w:type="character" w:customStyle="1" w:styleId="10">
    <w:name w:val="标题 1 Char"/>
    <w:basedOn w:val="7"/>
    <w:link w:val="3"/>
    <w:qFormat/>
    <w:uiPriority w:val="0"/>
    <w:rPr>
      <w:rFonts w:ascii="Times New Roman" w:hAnsi="Times New Roman" w:eastAsia="宋体" w:cs="Times New Roman"/>
      <w:b/>
      <w:bCs/>
      <w:kern w:val="44"/>
      <w:sz w:val="44"/>
      <w:szCs w:val="44"/>
    </w:rPr>
  </w:style>
  <w:style w:type="character" w:customStyle="1" w:styleId="11">
    <w:name w:val="标题 2 Char"/>
    <w:basedOn w:val="7"/>
    <w:link w:val="2"/>
    <w:semiHidden/>
    <w:uiPriority w:val="9"/>
    <w:rPr>
      <w:rFonts w:asciiTheme="majorHAnsi" w:hAnsiTheme="majorHAnsi" w:eastAsiaTheme="majorEastAsia" w:cstheme="majorBidi"/>
      <w:b/>
      <w:bCs/>
      <w:sz w:val="32"/>
      <w:szCs w:val="32"/>
    </w:rPr>
  </w:style>
  <w:style w:type="table" w:customStyle="1" w:styleId="12">
    <w:name w:val="Table Normal"/>
    <w:qFormat/>
    <w:uiPriority w:val="0"/>
    <w:rPr>
      <w:rFonts w:ascii="Times New Roman" w:hAnsi="Times New Roman" w:eastAsia="宋体" w:cs="Times New Roman"/>
      <w:kern w:val="0"/>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3082</Words>
  <Characters>3111</Characters>
  <Lines>22</Lines>
  <Paragraphs>6</Paragraphs>
  <TotalTime>60</TotalTime>
  <ScaleCrop>false</ScaleCrop>
  <LinksUpToDate>false</LinksUpToDate>
  <CharactersWithSpaces>3117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2023-04-26T09:20:00Z</dcterms:created>
  <dc:creator>PC</dc:creator>
  <cp:lastModifiedBy>Administrator</cp:lastModifiedBy>
  <dcterms:modified xsi:type="dcterms:W3CDTF">2023-07-31T08:46:13Z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4D5BBA51220F4C348C672BC47F4B6289_12</vt:lpwstr>
  </property>
</Properties>
</file>