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76" w:lineRule="auto"/>
        <w:jc w:val="center"/>
        <w:outlineLvl w:val="0"/>
        <w:rPr>
          <w:rFonts w:asciiTheme="minorEastAsia" w:hAnsiTheme="minorEastAsia" w:eastAsiaTheme="minorEastAsia"/>
          <w:b/>
          <w:bCs/>
          <w:sz w:val="44"/>
          <w:szCs w:val="44"/>
        </w:rPr>
      </w:pPr>
      <w:bookmarkStart w:id="0" w:name="_Toc264182541"/>
      <w:bookmarkStart w:id="1" w:name="_Toc264213355"/>
      <w:bookmarkStart w:id="2" w:name="_Toc77074959"/>
      <w:r>
        <w:rPr>
          <w:rFonts w:cs="宋体" w:asciiTheme="minorEastAsia" w:hAnsiTheme="minorEastAsia" w:eastAsiaTheme="minorEastAsia"/>
          <w:b/>
          <w:bCs/>
          <w:sz w:val="44"/>
          <w:szCs w:val="44"/>
        </w:rPr>
        <w:t xml:space="preserve"> </w:t>
      </w:r>
      <w:r>
        <w:rPr>
          <w:rFonts w:hint="eastAsia" w:cs="宋体" w:asciiTheme="minorEastAsia" w:hAnsiTheme="minorEastAsia" w:eastAsiaTheme="minorEastAsia"/>
          <w:b/>
          <w:bCs/>
          <w:sz w:val="44"/>
          <w:szCs w:val="44"/>
          <w:lang w:val="en-US" w:eastAsia="zh-CN"/>
        </w:rPr>
        <w:t>第三章</w:t>
      </w:r>
      <w:r>
        <w:rPr>
          <w:rFonts w:cs="宋体" w:asciiTheme="minorEastAsia" w:hAnsiTheme="minorEastAsia" w:eastAsiaTheme="minorEastAsia"/>
          <w:b/>
          <w:bCs/>
          <w:sz w:val="44"/>
          <w:szCs w:val="44"/>
        </w:rPr>
        <w:t xml:space="preserve"> </w:t>
      </w:r>
      <w:bookmarkEnd w:id="0"/>
      <w:bookmarkEnd w:id="1"/>
      <w:r>
        <w:rPr>
          <w:rFonts w:hint="eastAsia" w:cs="宋体" w:asciiTheme="minorEastAsia" w:hAnsiTheme="minorEastAsia" w:eastAsiaTheme="minorEastAsia"/>
          <w:b/>
          <w:bCs/>
          <w:sz w:val="44"/>
          <w:szCs w:val="44"/>
        </w:rPr>
        <w:t>采购需求</w:t>
      </w:r>
      <w:bookmarkEnd w:id="2"/>
    </w:p>
    <w:p>
      <w:pPr>
        <w:pStyle w:val="3"/>
        <w:spacing w:before="0" w:after="0"/>
        <w:rPr>
          <w:rFonts w:asciiTheme="minorEastAsia" w:hAnsiTheme="minorEastAsia" w:eastAsiaTheme="minorEastAsia"/>
          <w:bCs w:val="0"/>
        </w:rPr>
      </w:pPr>
      <w:bookmarkStart w:id="3" w:name="_Toc77074960"/>
      <w:r>
        <w:rPr>
          <w:rFonts w:hint="eastAsia" w:cs="黑体" w:asciiTheme="minorEastAsia" w:hAnsiTheme="minorEastAsia" w:eastAsiaTheme="minorEastAsia"/>
          <w:bCs w:val="0"/>
        </w:rPr>
        <w:t>一、项目概况</w:t>
      </w:r>
      <w:bookmarkEnd w:id="3"/>
    </w:p>
    <w:p>
      <w:pPr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pacing w:after="0" w:line="500" w:lineRule="exact"/>
        <w:ind w:firstLine="480" w:firstLineChars="200"/>
        <w:jc w:val="both"/>
        <w:textAlignment w:val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cs="宋体" w:asciiTheme="minorEastAsia" w:hAnsiTheme="minorEastAsia" w:eastAsiaTheme="minorEastAsia"/>
          <w:sz w:val="24"/>
          <w:szCs w:val="24"/>
        </w:rPr>
        <w:t>1</w:t>
      </w:r>
      <w:r>
        <w:rPr>
          <w:rFonts w:hint="eastAsia" w:cs="宋体" w:asciiTheme="minorEastAsia" w:hAnsiTheme="minorEastAsia" w:eastAsiaTheme="minorEastAsia"/>
          <w:sz w:val="24"/>
          <w:szCs w:val="24"/>
        </w:rPr>
        <w:t>、项目名称：琼港经济合作社海口示范区用地拆迁项目</w:t>
      </w:r>
    </w:p>
    <w:p>
      <w:pPr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pacing w:after="0" w:line="500" w:lineRule="exact"/>
        <w:ind w:firstLine="480" w:firstLineChars="200"/>
        <w:jc w:val="both"/>
        <w:textAlignment w:val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cs="宋体" w:asciiTheme="minorEastAsia" w:hAnsiTheme="minorEastAsia" w:eastAsiaTheme="minorEastAsia"/>
          <w:sz w:val="24"/>
          <w:szCs w:val="24"/>
        </w:rPr>
        <w:t>2</w:t>
      </w:r>
      <w:r>
        <w:rPr>
          <w:rFonts w:hint="eastAsia" w:cs="宋体" w:asciiTheme="minorEastAsia" w:hAnsiTheme="minorEastAsia" w:eastAsiaTheme="minorEastAsia"/>
          <w:sz w:val="24"/>
          <w:szCs w:val="24"/>
        </w:rPr>
        <w:t>、项目编号：</w:t>
      </w:r>
      <w:r>
        <w:rPr>
          <w:rFonts w:ascii="宋体" w:hAnsi="宋体" w:cs="宋体"/>
          <w:sz w:val="24"/>
          <w:szCs w:val="24"/>
        </w:rPr>
        <w:t>HNZT2023-181</w:t>
      </w:r>
    </w:p>
    <w:p>
      <w:pPr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pacing w:after="0" w:line="500" w:lineRule="exact"/>
        <w:ind w:firstLine="480" w:firstLineChars="200"/>
        <w:jc w:val="both"/>
        <w:textAlignment w:val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cs="宋体" w:asciiTheme="minorEastAsia" w:hAnsiTheme="minorEastAsia" w:eastAsiaTheme="minorEastAsia"/>
          <w:sz w:val="24"/>
          <w:szCs w:val="24"/>
        </w:rPr>
        <w:t>3</w:t>
      </w:r>
      <w:r>
        <w:rPr>
          <w:rFonts w:hint="eastAsia" w:cs="宋体" w:asciiTheme="minorEastAsia" w:hAnsiTheme="minorEastAsia" w:eastAsiaTheme="minorEastAsia"/>
          <w:sz w:val="24"/>
          <w:szCs w:val="24"/>
        </w:rPr>
        <w:t>、采购人：海口桂林洋经济开发区管理委员会</w:t>
      </w:r>
    </w:p>
    <w:p>
      <w:pPr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pacing w:after="0" w:line="500" w:lineRule="exact"/>
        <w:ind w:firstLine="480" w:firstLineChars="200"/>
        <w:jc w:val="both"/>
        <w:textAlignment w:val="auto"/>
        <w:rPr>
          <w:rFonts w:cs="宋体" w:asciiTheme="minorEastAsia" w:hAnsiTheme="minorEastAsia" w:eastAsiaTheme="minorEastAsia"/>
          <w:sz w:val="24"/>
          <w:szCs w:val="24"/>
        </w:rPr>
      </w:pPr>
      <w:r>
        <w:rPr>
          <w:rFonts w:cs="宋体" w:asciiTheme="minorEastAsia" w:hAnsiTheme="minorEastAsia" w:eastAsiaTheme="minorEastAsia"/>
          <w:sz w:val="24"/>
          <w:szCs w:val="24"/>
        </w:rPr>
        <w:t>4</w:t>
      </w:r>
      <w:r>
        <w:rPr>
          <w:rFonts w:hint="eastAsia" w:cs="宋体" w:asciiTheme="minorEastAsia" w:hAnsiTheme="minorEastAsia" w:eastAsiaTheme="minorEastAsia"/>
          <w:sz w:val="24"/>
          <w:szCs w:val="24"/>
        </w:rPr>
        <w:t>、采购内容概述：</w:t>
      </w:r>
      <w:r>
        <w:rPr>
          <w:rFonts w:cs="宋体" w:asciiTheme="minorEastAsia" w:hAnsiTheme="minorEastAsia" w:eastAsiaTheme="minorEastAsia"/>
          <w:sz w:val="24"/>
          <w:szCs w:val="24"/>
        </w:rPr>
        <w:t>项目建设需要收回海口桂林洋投资发展控股有限公司（原桂林洋农场）523208.07 平方米（约 784.81 亩）国有土地。收回的国有土地中涉及到桂林洋经济开发区传忠社区居委会长排村、文君村、林排村、大燕尾村和小燕尾村五个村庄共 294.12 亩的村庄用地征收，含村庄公共建设用地（约 182.84 亩）和住宅用地（约 111.28亩）。涉征编号共 941 个，其中房屋编号 854 个，附属物编号 87 个。涉征房屋总面积 133279.74 ㎡（框架 38466.64 ㎡，混合 78514.72㎡，砖瓦16298.38 ㎡），</w:t>
      </w:r>
      <w:r>
        <w:rPr>
          <w:rFonts w:hint="eastAsia" w:cs="宋体" w:asciiTheme="minorEastAsia" w:hAnsiTheme="minorEastAsia" w:eastAsiaTheme="minorEastAsia"/>
          <w:sz w:val="24"/>
          <w:szCs w:val="24"/>
        </w:rPr>
        <w:t>本次征收房屋建筑面积指的是房屋三大主体（框架、混合、砖瓦）建筑面积)</w:t>
      </w:r>
      <w:r>
        <w:rPr>
          <w:rFonts w:cs="宋体" w:asciiTheme="minorEastAsia" w:hAnsiTheme="minorEastAsia" w:eastAsiaTheme="minorEastAsia"/>
          <w:sz w:val="24"/>
          <w:szCs w:val="24"/>
        </w:rPr>
        <w:t>以及附属物一批。</w:t>
      </w:r>
      <w:r>
        <w:rPr>
          <w:rFonts w:hint="eastAsia" w:cs="宋体" w:asciiTheme="minorEastAsia" w:hAnsiTheme="minorEastAsia" w:eastAsiaTheme="minorEastAsia"/>
          <w:sz w:val="24"/>
          <w:szCs w:val="24"/>
        </w:rPr>
        <w:t>（以实际征拆的工程量为准）</w:t>
      </w:r>
    </w:p>
    <w:p>
      <w:pPr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pacing w:after="0" w:line="500" w:lineRule="exact"/>
        <w:ind w:firstLine="480" w:firstLineChars="200"/>
        <w:jc w:val="both"/>
        <w:textAlignment w:val="auto"/>
        <w:rPr>
          <w:rFonts w:hint="eastAsia" w:cs="宋体" w:asciiTheme="minorEastAsia" w:hAnsiTheme="minorEastAsia" w:eastAsiaTheme="minorEastAsia"/>
          <w:sz w:val="24"/>
          <w:szCs w:val="24"/>
          <w:lang w:eastAsia="zh-CN"/>
        </w:rPr>
      </w:pPr>
      <w:r>
        <w:rPr>
          <w:rFonts w:cs="宋体" w:asciiTheme="minorEastAsia" w:hAnsiTheme="minorEastAsia" w:eastAsiaTheme="minorEastAsia"/>
          <w:sz w:val="24"/>
          <w:szCs w:val="24"/>
        </w:rPr>
        <w:t>5</w:t>
      </w:r>
      <w:r>
        <w:rPr>
          <w:rFonts w:hint="eastAsia" w:cs="宋体" w:asciiTheme="minorEastAsia" w:hAnsiTheme="minorEastAsia" w:eastAsiaTheme="minorEastAsia"/>
          <w:sz w:val="24"/>
          <w:szCs w:val="24"/>
        </w:rPr>
        <w:t>、采购</w:t>
      </w:r>
      <w:r>
        <w:rPr>
          <w:rFonts w:hint="eastAsia" w:cs="宋体" w:asciiTheme="minorEastAsia" w:hAnsiTheme="minorEastAsia" w:eastAsiaTheme="minorEastAsia"/>
          <w:sz w:val="24"/>
          <w:szCs w:val="24"/>
          <w:lang w:val="en-US" w:eastAsia="zh-CN"/>
        </w:rPr>
        <w:t>金额(招标控制价)：7111378.31</w:t>
      </w:r>
      <w:r>
        <w:rPr>
          <w:rFonts w:hint="eastAsia" w:cs="宋体" w:asciiTheme="minorEastAsia" w:hAnsiTheme="minorEastAsia" w:eastAsiaTheme="minorEastAsia"/>
          <w:sz w:val="24"/>
          <w:szCs w:val="24"/>
        </w:rPr>
        <w:t>元，超出控制价的投标报价将被拒绝</w:t>
      </w:r>
      <w:r>
        <w:rPr>
          <w:rFonts w:hint="eastAsia" w:cs="宋体" w:asciiTheme="minorEastAsia" w:hAnsiTheme="minorEastAsia" w:eastAsiaTheme="minorEastAsia"/>
          <w:sz w:val="24"/>
          <w:szCs w:val="24"/>
          <w:lang w:eastAsia="zh-CN"/>
        </w:rPr>
        <w:t>。</w:t>
      </w:r>
    </w:p>
    <w:p>
      <w:pPr>
        <w:pStyle w:val="2"/>
        <w:rPr>
          <w:rFonts w:hint="eastAsia"/>
          <w:color w:val="auto"/>
          <w:sz w:val="24"/>
          <w:lang w:eastAsia="zh-CN"/>
        </w:rPr>
      </w:pPr>
    </w:p>
    <w:p>
      <w:pPr>
        <w:pStyle w:val="2"/>
        <w:rPr>
          <w:rFonts w:hint="eastAsia"/>
          <w:color w:val="auto"/>
          <w:sz w:val="24"/>
          <w:lang w:eastAsia="zh-CN"/>
        </w:rPr>
      </w:pPr>
    </w:p>
    <w:p>
      <w:pPr>
        <w:pStyle w:val="2"/>
        <w:rPr>
          <w:rFonts w:hint="eastAsia"/>
          <w:color w:val="auto"/>
          <w:sz w:val="24"/>
          <w:lang w:eastAsia="zh-CN"/>
        </w:rPr>
      </w:pPr>
    </w:p>
    <w:p>
      <w:pPr>
        <w:pStyle w:val="2"/>
        <w:rPr>
          <w:rFonts w:hint="eastAsia"/>
          <w:color w:val="auto"/>
          <w:sz w:val="24"/>
          <w:lang w:eastAsia="zh-CN"/>
        </w:rPr>
      </w:pPr>
    </w:p>
    <w:p>
      <w:pPr>
        <w:pStyle w:val="2"/>
        <w:rPr>
          <w:rFonts w:hint="eastAsia"/>
          <w:color w:val="auto"/>
          <w:sz w:val="24"/>
          <w:lang w:eastAsia="zh-CN"/>
        </w:rPr>
      </w:pPr>
    </w:p>
    <w:p>
      <w:pPr>
        <w:pStyle w:val="2"/>
        <w:rPr>
          <w:rFonts w:hint="eastAsia"/>
          <w:color w:val="auto"/>
          <w:sz w:val="24"/>
          <w:lang w:eastAsia="zh-CN"/>
        </w:rPr>
      </w:pPr>
    </w:p>
    <w:p>
      <w:pPr>
        <w:pStyle w:val="2"/>
        <w:rPr>
          <w:rFonts w:hint="eastAsia"/>
          <w:color w:val="auto"/>
          <w:sz w:val="24"/>
          <w:lang w:eastAsia="zh-CN"/>
        </w:rPr>
      </w:pPr>
    </w:p>
    <w:p>
      <w:pPr>
        <w:pStyle w:val="2"/>
        <w:rPr>
          <w:rFonts w:hint="eastAsia"/>
          <w:color w:val="auto"/>
          <w:sz w:val="24"/>
          <w:lang w:eastAsia="zh-CN"/>
        </w:rPr>
      </w:pPr>
    </w:p>
    <w:p>
      <w:pPr>
        <w:pStyle w:val="2"/>
        <w:rPr>
          <w:rFonts w:hint="eastAsia"/>
          <w:color w:val="auto"/>
          <w:sz w:val="24"/>
          <w:lang w:eastAsia="zh-CN"/>
        </w:rPr>
      </w:pPr>
    </w:p>
    <w:p>
      <w:pPr>
        <w:pStyle w:val="2"/>
        <w:rPr>
          <w:rFonts w:hint="eastAsia"/>
          <w:color w:val="auto"/>
          <w:sz w:val="24"/>
          <w:lang w:eastAsia="zh-CN"/>
        </w:rPr>
      </w:pPr>
    </w:p>
    <w:p>
      <w:pPr>
        <w:pStyle w:val="2"/>
        <w:rPr>
          <w:rFonts w:hint="eastAsia"/>
          <w:color w:val="auto"/>
          <w:sz w:val="24"/>
          <w:lang w:eastAsia="zh-CN"/>
        </w:rPr>
      </w:pPr>
    </w:p>
    <w:p>
      <w:pPr>
        <w:pStyle w:val="2"/>
        <w:rPr>
          <w:rFonts w:hint="eastAsia"/>
          <w:color w:val="auto"/>
          <w:sz w:val="24"/>
          <w:lang w:eastAsia="zh-CN"/>
        </w:rPr>
      </w:pPr>
    </w:p>
    <w:p>
      <w:pPr>
        <w:pStyle w:val="2"/>
        <w:rPr>
          <w:rFonts w:hint="eastAsia"/>
          <w:color w:val="auto"/>
          <w:sz w:val="24"/>
          <w:lang w:eastAsia="zh-CN"/>
        </w:rPr>
      </w:pPr>
    </w:p>
    <w:p>
      <w:pPr>
        <w:pStyle w:val="2"/>
        <w:rPr>
          <w:rFonts w:hint="eastAsia"/>
          <w:color w:val="auto"/>
          <w:sz w:val="24"/>
          <w:lang w:eastAsia="zh-CN"/>
        </w:rPr>
      </w:pPr>
    </w:p>
    <w:p>
      <w:pPr>
        <w:pStyle w:val="2"/>
        <w:rPr>
          <w:rFonts w:hint="eastAsia"/>
          <w:color w:val="auto"/>
          <w:sz w:val="24"/>
          <w:lang w:eastAsia="zh-CN"/>
        </w:rPr>
      </w:pPr>
    </w:p>
    <w:p>
      <w:pPr>
        <w:pStyle w:val="2"/>
        <w:rPr>
          <w:rFonts w:hint="eastAsia"/>
          <w:color w:val="auto"/>
          <w:sz w:val="24"/>
          <w:lang w:eastAsia="zh-CN"/>
        </w:rPr>
      </w:pPr>
    </w:p>
    <w:p>
      <w:pPr>
        <w:pStyle w:val="2"/>
        <w:rPr>
          <w:rFonts w:hint="eastAsia"/>
          <w:color w:val="auto"/>
          <w:sz w:val="24"/>
          <w:lang w:eastAsia="zh-CN"/>
        </w:rPr>
      </w:pPr>
    </w:p>
    <w:p>
      <w:pPr>
        <w:pStyle w:val="2"/>
        <w:rPr>
          <w:rFonts w:hint="eastAsia"/>
          <w:color w:val="auto"/>
          <w:sz w:val="24"/>
          <w:lang w:eastAsia="zh-CN"/>
        </w:rPr>
      </w:pPr>
    </w:p>
    <w:p>
      <w:pPr>
        <w:pStyle w:val="2"/>
        <w:rPr>
          <w:rFonts w:hint="eastAsia"/>
          <w:color w:val="auto"/>
          <w:sz w:val="24"/>
          <w:lang w:eastAsia="zh-CN"/>
        </w:rPr>
      </w:pPr>
    </w:p>
    <w:p>
      <w:pPr>
        <w:pStyle w:val="2"/>
        <w:rPr>
          <w:rFonts w:hint="eastAsia"/>
          <w:color w:val="auto"/>
          <w:sz w:val="24"/>
          <w:lang w:eastAsia="zh-CN"/>
        </w:rPr>
      </w:pPr>
    </w:p>
    <w:p>
      <w:pPr>
        <w:pStyle w:val="2"/>
        <w:rPr>
          <w:rFonts w:hint="eastAsia"/>
          <w:color w:val="auto"/>
          <w:sz w:val="24"/>
          <w:lang w:eastAsia="zh-CN"/>
        </w:rPr>
      </w:pPr>
    </w:p>
    <w:tbl>
      <w:tblPr>
        <w:tblStyle w:val="7"/>
        <w:tblpPr w:leftFromText="180" w:rightFromText="180" w:vertAnchor="text" w:horzAnchor="page" w:tblpX="727" w:tblpY="108"/>
        <w:tblW w:w="10881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1020"/>
        <w:gridCol w:w="880"/>
        <w:gridCol w:w="1340"/>
        <w:gridCol w:w="1240"/>
        <w:gridCol w:w="1220"/>
        <w:gridCol w:w="1220"/>
        <w:gridCol w:w="1053"/>
        <w:gridCol w:w="1134"/>
        <w:gridCol w:w="11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108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36"/>
                <w:szCs w:val="36"/>
              </w:rPr>
              <w:t>琼港合作社区海口示范区项目前期征收调查数据汇总表（单位㎡）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编号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片区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房屋栋数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建筑面积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首层占地面积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框架结构面积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混合结构面积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砖木结构面积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简易房面积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林排村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29676.07 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16301.21 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8320.27 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17733.04 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3622.76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1319.17 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1、本次测绘以图测方式进行；                      2、测绘结果截止于2022年11月10日；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2、建筑面积未包含简易房面积；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3、房屋栋数为所有结构房屋数量合计，非本区域户数。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文君村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38418.56 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19675.52 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13647.28 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20400.78 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4370.50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451.58 </w:t>
            </w: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长排村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30669.54 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15158.82 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13723.84 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13755.52 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3190.18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213.83 </w:t>
            </w: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燕尾村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34515.57 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22595.19 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2775.25 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26625.38 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5114.94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1437.40 </w:t>
            </w: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/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854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 xml:space="preserve">133279.74 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 xml:space="preserve">73730.75 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 xml:space="preserve">38466.64 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 xml:space="preserve">78514.72 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 xml:space="preserve">16298.38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 xml:space="preserve">3421.98 </w:t>
            </w: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</w:tbl>
    <w:p>
      <w:pPr>
        <w:widowControl w:val="0"/>
        <w:autoSpaceDE w:val="0"/>
        <w:autoSpaceDN w:val="0"/>
        <w:spacing w:after="0" w:line="276" w:lineRule="auto"/>
        <w:ind w:firstLine="480" w:firstLineChars="200"/>
        <w:jc w:val="both"/>
        <w:rPr>
          <w:rFonts w:cs="宋体" w:asciiTheme="minorEastAsia" w:hAnsiTheme="minorEastAsia" w:eastAsiaTheme="minorEastAsia"/>
          <w:sz w:val="24"/>
          <w:szCs w:val="24"/>
        </w:rPr>
      </w:pPr>
    </w:p>
    <w:p>
      <w:pPr>
        <w:pStyle w:val="3"/>
        <w:pageBreakBefore w:val="0"/>
        <w:kinsoku/>
        <w:wordWrap/>
        <w:overflowPunct/>
        <w:topLinePunct w:val="0"/>
        <w:bidi w:val="0"/>
        <w:spacing w:before="0" w:after="0" w:line="500" w:lineRule="exact"/>
        <w:textAlignment w:val="auto"/>
        <w:rPr>
          <w:rFonts w:asciiTheme="minorEastAsia" w:hAnsiTheme="minorEastAsia" w:eastAsiaTheme="minorEastAsia"/>
          <w:bCs w:val="0"/>
        </w:rPr>
      </w:pPr>
      <w:bookmarkStart w:id="4" w:name="_Toc77074961"/>
      <w:r>
        <w:rPr>
          <w:rFonts w:hint="eastAsia" w:cs="黑体" w:asciiTheme="minorEastAsia" w:hAnsiTheme="minorEastAsia" w:eastAsiaTheme="minorEastAsia"/>
          <w:bCs w:val="0"/>
        </w:rPr>
        <w:t>二、</w:t>
      </w:r>
      <w:bookmarkEnd w:id="4"/>
      <w:r>
        <w:rPr>
          <w:rFonts w:hint="eastAsia" w:cs="黑体" w:asciiTheme="minorEastAsia" w:hAnsiTheme="minorEastAsia" w:eastAsiaTheme="minorEastAsia"/>
          <w:bCs w:val="0"/>
        </w:rPr>
        <w:t>采购内容</w:t>
      </w:r>
    </w:p>
    <w:p>
      <w:pPr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pacing w:after="0" w:line="500" w:lineRule="exact"/>
        <w:ind w:firstLine="480" w:firstLineChars="200"/>
        <w:jc w:val="both"/>
        <w:textAlignment w:val="auto"/>
        <w:rPr>
          <w:rFonts w:cs="宋体" w:asciiTheme="minorEastAsia" w:hAnsiTheme="minorEastAsia" w:eastAsiaTheme="minorEastAsia"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sz w:val="24"/>
          <w:szCs w:val="24"/>
        </w:rPr>
        <w:t>本次招标范围为调查及征收签约服务、测绘、征拆工程。</w:t>
      </w:r>
    </w:p>
    <w:p>
      <w:pPr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pacing w:after="0" w:line="500" w:lineRule="exact"/>
        <w:ind w:firstLine="480" w:firstLineChars="200"/>
        <w:jc w:val="both"/>
        <w:textAlignment w:val="auto"/>
        <w:rPr>
          <w:rFonts w:hint="eastAsia" w:cs="宋体" w:asciiTheme="minorEastAsia" w:hAnsiTheme="minorEastAsia" w:eastAsiaTheme="minorEastAsia"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sz w:val="24"/>
          <w:szCs w:val="24"/>
        </w:rPr>
        <w:t>（1）拆迁单位工作内容：1.1、对征收范围内的土地、房屋及附属物进行产权调查、测绘并制图，同时进行入户调查等详细调查；1.2、动员及牵头组织征收范围内的被征收户签订征收补偿安置协议； 1.3、对征收范围内的房屋及附属物实施拆除及清运；1.4、其他基于本委托需要从事的工作。</w:t>
      </w:r>
    </w:p>
    <w:p>
      <w:pPr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pacing w:after="0" w:line="500" w:lineRule="exact"/>
        <w:ind w:firstLine="480" w:firstLineChars="200"/>
        <w:jc w:val="both"/>
        <w:textAlignment w:val="auto"/>
        <w:rPr>
          <w:rFonts w:hint="eastAsia" w:cs="宋体" w:asciiTheme="minorEastAsia" w:hAnsiTheme="minorEastAsia" w:eastAsiaTheme="minorEastAsia"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sz w:val="24"/>
          <w:szCs w:val="24"/>
        </w:rPr>
        <w:t>（2）测绘单位工作内容：该项目的房屋占地面积、房产面积调查及测量工作。</w:t>
      </w:r>
    </w:p>
    <w:p>
      <w:pPr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pacing w:after="0" w:line="500" w:lineRule="exact"/>
        <w:ind w:firstLine="480" w:firstLineChars="200"/>
        <w:jc w:val="both"/>
        <w:textAlignment w:val="auto"/>
        <w:rPr>
          <w:rFonts w:hint="eastAsia" w:cs="宋体" w:asciiTheme="minorEastAsia" w:hAnsiTheme="minorEastAsia" w:eastAsiaTheme="minorEastAsia"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sz w:val="24"/>
          <w:szCs w:val="24"/>
        </w:rPr>
        <w:t>本次设置房屋征收工作经费最高限价为</w:t>
      </w:r>
      <w:r>
        <w:rPr>
          <w:rFonts w:hint="eastAsia" w:cs="宋体" w:asciiTheme="minorEastAsia" w:hAnsiTheme="minorEastAsia" w:eastAsiaTheme="minorEastAsia"/>
          <w:sz w:val="24"/>
          <w:szCs w:val="24"/>
          <w:lang w:val="en-US" w:eastAsia="zh-CN"/>
        </w:rPr>
        <w:t>21.8</w:t>
      </w:r>
      <w:r>
        <w:rPr>
          <w:rFonts w:hint="eastAsia" w:cs="宋体" w:asciiTheme="minorEastAsia" w:hAnsiTheme="minorEastAsia" w:eastAsiaTheme="minorEastAsia"/>
          <w:sz w:val="24"/>
          <w:szCs w:val="24"/>
        </w:rPr>
        <w:t>元/㎡（不含奖励），其中调查及征收签约服务费（含数据统计及汇总、入户调查、签订补偿协议服务等）按单价2</w:t>
      </w:r>
      <w:r>
        <w:rPr>
          <w:rFonts w:hint="eastAsia" w:cs="宋体" w:asciiTheme="minorEastAsia" w:hAnsiTheme="minorEastAsia" w:eastAsiaTheme="minorEastAsia"/>
          <w:sz w:val="24"/>
          <w:szCs w:val="24"/>
          <w:lang w:val="en-US" w:eastAsia="zh-CN"/>
        </w:rPr>
        <w:t>0</w:t>
      </w:r>
      <w:bookmarkStart w:id="7" w:name="_GoBack"/>
      <w:bookmarkEnd w:id="7"/>
      <w:r>
        <w:rPr>
          <w:rFonts w:hint="eastAsia" w:cs="宋体" w:asciiTheme="minorEastAsia" w:hAnsiTheme="minorEastAsia" w:eastAsiaTheme="minorEastAsia"/>
          <w:sz w:val="24"/>
          <w:szCs w:val="24"/>
        </w:rPr>
        <w:t>元/㎡计，测量服务费按1.8元/㎡计。框架结构拆除清运费按27元/㎡计，混合结构拆除清运费按18元/㎡计；砖瓦结构拆除清运费按9元/㎡计。</w:t>
      </w:r>
    </w:p>
    <w:p>
      <w:pPr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pacing w:after="0" w:line="500" w:lineRule="exact"/>
        <w:ind w:firstLine="480" w:firstLineChars="200"/>
        <w:jc w:val="both"/>
        <w:textAlignment w:val="auto"/>
        <w:rPr>
          <w:rFonts w:hint="eastAsia" w:cs="宋体" w:asciiTheme="minorEastAsia" w:hAnsiTheme="minorEastAsia" w:eastAsiaTheme="minorEastAsia"/>
          <w:sz w:val="24"/>
          <w:szCs w:val="24"/>
        </w:rPr>
      </w:pPr>
    </w:p>
    <w:p>
      <w:pPr>
        <w:widowControl w:val="0"/>
        <w:autoSpaceDE w:val="0"/>
        <w:autoSpaceDN w:val="0"/>
        <w:spacing w:after="0" w:line="276" w:lineRule="auto"/>
        <w:ind w:firstLine="480" w:firstLineChars="200"/>
        <w:jc w:val="both"/>
        <w:rPr>
          <w:rFonts w:cs="宋体" w:asciiTheme="minorEastAsia" w:hAnsiTheme="minorEastAsia" w:eastAsiaTheme="minorEastAsia"/>
          <w:sz w:val="24"/>
          <w:szCs w:val="24"/>
        </w:rPr>
      </w:pPr>
    </w:p>
    <w:p>
      <w:pPr>
        <w:pStyle w:val="3"/>
        <w:spacing w:before="0" w:after="0"/>
        <w:rPr>
          <w:rFonts w:asciiTheme="minorEastAsia" w:hAnsiTheme="minorEastAsia" w:eastAsiaTheme="minorEastAsia"/>
          <w:bCs w:val="0"/>
        </w:rPr>
      </w:pPr>
      <w:bookmarkStart w:id="5" w:name="_Toc77074962"/>
      <w:r>
        <w:rPr>
          <w:rFonts w:hint="eastAsia" w:cs="黑体" w:asciiTheme="minorEastAsia" w:hAnsiTheme="minorEastAsia" w:eastAsiaTheme="minorEastAsia"/>
          <w:bCs w:val="0"/>
        </w:rPr>
        <w:t>三、服务要求</w:t>
      </w:r>
      <w:bookmarkEnd w:id="5"/>
    </w:p>
    <w:p>
      <w:pPr>
        <w:spacing w:after="0" w:line="360" w:lineRule="auto"/>
        <w:ind w:right="238"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cs="宋体" w:asciiTheme="minorEastAsia" w:hAnsiTheme="minorEastAsia" w:eastAsiaTheme="minorEastAsia"/>
          <w:sz w:val="24"/>
          <w:szCs w:val="24"/>
        </w:rPr>
        <w:t>1.</w:t>
      </w:r>
      <w:r>
        <w:rPr>
          <w:rFonts w:hint="eastAsia" w:cs="宋体" w:asciiTheme="minorEastAsia" w:hAnsiTheme="minorEastAsia" w:eastAsiaTheme="minorEastAsia"/>
          <w:sz w:val="24"/>
          <w:szCs w:val="24"/>
        </w:rPr>
        <w:t>现场操作人员须经过专业培训、持有相应的岗位证书，在拆除危险区周围设禁区围栏、警戒标志，派专人监护，禁止非拆除人员进入施工现场。</w:t>
      </w:r>
    </w:p>
    <w:p>
      <w:pPr>
        <w:spacing w:after="0" w:line="360" w:lineRule="auto"/>
        <w:ind w:right="238"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cs="宋体" w:asciiTheme="minorEastAsia" w:hAnsiTheme="minorEastAsia" w:eastAsiaTheme="minorEastAsia"/>
          <w:sz w:val="24"/>
          <w:szCs w:val="24"/>
        </w:rPr>
        <w:t>2.</w:t>
      </w:r>
      <w:r>
        <w:rPr>
          <w:rFonts w:hint="eastAsia" w:cs="宋体" w:asciiTheme="minorEastAsia" w:hAnsiTheme="minorEastAsia" w:eastAsiaTheme="minorEastAsia"/>
          <w:sz w:val="24"/>
          <w:szCs w:val="24"/>
        </w:rPr>
        <w:t>搭设临时防护设施，避免拆除时的煞、石、灰尘飞扬影响生产的正常进行。</w:t>
      </w:r>
    </w:p>
    <w:p>
      <w:pPr>
        <w:spacing w:after="0" w:line="360" w:lineRule="auto"/>
        <w:ind w:right="238"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cs="宋体" w:asciiTheme="minorEastAsia" w:hAnsiTheme="minorEastAsia" w:eastAsiaTheme="minorEastAsia"/>
          <w:sz w:val="24"/>
          <w:szCs w:val="24"/>
        </w:rPr>
        <w:t>3.</w:t>
      </w:r>
      <w:r>
        <w:rPr>
          <w:rFonts w:hint="eastAsia" w:cs="宋体" w:asciiTheme="minorEastAsia" w:hAnsiTheme="minorEastAsia" w:eastAsiaTheme="minorEastAsia"/>
          <w:sz w:val="24"/>
          <w:szCs w:val="24"/>
        </w:rPr>
        <w:t>在拆除危险区设置警戒区标志。接引好施工用临时电源、水源，现场照明</w:t>
      </w:r>
    </w:p>
    <w:p>
      <w:pPr>
        <w:spacing w:after="0" w:line="360" w:lineRule="auto"/>
        <w:ind w:right="238"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sz w:val="24"/>
          <w:szCs w:val="24"/>
        </w:rPr>
        <w:t>不能使用被拆建筑物内的配电设施，应另外敷设。保证施工时水电畅通。</w:t>
      </w:r>
    </w:p>
    <w:p>
      <w:pPr>
        <w:spacing w:after="0" w:line="360" w:lineRule="auto"/>
        <w:ind w:right="238"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cs="宋体" w:asciiTheme="minorEastAsia" w:hAnsiTheme="minorEastAsia" w:eastAsiaTheme="minorEastAsia"/>
          <w:sz w:val="24"/>
          <w:szCs w:val="24"/>
        </w:rPr>
        <w:t>4.</w:t>
      </w:r>
      <w:r>
        <w:rPr>
          <w:rFonts w:hint="eastAsia" w:cs="宋体" w:asciiTheme="minorEastAsia" w:hAnsiTheme="minorEastAsia" w:eastAsiaTheme="minorEastAsia"/>
          <w:sz w:val="24"/>
          <w:szCs w:val="24"/>
        </w:rPr>
        <w:t>根据现场实际情况（图纸）编制相应的施工作业程序。针对现场实际情况编制安全技术交底，并在拆除作业开始前对所有参与拆除的作业人员进行安全技术交底。</w:t>
      </w:r>
    </w:p>
    <w:p>
      <w:pPr>
        <w:spacing w:after="0" w:line="360" w:lineRule="auto"/>
        <w:ind w:right="238"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cs="宋体" w:asciiTheme="minorEastAsia" w:hAnsiTheme="minorEastAsia" w:eastAsiaTheme="minorEastAsia"/>
          <w:sz w:val="24"/>
          <w:szCs w:val="24"/>
        </w:rPr>
        <w:t>5.</w:t>
      </w:r>
      <w:r>
        <w:rPr>
          <w:rFonts w:hint="eastAsia" w:cs="宋体" w:asciiTheme="minorEastAsia" w:hAnsiTheme="minorEastAsia" w:eastAsiaTheme="minorEastAsia"/>
          <w:sz w:val="24"/>
          <w:szCs w:val="24"/>
        </w:rPr>
        <w:t>将拆除所需的区域清理并做好安全区隔离和挂安全警示标志，清理施工现场的杂物，检查拆除区域是否有障碍物等。</w:t>
      </w:r>
    </w:p>
    <w:p>
      <w:pPr>
        <w:spacing w:after="0" w:line="360" w:lineRule="auto"/>
        <w:ind w:right="238"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cs="宋体" w:asciiTheme="minorEastAsia" w:hAnsiTheme="minorEastAsia" w:eastAsiaTheme="minorEastAsia"/>
          <w:sz w:val="24"/>
          <w:szCs w:val="24"/>
        </w:rPr>
        <w:t>6.</w:t>
      </w:r>
      <w:r>
        <w:rPr>
          <w:rFonts w:hint="eastAsia" w:cs="宋体" w:asciiTheme="minorEastAsia" w:hAnsiTheme="minorEastAsia" w:eastAsiaTheme="minorEastAsia"/>
          <w:sz w:val="24"/>
          <w:szCs w:val="24"/>
        </w:rPr>
        <w:t>拆迁施工严格执行安全施工操作规程，对不符合施工条件的一律不准施工，杜绝安全事故发生。</w:t>
      </w:r>
    </w:p>
    <w:p>
      <w:pPr>
        <w:spacing w:after="0" w:line="360" w:lineRule="auto"/>
        <w:ind w:right="238"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cs="宋体" w:asciiTheme="minorEastAsia" w:hAnsiTheme="minorEastAsia" w:eastAsiaTheme="minorEastAsia"/>
          <w:sz w:val="24"/>
          <w:szCs w:val="24"/>
        </w:rPr>
        <w:t xml:space="preserve">7. </w:t>
      </w:r>
      <w:r>
        <w:rPr>
          <w:rFonts w:hint="eastAsia" w:cs="宋体" w:asciiTheme="minorEastAsia" w:hAnsiTheme="minorEastAsia" w:eastAsiaTheme="minorEastAsia"/>
          <w:sz w:val="24"/>
          <w:szCs w:val="24"/>
        </w:rPr>
        <w:t>拆除实施方案：制定拆除工程施工详细步骤（包括运输、现场管理等）、工艺要求、安全生产技术措施、文明施工保证措施及质量保证体系措施，并提供相应的机械设备清单。拆除施工中应对重大危险源和可能发生事故隐患拟定安全专项方案（包括：组织、器材、联系电话及应急报告程序和救援方案）。</w:t>
      </w:r>
    </w:p>
    <w:p>
      <w:pPr>
        <w:pStyle w:val="3"/>
        <w:spacing w:before="0" w:after="0"/>
        <w:rPr>
          <w:rFonts w:asciiTheme="minorEastAsia" w:hAnsiTheme="minorEastAsia" w:eastAsiaTheme="minorEastAsia"/>
        </w:rPr>
      </w:pPr>
      <w:bookmarkStart w:id="6" w:name="_Toc77074963"/>
      <w:r>
        <w:rPr>
          <w:rFonts w:hint="eastAsia" w:cs="黑体" w:asciiTheme="minorEastAsia" w:hAnsiTheme="minorEastAsia" w:eastAsiaTheme="minorEastAsia"/>
        </w:rPr>
        <w:t>四、商务要求</w:t>
      </w:r>
      <w:bookmarkEnd w:id="6"/>
    </w:p>
    <w:p>
      <w:pPr>
        <w:widowControl w:val="0"/>
        <w:autoSpaceDE w:val="0"/>
        <w:autoSpaceDN w:val="0"/>
        <w:spacing w:after="0" w:line="360" w:lineRule="auto"/>
        <w:ind w:firstLine="480" w:firstLineChars="200"/>
        <w:jc w:val="both"/>
        <w:rPr>
          <w:rFonts w:asciiTheme="minorEastAsia" w:hAnsiTheme="minorEastAsia" w:eastAsiaTheme="minorEastAsia"/>
          <w:sz w:val="24"/>
          <w:szCs w:val="24"/>
        </w:rPr>
      </w:pPr>
      <w:r>
        <w:rPr>
          <w:rFonts w:cs="宋体" w:asciiTheme="minorEastAsia" w:hAnsiTheme="minorEastAsia" w:eastAsiaTheme="minorEastAsia"/>
          <w:sz w:val="24"/>
          <w:szCs w:val="24"/>
        </w:rPr>
        <w:t>1</w:t>
      </w:r>
      <w:r>
        <w:rPr>
          <w:rFonts w:hint="eastAsia" w:cs="宋体" w:asciiTheme="minorEastAsia" w:hAnsiTheme="minorEastAsia" w:eastAsiaTheme="minorEastAsia"/>
          <w:sz w:val="24"/>
          <w:szCs w:val="24"/>
        </w:rPr>
        <w:t>、服务期（工期）：</w:t>
      </w:r>
      <w:r>
        <w:rPr>
          <w:rFonts w:hint="eastAsia" w:cs="宋体" w:asciiTheme="minorEastAsia" w:hAnsiTheme="minorEastAsia" w:eastAsiaTheme="minorEastAsia"/>
          <w:sz w:val="24"/>
          <w:szCs w:val="24"/>
          <w:lang w:val="en-US" w:eastAsia="zh-CN"/>
        </w:rPr>
        <w:t>120</w:t>
      </w:r>
      <w:r>
        <w:rPr>
          <w:rFonts w:cs="宋体" w:asciiTheme="minorEastAsia" w:hAnsiTheme="minorEastAsia" w:eastAsiaTheme="minorEastAsia"/>
          <w:sz w:val="24"/>
          <w:szCs w:val="24"/>
        </w:rPr>
        <w:t>日历天</w:t>
      </w:r>
      <w:r>
        <w:rPr>
          <w:rFonts w:hint="eastAsia" w:cs="宋体" w:asciiTheme="minorEastAsia" w:hAnsiTheme="minorEastAsia" w:eastAsiaTheme="minorEastAsia"/>
          <w:sz w:val="24"/>
          <w:szCs w:val="24"/>
          <w:u w:val="none" w:color="auto"/>
        </w:rPr>
        <w:t>。</w:t>
      </w:r>
    </w:p>
    <w:p>
      <w:pPr>
        <w:widowControl w:val="0"/>
        <w:autoSpaceDE w:val="0"/>
        <w:autoSpaceDN w:val="0"/>
        <w:spacing w:after="0" w:line="360" w:lineRule="auto"/>
        <w:ind w:firstLine="480" w:firstLineChars="200"/>
        <w:jc w:val="both"/>
        <w:rPr>
          <w:rFonts w:asciiTheme="minorEastAsia" w:hAnsiTheme="minorEastAsia" w:eastAsiaTheme="minorEastAsia"/>
          <w:sz w:val="24"/>
          <w:szCs w:val="24"/>
        </w:rPr>
      </w:pPr>
      <w:r>
        <w:rPr>
          <w:rFonts w:cs="宋体" w:asciiTheme="minorEastAsia" w:hAnsiTheme="minorEastAsia" w:eastAsiaTheme="minorEastAsia"/>
          <w:sz w:val="24"/>
          <w:szCs w:val="24"/>
        </w:rPr>
        <w:t>2</w:t>
      </w:r>
      <w:r>
        <w:rPr>
          <w:rFonts w:hint="eastAsia" w:cs="宋体" w:asciiTheme="minorEastAsia" w:hAnsiTheme="minorEastAsia" w:eastAsiaTheme="minorEastAsia"/>
          <w:sz w:val="24"/>
          <w:szCs w:val="24"/>
        </w:rPr>
        <w:t>、服务地点：采购人指定地点。</w:t>
      </w:r>
    </w:p>
    <w:p>
      <w:pPr>
        <w:spacing w:after="0" w:line="360" w:lineRule="auto"/>
        <w:ind w:right="238" w:firstLine="480" w:firstLineChars="200"/>
        <w:rPr>
          <w:rFonts w:hint="eastAsia" w:cs="宋体" w:asciiTheme="minorEastAsia" w:hAnsiTheme="minorEastAsia" w:eastAsiaTheme="minorEastAsia"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sz w:val="24"/>
          <w:szCs w:val="24"/>
        </w:rPr>
        <w:t>3、付款方式：</w:t>
      </w:r>
    </w:p>
    <w:p>
      <w:pPr>
        <w:spacing w:after="0" w:line="360" w:lineRule="auto"/>
        <w:ind w:right="238" w:firstLine="480" w:firstLineChars="200"/>
        <w:rPr>
          <w:rFonts w:hint="eastAsia" w:cs="宋体" w:asciiTheme="minorEastAsia" w:hAnsiTheme="minorEastAsia" w:eastAsiaTheme="minorEastAsia"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sz w:val="24"/>
          <w:szCs w:val="24"/>
          <w:lang w:eastAsia="zh-CN"/>
        </w:rPr>
        <w:t>（</w:t>
      </w:r>
      <w:r>
        <w:rPr>
          <w:rFonts w:hint="eastAsia" w:cs="宋体" w:asciiTheme="minorEastAsia" w:hAnsiTheme="minorEastAsia" w:eastAsiaTheme="minorEastAsia"/>
          <w:sz w:val="24"/>
          <w:szCs w:val="24"/>
          <w:lang w:val="en-US" w:eastAsia="zh-CN"/>
        </w:rPr>
        <w:t>1</w:t>
      </w:r>
      <w:r>
        <w:rPr>
          <w:rFonts w:hint="eastAsia" w:cs="宋体" w:asciiTheme="minorEastAsia" w:hAnsiTheme="minorEastAsia" w:eastAsiaTheme="minorEastAsia"/>
          <w:sz w:val="24"/>
          <w:szCs w:val="24"/>
          <w:lang w:eastAsia="zh-CN"/>
        </w:rPr>
        <w:t>）收到通知</w:t>
      </w:r>
      <w:r>
        <w:rPr>
          <w:rFonts w:hint="eastAsia" w:cs="宋体" w:asciiTheme="minorEastAsia" w:hAnsiTheme="minorEastAsia" w:eastAsiaTheme="minorEastAsia"/>
          <w:sz w:val="24"/>
          <w:szCs w:val="24"/>
        </w:rPr>
        <w:t>开展入户调查之日起的十</w:t>
      </w:r>
      <w:r>
        <w:rPr>
          <w:rFonts w:hint="eastAsia" w:cs="宋体" w:asciiTheme="minorEastAsia" w:hAnsiTheme="minorEastAsia" w:eastAsiaTheme="minorEastAsia"/>
          <w:sz w:val="24"/>
          <w:szCs w:val="24"/>
          <w:lang w:eastAsia="zh-CN"/>
        </w:rPr>
        <w:t>个工作</w:t>
      </w:r>
      <w:r>
        <w:rPr>
          <w:rFonts w:hint="eastAsia" w:cs="宋体" w:asciiTheme="minorEastAsia" w:hAnsiTheme="minorEastAsia" w:eastAsiaTheme="minorEastAsia"/>
          <w:sz w:val="24"/>
          <w:szCs w:val="24"/>
        </w:rPr>
        <w:t>日内，甲方向联合体</w:t>
      </w:r>
      <w:r>
        <w:rPr>
          <w:rFonts w:hint="eastAsia" w:cs="宋体" w:asciiTheme="minorEastAsia" w:hAnsiTheme="minorEastAsia" w:eastAsiaTheme="minorEastAsia"/>
          <w:sz w:val="24"/>
          <w:szCs w:val="24"/>
          <w:lang w:eastAsia="zh-CN"/>
        </w:rPr>
        <w:t>双方</w:t>
      </w:r>
      <w:r>
        <w:rPr>
          <w:rFonts w:hint="eastAsia" w:cs="宋体" w:asciiTheme="minorEastAsia" w:hAnsiTheme="minorEastAsia" w:eastAsiaTheme="minorEastAsia"/>
          <w:sz w:val="24"/>
          <w:szCs w:val="24"/>
        </w:rPr>
        <w:t>支付征收服务费</w:t>
      </w:r>
      <w:r>
        <w:rPr>
          <w:rFonts w:hint="eastAsia" w:cs="宋体" w:asciiTheme="minorEastAsia" w:hAnsiTheme="minorEastAsia" w:eastAsiaTheme="minorEastAsia"/>
          <w:sz w:val="24"/>
          <w:szCs w:val="24"/>
          <w:lang w:eastAsia="zh-CN"/>
        </w:rPr>
        <w:t>预付款为</w:t>
      </w:r>
      <w:r>
        <w:rPr>
          <w:rFonts w:hint="eastAsia" w:cs="宋体" w:asciiTheme="minorEastAsia" w:hAnsiTheme="minorEastAsia" w:eastAsiaTheme="minorEastAsia"/>
          <w:sz w:val="24"/>
          <w:szCs w:val="24"/>
          <w:lang w:val="en-US" w:eastAsia="zh-CN"/>
        </w:rPr>
        <w:t>30%，预付款按照预估中标价记取</w:t>
      </w:r>
      <w:r>
        <w:rPr>
          <w:rFonts w:hint="eastAsia" w:cs="宋体" w:asciiTheme="minorEastAsia" w:hAnsiTheme="minorEastAsia" w:eastAsiaTheme="minorEastAsia"/>
          <w:sz w:val="24"/>
          <w:szCs w:val="24"/>
        </w:rPr>
        <w:t>。在项目开展征收工作后，由联合体双方向甲方申请拨付进度款，甲方按照实际工作进度支付征收服务费，每次支付工作量核算的征收服务费80%（</w:t>
      </w:r>
      <w:r>
        <w:rPr>
          <w:rFonts w:hint="eastAsia" w:cs="宋体" w:asciiTheme="minorEastAsia" w:hAnsiTheme="minorEastAsia" w:eastAsiaTheme="minorEastAsia"/>
          <w:sz w:val="24"/>
          <w:szCs w:val="24"/>
          <w:lang w:eastAsia="zh-CN"/>
        </w:rPr>
        <w:t>不包含</w:t>
      </w:r>
      <w:r>
        <w:rPr>
          <w:rFonts w:hint="eastAsia" w:cs="宋体" w:asciiTheme="minorEastAsia" w:hAnsiTheme="minorEastAsia" w:eastAsiaTheme="minorEastAsia"/>
          <w:sz w:val="24"/>
          <w:szCs w:val="24"/>
        </w:rPr>
        <w:t>奖励部分），甲方支付征收服务费至总工作量的80%时停止。剩余的征收服务费尾款待</w:t>
      </w:r>
      <w:r>
        <w:rPr>
          <w:rFonts w:hint="eastAsia" w:cs="宋体" w:asciiTheme="minorEastAsia" w:hAnsiTheme="minorEastAsia" w:eastAsiaTheme="minorEastAsia"/>
          <w:sz w:val="24"/>
          <w:szCs w:val="24"/>
          <w:lang w:eastAsia="zh-CN"/>
        </w:rPr>
        <w:t>工作完成</w:t>
      </w:r>
      <w:r>
        <w:rPr>
          <w:rFonts w:hint="eastAsia" w:cs="宋体" w:asciiTheme="minorEastAsia" w:hAnsiTheme="minorEastAsia" w:eastAsiaTheme="minorEastAsia"/>
          <w:sz w:val="24"/>
          <w:szCs w:val="24"/>
          <w:lang w:val="en-US" w:eastAsia="zh-CN"/>
        </w:rPr>
        <w:t>100%后，</w:t>
      </w:r>
      <w:r>
        <w:rPr>
          <w:rFonts w:hint="eastAsia" w:cs="宋体" w:asciiTheme="minorEastAsia" w:hAnsiTheme="minorEastAsia" w:eastAsiaTheme="minorEastAsia"/>
          <w:sz w:val="24"/>
          <w:szCs w:val="24"/>
        </w:rPr>
        <w:t>甲方</w:t>
      </w:r>
      <w:r>
        <w:rPr>
          <w:rFonts w:hint="eastAsia" w:cs="宋体" w:asciiTheme="minorEastAsia" w:hAnsiTheme="minorEastAsia" w:eastAsiaTheme="minorEastAsia"/>
          <w:sz w:val="24"/>
          <w:szCs w:val="24"/>
          <w:lang w:eastAsia="zh-CN"/>
        </w:rPr>
        <w:t>验收</w:t>
      </w:r>
      <w:r>
        <w:rPr>
          <w:rFonts w:hint="eastAsia" w:cs="宋体" w:asciiTheme="minorEastAsia" w:hAnsiTheme="minorEastAsia" w:eastAsiaTheme="minorEastAsia"/>
          <w:sz w:val="24"/>
          <w:szCs w:val="24"/>
        </w:rPr>
        <w:t>完成后十日内支付。</w:t>
      </w:r>
    </w:p>
    <w:p>
      <w:pPr>
        <w:spacing w:after="0" w:line="360" w:lineRule="auto"/>
        <w:ind w:right="238" w:firstLine="480" w:firstLineChars="200"/>
        <w:rPr>
          <w:rFonts w:hint="eastAsia" w:cs="宋体" w:asciiTheme="minorEastAsia" w:hAnsiTheme="minorEastAsia" w:eastAsiaTheme="minorEastAsia"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sz w:val="24"/>
          <w:szCs w:val="24"/>
          <w:lang w:eastAsia="zh-CN"/>
        </w:rPr>
        <w:t>（</w:t>
      </w:r>
      <w:r>
        <w:rPr>
          <w:rFonts w:hint="eastAsia" w:cs="宋体" w:asciiTheme="minorEastAsia" w:hAnsiTheme="minorEastAsia" w:eastAsiaTheme="minorEastAsia"/>
          <w:sz w:val="24"/>
          <w:szCs w:val="24"/>
          <w:lang w:val="en-US" w:eastAsia="zh-CN"/>
        </w:rPr>
        <w:t>2</w:t>
      </w:r>
      <w:r>
        <w:rPr>
          <w:rFonts w:hint="eastAsia" w:cs="宋体" w:asciiTheme="minorEastAsia" w:hAnsiTheme="minorEastAsia" w:eastAsiaTheme="minorEastAsia"/>
          <w:sz w:val="24"/>
          <w:szCs w:val="24"/>
          <w:lang w:eastAsia="zh-CN"/>
        </w:rPr>
        <w:t>）</w:t>
      </w:r>
      <w:r>
        <w:rPr>
          <w:rFonts w:hint="eastAsia" w:cs="宋体" w:asciiTheme="minorEastAsia" w:hAnsiTheme="minorEastAsia" w:eastAsiaTheme="minorEastAsia"/>
          <w:sz w:val="24"/>
          <w:szCs w:val="24"/>
        </w:rPr>
        <w:t>拆除清运费在项目开展征收工作后，由联合体</w:t>
      </w:r>
      <w:r>
        <w:rPr>
          <w:rFonts w:hint="eastAsia" w:cs="宋体" w:asciiTheme="minorEastAsia" w:hAnsiTheme="minorEastAsia" w:eastAsiaTheme="minorEastAsia"/>
          <w:sz w:val="24"/>
          <w:szCs w:val="24"/>
          <w:lang w:eastAsia="zh-CN"/>
        </w:rPr>
        <w:t>牵头方向</w:t>
      </w:r>
      <w:r>
        <w:rPr>
          <w:rFonts w:hint="eastAsia" w:cs="宋体" w:asciiTheme="minorEastAsia" w:hAnsiTheme="minorEastAsia" w:eastAsiaTheme="minorEastAsia"/>
          <w:sz w:val="24"/>
          <w:szCs w:val="24"/>
        </w:rPr>
        <w:t>甲方申请拨付进度款，甲方按照完成实际清运工作量的80%计付，支付至总工作量的80%时停止，剩余的征收服务费尾款待</w:t>
      </w:r>
      <w:r>
        <w:rPr>
          <w:rFonts w:hint="eastAsia" w:cs="宋体" w:asciiTheme="minorEastAsia" w:hAnsiTheme="minorEastAsia" w:eastAsiaTheme="minorEastAsia"/>
          <w:sz w:val="24"/>
          <w:szCs w:val="24"/>
          <w:lang w:eastAsia="zh-CN"/>
        </w:rPr>
        <w:t>全部拆除清运完成后，</w:t>
      </w:r>
      <w:r>
        <w:rPr>
          <w:rFonts w:hint="eastAsia" w:cs="宋体" w:asciiTheme="minorEastAsia" w:hAnsiTheme="minorEastAsia" w:eastAsiaTheme="minorEastAsia"/>
          <w:sz w:val="24"/>
          <w:szCs w:val="24"/>
        </w:rPr>
        <w:t>甲方</w:t>
      </w:r>
      <w:r>
        <w:rPr>
          <w:rFonts w:hint="eastAsia" w:cs="宋体" w:asciiTheme="minorEastAsia" w:hAnsiTheme="minorEastAsia" w:eastAsiaTheme="minorEastAsia"/>
          <w:sz w:val="24"/>
          <w:szCs w:val="24"/>
          <w:lang w:eastAsia="zh-CN"/>
        </w:rPr>
        <w:t>验收</w:t>
      </w:r>
      <w:r>
        <w:rPr>
          <w:rFonts w:hint="eastAsia" w:cs="宋体" w:asciiTheme="minorEastAsia" w:hAnsiTheme="minorEastAsia" w:eastAsiaTheme="minorEastAsia"/>
          <w:sz w:val="24"/>
          <w:szCs w:val="24"/>
        </w:rPr>
        <w:t>完成后十日内支付。</w:t>
      </w:r>
    </w:p>
    <w:p>
      <w:pPr>
        <w:spacing w:after="0" w:line="360" w:lineRule="auto"/>
        <w:ind w:right="238" w:firstLine="480" w:firstLineChars="200"/>
        <w:rPr>
          <w:rFonts w:hint="eastAsia" w:cs="宋体" w:asciiTheme="minorEastAsia" w:hAnsiTheme="minorEastAsia" w:eastAsiaTheme="minorEastAsia"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sz w:val="24"/>
          <w:szCs w:val="24"/>
          <w:lang w:eastAsia="zh-CN"/>
        </w:rPr>
        <w:t>（</w:t>
      </w:r>
      <w:r>
        <w:rPr>
          <w:rFonts w:hint="eastAsia" w:cs="宋体" w:asciiTheme="minorEastAsia" w:hAnsiTheme="minorEastAsia" w:eastAsiaTheme="minorEastAsia"/>
          <w:sz w:val="24"/>
          <w:szCs w:val="24"/>
          <w:lang w:val="en-US" w:eastAsia="zh-CN"/>
        </w:rPr>
        <w:t>3</w:t>
      </w:r>
      <w:r>
        <w:rPr>
          <w:rFonts w:hint="eastAsia" w:cs="宋体" w:asciiTheme="minorEastAsia" w:hAnsiTheme="minorEastAsia" w:eastAsiaTheme="minorEastAsia"/>
          <w:sz w:val="24"/>
          <w:szCs w:val="24"/>
          <w:lang w:eastAsia="zh-CN"/>
        </w:rPr>
        <w:t>）</w:t>
      </w:r>
      <w:r>
        <w:rPr>
          <w:rFonts w:hint="eastAsia" w:cs="宋体" w:asciiTheme="minorEastAsia" w:hAnsiTheme="minorEastAsia" w:eastAsiaTheme="minorEastAsia"/>
          <w:sz w:val="24"/>
          <w:szCs w:val="24"/>
        </w:rPr>
        <w:t>联合体</w:t>
      </w:r>
      <w:r>
        <w:rPr>
          <w:rFonts w:hint="eastAsia" w:cs="宋体" w:asciiTheme="minorEastAsia" w:hAnsiTheme="minorEastAsia" w:eastAsiaTheme="minorEastAsia"/>
          <w:sz w:val="24"/>
          <w:szCs w:val="24"/>
          <w:lang w:eastAsia="zh-CN"/>
        </w:rPr>
        <w:t>双方</w:t>
      </w:r>
      <w:r>
        <w:rPr>
          <w:rFonts w:hint="eastAsia" w:cs="宋体" w:asciiTheme="minorEastAsia" w:hAnsiTheme="minorEastAsia" w:eastAsiaTheme="minorEastAsia"/>
          <w:sz w:val="24"/>
          <w:szCs w:val="24"/>
        </w:rPr>
        <w:t>理解因政府相关部门审核、封账、司法查封等原因导致甲方支付账户不能使用，无法按时付款的，不视为违约，同时放弃追索延期支付期间的逾期支付利息。</w:t>
      </w:r>
    </w:p>
    <w:p>
      <w:pPr>
        <w:spacing w:after="0" w:line="360" w:lineRule="auto"/>
        <w:ind w:right="238" w:firstLine="480" w:firstLineChars="200"/>
        <w:rPr>
          <w:rFonts w:hint="eastAsia" w:cs="宋体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cs="宋体" w:asciiTheme="minorEastAsia" w:hAnsiTheme="minorEastAsia" w:eastAsiaTheme="minorEastAsia"/>
          <w:sz w:val="24"/>
          <w:szCs w:val="24"/>
          <w:lang w:eastAsia="zh-CN"/>
        </w:rPr>
        <w:t>4、验收标准</w:t>
      </w:r>
    </w:p>
    <w:p>
      <w:pPr>
        <w:spacing w:after="0" w:line="360" w:lineRule="auto"/>
        <w:ind w:right="238" w:firstLine="480" w:firstLineChars="200"/>
        <w:rPr>
          <w:rFonts w:hint="eastAsia" w:cs="宋体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cs="宋体" w:asciiTheme="minorEastAsia" w:hAnsiTheme="minorEastAsia" w:eastAsiaTheme="minorEastAsia"/>
          <w:sz w:val="24"/>
          <w:szCs w:val="24"/>
          <w:lang w:eastAsia="zh-CN"/>
        </w:rPr>
        <w:t>是否满足合同文本规定的相关要求；</w:t>
      </w:r>
    </w:p>
    <w:p>
      <w:pPr>
        <w:spacing w:after="0" w:line="360" w:lineRule="auto"/>
        <w:ind w:right="238" w:firstLine="480" w:firstLineChars="200"/>
        <w:rPr>
          <w:rFonts w:hint="eastAsia" w:cs="宋体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cs="宋体" w:asciiTheme="minorEastAsia" w:hAnsiTheme="minorEastAsia" w:eastAsiaTheme="minorEastAsia"/>
          <w:sz w:val="24"/>
          <w:szCs w:val="24"/>
          <w:lang w:eastAsia="zh-CN"/>
        </w:rPr>
        <w:t>是否达到了招标文件的采购需求；</w:t>
      </w:r>
    </w:p>
    <w:p>
      <w:pPr>
        <w:spacing w:after="0" w:line="360" w:lineRule="auto"/>
        <w:ind w:right="238" w:firstLine="480" w:firstLineChars="200"/>
        <w:rPr>
          <w:rFonts w:hint="eastAsia" w:cs="宋体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cs="宋体" w:asciiTheme="minorEastAsia" w:hAnsiTheme="minorEastAsia" w:eastAsiaTheme="minorEastAsia"/>
          <w:sz w:val="24"/>
          <w:szCs w:val="24"/>
          <w:lang w:eastAsia="zh-CN"/>
        </w:rPr>
        <w:t>是否达到了投标文件承诺的要求；</w:t>
      </w:r>
    </w:p>
    <w:p>
      <w:pPr>
        <w:spacing w:after="0" w:line="360" w:lineRule="auto"/>
        <w:ind w:right="238" w:firstLine="480" w:firstLineChars="200"/>
        <w:rPr>
          <w:rFonts w:hint="eastAsia" w:cs="宋体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cs="宋体" w:asciiTheme="minorEastAsia" w:hAnsiTheme="minorEastAsia" w:eastAsiaTheme="minorEastAsia"/>
          <w:sz w:val="24"/>
          <w:szCs w:val="24"/>
          <w:lang w:eastAsia="zh-CN"/>
        </w:rPr>
        <w:t>是否满足国家、海南省、海口市行业相关规范和标准的合格要求。</w:t>
      </w:r>
    </w:p>
    <w:sectPr>
      <w:pgSz w:w="11906" w:h="16838"/>
      <w:pgMar w:top="1134" w:right="1418" w:bottom="1134" w:left="1418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NmN2MzOWQ5YjkwY2QxZDIwNWU0Y2FlNDVhNDlhMmUifQ=="/>
  </w:docVars>
  <w:rsids>
    <w:rsidRoot w:val="00D31D50"/>
    <w:rsid w:val="0002147C"/>
    <w:rsid w:val="00067FB9"/>
    <w:rsid w:val="000A5EA7"/>
    <w:rsid w:val="001963D4"/>
    <w:rsid w:val="001A2311"/>
    <w:rsid w:val="002032D0"/>
    <w:rsid w:val="00242D1F"/>
    <w:rsid w:val="00265451"/>
    <w:rsid w:val="002845E9"/>
    <w:rsid w:val="00286414"/>
    <w:rsid w:val="002B1526"/>
    <w:rsid w:val="00323B43"/>
    <w:rsid w:val="00343A56"/>
    <w:rsid w:val="0037078F"/>
    <w:rsid w:val="003B52E0"/>
    <w:rsid w:val="003D37D8"/>
    <w:rsid w:val="003F077A"/>
    <w:rsid w:val="003F4ED7"/>
    <w:rsid w:val="0040245A"/>
    <w:rsid w:val="0041496F"/>
    <w:rsid w:val="00426133"/>
    <w:rsid w:val="004358AB"/>
    <w:rsid w:val="004B2CE5"/>
    <w:rsid w:val="004B557A"/>
    <w:rsid w:val="005211D6"/>
    <w:rsid w:val="005925FC"/>
    <w:rsid w:val="005A4941"/>
    <w:rsid w:val="005D2B26"/>
    <w:rsid w:val="00615604"/>
    <w:rsid w:val="00690504"/>
    <w:rsid w:val="00732BC4"/>
    <w:rsid w:val="00741ABF"/>
    <w:rsid w:val="0074319C"/>
    <w:rsid w:val="007D08C2"/>
    <w:rsid w:val="00843D8E"/>
    <w:rsid w:val="008678EE"/>
    <w:rsid w:val="008B3665"/>
    <w:rsid w:val="008B7726"/>
    <w:rsid w:val="00914F93"/>
    <w:rsid w:val="00920BC6"/>
    <w:rsid w:val="0098373B"/>
    <w:rsid w:val="009A68B9"/>
    <w:rsid w:val="009F589C"/>
    <w:rsid w:val="00A65935"/>
    <w:rsid w:val="00AD0BA0"/>
    <w:rsid w:val="00AF65F3"/>
    <w:rsid w:val="00B36C3A"/>
    <w:rsid w:val="00B87BE8"/>
    <w:rsid w:val="00C331C5"/>
    <w:rsid w:val="00C56451"/>
    <w:rsid w:val="00C6126A"/>
    <w:rsid w:val="00C90B38"/>
    <w:rsid w:val="00CC4F71"/>
    <w:rsid w:val="00CD0300"/>
    <w:rsid w:val="00D05D41"/>
    <w:rsid w:val="00D31D50"/>
    <w:rsid w:val="00DE1B96"/>
    <w:rsid w:val="00E156F7"/>
    <w:rsid w:val="00E50CB6"/>
    <w:rsid w:val="00E97CE8"/>
    <w:rsid w:val="00EE098B"/>
    <w:rsid w:val="00EF4EDB"/>
    <w:rsid w:val="00F005A7"/>
    <w:rsid w:val="00F35950"/>
    <w:rsid w:val="00FD618E"/>
    <w:rsid w:val="0A60686C"/>
    <w:rsid w:val="14294AD0"/>
    <w:rsid w:val="23CA2D0C"/>
    <w:rsid w:val="29AD5188"/>
    <w:rsid w:val="2C221DF0"/>
    <w:rsid w:val="2F8238B8"/>
    <w:rsid w:val="31187A8E"/>
    <w:rsid w:val="35785C56"/>
    <w:rsid w:val="3D1561AD"/>
    <w:rsid w:val="45185208"/>
    <w:rsid w:val="492D1048"/>
    <w:rsid w:val="4F4847C3"/>
    <w:rsid w:val="527E3C5D"/>
    <w:rsid w:val="542A3A4D"/>
    <w:rsid w:val="547A515F"/>
    <w:rsid w:val="5B46418F"/>
    <w:rsid w:val="74D3605A"/>
    <w:rsid w:val="77070BA5"/>
    <w:rsid w:val="7744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3">
    <w:name w:val="heading 2"/>
    <w:basedOn w:val="1"/>
    <w:next w:val="1"/>
    <w:link w:val="16"/>
    <w:qFormat/>
    <w:uiPriority w:val="9"/>
    <w:pPr>
      <w:keepNext/>
      <w:keepLines/>
      <w:adjustRightInd/>
      <w:snapToGrid/>
      <w:spacing w:before="260" w:after="260" w:line="416" w:lineRule="auto"/>
      <w:outlineLvl w:val="1"/>
    </w:pPr>
    <w:rPr>
      <w:rFonts w:ascii="Arial" w:hAnsi="Arial" w:eastAsia="黑体" w:cs="Times New Roman"/>
      <w:b/>
      <w:bCs/>
      <w:sz w:val="32"/>
      <w:szCs w:val="32"/>
    </w:rPr>
  </w:style>
  <w:style w:type="paragraph" w:styleId="4">
    <w:name w:val="heading 3"/>
    <w:basedOn w:val="1"/>
    <w:next w:val="1"/>
    <w:link w:val="18"/>
    <w:qFormat/>
    <w:uiPriority w:val="0"/>
    <w:pPr>
      <w:keepNext/>
      <w:keepLines/>
      <w:widowControl w:val="0"/>
      <w:adjustRightInd/>
      <w:snapToGrid/>
      <w:spacing w:before="260" w:after="260" w:line="415" w:lineRule="auto"/>
      <w:jc w:val="both"/>
      <w:outlineLvl w:val="2"/>
    </w:pPr>
    <w:rPr>
      <w:rFonts w:ascii="Times New Roman" w:hAnsi="Times New Roman" w:eastAsia="宋体" w:cs="Times New Roman"/>
      <w:b/>
      <w:kern w:val="2"/>
      <w:sz w:val="32"/>
      <w:szCs w:val="20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hAnsiTheme="minorHAnsi" w:eastAsiaTheme="minorEastAsia"/>
      <w:kern w:val="2"/>
      <w:sz w:val="18"/>
      <w:szCs w:val="24"/>
    </w:rPr>
  </w:style>
  <w:style w:type="paragraph" w:styleId="5">
    <w:name w:val="Body Text"/>
    <w:basedOn w:val="1"/>
    <w:link w:val="9"/>
    <w:qFormat/>
    <w:uiPriority w:val="0"/>
    <w:pPr>
      <w:widowControl w:val="0"/>
      <w:adjustRightInd/>
      <w:snapToGrid/>
      <w:spacing w:after="120"/>
      <w:jc w:val="both"/>
    </w:pPr>
    <w:rPr>
      <w:rFonts w:asciiTheme="minorHAnsi" w:hAnsiTheme="minorHAnsi" w:eastAsiaTheme="minorEastAsia"/>
      <w:kern w:val="2"/>
      <w:sz w:val="21"/>
      <w:szCs w:val="24"/>
    </w:rPr>
  </w:style>
  <w:style w:type="paragraph" w:styleId="6">
    <w:name w:val="header"/>
    <w:basedOn w:val="1"/>
    <w:link w:val="11"/>
    <w:qFormat/>
    <w:uiPriority w:val="0"/>
    <w:pPr>
      <w:widowControl w:val="0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adjustRightInd/>
      <w:spacing w:after="0"/>
      <w:jc w:val="both"/>
    </w:pPr>
    <w:rPr>
      <w:rFonts w:asciiTheme="minorHAnsi" w:hAnsiTheme="minorHAnsi" w:eastAsiaTheme="minorEastAsia"/>
      <w:kern w:val="2"/>
      <w:sz w:val="18"/>
      <w:szCs w:val="24"/>
    </w:rPr>
  </w:style>
  <w:style w:type="character" w:customStyle="1" w:styleId="9">
    <w:name w:val="正文文本 Char"/>
    <w:basedOn w:val="8"/>
    <w:link w:val="5"/>
    <w:qFormat/>
    <w:uiPriority w:val="0"/>
    <w:rPr>
      <w:rFonts w:eastAsiaTheme="minorEastAsia"/>
      <w:kern w:val="2"/>
      <w:sz w:val="21"/>
      <w:szCs w:val="24"/>
    </w:rPr>
  </w:style>
  <w:style w:type="character" w:customStyle="1" w:styleId="10">
    <w:name w:val="页脚 Char"/>
    <w:basedOn w:val="8"/>
    <w:link w:val="2"/>
    <w:qFormat/>
    <w:uiPriority w:val="0"/>
    <w:rPr>
      <w:rFonts w:eastAsiaTheme="minorEastAsia"/>
      <w:kern w:val="2"/>
      <w:sz w:val="18"/>
      <w:szCs w:val="24"/>
    </w:rPr>
  </w:style>
  <w:style w:type="character" w:customStyle="1" w:styleId="11">
    <w:name w:val="页眉 Char"/>
    <w:basedOn w:val="8"/>
    <w:link w:val="6"/>
    <w:qFormat/>
    <w:uiPriority w:val="0"/>
    <w:rPr>
      <w:rFonts w:eastAsiaTheme="minorEastAsia"/>
      <w:kern w:val="2"/>
      <w:sz w:val="18"/>
      <w:szCs w:val="24"/>
    </w:rPr>
  </w:style>
  <w:style w:type="character" w:customStyle="1" w:styleId="12">
    <w:name w:val="font41"/>
    <w:basedOn w:val="8"/>
    <w:qFormat/>
    <w:uiPriority w:val="0"/>
    <w:rPr>
      <w:rFonts w:hint="default" w:ascii="Times New Roman" w:hAnsi="Times New Roman" w:cs="Times New Roman"/>
      <w:color w:val="FF0000"/>
      <w:sz w:val="22"/>
      <w:szCs w:val="22"/>
      <w:u w:val="none"/>
    </w:rPr>
  </w:style>
  <w:style w:type="character" w:customStyle="1" w:styleId="13">
    <w:name w:val="font61"/>
    <w:basedOn w:val="8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4">
    <w:name w:val="font01"/>
    <w:basedOn w:val="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5">
    <w:name w:val="标题 1 Char"/>
    <w:qFormat/>
    <w:uiPriority w:val="0"/>
    <w:rPr>
      <w:rFonts w:hint="default" w:ascii="Arial" w:hAnsi="Arial" w:eastAsia="宋体" w:cs="Arial"/>
      <w:bCs/>
      <w:kern w:val="32"/>
      <w:sz w:val="32"/>
      <w:szCs w:val="32"/>
      <w:lang w:val="en-US" w:eastAsia="zh-CN" w:bidi="ar-SA"/>
    </w:rPr>
  </w:style>
  <w:style w:type="character" w:customStyle="1" w:styleId="16">
    <w:name w:val="标题 2 Char"/>
    <w:basedOn w:val="8"/>
    <w:link w:val="3"/>
    <w:qFormat/>
    <w:uiPriority w:val="9"/>
    <w:rPr>
      <w:rFonts w:ascii="Arial" w:hAnsi="Arial" w:eastAsia="黑体" w:cs="Times New Roman"/>
      <w:b/>
      <w:bCs/>
      <w:sz w:val="32"/>
      <w:szCs w:val="32"/>
    </w:rPr>
  </w:style>
  <w:style w:type="character" w:customStyle="1" w:styleId="17">
    <w:name w:val="标题 3 Char"/>
    <w:basedOn w:val="8"/>
    <w:link w:val="4"/>
    <w:semiHidden/>
    <w:qFormat/>
    <w:uiPriority w:val="9"/>
    <w:rPr>
      <w:rFonts w:ascii="Tahoma" w:hAnsi="Tahoma"/>
      <w:b/>
      <w:bCs/>
      <w:sz w:val="32"/>
      <w:szCs w:val="32"/>
    </w:rPr>
  </w:style>
  <w:style w:type="character" w:customStyle="1" w:styleId="18">
    <w:name w:val="标题 3 Char1"/>
    <w:link w:val="4"/>
    <w:qFormat/>
    <w:uiPriority w:val="9"/>
    <w:rPr>
      <w:rFonts w:ascii="Times New Roman" w:hAnsi="Times New Roman" w:eastAsia="宋体" w:cs="Times New Roman"/>
      <w:b/>
      <w:kern w:val="2"/>
      <w:sz w:val="32"/>
      <w:szCs w:val="20"/>
    </w:rPr>
  </w:style>
  <w:style w:type="paragraph" w:styleId="19">
    <w:name w:val="List Paragraph"/>
    <w:basedOn w:val="1"/>
    <w:qFormat/>
    <w:uiPriority w:val="99"/>
    <w:pPr>
      <w:adjustRightInd/>
      <w:snapToGrid/>
      <w:spacing w:after="0"/>
      <w:ind w:firstLine="420" w:firstLineChars="200"/>
    </w:pPr>
    <w:rPr>
      <w:rFonts w:ascii="Times New Roman" w:hAnsi="Times New Roman" w:eastAsia="宋体" w:cs="Times New Roman"/>
      <w:sz w:val="21"/>
      <w:szCs w:val="21"/>
    </w:rPr>
  </w:style>
  <w:style w:type="character" w:customStyle="1" w:styleId="20">
    <w:name w:val="fontstyle01"/>
    <w:basedOn w:val="8"/>
    <w:qFormat/>
    <w:uiPriority w:val="0"/>
    <w:rPr>
      <w:rFonts w:hint="eastAsia" w:ascii="仿宋_GB2312" w:eastAsia="仿宋_GB2312"/>
      <w:color w:val="000000"/>
      <w:sz w:val="32"/>
      <w:szCs w:val="32"/>
    </w:rPr>
  </w:style>
  <w:style w:type="character" w:customStyle="1" w:styleId="21">
    <w:name w:val="fontstyle21"/>
    <w:basedOn w:val="8"/>
    <w:qFormat/>
    <w:uiPriority w:val="0"/>
    <w:rPr>
      <w:rFonts w:hint="eastAsia" w:ascii="宋体" w:hAnsi="宋体" w:eastAsia="宋体"/>
      <w:color w:val="00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1824</Words>
  <Characters>2157</Characters>
  <Lines>15</Lines>
  <Paragraphs>4</Paragraphs>
  <TotalTime>1</TotalTime>
  <ScaleCrop>false</ScaleCrop>
  <LinksUpToDate>false</LinksUpToDate>
  <CharactersWithSpaces>2233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dell</dc:creator>
  <cp:lastModifiedBy>周兴春</cp:lastModifiedBy>
  <dcterms:modified xsi:type="dcterms:W3CDTF">2023-06-05T11:12:05Z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C50743B1D8FC45B198D67606FD09CA72_13</vt:lpwstr>
  </property>
</Properties>
</file>