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30"/>
        </w:tabs>
        <w:spacing w:line="360" w:lineRule="auto"/>
        <w:jc w:val="center"/>
        <w:textAlignment w:val="bottom"/>
        <w:rPr>
          <w:rFonts w:hint="eastAsia" w:ascii="仿宋" w:hAnsi="仿宋" w:eastAsia="仿宋" w:cs="仿宋"/>
          <w:b/>
          <w:color w:val="auto"/>
          <w:kern w:val="0"/>
          <w:sz w:val="48"/>
          <w:szCs w:val="48"/>
          <w14:shadow w14:blurRad="50800" w14:dist="38100" w14:dir="2700000" w14:sx="100000" w14:sy="100000" w14:kx="0" w14:ky="0" w14:algn="tl">
            <w14:srgbClr w14:val="000000">
              <w14:alpha w14:val="60000"/>
            </w14:srgbClr>
          </w14:shadow>
        </w:rPr>
      </w:pPr>
      <w:r>
        <w:rPr>
          <w:rFonts w:hint="eastAsia" w:ascii="仿宋" w:hAnsi="仿宋" w:eastAsia="仿宋" w:cs="仿宋"/>
          <w:b/>
          <w:color w:val="auto"/>
          <w:kern w:val="0"/>
          <w:sz w:val="48"/>
          <w:szCs w:val="48"/>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simplePos x="0" y="0"/>
            <wp:positionH relativeFrom="page">
              <wp:posOffset>1247140</wp:posOffset>
            </wp:positionH>
            <wp:positionV relativeFrom="page">
              <wp:posOffset>958215</wp:posOffset>
            </wp:positionV>
            <wp:extent cx="5341620" cy="1038225"/>
            <wp:effectExtent l="0" t="0" r="7620" b="13335"/>
            <wp:wrapNone/>
            <wp:docPr id="1" name="图片 1028" descr="微信图片_2017041414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8" descr="微信图片_20170414142552"/>
                    <pic:cNvPicPr>
                      <a:picLocks noChangeAspect="1"/>
                    </pic:cNvPicPr>
                  </pic:nvPicPr>
                  <pic:blipFill>
                    <a:blip r:embed="rId11"/>
                    <a:stretch>
                      <a:fillRect/>
                    </a:stretch>
                  </pic:blipFill>
                  <pic:spPr>
                    <a:xfrm>
                      <a:off x="0" y="0"/>
                      <a:ext cx="5341620" cy="1038225"/>
                    </a:xfrm>
                    <a:prstGeom prst="rect">
                      <a:avLst/>
                    </a:prstGeom>
                    <a:noFill/>
                    <a:ln>
                      <a:noFill/>
                    </a:ln>
                  </pic:spPr>
                </pic:pic>
              </a:graphicData>
            </a:graphic>
          </wp:anchor>
        </w:drawing>
      </w:r>
    </w:p>
    <w:p>
      <w:pPr>
        <w:widowControl/>
        <w:tabs>
          <w:tab w:val="left" w:pos="630"/>
        </w:tabs>
        <w:spacing w:line="360" w:lineRule="auto"/>
        <w:jc w:val="both"/>
        <w:textAlignment w:val="bottom"/>
        <w:rPr>
          <w:rFonts w:hint="eastAsia" w:ascii="仿宋" w:hAnsi="仿宋" w:eastAsia="仿宋" w:cs="仿宋"/>
          <w:b/>
          <w:color w:val="auto"/>
          <w:kern w:val="0"/>
          <w:sz w:val="48"/>
          <w:szCs w:val="48"/>
          <w14:shadow w14:blurRad="50800" w14:dist="38100" w14:dir="2700000" w14:sx="100000" w14:sy="100000" w14:kx="0" w14:ky="0" w14:algn="tl">
            <w14:srgbClr w14:val="000000">
              <w14:alpha w14:val="60000"/>
            </w14:srgbClr>
          </w14:shadow>
        </w:rPr>
      </w:pPr>
    </w:p>
    <w:p>
      <w:pPr>
        <w:widowControl/>
        <w:tabs>
          <w:tab w:val="left" w:pos="630"/>
        </w:tabs>
        <w:spacing w:line="360" w:lineRule="auto"/>
        <w:jc w:val="center"/>
        <w:textAlignment w:val="bottom"/>
        <w:rPr>
          <w:rFonts w:hint="eastAsia" w:ascii="仿宋" w:hAnsi="仿宋" w:eastAsia="仿宋" w:cs="仿宋"/>
          <w:b/>
          <w:color w:val="auto"/>
          <w:kern w:val="0"/>
          <w:sz w:val="52"/>
          <w:szCs w:val="52"/>
          <w14:shadow w14:blurRad="50800" w14:dist="38100" w14:dir="2700000" w14:sx="100000" w14:sy="100000" w14:kx="0" w14:ky="0" w14:algn="tl">
            <w14:srgbClr w14:val="000000">
              <w14:alpha w14:val="60000"/>
            </w14:srgbClr>
          </w14:shadow>
        </w:rPr>
      </w:pPr>
    </w:p>
    <w:p>
      <w:pPr>
        <w:widowControl/>
        <w:spacing w:line="375" w:lineRule="atLeast"/>
        <w:ind w:firstLine="964" w:firstLineChars="200"/>
        <w:rPr>
          <w:rFonts w:hint="eastAsia" w:ascii="仿宋" w:hAnsi="仿宋" w:eastAsia="仿宋" w:cs="仿宋"/>
          <w:b/>
          <w:bCs/>
          <w:color w:val="auto"/>
          <w:kern w:val="0"/>
          <w:sz w:val="48"/>
          <w:szCs w:val="48"/>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kern w:val="0"/>
          <w:sz w:val="48"/>
          <w:szCs w:val="48"/>
          <w14:shadow w14:blurRad="50800" w14:dist="38100" w14:dir="2700000" w14:sx="100000" w14:sy="100000" w14:kx="0" w14:ky="0" w14:algn="tl">
            <w14:srgbClr w14:val="000000">
              <w14:alpha w14:val="60000"/>
            </w14:srgbClr>
          </w14:shadow>
        </w:rPr>
        <w:t xml:space="preserve">   </w:t>
      </w:r>
    </w:p>
    <w:p>
      <w:pPr>
        <w:widowControl/>
        <w:spacing w:line="375" w:lineRule="atLeast"/>
        <w:ind w:firstLine="964" w:firstLineChars="200"/>
        <w:rPr>
          <w:rFonts w:hint="eastAsia" w:ascii="仿宋" w:hAnsi="仿宋" w:eastAsia="仿宋" w:cs="仿宋"/>
          <w:b/>
          <w:bCs/>
          <w:color w:val="auto"/>
          <w:kern w:val="0"/>
          <w:sz w:val="48"/>
          <w:szCs w:val="48"/>
          <w14:shadow w14:blurRad="50800" w14:dist="38100" w14:dir="2700000" w14:sx="100000" w14:sy="100000" w14:kx="0" w14:ky="0" w14:algn="tl">
            <w14:srgbClr w14:val="000000">
              <w14:alpha w14:val="60000"/>
            </w14:srgbClr>
          </w14:shadow>
        </w:rPr>
      </w:pPr>
    </w:p>
    <w:p>
      <w:pPr>
        <w:widowControl/>
        <w:spacing w:line="375" w:lineRule="atLeast"/>
        <w:jc w:val="left"/>
        <w:rPr>
          <w:rFonts w:hint="eastAsia" w:ascii="仿宋" w:hAnsi="仿宋" w:eastAsia="仿宋" w:cs="仿宋"/>
          <w:color w:val="auto"/>
          <w:kern w:val="0"/>
          <w:sz w:val="24"/>
        </w:rPr>
      </w:pPr>
      <w:r>
        <w:rPr>
          <w:rFonts w:hint="eastAsia" w:ascii="仿宋" w:hAnsi="仿宋" w:eastAsia="仿宋" w:cs="仿宋"/>
          <w:b/>
          <w:bCs/>
          <w:color w:val="auto"/>
          <w:kern w:val="0"/>
          <w:sz w:val="24"/>
        </w:rPr>
        <w:t>   </w:t>
      </w:r>
    </w:p>
    <w:p>
      <w:pPr>
        <w:widowControl/>
        <w:spacing w:line="375" w:lineRule="atLeast"/>
        <w:jc w:val="left"/>
        <w:rPr>
          <w:rFonts w:hint="eastAsia" w:ascii="仿宋" w:hAnsi="仿宋" w:eastAsia="仿宋" w:cs="仿宋"/>
          <w:color w:val="auto"/>
          <w:kern w:val="0"/>
          <w:sz w:val="24"/>
        </w:rPr>
      </w:pPr>
    </w:p>
    <w:p>
      <w:pPr>
        <w:widowControl/>
        <w:spacing w:line="375" w:lineRule="atLeast"/>
        <w:jc w:val="left"/>
        <w:rPr>
          <w:rFonts w:hint="eastAsia" w:ascii="仿宋" w:hAnsi="仿宋" w:eastAsia="仿宋" w:cs="仿宋"/>
          <w:color w:val="auto"/>
          <w:kern w:val="0"/>
          <w:sz w:val="24"/>
        </w:rPr>
      </w:pPr>
    </w:p>
    <w:p>
      <w:pPr>
        <w:widowControl/>
        <w:spacing w:line="375" w:lineRule="atLeast"/>
        <w:jc w:val="left"/>
        <w:rPr>
          <w:rFonts w:hint="eastAsia" w:ascii="仿宋" w:hAnsi="仿宋" w:eastAsia="仿宋" w:cs="仿宋"/>
          <w:color w:val="auto"/>
          <w:kern w:val="0"/>
          <w:sz w:val="24"/>
        </w:rPr>
      </w:pPr>
      <w:r>
        <w:rPr>
          <w:rFonts w:hint="eastAsia" w:ascii="仿宋" w:hAnsi="仿宋" w:eastAsia="仿宋" w:cs="仿宋"/>
          <w:b/>
          <w:bCs/>
          <w:color w:val="auto"/>
          <w:kern w:val="0"/>
          <w:sz w:val="24"/>
        </w:rPr>
        <w:t> </w:t>
      </w:r>
    </w:p>
    <w:p>
      <w:pPr>
        <w:widowControl/>
        <w:spacing w:line="375" w:lineRule="atLeast"/>
        <w:jc w:val="center"/>
        <w:rPr>
          <w:rFonts w:hint="eastAsia" w:ascii="仿宋" w:hAnsi="仿宋" w:eastAsia="仿宋" w:cs="仿宋"/>
          <w:color w:val="auto"/>
          <w:kern w:val="0"/>
          <w:sz w:val="24"/>
        </w:rPr>
      </w:pPr>
      <w:r>
        <w:rPr>
          <w:rFonts w:hint="eastAsia" w:ascii="仿宋" w:hAnsi="仿宋" w:eastAsia="仿宋" w:cs="仿宋"/>
          <w:b/>
          <w:bCs/>
          <w:color w:val="auto"/>
          <w:kern w:val="0"/>
          <w:sz w:val="84"/>
          <w:szCs w:val="84"/>
          <w14:shadow w14:blurRad="50800" w14:dist="38100" w14:dir="2700000" w14:sx="100000" w14:sy="100000" w14:kx="0" w14:ky="0" w14:algn="tl">
            <w14:srgbClr w14:val="000000">
              <w14:alpha w14:val="60000"/>
            </w14:srgbClr>
          </w14:shadow>
        </w:rPr>
        <w:t>竞争性磋商文件</w:t>
      </w:r>
    </w:p>
    <w:p>
      <w:pPr>
        <w:widowControl/>
        <w:spacing w:line="375" w:lineRule="atLeast"/>
        <w:jc w:val="left"/>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p>
      <w:pPr>
        <w:widowControl/>
        <w:spacing w:line="375" w:lineRule="atLeast"/>
        <w:jc w:val="left"/>
        <w:rPr>
          <w:rFonts w:hint="eastAsia" w:ascii="仿宋" w:hAnsi="仿宋" w:eastAsia="仿宋" w:cs="仿宋"/>
          <w:b/>
          <w:bCs/>
          <w:color w:val="auto"/>
          <w:kern w:val="0"/>
          <w:sz w:val="24"/>
        </w:rPr>
      </w:pPr>
    </w:p>
    <w:p>
      <w:pPr>
        <w:widowControl/>
        <w:spacing w:line="375" w:lineRule="atLeast"/>
        <w:jc w:val="left"/>
        <w:rPr>
          <w:rFonts w:hint="eastAsia" w:ascii="仿宋" w:hAnsi="仿宋" w:eastAsia="仿宋" w:cs="仿宋"/>
          <w:b/>
          <w:bCs/>
          <w:color w:val="auto"/>
          <w:kern w:val="0"/>
          <w:sz w:val="24"/>
        </w:rPr>
      </w:pPr>
    </w:p>
    <w:p>
      <w:pPr>
        <w:widowControl/>
        <w:spacing w:line="375" w:lineRule="atLeast"/>
        <w:jc w:val="left"/>
        <w:rPr>
          <w:rFonts w:hint="eastAsia" w:ascii="仿宋" w:hAnsi="仿宋" w:eastAsia="仿宋" w:cs="仿宋"/>
          <w:b/>
          <w:bCs/>
          <w:color w:val="auto"/>
          <w:kern w:val="0"/>
          <w:sz w:val="24"/>
        </w:rPr>
      </w:pPr>
    </w:p>
    <w:p>
      <w:pPr>
        <w:widowControl/>
        <w:spacing w:line="375" w:lineRule="atLeast"/>
        <w:jc w:val="left"/>
        <w:rPr>
          <w:rFonts w:hint="eastAsia" w:ascii="仿宋" w:hAnsi="仿宋" w:eastAsia="仿宋" w:cs="仿宋"/>
          <w:b/>
          <w:bCs/>
          <w:color w:val="auto"/>
          <w:kern w:val="0"/>
          <w:sz w:val="24"/>
        </w:rPr>
      </w:pPr>
    </w:p>
    <w:p>
      <w:pPr>
        <w:widowControl/>
        <w:spacing w:line="375" w:lineRule="atLeast"/>
        <w:jc w:val="left"/>
        <w:rPr>
          <w:rFonts w:hint="eastAsia" w:ascii="仿宋" w:hAnsi="仿宋" w:eastAsia="仿宋" w:cs="仿宋"/>
          <w:b/>
          <w:bCs/>
          <w:color w:val="auto"/>
          <w:kern w:val="0"/>
          <w:sz w:val="24"/>
        </w:rPr>
      </w:pPr>
    </w:p>
    <w:p>
      <w:pPr>
        <w:spacing w:before="100" w:beforeAutospacing="1" w:after="100" w:afterAutospacing="1" w:line="480" w:lineRule="exact"/>
        <w:ind w:firstLine="723" w:firstLineChars="200"/>
        <w:rPr>
          <w:rFonts w:hint="eastAsia" w:ascii="仿宋" w:hAnsi="仿宋" w:eastAsia="仿宋" w:cs="仿宋"/>
          <w:b/>
          <w:color w:val="auto"/>
          <w:sz w:val="36"/>
          <w:szCs w:val="36"/>
          <w:lang w:val="en-US" w:eastAsia="zh-CN"/>
        </w:rPr>
      </w:pPr>
      <w:r>
        <w:rPr>
          <w:rFonts w:hint="eastAsia" w:ascii="仿宋" w:hAnsi="仿宋" w:eastAsia="仿宋" w:cs="仿宋"/>
          <w:b/>
          <w:color w:val="auto"/>
          <w:kern w:val="0"/>
          <w:sz w:val="36"/>
          <w:szCs w:val="36"/>
        </w:rPr>
        <w:t>采 购 人：海南省医疗保障局</w:t>
      </w:r>
      <w:r>
        <w:rPr>
          <w:rFonts w:hint="eastAsia" w:ascii="仿宋" w:hAnsi="仿宋" w:eastAsia="仿宋" w:cs="仿宋"/>
          <w:b/>
          <w:color w:val="auto"/>
          <w:sz w:val="36"/>
          <w:szCs w:val="36"/>
          <w:lang w:val="en-US" w:eastAsia="zh-CN"/>
        </w:rPr>
        <w:t xml:space="preserve">            </w:t>
      </w:r>
    </w:p>
    <w:p>
      <w:pPr>
        <w:widowControl/>
        <w:tabs>
          <w:tab w:val="left" w:pos="630"/>
        </w:tabs>
        <w:spacing w:line="360" w:lineRule="auto"/>
        <w:ind w:left="2525" w:leftChars="342" w:hanging="1807" w:hangingChars="500"/>
        <w:jc w:val="left"/>
        <w:textAlignment w:val="bottom"/>
        <w:rPr>
          <w:rFonts w:hint="eastAsia" w:ascii="仿宋" w:hAnsi="仿宋" w:eastAsia="仿宋" w:cs="仿宋"/>
          <w:b/>
          <w:color w:val="auto"/>
          <w:sz w:val="36"/>
          <w:szCs w:val="36"/>
          <w:lang w:eastAsia="zh-CN"/>
        </w:rPr>
      </w:pPr>
      <w:r>
        <w:rPr>
          <w:rFonts w:hint="eastAsia" w:ascii="仿宋" w:hAnsi="仿宋" w:eastAsia="仿宋" w:cs="仿宋"/>
          <w:b/>
          <w:color w:val="auto"/>
          <w:kern w:val="0"/>
          <w:sz w:val="36"/>
          <w:szCs w:val="36"/>
        </w:rPr>
        <w:t>项目名称：海南省医疗服务价格监测和医保药品“双通道”管理信息系统项目</w:t>
      </w:r>
      <w:r>
        <w:rPr>
          <w:rFonts w:hint="eastAsia" w:ascii="仿宋" w:hAnsi="仿宋" w:eastAsia="仿宋" w:cs="仿宋"/>
          <w:b/>
          <w:color w:val="auto"/>
          <w:kern w:val="0"/>
          <w:sz w:val="36"/>
          <w:szCs w:val="36"/>
          <w:lang w:eastAsia="zh-CN"/>
        </w:rPr>
        <w:t>（第三次采购）</w:t>
      </w:r>
      <w:r>
        <w:rPr>
          <w:rFonts w:hint="eastAsia" w:ascii="仿宋" w:hAnsi="仿宋" w:eastAsia="仿宋" w:cs="仿宋"/>
          <w:b/>
          <w:color w:val="auto"/>
          <w:sz w:val="36"/>
          <w:szCs w:val="36"/>
          <w:lang w:val="en-US" w:eastAsia="zh-CN"/>
        </w:rPr>
        <w:t xml:space="preserve"> </w:t>
      </w:r>
    </w:p>
    <w:p>
      <w:pPr>
        <w:widowControl/>
        <w:tabs>
          <w:tab w:val="left" w:pos="630"/>
        </w:tabs>
        <w:spacing w:line="360" w:lineRule="auto"/>
        <w:ind w:firstLine="723" w:firstLineChars="200"/>
        <w:jc w:val="left"/>
        <w:textAlignment w:val="bottom"/>
        <w:rPr>
          <w:rFonts w:hint="eastAsia" w:ascii="仿宋" w:hAnsi="仿宋" w:eastAsia="仿宋" w:cs="仿宋"/>
          <w:color w:val="auto"/>
          <w:kern w:val="0"/>
          <w:sz w:val="36"/>
          <w:szCs w:val="36"/>
          <w:lang w:eastAsia="zh-CN"/>
        </w:rPr>
      </w:pPr>
      <w:r>
        <w:rPr>
          <w:rFonts w:hint="eastAsia" w:ascii="仿宋" w:hAnsi="仿宋" w:eastAsia="仿宋" w:cs="仿宋"/>
          <w:b/>
          <w:color w:val="auto"/>
          <w:kern w:val="0"/>
          <w:sz w:val="36"/>
          <w:szCs w:val="36"/>
        </w:rPr>
        <w:t>项目编号：HNZH-2023-1181</w:t>
      </w:r>
      <w:r>
        <w:rPr>
          <w:rFonts w:hint="eastAsia" w:ascii="仿宋" w:hAnsi="仿宋" w:eastAsia="仿宋" w:cs="仿宋"/>
          <w:b/>
          <w:color w:val="auto"/>
          <w:kern w:val="0"/>
          <w:sz w:val="36"/>
          <w:szCs w:val="36"/>
          <w:lang w:val="en-US" w:eastAsia="zh-CN"/>
        </w:rPr>
        <w:t xml:space="preserve">RR </w:t>
      </w:r>
    </w:p>
    <w:p>
      <w:pPr>
        <w:widowControl/>
        <w:spacing w:line="360" w:lineRule="auto"/>
        <w:ind w:firstLine="723" w:firstLineChars="200"/>
        <w:jc w:val="left"/>
        <w:rPr>
          <w:rFonts w:hint="eastAsia" w:ascii="仿宋" w:hAnsi="仿宋" w:eastAsia="仿宋" w:cs="仿宋"/>
          <w:color w:val="auto"/>
          <w:kern w:val="0"/>
          <w:sz w:val="24"/>
        </w:rPr>
      </w:pPr>
      <w:r>
        <w:rPr>
          <w:rFonts w:hint="eastAsia" w:ascii="仿宋" w:hAnsi="仿宋" w:eastAsia="仿宋" w:cs="仿宋"/>
          <w:b/>
          <w:color w:val="auto"/>
          <w:kern w:val="0"/>
          <w:sz w:val="36"/>
          <w:szCs w:val="36"/>
        </w:rPr>
        <w:t>代理机构：海南政辉招投标代理有限公司</w:t>
      </w:r>
      <w:r>
        <w:rPr>
          <w:rFonts w:hint="eastAsia" w:ascii="仿宋" w:hAnsi="仿宋" w:eastAsia="仿宋" w:cs="仿宋"/>
          <w:b/>
          <w:color w:val="auto"/>
          <w:kern w:val="0"/>
          <w:sz w:val="24"/>
        </w:rPr>
        <w:t>      </w:t>
      </w:r>
    </w:p>
    <w:p>
      <w:pPr>
        <w:widowControl/>
        <w:spacing w:line="375" w:lineRule="atLeast"/>
        <w:jc w:val="center"/>
        <w:rPr>
          <w:rFonts w:hint="eastAsia" w:ascii="仿宋" w:hAnsi="仿宋" w:eastAsia="仿宋" w:cs="仿宋"/>
          <w:color w:val="auto"/>
          <w:kern w:val="0"/>
          <w:sz w:val="24"/>
        </w:rPr>
      </w:pPr>
      <w:r>
        <w:rPr>
          <w:rFonts w:hint="eastAsia" w:ascii="仿宋" w:hAnsi="仿宋" w:eastAsia="仿宋" w:cs="仿宋"/>
          <w:b/>
          <w:color w:val="auto"/>
          <w:kern w:val="0"/>
          <w:sz w:val="24"/>
        </w:rPr>
        <w:t> </w:t>
      </w:r>
    </w:p>
    <w:p>
      <w:pPr>
        <w:widowControl/>
        <w:spacing w:line="375" w:lineRule="atLeast"/>
        <w:jc w:val="center"/>
        <w:rPr>
          <w:rFonts w:hint="eastAsia" w:ascii="仿宋" w:hAnsi="仿宋" w:eastAsia="仿宋" w:cs="仿宋"/>
          <w:b/>
          <w:color w:val="auto"/>
          <w:kern w:val="0"/>
          <w:sz w:val="36"/>
          <w:szCs w:val="36"/>
        </w:rPr>
        <w:sectPr>
          <w:headerReference r:id="rId3" w:type="default"/>
          <w:pgSz w:w="11850" w:h="16783"/>
          <w:pgMar w:top="1134" w:right="1134" w:bottom="1134" w:left="1531" w:header="720" w:footer="720" w:gutter="0"/>
          <w:pgBorders w:offsetFrom="page">
            <w:top w:val="none" w:sz="0" w:space="0"/>
            <w:left w:val="none" w:sz="0" w:space="0"/>
            <w:bottom w:val="none" w:sz="0" w:space="0"/>
            <w:right w:val="none" w:sz="0" w:space="0"/>
          </w:pgBorders>
          <w:cols w:space="708" w:num="1"/>
        </w:sectPr>
      </w:pPr>
      <w:r>
        <w:rPr>
          <w:rFonts w:hint="eastAsia" w:ascii="仿宋" w:hAnsi="仿宋" w:eastAsia="仿宋" w:cs="仿宋"/>
          <w:b/>
          <w:color w:val="auto"/>
          <w:kern w:val="0"/>
          <w:sz w:val="30"/>
          <w:szCs w:val="30"/>
        </w:rPr>
        <w:t>202</w:t>
      </w:r>
      <w:r>
        <w:rPr>
          <w:rFonts w:hint="eastAsia" w:ascii="仿宋" w:hAnsi="仿宋" w:eastAsia="仿宋" w:cs="仿宋"/>
          <w:b/>
          <w:color w:val="auto"/>
          <w:kern w:val="0"/>
          <w:sz w:val="30"/>
          <w:szCs w:val="30"/>
          <w:lang w:val="en-US" w:eastAsia="zh-CN"/>
        </w:rPr>
        <w:t>3</w:t>
      </w:r>
      <w:r>
        <w:rPr>
          <w:rFonts w:hint="eastAsia" w:ascii="仿宋" w:hAnsi="仿宋" w:eastAsia="仿宋" w:cs="仿宋"/>
          <w:b/>
          <w:color w:val="auto"/>
          <w:kern w:val="0"/>
          <w:sz w:val="30"/>
          <w:szCs w:val="30"/>
        </w:rPr>
        <w:t>年</w:t>
      </w:r>
      <w:r>
        <w:rPr>
          <w:rFonts w:hint="eastAsia" w:ascii="仿宋" w:hAnsi="仿宋" w:eastAsia="仿宋" w:cs="仿宋"/>
          <w:b/>
          <w:color w:val="auto"/>
          <w:kern w:val="0"/>
          <w:sz w:val="30"/>
          <w:szCs w:val="30"/>
          <w:lang w:val="en-US" w:eastAsia="zh-CN"/>
        </w:rPr>
        <w:t>02</w:t>
      </w:r>
      <w:r>
        <w:rPr>
          <w:rFonts w:hint="eastAsia" w:ascii="仿宋" w:hAnsi="仿宋" w:eastAsia="仿宋" w:cs="仿宋"/>
          <w:b/>
          <w:color w:val="auto"/>
          <w:kern w:val="0"/>
          <w:sz w:val="30"/>
          <w:szCs w:val="30"/>
        </w:rPr>
        <w:t>月</w:t>
      </w:r>
    </w:p>
    <w:p>
      <w:pPr>
        <w:bidi w:val="0"/>
        <w:jc w:val="center"/>
        <w:rPr>
          <w:rFonts w:hint="eastAsia" w:ascii="仿宋" w:hAnsi="仿宋" w:eastAsia="仿宋" w:cs="仿宋"/>
          <w:b/>
          <w:bCs/>
          <w:color w:val="auto"/>
          <w:sz w:val="32"/>
          <w:szCs w:val="32"/>
          <w:lang w:val="zh-CN" w:eastAsia="zh-CN"/>
        </w:rPr>
      </w:pPr>
      <w:r>
        <w:rPr>
          <w:rFonts w:hint="eastAsia" w:ascii="仿宋" w:hAnsi="仿宋" w:eastAsia="仿宋" w:cs="仿宋"/>
          <w:b/>
          <w:bCs/>
          <w:color w:val="auto"/>
          <w:sz w:val="32"/>
          <w:szCs w:val="32"/>
          <w:lang w:val="zh-CN" w:eastAsia="zh-CN"/>
        </w:rPr>
        <w:t>目</w:t>
      </w:r>
      <w:r>
        <w:rPr>
          <w:rFonts w:hint="eastAsia" w:ascii="仿宋" w:hAnsi="仿宋" w:eastAsia="仿宋" w:cs="仿宋"/>
          <w:b/>
          <w:bCs/>
          <w:color w:val="auto"/>
          <w:sz w:val="32"/>
          <w:szCs w:val="32"/>
          <w:lang w:eastAsia="zh-CN"/>
        </w:rPr>
        <w:t xml:space="preserve">    </w:t>
      </w:r>
      <w:r>
        <w:rPr>
          <w:rFonts w:hint="eastAsia" w:ascii="仿宋" w:hAnsi="仿宋" w:eastAsia="仿宋" w:cs="仿宋"/>
          <w:b/>
          <w:bCs/>
          <w:color w:val="auto"/>
          <w:sz w:val="32"/>
          <w:szCs w:val="32"/>
          <w:lang w:val="zh-CN" w:eastAsia="zh-CN"/>
        </w:rPr>
        <w:t>录</w:t>
      </w:r>
    </w:p>
    <w:p>
      <w:pPr>
        <w:pStyle w:val="22"/>
        <w:tabs>
          <w:tab w:val="right" w:leader="dot" w:pos="9241"/>
        </w:tabs>
        <w:spacing w:line="360" w:lineRule="auto"/>
        <w:rPr>
          <w:rFonts w:hint="eastAsia" w:ascii="仿宋" w:hAnsi="仿宋" w:eastAsia="仿宋" w:cs="仿宋"/>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TOC \o "1-3" \h \z \u </w:instrText>
      </w:r>
      <w:r>
        <w:rPr>
          <w:rFonts w:hint="eastAsia" w:ascii="仿宋" w:hAnsi="仿宋" w:eastAsia="仿宋" w:cs="仿宋"/>
          <w:b w:val="0"/>
          <w:bCs w:val="0"/>
          <w:color w:val="auto"/>
          <w:sz w:val="24"/>
          <w:szCs w:val="24"/>
        </w:rPr>
        <w:fldChar w:fldCharType="separate"/>
      </w:r>
      <w:r>
        <w:fldChar w:fldCharType="begin"/>
      </w:r>
      <w:r>
        <w:instrText xml:space="preserve"> HYPERLINK \l "_Toc27751" </w:instrText>
      </w:r>
      <w:r>
        <w:fldChar w:fldCharType="separate"/>
      </w:r>
      <w:r>
        <w:rPr>
          <w:rFonts w:hint="eastAsia" w:ascii="仿宋" w:hAnsi="仿宋" w:eastAsia="仿宋" w:cs="仿宋"/>
          <w:color w:val="auto"/>
          <w:kern w:val="0"/>
          <w:sz w:val="24"/>
          <w:szCs w:val="24"/>
          <w:lang w:eastAsia="zh-CN"/>
        </w:rPr>
        <w:t>第一章  磋商邀请函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_Toc27751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2"/>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"_Toc30513" </w:instrText>
      </w:r>
      <w:r>
        <w:fldChar w:fldCharType="separate"/>
      </w:r>
      <w:r>
        <w:rPr>
          <w:rFonts w:hint="eastAsia" w:ascii="仿宋" w:hAnsi="仿宋" w:eastAsia="仿宋" w:cs="仿宋"/>
          <w:color w:val="auto"/>
          <w:kern w:val="0"/>
          <w:sz w:val="24"/>
          <w:szCs w:val="24"/>
          <w:lang w:eastAsia="zh-CN"/>
        </w:rPr>
        <w:t>第二章  供应商须知</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_Toc30513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"_Toc19858" </w:instrText>
      </w:r>
      <w:r>
        <w:fldChar w:fldCharType="separate"/>
      </w:r>
      <w:r>
        <w:rPr>
          <w:rFonts w:hint="eastAsia" w:ascii="仿宋" w:hAnsi="仿宋" w:eastAsia="仿宋" w:cs="仿宋"/>
          <w:bCs/>
          <w:color w:val="auto"/>
          <w:sz w:val="24"/>
          <w:szCs w:val="24"/>
        </w:rPr>
        <w:t>一、总则</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_Toc19858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"_Toc27433" </w:instrText>
      </w:r>
      <w:r>
        <w:fldChar w:fldCharType="separate"/>
      </w:r>
      <w:r>
        <w:rPr>
          <w:rFonts w:hint="eastAsia" w:ascii="仿宋" w:hAnsi="仿宋" w:eastAsia="仿宋" w:cs="仿宋"/>
          <w:bCs/>
          <w:color w:val="auto"/>
          <w:sz w:val="24"/>
          <w:szCs w:val="24"/>
        </w:rPr>
        <w:t>二、</w:t>
      </w:r>
      <w:r>
        <w:rPr>
          <w:rFonts w:hint="eastAsia" w:ascii="仿宋" w:hAnsi="仿宋" w:eastAsia="仿宋" w:cs="仿宋"/>
          <w:bCs/>
          <w:color w:val="auto"/>
          <w:sz w:val="24"/>
          <w:szCs w:val="24"/>
          <w:lang w:val="en-US" w:eastAsia="zh-CN"/>
        </w:rPr>
        <w:t>竞争性</w:t>
      </w:r>
      <w:r>
        <w:rPr>
          <w:rFonts w:hint="eastAsia" w:ascii="仿宋" w:hAnsi="仿宋" w:eastAsia="仿宋" w:cs="仿宋"/>
          <w:bCs/>
          <w:color w:val="auto"/>
          <w:sz w:val="24"/>
          <w:szCs w:val="24"/>
        </w:rPr>
        <w:t>磋商文件</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_Toc27433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5</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"_Toc24931" </w:instrText>
      </w:r>
      <w:r>
        <w:fldChar w:fldCharType="separate"/>
      </w:r>
      <w:r>
        <w:rPr>
          <w:rFonts w:hint="eastAsia" w:ascii="仿宋" w:hAnsi="仿宋" w:eastAsia="仿宋" w:cs="仿宋"/>
          <w:bCs/>
          <w:color w:val="auto"/>
          <w:sz w:val="24"/>
          <w:szCs w:val="24"/>
          <w:lang w:val="en-US" w:eastAsia="zh-CN"/>
        </w:rPr>
        <w:t>三、响应文件</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_Toc24931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6</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"_Toc15909" </w:instrText>
      </w:r>
      <w:r>
        <w:fldChar w:fldCharType="separate"/>
      </w:r>
      <w:r>
        <w:rPr>
          <w:rFonts w:hint="eastAsia" w:ascii="仿宋" w:hAnsi="仿宋" w:eastAsia="仿宋" w:cs="仿宋"/>
          <w:bCs/>
          <w:color w:val="auto"/>
          <w:sz w:val="24"/>
          <w:szCs w:val="24"/>
          <w:lang w:val="en-US" w:eastAsia="zh-CN"/>
        </w:rPr>
        <w:t>四、响应文件的递交</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_Toc15909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8</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"_Toc9280" </w:instrText>
      </w:r>
      <w:r>
        <w:fldChar w:fldCharType="separate"/>
      </w:r>
      <w:r>
        <w:rPr>
          <w:rFonts w:hint="eastAsia" w:ascii="仿宋" w:hAnsi="仿宋" w:eastAsia="仿宋" w:cs="仿宋"/>
          <w:bCs/>
          <w:color w:val="auto"/>
          <w:sz w:val="24"/>
          <w:szCs w:val="24"/>
          <w:lang w:val="en-US" w:eastAsia="zh-CN"/>
        </w:rPr>
        <w:t>五、磋商、评审及签约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_Toc9280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8</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"_Toc3255" </w:instrText>
      </w:r>
      <w:r>
        <w:fldChar w:fldCharType="separate"/>
      </w:r>
      <w:r>
        <w:rPr>
          <w:rFonts w:hint="eastAsia" w:ascii="仿宋" w:hAnsi="仿宋" w:eastAsia="仿宋" w:cs="仿宋"/>
          <w:bCs/>
          <w:color w:val="auto"/>
          <w:sz w:val="24"/>
          <w:szCs w:val="24"/>
          <w:lang w:val="en-US" w:eastAsia="zh-CN"/>
        </w:rPr>
        <w:t>六、其他</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_Toc3255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12</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2"/>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"_Toc4912" </w:instrText>
      </w:r>
      <w:r>
        <w:fldChar w:fldCharType="separate"/>
      </w:r>
      <w:r>
        <w:rPr>
          <w:rFonts w:hint="eastAsia" w:ascii="仿宋" w:hAnsi="仿宋" w:eastAsia="仿宋" w:cs="仿宋"/>
          <w:color w:val="auto"/>
          <w:kern w:val="0"/>
          <w:sz w:val="24"/>
          <w:szCs w:val="24"/>
          <w:lang w:eastAsia="zh-CN"/>
        </w:rPr>
        <w:t>第三章  用户需求书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_Toc4912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13</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2"/>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"_Toc20382" </w:instrText>
      </w:r>
      <w:r>
        <w:fldChar w:fldCharType="separate"/>
      </w:r>
      <w:r>
        <w:rPr>
          <w:rFonts w:hint="eastAsia" w:ascii="仿宋" w:hAnsi="仿宋" w:eastAsia="仿宋" w:cs="仿宋"/>
          <w:color w:val="auto"/>
          <w:kern w:val="0"/>
          <w:sz w:val="24"/>
          <w:szCs w:val="24"/>
          <w:lang w:eastAsia="zh-CN"/>
        </w:rPr>
        <w:t>第四章 合同主要条款</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_Toc20382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15</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2"/>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"_Toc15482" </w:instrText>
      </w:r>
      <w:r>
        <w:fldChar w:fldCharType="separate"/>
      </w:r>
      <w:r>
        <w:rPr>
          <w:rFonts w:hint="eastAsia" w:ascii="仿宋" w:hAnsi="仿宋" w:eastAsia="仿宋" w:cs="仿宋"/>
          <w:color w:val="auto"/>
          <w:kern w:val="0"/>
          <w:sz w:val="24"/>
          <w:szCs w:val="24"/>
          <w:lang w:eastAsia="zh-CN"/>
        </w:rPr>
        <w:t xml:space="preserve">第五章 </w:t>
      </w:r>
      <w:r>
        <w:rPr>
          <w:rFonts w:hint="eastAsia" w:ascii="仿宋" w:hAnsi="仿宋" w:eastAsia="仿宋" w:cs="仿宋"/>
          <w:color w:val="auto"/>
          <w:kern w:val="0"/>
          <w:sz w:val="24"/>
          <w:szCs w:val="24"/>
          <w:lang w:val="en-US" w:eastAsia="zh-CN"/>
        </w:rPr>
        <w:t>响应</w:t>
      </w:r>
      <w:r>
        <w:rPr>
          <w:rFonts w:hint="eastAsia" w:ascii="仿宋" w:hAnsi="仿宋" w:eastAsia="仿宋" w:cs="仿宋"/>
          <w:color w:val="auto"/>
          <w:kern w:val="0"/>
          <w:sz w:val="24"/>
          <w:szCs w:val="24"/>
          <w:lang w:eastAsia="zh-CN"/>
        </w:rPr>
        <w:t>文件内容和格式</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_Toc15482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18</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"_Toc6755" </w:instrText>
      </w:r>
      <w:r>
        <w:fldChar w:fldCharType="separate"/>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、报价函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_Toc6755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19</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"_Toc12892" </w:instrText>
      </w:r>
      <w:r>
        <w:fldChar w:fldCharType="separate"/>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、报价一览表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_Toc12892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20</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"_Toc14273" </w:instrText>
      </w:r>
      <w:r>
        <w:fldChar w:fldCharType="separate"/>
      </w:r>
      <w:r>
        <w:rPr>
          <w:rFonts w:hint="eastAsia" w:ascii="仿宋" w:hAnsi="仿宋" w:eastAsia="仿宋" w:cs="仿宋"/>
          <w:color w:val="auto"/>
          <w:sz w:val="24"/>
          <w:szCs w:val="24"/>
          <w:lang w:val="en-US" w:eastAsia="zh-CN"/>
        </w:rPr>
        <w:t>3、分项报价明细表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_Toc14273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21</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"_Toc22613" </w:instrText>
      </w:r>
      <w:r>
        <w:fldChar w:fldCharType="separate"/>
      </w:r>
      <w:r>
        <w:rPr>
          <w:rFonts w:hint="eastAsia" w:ascii="仿宋" w:hAnsi="仿宋" w:eastAsia="仿宋" w:cs="仿宋"/>
          <w:color w:val="auto"/>
          <w:sz w:val="24"/>
          <w:szCs w:val="24"/>
          <w:lang w:val="en-US" w:eastAsia="zh-CN"/>
        </w:rPr>
        <w:t>4、用户需求响应表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_Toc22613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22</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"_Toc23099" </w:instrText>
      </w:r>
      <w:r>
        <w:fldChar w:fldCharType="separate"/>
      </w:r>
      <w:r>
        <w:rPr>
          <w:rFonts w:hint="eastAsia" w:ascii="仿宋" w:hAnsi="仿宋" w:eastAsia="仿宋" w:cs="仿宋"/>
          <w:color w:val="auto"/>
          <w:sz w:val="24"/>
          <w:szCs w:val="24"/>
          <w:lang w:val="en-US" w:eastAsia="zh-CN"/>
        </w:rPr>
        <w:t>5、法定代表人证明书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_Toc23099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23</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"_Toc2005" </w:instrText>
      </w:r>
      <w:r>
        <w:fldChar w:fldCharType="separate"/>
      </w:r>
      <w:r>
        <w:rPr>
          <w:rFonts w:hint="eastAsia" w:ascii="仿宋" w:hAnsi="仿宋" w:eastAsia="仿宋" w:cs="仿宋"/>
          <w:color w:val="auto"/>
          <w:sz w:val="24"/>
          <w:szCs w:val="24"/>
          <w:lang w:val="en-US" w:eastAsia="zh-CN"/>
        </w:rPr>
        <w:t>6、授权委托书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_Toc2005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"_Toc2712" </w:instrText>
      </w:r>
      <w:r>
        <w:fldChar w:fldCharType="separate"/>
      </w:r>
      <w:r>
        <w:rPr>
          <w:rFonts w:hint="eastAsia" w:ascii="仿宋" w:hAnsi="仿宋" w:eastAsia="仿宋" w:cs="仿宋"/>
          <w:color w:val="auto"/>
          <w:sz w:val="24"/>
          <w:szCs w:val="24"/>
          <w:lang w:val="en-US" w:eastAsia="zh-CN"/>
        </w:rPr>
        <w:t>7、参加政府采购活动前三年内，在经营活动中没有重大违法记录的声明函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_Toc2712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25</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"_Toc12108" </w:instrText>
      </w:r>
      <w:r>
        <w:fldChar w:fldCharType="separate"/>
      </w:r>
      <w:r>
        <w:rPr>
          <w:rFonts w:hint="eastAsia" w:ascii="仿宋" w:hAnsi="仿宋" w:eastAsia="仿宋" w:cs="仿宋"/>
          <w:color w:val="auto"/>
          <w:sz w:val="24"/>
          <w:szCs w:val="24"/>
          <w:lang w:val="en-US" w:eastAsia="zh-CN"/>
        </w:rPr>
        <w:t>8、参加政府采购活动前三年内，无环保类行政处罚记录声明函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_Toc12108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26</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"_Toc2850" </w:instrText>
      </w:r>
      <w:r>
        <w:fldChar w:fldCharType="separate"/>
      </w:r>
      <w:r>
        <w:rPr>
          <w:rFonts w:hint="eastAsia" w:ascii="仿宋" w:hAnsi="仿宋" w:eastAsia="仿宋" w:cs="仿宋"/>
          <w:color w:val="auto"/>
          <w:sz w:val="24"/>
          <w:szCs w:val="24"/>
          <w:lang w:val="en-US" w:eastAsia="zh-CN"/>
        </w:rPr>
        <w:t>9、具备《中华人民共和国政府采购法》第二十二条规定条件的承诺书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_Toc2850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27</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"_Toc26364" </w:instrText>
      </w:r>
      <w:r>
        <w:fldChar w:fldCharType="separate"/>
      </w:r>
      <w:r>
        <w:rPr>
          <w:rFonts w:hint="eastAsia" w:ascii="仿宋" w:hAnsi="仿宋" w:eastAsia="仿宋" w:cs="仿宋"/>
          <w:color w:val="auto"/>
          <w:sz w:val="24"/>
          <w:szCs w:val="24"/>
          <w:lang w:val="en-US" w:eastAsia="zh-CN"/>
        </w:rPr>
        <w:t>10、不存在与参加本项目采购活动的其他供应商单位负责人为同一人或者存在直接控股、管理关系的承诺函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_Toc26364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28</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"_Toc24014" </w:instrText>
      </w:r>
      <w:r>
        <w:fldChar w:fldCharType="separate"/>
      </w:r>
      <w:r>
        <w:rPr>
          <w:rFonts w:hint="eastAsia" w:ascii="仿宋" w:hAnsi="仿宋" w:eastAsia="仿宋" w:cs="仿宋"/>
          <w:color w:val="auto"/>
          <w:sz w:val="24"/>
          <w:szCs w:val="24"/>
          <w:lang w:val="en-US" w:eastAsia="zh-CN"/>
        </w:rPr>
        <w:t>11、中小企业声明函（工程、服务）</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_Toc24014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29</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"_Toc4334" </w:instrText>
      </w:r>
      <w:r>
        <w:fldChar w:fldCharType="separate"/>
      </w:r>
      <w:r>
        <w:rPr>
          <w:rFonts w:hint="eastAsia" w:ascii="仿宋" w:hAnsi="仿宋" w:eastAsia="仿宋" w:cs="仿宋"/>
          <w:color w:val="auto"/>
          <w:sz w:val="24"/>
          <w:szCs w:val="24"/>
          <w:lang w:val="en-US" w:eastAsia="zh-CN"/>
        </w:rPr>
        <w:t>12、监狱企业证明文件</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_Toc4334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30</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"_Toc19643" </w:instrText>
      </w:r>
      <w:r>
        <w:fldChar w:fldCharType="separate"/>
      </w:r>
      <w:r>
        <w:rPr>
          <w:rFonts w:hint="eastAsia" w:ascii="仿宋" w:hAnsi="仿宋" w:eastAsia="仿宋" w:cs="仿宋"/>
          <w:color w:val="auto"/>
          <w:sz w:val="24"/>
          <w:szCs w:val="24"/>
          <w:lang w:val="en-US" w:eastAsia="zh-CN"/>
        </w:rPr>
        <w:t>13、残疾人福利性单位声明函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_Toc19643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31</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2"/>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"_Toc1531" </w:instrText>
      </w:r>
      <w:r>
        <w:fldChar w:fldCharType="separate"/>
      </w:r>
      <w:r>
        <w:rPr>
          <w:rFonts w:hint="eastAsia" w:ascii="仿宋" w:hAnsi="仿宋" w:eastAsia="仿宋" w:cs="仿宋"/>
          <w:color w:val="auto"/>
          <w:kern w:val="0"/>
          <w:sz w:val="24"/>
          <w:szCs w:val="24"/>
          <w:lang w:val="en-US" w:eastAsia="zh-CN"/>
        </w:rPr>
        <w:t>第六章 磋商程序</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_Toc1531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32</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Fonts w:hint="eastAsia" w:ascii="仿宋" w:hAnsi="仿宋" w:eastAsia="仿宋" w:cs="仿宋"/>
          <w:color w:val="auto"/>
          <w:sz w:val="24"/>
          <w:szCs w:val="24"/>
        </w:rPr>
      </w:pPr>
      <w:r>
        <w:fldChar w:fldCharType="begin"/>
      </w:r>
      <w:r>
        <w:instrText xml:space="preserve"> HYPERLINK \l "_Toc4019" </w:instrText>
      </w:r>
      <w:r>
        <w:fldChar w:fldCharType="separate"/>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初步审查表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_Toc4019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5"/>
        <w:tabs>
          <w:tab w:val="right" w:leader="dot" w:pos="9241"/>
        </w:tabs>
        <w:spacing w:line="360" w:lineRule="auto"/>
        <w:rPr>
          <w:rStyle w:val="37"/>
          <w:rFonts w:hint="eastAsia" w:ascii="仿宋" w:hAnsi="仿宋" w:eastAsia="仿宋" w:cs="仿宋"/>
          <w:color w:val="auto"/>
          <w:sz w:val="24"/>
          <w:szCs w:val="24"/>
        </w:rPr>
      </w:pPr>
      <w:r>
        <w:fldChar w:fldCharType="begin"/>
      </w:r>
      <w:r>
        <w:instrText xml:space="preserve"> HYPERLINK \l "_Toc8147" </w:instrText>
      </w:r>
      <w:r>
        <w:fldChar w:fldCharType="separate"/>
      </w:r>
      <w:r>
        <w:rPr>
          <w:rFonts w:hint="eastAsia" w:ascii="仿宋" w:hAnsi="仿宋" w:eastAsia="仿宋" w:cs="仿宋"/>
          <w:color w:val="auto"/>
          <w:sz w:val="24"/>
          <w:szCs w:val="24"/>
          <w:lang w:val="en-US" w:eastAsia="zh-CN"/>
        </w:rPr>
        <w:t>2、技术、商务评分表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_Toc8147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35</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lang w:val="zh-CN"/>
        </w:rPr>
        <w:fldChar w:fldCharType="end"/>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sectPr>
          <w:headerReference r:id="rId4" w:type="default"/>
          <w:footerReference r:id="rId5" w:type="default"/>
          <w:pgSz w:w="11906" w:h="16838"/>
          <w:pgMar w:top="934" w:right="1134" w:bottom="1134" w:left="1531" w:header="851" w:footer="992" w:gutter="0"/>
          <w:pgBorders w:offsetFrom="page">
            <w:top w:val="none" w:sz="0" w:space="0"/>
            <w:left w:val="none" w:sz="0" w:space="0"/>
            <w:bottom w:val="none" w:sz="0" w:space="0"/>
            <w:right w:val="none" w:sz="0" w:space="0"/>
          </w:pgBorders>
          <w:pgNumType w:fmt="decimal" w:start="1"/>
          <w:cols w:space="708" w:num="1"/>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bookmarkStart w:id="0" w:name="_Toc27751"/>
      <w:r>
        <w:rPr>
          <w:rFonts w:hint="eastAsia" w:ascii="仿宋" w:hAnsi="仿宋" w:eastAsia="仿宋" w:cs="仿宋"/>
          <w:b/>
          <w:color w:val="auto"/>
          <w:kern w:val="0"/>
          <w:sz w:val="44"/>
          <w:szCs w:val="44"/>
          <w:lang w:eastAsia="zh-CN"/>
        </w:rPr>
        <w:t>第一章  磋商邀请函</w:t>
      </w:r>
      <w:bookmarkEnd w:id="0"/>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28" w:type="dxa"/>
          </w:tcPr>
          <w:p>
            <w:pPr>
              <w:tabs>
                <w:tab w:val="left" w:pos="2265"/>
              </w:tabs>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项目概况</w:t>
            </w:r>
          </w:p>
          <w:p>
            <w:pPr>
              <w:tabs>
                <w:tab w:val="left" w:pos="2265"/>
              </w:tabs>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color w:val="auto"/>
                <w:sz w:val="24"/>
                <w:szCs w:val="24"/>
                <w:u w:val="single"/>
                <w:lang w:val="en-US" w:eastAsia="zh-CN"/>
              </w:rPr>
              <w:t>海南省医疗服务价格监测和医保药品“双通道”管理信息系统项目（第三次采购）</w:t>
            </w:r>
            <w:r>
              <w:rPr>
                <w:rFonts w:hint="eastAsia" w:ascii="仿宋" w:hAnsi="仿宋" w:eastAsia="仿宋" w:cs="仿宋"/>
                <w:color w:val="auto"/>
                <w:sz w:val="24"/>
                <w:lang w:val="en-US" w:eastAsia="zh-CN"/>
              </w:rPr>
              <w:t>招标</w:t>
            </w:r>
            <w:r>
              <w:rPr>
                <w:rFonts w:hint="eastAsia" w:ascii="仿宋" w:hAnsi="仿宋" w:eastAsia="仿宋" w:cs="仿宋"/>
                <w:color w:val="auto"/>
                <w:sz w:val="24"/>
                <w:szCs w:val="24"/>
              </w:rPr>
              <w:t>项目的潜在供应商应在</w:t>
            </w:r>
            <w:r>
              <w:rPr>
                <w:rFonts w:hint="eastAsia" w:ascii="仿宋" w:hAnsi="仿宋" w:eastAsia="仿宋" w:cs="仿宋"/>
                <w:b/>
                <w:bCs/>
                <w:color w:val="auto"/>
                <w:sz w:val="24"/>
                <w:szCs w:val="24"/>
                <w:u w:val="single"/>
              </w:rPr>
              <w:t>海南政府采购网(www.ccgp-hainan.gov.cn)-海南省政府采购电子化交易管理系统(新)</w:t>
            </w:r>
            <w:r>
              <w:rPr>
                <w:rFonts w:hint="eastAsia" w:ascii="仿宋" w:hAnsi="仿宋" w:eastAsia="仿宋" w:cs="仿宋"/>
                <w:color w:val="auto"/>
                <w:sz w:val="24"/>
                <w:szCs w:val="24"/>
              </w:rPr>
              <w:t>获取采购文件,并于</w:t>
            </w:r>
            <w:r>
              <w:rPr>
                <w:rFonts w:hint="eastAsia" w:ascii="仿宋" w:hAnsi="仿宋" w:eastAsia="仿宋" w:cs="仿宋"/>
                <w:b/>
                <w:bCs/>
                <w:color w:val="auto"/>
                <w:sz w:val="24"/>
                <w:szCs w:val="24"/>
                <w:u w:val="single"/>
                <w:lang w:val="en-US" w:eastAsia="zh-CN"/>
              </w:rPr>
              <w:t xml:space="preserve"> 2023年05月22</w:t>
            </w:r>
            <w:bookmarkStart w:id="112" w:name="_GoBack"/>
            <w:bookmarkEnd w:id="112"/>
            <w:r>
              <w:rPr>
                <w:rFonts w:hint="eastAsia" w:ascii="仿宋" w:hAnsi="仿宋" w:eastAsia="仿宋" w:cs="仿宋"/>
                <w:b/>
                <w:bCs/>
                <w:color w:val="auto"/>
                <w:sz w:val="24"/>
                <w:szCs w:val="24"/>
                <w:u w:val="single"/>
                <w:lang w:val="en-US" w:eastAsia="zh-CN"/>
              </w:rPr>
              <w:t>日09点00分</w:t>
            </w:r>
            <w:r>
              <w:rPr>
                <w:rFonts w:hint="eastAsia" w:ascii="仿宋" w:hAnsi="仿宋" w:eastAsia="仿宋" w:cs="仿宋"/>
                <w:color w:val="auto"/>
                <w:sz w:val="24"/>
                <w:szCs w:val="24"/>
              </w:rPr>
              <w:t>（北京时间）前递交</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w:t>
            </w:r>
          </w:p>
        </w:tc>
      </w:tr>
    </w:tbl>
    <w:p>
      <w:pPr>
        <w:shd w:val="clear" w:color="auto" w:fill="FFFFFF"/>
        <w:snapToGrid w:val="0"/>
        <w:spacing w:line="360" w:lineRule="auto"/>
        <w:rPr>
          <w:rFonts w:hint="eastAsia" w:ascii="仿宋" w:hAnsi="仿宋" w:eastAsia="仿宋" w:cs="仿宋"/>
          <w:b/>
          <w:color w:val="auto"/>
          <w:sz w:val="28"/>
          <w:szCs w:val="28"/>
        </w:rPr>
      </w:pPr>
      <w:bookmarkStart w:id="1" w:name="_Toc433126978"/>
      <w:bookmarkStart w:id="2" w:name="_Toc32349"/>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rPr>
        <w:t>一、</w:t>
      </w:r>
      <w:r>
        <w:rPr>
          <w:rFonts w:hint="eastAsia" w:ascii="仿宋" w:hAnsi="仿宋" w:eastAsia="仿宋" w:cs="仿宋"/>
          <w:b/>
          <w:color w:val="auto"/>
          <w:sz w:val="28"/>
          <w:szCs w:val="28"/>
          <w:lang w:val="en-US" w:eastAsia="zh-CN"/>
        </w:rPr>
        <w:t>项目基本情况</w:t>
      </w:r>
    </w:p>
    <w:p>
      <w:pPr>
        <w:pStyle w:val="56"/>
        <w:keepNext w:val="0"/>
        <w:keepLines w:val="0"/>
        <w:pageBreakBefore w:val="0"/>
        <w:widowControl w:val="0"/>
        <w:kinsoku/>
        <w:wordWrap/>
        <w:overflowPunct/>
        <w:topLinePunct w:val="0"/>
        <w:autoSpaceDE/>
        <w:autoSpaceDN/>
        <w:bidi w:val="0"/>
        <w:adjustRightInd/>
        <w:spacing w:after="0" w:line="360" w:lineRule="auto"/>
        <w:ind w:firstLine="480" w:firstLineChars="200"/>
        <w:jc w:val="lef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：HNZH-2023-1181</w:t>
      </w:r>
      <w:r>
        <w:rPr>
          <w:rFonts w:hint="eastAsia" w:ascii="仿宋" w:hAnsi="仿宋" w:eastAsia="仿宋" w:cs="仿宋"/>
          <w:color w:val="auto"/>
          <w:sz w:val="24"/>
          <w:lang w:val="en-US" w:eastAsia="zh-CN"/>
        </w:rPr>
        <w:t xml:space="preserve">RR </w:t>
      </w:r>
    </w:p>
    <w:p>
      <w:pPr>
        <w:keepNext w:val="0"/>
        <w:keepLines w:val="0"/>
        <w:pageBreakBefore w:val="0"/>
        <w:widowControl w:val="0"/>
        <w:kinsoku/>
        <w:wordWrap/>
        <w:overflowPunct/>
        <w:topLinePunct w:val="0"/>
        <w:autoSpaceDE/>
        <w:autoSpaceDN/>
        <w:bidi w:val="0"/>
        <w:adjustRightInd/>
        <w:snapToGrid w:val="0"/>
        <w:spacing w:line="360" w:lineRule="auto"/>
        <w:ind w:right="-115" w:rightChars="-55"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项目名称：海南省医疗服务价格监测和医保药品“双通道”管理信息系统项目</w:t>
      </w:r>
      <w:r>
        <w:rPr>
          <w:rFonts w:hint="eastAsia" w:ascii="仿宋" w:hAnsi="仿宋" w:eastAsia="仿宋" w:cs="仿宋"/>
          <w:color w:val="auto"/>
          <w:sz w:val="24"/>
          <w:lang w:eastAsia="zh-CN"/>
        </w:rPr>
        <w:t>（第三次采购）</w:t>
      </w:r>
      <w:r>
        <w:rPr>
          <w:rFonts w:hint="eastAsia" w:ascii="仿宋" w:hAnsi="仿宋" w:eastAsia="仿宋" w:cs="仿宋"/>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115" w:rightChars="-55"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采购方式：竞争性磋商</w:t>
      </w:r>
    </w:p>
    <w:p>
      <w:pPr>
        <w:keepNext w:val="0"/>
        <w:keepLines w:val="0"/>
        <w:pageBreakBefore w:val="0"/>
        <w:widowControl w:val="0"/>
        <w:kinsoku/>
        <w:wordWrap/>
        <w:overflowPunct/>
        <w:topLinePunct w:val="0"/>
        <w:autoSpaceDE/>
        <w:autoSpaceDN/>
        <w:bidi w:val="0"/>
        <w:adjustRightInd/>
        <w:snapToGrid w:val="0"/>
        <w:spacing w:line="360" w:lineRule="auto"/>
        <w:ind w:right="-115" w:rightChars="-55"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预算金额：</w:t>
      </w:r>
      <w:r>
        <w:rPr>
          <w:rFonts w:hint="eastAsia" w:ascii="仿宋" w:hAnsi="仿宋" w:eastAsia="仿宋" w:cs="仿宋"/>
          <w:color w:val="auto"/>
          <w:sz w:val="24"/>
          <w:lang w:val="en-US" w:eastAsia="zh-CN"/>
        </w:rPr>
        <w:t>327.9万元。</w:t>
      </w:r>
      <w:r>
        <w:rPr>
          <w:rFonts w:hint="eastAsia" w:ascii="仿宋" w:hAnsi="仿宋" w:eastAsia="仿宋" w:cs="仿宋"/>
          <w:color w:val="auto"/>
          <w:sz w:val="24"/>
          <w:lang w:eastAsia="zh-CN"/>
        </w:rPr>
        <w:t>第四包</w:t>
      </w:r>
      <w:r>
        <w:rPr>
          <w:rFonts w:hint="eastAsia" w:ascii="仿宋" w:hAnsi="仿宋" w:eastAsia="仿宋" w:cs="仿宋"/>
          <w:color w:val="auto"/>
          <w:sz w:val="24"/>
        </w:rPr>
        <w:t>：</w:t>
      </w:r>
      <w:r>
        <w:rPr>
          <w:rFonts w:hint="eastAsia" w:ascii="仿宋" w:hAnsi="仿宋" w:eastAsia="仿宋" w:cs="仿宋"/>
          <w:color w:val="auto"/>
          <w:sz w:val="24"/>
          <w:lang w:val="en-US" w:eastAsia="zh-CN"/>
        </w:rPr>
        <w:t>5.64万元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最高限价：</w:t>
      </w:r>
      <w:r>
        <w:rPr>
          <w:rFonts w:hint="eastAsia" w:ascii="仿宋" w:hAnsi="仿宋" w:eastAsia="仿宋" w:cs="仿宋"/>
          <w:color w:val="auto"/>
          <w:sz w:val="24"/>
          <w:lang w:eastAsia="zh-CN"/>
        </w:rPr>
        <w:t>第四包</w:t>
      </w:r>
      <w:r>
        <w:rPr>
          <w:rFonts w:hint="eastAsia" w:ascii="仿宋" w:hAnsi="仿宋" w:eastAsia="仿宋" w:cs="仿宋"/>
          <w:color w:val="auto"/>
          <w:sz w:val="24"/>
        </w:rPr>
        <w:t>：</w:t>
      </w:r>
      <w:r>
        <w:rPr>
          <w:rFonts w:hint="eastAsia" w:ascii="仿宋" w:hAnsi="仿宋" w:eastAsia="仿宋" w:cs="仿宋"/>
          <w:color w:val="auto"/>
          <w:sz w:val="24"/>
          <w:lang w:val="en-US" w:eastAsia="zh-CN"/>
        </w:rPr>
        <w:t xml:space="preserve">5.64万元   </w:t>
      </w:r>
    </w:p>
    <w:p>
      <w:pPr>
        <w:pStyle w:val="56"/>
        <w:keepNext w:val="0"/>
        <w:keepLines w:val="0"/>
        <w:pageBreakBefore w:val="0"/>
        <w:widowControl w:val="0"/>
        <w:kinsoku/>
        <w:wordWrap/>
        <w:overflowPunct/>
        <w:topLinePunct w:val="0"/>
        <w:autoSpaceDE/>
        <w:autoSpaceDN/>
        <w:bidi w:val="0"/>
        <w:adjustRightInd/>
        <w:spacing w:after="0" w:line="360" w:lineRule="auto"/>
        <w:ind w:firstLine="480" w:firstLineChars="200"/>
        <w:jc w:val="lef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eastAsia="zh-CN"/>
        </w:rPr>
        <w:t>采</w:t>
      </w:r>
      <w:r>
        <w:rPr>
          <w:rFonts w:hint="eastAsia" w:ascii="仿宋" w:hAnsi="仿宋" w:eastAsia="仿宋" w:cs="仿宋"/>
          <w:color w:val="auto"/>
          <w:sz w:val="24"/>
        </w:rPr>
        <w:t>购需求：</w:t>
      </w:r>
      <w:r>
        <w:rPr>
          <w:rFonts w:hint="eastAsia" w:ascii="仿宋" w:hAnsi="仿宋" w:eastAsia="仿宋" w:cs="仿宋"/>
          <w:color w:val="auto"/>
          <w:sz w:val="24"/>
          <w:lang w:val="en-US" w:eastAsia="zh-CN"/>
        </w:rPr>
        <w:t>详见第三章“用户需求书”</w:t>
      </w:r>
    </w:p>
    <w:p>
      <w:pPr>
        <w:keepNext w:val="0"/>
        <w:keepLines w:val="0"/>
        <w:pageBreakBefore w:val="0"/>
        <w:widowControl w:val="0"/>
        <w:kinsoku/>
        <w:wordWrap/>
        <w:overflowPunct/>
        <w:topLinePunct w:val="0"/>
        <w:autoSpaceDE/>
        <w:autoSpaceDN/>
        <w:bidi w:val="0"/>
        <w:adjustRightInd/>
        <w:spacing w:line="360" w:lineRule="auto"/>
        <w:ind w:left="479" w:leftChars="228" w:firstLine="0" w:firstLineChars="0"/>
        <w:textAlignment w:val="auto"/>
        <w:rPr>
          <w:rFonts w:hint="eastAsia" w:ascii="仿宋" w:hAnsi="仿宋" w:eastAsia="仿宋" w:cs="仿宋"/>
          <w:color w:val="auto"/>
          <w:sz w:val="24"/>
          <w:shd w:val="clear" w:color="auto" w:fill="000000"/>
        </w:rPr>
      </w:pPr>
      <w:r>
        <w:rPr>
          <w:rFonts w:hint="eastAsia" w:ascii="仿宋" w:hAnsi="仿宋" w:eastAsia="仿宋" w:cs="仿宋"/>
          <w:color w:val="auto"/>
          <w:sz w:val="24"/>
        </w:rPr>
        <w:t>合同履行期限：</w:t>
      </w:r>
      <w:r>
        <w:rPr>
          <w:rFonts w:hint="eastAsia" w:ascii="仿宋" w:hAnsi="仿宋" w:eastAsia="仿宋" w:cs="仿宋"/>
          <w:b w:val="0"/>
          <w:bCs w:val="0"/>
          <w:color w:val="auto"/>
          <w:sz w:val="24"/>
          <w:lang w:val="en-US" w:eastAsia="zh-CN"/>
        </w:rPr>
        <w:t xml:space="preserve"> </w:t>
      </w:r>
      <w:r>
        <w:rPr>
          <w:rFonts w:hint="eastAsia" w:ascii="仿宋" w:hAnsi="仿宋" w:eastAsia="仿宋" w:cs="仿宋"/>
          <w:color w:val="auto"/>
          <w:sz w:val="24"/>
          <w:lang w:val="en-US" w:eastAsia="zh-CN"/>
        </w:rPr>
        <w:t>详见第三章“用户需求书”</w:t>
      </w:r>
    </w:p>
    <w:p>
      <w:pPr>
        <w:pStyle w:val="56"/>
        <w:keepNext w:val="0"/>
        <w:keepLines w:val="0"/>
        <w:pageBreakBefore w:val="0"/>
        <w:widowControl w:val="0"/>
        <w:kinsoku/>
        <w:wordWrap/>
        <w:overflowPunct/>
        <w:topLinePunct w:val="0"/>
        <w:autoSpaceDE/>
        <w:autoSpaceDN/>
        <w:bidi w:val="0"/>
        <w:adjustRightInd/>
        <w:spacing w:after="0" w:line="360" w:lineRule="auto"/>
        <w:ind w:firstLine="480" w:firstLineChars="200"/>
        <w:jc w:val="left"/>
        <w:textAlignment w:val="auto"/>
        <w:rPr>
          <w:rFonts w:hint="eastAsia" w:ascii="仿宋" w:hAnsi="仿宋" w:eastAsia="仿宋" w:cs="仿宋"/>
          <w:color w:val="auto"/>
          <w:sz w:val="24"/>
          <w:lang w:eastAsia="zh-CN"/>
        </w:rPr>
      </w:pPr>
      <w:r>
        <w:rPr>
          <w:rFonts w:hint="eastAsia" w:ascii="仿宋" w:hAnsi="仿宋" w:eastAsia="仿宋" w:cs="仿宋"/>
          <w:color w:val="auto"/>
          <w:sz w:val="24"/>
        </w:rPr>
        <w:t>本项目（是/否）接受联合体</w:t>
      </w:r>
      <w:r>
        <w:rPr>
          <w:rFonts w:hint="eastAsia" w:ascii="仿宋" w:hAnsi="仿宋" w:eastAsia="仿宋" w:cs="仿宋"/>
          <w:color w:val="auto"/>
          <w:sz w:val="24"/>
          <w:lang w:eastAsia="zh-CN"/>
        </w:rPr>
        <w:t>：</w:t>
      </w:r>
      <w:r>
        <w:rPr>
          <w:rFonts w:hint="eastAsia" w:ascii="仿宋" w:hAnsi="仿宋" w:eastAsia="仿宋" w:cs="仿宋"/>
          <w:color w:val="auto"/>
          <w:sz w:val="24"/>
        </w:rPr>
        <w:t>否</w:t>
      </w:r>
      <w:r>
        <w:rPr>
          <w:rFonts w:hint="eastAsia" w:ascii="仿宋" w:hAnsi="仿宋" w:eastAsia="仿宋" w:cs="仿宋"/>
          <w:color w:val="auto"/>
          <w:sz w:val="24"/>
          <w:lang w:eastAsia="zh-CN"/>
        </w:rPr>
        <w:t>。</w:t>
      </w:r>
    </w:p>
    <w:p>
      <w:pPr>
        <w:pStyle w:val="56"/>
        <w:keepNext w:val="0"/>
        <w:keepLines w:val="0"/>
        <w:pageBreakBefore w:val="0"/>
        <w:widowControl w:val="0"/>
        <w:kinsoku/>
        <w:wordWrap/>
        <w:overflowPunct/>
        <w:topLinePunct w:val="0"/>
        <w:autoSpaceDE/>
        <w:autoSpaceDN/>
        <w:bidi w:val="0"/>
        <w:adjustRightInd/>
        <w:spacing w:after="0" w:line="360" w:lineRule="auto"/>
        <w:ind w:firstLine="480" w:firstLineChars="200"/>
        <w:jc w:val="lef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所属行业：详见第三章“用户需求书”</w:t>
      </w:r>
    </w:p>
    <w:bookmarkEnd w:id="1"/>
    <w:bookmarkEnd w:id="2"/>
    <w:p>
      <w:pPr>
        <w:pStyle w:val="56"/>
        <w:tabs>
          <w:tab w:val="left" w:pos="998"/>
        </w:tabs>
        <w:spacing w:after="0" w:line="360" w:lineRule="auto"/>
        <w:ind w:firstLine="0"/>
        <w:jc w:val="left"/>
        <w:rPr>
          <w:rFonts w:hint="eastAsia" w:ascii="仿宋" w:hAnsi="仿宋" w:eastAsia="仿宋" w:cs="仿宋"/>
          <w:b/>
          <w:bCs/>
          <w:color w:val="auto"/>
          <w:sz w:val="28"/>
          <w:szCs w:val="28"/>
        </w:rPr>
      </w:pPr>
      <w:bookmarkStart w:id="3" w:name="bookmark47"/>
      <w:bookmarkStart w:id="4" w:name="_Toc28917"/>
      <w:bookmarkStart w:id="5" w:name="_Toc433126979"/>
      <w:r>
        <w:rPr>
          <w:rFonts w:hint="eastAsia" w:ascii="仿宋" w:hAnsi="仿宋" w:eastAsia="仿宋" w:cs="仿宋"/>
          <w:b/>
          <w:bCs/>
          <w:color w:val="auto"/>
          <w:sz w:val="28"/>
          <w:szCs w:val="28"/>
        </w:rPr>
        <w:t>二</w:t>
      </w:r>
      <w:bookmarkEnd w:id="3"/>
      <w:r>
        <w:rPr>
          <w:rFonts w:hint="eastAsia" w:ascii="仿宋" w:hAnsi="仿宋" w:eastAsia="仿宋" w:cs="仿宋"/>
          <w:b/>
          <w:bCs/>
          <w:color w:val="auto"/>
          <w:sz w:val="28"/>
          <w:szCs w:val="28"/>
        </w:rPr>
        <w:t>、申请人的资格要求：</w:t>
      </w:r>
    </w:p>
    <w:bookmarkEnd w:id="4"/>
    <w:bookmarkEnd w:id="5"/>
    <w:p>
      <w:pPr>
        <w:spacing w:line="560" w:lineRule="exact"/>
        <w:ind w:firstLine="480" w:firstLineChars="200"/>
        <w:jc w:val="left"/>
        <w:rPr>
          <w:rFonts w:hint="eastAsia" w:ascii="仿宋" w:hAnsi="仿宋" w:eastAsia="仿宋" w:cs="仿宋"/>
          <w:color w:val="auto"/>
          <w:sz w:val="24"/>
          <w:lang w:eastAsia="zh-CN"/>
        </w:rPr>
      </w:pPr>
      <w:bookmarkStart w:id="6" w:name="bookmark48"/>
      <w:bookmarkEnd w:id="6"/>
      <w:bookmarkStart w:id="7" w:name="bookmark51"/>
      <w:r>
        <w:rPr>
          <w:rFonts w:hint="eastAsia" w:ascii="仿宋" w:hAnsi="仿宋" w:eastAsia="仿宋" w:cs="仿宋"/>
          <w:color w:val="auto"/>
          <w:sz w:val="24"/>
          <w:lang w:eastAsia="zh-CN"/>
        </w:rPr>
        <w:t>第四包</w:t>
      </w:r>
    </w:p>
    <w:p>
      <w:pPr>
        <w:spacing w:line="560" w:lineRule="exact"/>
        <w:ind w:firstLine="480" w:firstLineChars="200"/>
        <w:jc w:val="left"/>
        <w:rPr>
          <w:rFonts w:hint="eastAsia" w:ascii="仿宋" w:hAnsi="仿宋" w:eastAsia="仿宋" w:cs="仿宋"/>
          <w:color w:val="auto"/>
          <w:kern w:val="2"/>
          <w:sz w:val="24"/>
          <w:szCs w:val="24"/>
          <w:u w:val="single"/>
          <w:shd w:val="clear" w:color="auto" w:fill="auto"/>
          <w:lang w:val="en-US" w:eastAsia="zh-CN" w:bidi="zh-TW"/>
        </w:rPr>
      </w:pPr>
      <w:r>
        <w:rPr>
          <w:rFonts w:hint="eastAsia" w:ascii="仿宋" w:hAnsi="仿宋" w:eastAsia="仿宋" w:cs="仿宋"/>
          <w:color w:val="auto"/>
          <w:kern w:val="2"/>
          <w:sz w:val="24"/>
          <w:szCs w:val="24"/>
          <w:u w:val="single"/>
          <w:shd w:val="clear" w:color="auto" w:fill="auto"/>
          <w:lang w:val="en-US" w:eastAsia="zh-CN" w:bidi="zh-TW"/>
        </w:rPr>
        <w:t>1.满足《中华人民共和国政府采购法》第二十二条规定；</w:t>
      </w:r>
    </w:p>
    <w:p>
      <w:pPr>
        <w:spacing w:line="560" w:lineRule="exact"/>
        <w:ind w:firstLine="480" w:firstLineChars="200"/>
        <w:jc w:val="left"/>
        <w:rPr>
          <w:rFonts w:hint="eastAsia" w:ascii="仿宋" w:hAnsi="仿宋" w:eastAsia="仿宋" w:cs="仿宋"/>
          <w:color w:val="auto"/>
          <w:kern w:val="2"/>
          <w:sz w:val="24"/>
          <w:szCs w:val="24"/>
          <w:u w:val="single"/>
          <w:shd w:val="clear" w:color="auto" w:fill="auto"/>
          <w:lang w:val="en-US" w:eastAsia="zh-CN" w:bidi="zh-TW"/>
        </w:rPr>
      </w:pPr>
      <w:r>
        <w:rPr>
          <w:rFonts w:hint="eastAsia" w:ascii="仿宋" w:hAnsi="仿宋" w:eastAsia="仿宋" w:cs="仿宋"/>
          <w:color w:val="auto"/>
          <w:kern w:val="2"/>
          <w:sz w:val="24"/>
          <w:szCs w:val="24"/>
          <w:u w:val="single"/>
          <w:shd w:val="clear" w:color="auto" w:fill="auto"/>
          <w:lang w:val="en-US" w:eastAsia="zh-CN" w:bidi="zh-TW"/>
        </w:rPr>
        <w:t>2.落实政府采购政策需满足的资格要求：无</w:t>
      </w:r>
    </w:p>
    <w:p>
      <w:pPr>
        <w:spacing w:line="560" w:lineRule="exact"/>
        <w:ind w:firstLine="480" w:firstLineChars="200"/>
        <w:jc w:val="left"/>
        <w:rPr>
          <w:rFonts w:hint="eastAsia" w:ascii="仿宋" w:hAnsi="仿宋" w:eastAsia="仿宋" w:cs="仿宋"/>
          <w:color w:val="auto"/>
          <w:kern w:val="2"/>
          <w:sz w:val="24"/>
          <w:szCs w:val="24"/>
          <w:u w:val="single"/>
          <w:shd w:val="clear" w:color="auto" w:fill="auto"/>
          <w:lang w:val="en-US" w:eastAsia="zh-CN" w:bidi="zh-TW"/>
        </w:rPr>
      </w:pPr>
      <w:r>
        <w:rPr>
          <w:rFonts w:hint="eastAsia" w:ascii="仿宋" w:hAnsi="仿宋" w:eastAsia="仿宋" w:cs="仿宋"/>
          <w:color w:val="auto"/>
          <w:kern w:val="2"/>
          <w:sz w:val="24"/>
          <w:szCs w:val="24"/>
          <w:u w:val="single"/>
          <w:shd w:val="clear" w:color="auto" w:fill="auto"/>
          <w:lang w:val="en-US" w:eastAsia="zh-CN" w:bidi="zh-TW"/>
        </w:rPr>
        <w:t>3.本项目的特定资格要求：（1）在中华人民共和国注册，具有独立承担民事责任能力（需提供营业执照、税务登记证、组织机构代码证复印件，或者三证合一复印件）；（2）具有良好的商业信誉和健全的财务会计制度（需提供2022年至今任意一个月的财务报表（至少包含资产负债表、利润表）或会计师事务所出具2021年至今任意一年度财务审计报告复印件）；（3）具有依法缴纳税收的良好记录（需提供2023年至今任意1个月的纳税证明复印件）；（4）具有依法缴纳社会保障资金的良好记录（需提供2023年至今任意1个月的社保缴费记录复印件）；（5）参加政府采购活动前三年内，在经营活动中没有重大违法记录（提供声明函）；（6）具备《中华人民共和国政府采购法》第二十二条规定的条件（提供承诺书）。（7）、“信用中国”网站(www.creditchina.gov.cn)渠道查询供应商信用记录，经查询未列入失信被执行人、“重大税收违法失信主体”和中国政府采购网(www.ccgp.gov.cn)渠道查询供应商信用记录，经查询未列入政府采购严重违法失信行为记录名单。</w:t>
      </w:r>
    </w:p>
    <w:p>
      <w:pPr>
        <w:pStyle w:val="56"/>
        <w:tabs>
          <w:tab w:val="left" w:pos="1018"/>
        </w:tabs>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三</w:t>
      </w:r>
      <w:bookmarkEnd w:id="7"/>
      <w:r>
        <w:rPr>
          <w:rFonts w:hint="eastAsia" w:ascii="仿宋" w:hAnsi="仿宋" w:eastAsia="仿宋" w:cs="仿宋"/>
          <w:b/>
          <w:bCs/>
          <w:color w:val="auto"/>
          <w:sz w:val="28"/>
          <w:szCs w:val="28"/>
        </w:rPr>
        <w:t>、获取采购文件</w:t>
      </w:r>
    </w:p>
    <w:p>
      <w:pPr>
        <w:pStyle w:val="56"/>
        <w:tabs>
          <w:tab w:val="left" w:pos="1018"/>
        </w:tabs>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 xml:space="preserve"> 2023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05</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日</w:t>
      </w:r>
      <w:r>
        <w:rPr>
          <w:rFonts w:hint="eastAsia" w:ascii="仿宋" w:hAnsi="仿宋" w:eastAsia="仿宋" w:cs="仿宋"/>
          <w:color w:val="auto"/>
          <w:sz w:val="24"/>
        </w:rPr>
        <w:t>至</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2023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05</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16</w:t>
      </w:r>
      <w:r>
        <w:rPr>
          <w:rFonts w:hint="eastAsia" w:ascii="仿宋" w:hAnsi="仿宋" w:eastAsia="仿宋" w:cs="仿宋"/>
          <w:color w:val="auto"/>
          <w:sz w:val="24"/>
          <w:u w:val="single"/>
        </w:rPr>
        <w:t>日</w:t>
      </w:r>
      <w:r>
        <w:rPr>
          <w:rFonts w:hint="eastAsia" w:ascii="仿宋" w:hAnsi="仿宋" w:eastAsia="仿宋" w:cs="仿宋"/>
          <w:color w:val="auto"/>
          <w:sz w:val="24"/>
        </w:rPr>
        <w:t>,每天上午</w:t>
      </w:r>
      <w:r>
        <w:rPr>
          <w:rFonts w:hint="eastAsia" w:ascii="仿宋" w:hAnsi="仿宋" w:eastAsia="仿宋" w:cs="仿宋"/>
          <w:color w:val="auto"/>
          <w:sz w:val="24"/>
          <w:u w:val="single"/>
          <w:lang w:val="en-US" w:eastAsia="zh-CN"/>
        </w:rPr>
        <w:t xml:space="preserve"> 08：30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12：00 </w:t>
      </w:r>
      <w:r>
        <w:rPr>
          <w:rFonts w:hint="eastAsia" w:ascii="仿宋" w:hAnsi="仿宋" w:eastAsia="仿宋" w:cs="仿宋"/>
          <w:color w:val="auto"/>
          <w:sz w:val="24"/>
          <w:lang w:val="en-US" w:eastAsia="zh-CN"/>
        </w:rPr>
        <w:t>，</w:t>
      </w:r>
      <w:r>
        <w:rPr>
          <w:rFonts w:hint="eastAsia" w:ascii="仿宋" w:hAnsi="仿宋" w:eastAsia="仿宋" w:cs="仿宋"/>
          <w:color w:val="auto"/>
          <w:sz w:val="24"/>
        </w:rPr>
        <w:t>下午</w:t>
      </w:r>
      <w:r>
        <w:rPr>
          <w:rFonts w:hint="eastAsia" w:ascii="仿宋" w:hAnsi="仿宋" w:eastAsia="仿宋" w:cs="仿宋"/>
          <w:color w:val="auto"/>
          <w:sz w:val="24"/>
          <w:u w:val="single"/>
          <w:lang w:val="en-US" w:eastAsia="zh-CN"/>
        </w:rPr>
        <w:t xml:space="preserve"> 14：30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17：30 </w:t>
      </w:r>
      <w:r>
        <w:rPr>
          <w:rFonts w:hint="eastAsia" w:ascii="仿宋" w:hAnsi="仿宋" w:eastAsia="仿宋" w:cs="仿宋"/>
          <w:color w:val="auto"/>
          <w:sz w:val="24"/>
        </w:rPr>
        <w:t>（北京时间，法定节假日除外）</w:t>
      </w:r>
    </w:p>
    <w:p>
      <w:pPr>
        <w:pStyle w:val="5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地点：海口市美兰区五指山路16-3号康业花园西湖苑G栋2A。</w:t>
      </w:r>
    </w:p>
    <w:p>
      <w:pPr>
        <w:pStyle w:val="56"/>
        <w:spacing w:after="0" w:line="360" w:lineRule="auto"/>
        <w:ind w:firstLine="480" w:firstLineChars="200"/>
        <w:jc w:val="left"/>
        <w:rPr>
          <w:rFonts w:hint="eastAsia" w:ascii="仿宋" w:hAnsi="仿宋" w:eastAsia="仿宋" w:cs="仿宋"/>
          <w:color w:val="auto"/>
          <w:sz w:val="24"/>
        </w:rPr>
      </w:pPr>
      <w:bookmarkStart w:id="8" w:name="bookmark52"/>
      <w:r>
        <w:rPr>
          <w:rFonts w:hint="eastAsia" w:ascii="仿宋" w:hAnsi="仿宋" w:eastAsia="仿宋" w:cs="仿宋"/>
          <w:color w:val="auto"/>
          <w:sz w:val="24"/>
        </w:rPr>
        <w:t>采购文件获取</w:t>
      </w:r>
      <w:r>
        <w:rPr>
          <w:rFonts w:hint="eastAsia" w:ascii="仿宋" w:hAnsi="仿宋" w:eastAsia="仿宋" w:cs="仿宋"/>
          <w:color w:val="auto"/>
          <w:sz w:val="24"/>
          <w:lang w:eastAsia="zh-CN"/>
        </w:rPr>
        <w:t>方式</w:t>
      </w:r>
      <w:r>
        <w:rPr>
          <w:rFonts w:hint="eastAsia" w:ascii="仿宋" w:hAnsi="仿宋" w:eastAsia="仿宋" w:cs="仿宋"/>
          <w:color w:val="auto"/>
          <w:sz w:val="24"/>
        </w:rPr>
        <w:t>：</w:t>
      </w:r>
    </w:p>
    <w:p>
      <w:pPr>
        <w:pStyle w:val="5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（1）投标人须在海南政府采购网(https://www.ccgp-hainan.gov.cn/zhuzhan/)中的海南省政府采购电子化交易管理系统平台进行注册 ，登陆交易平台进行报名</w:t>
      </w:r>
    </w:p>
    <w:p>
      <w:pPr>
        <w:pStyle w:val="5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（4）未按时在系统平台注册报名均视为无效报名。</w:t>
      </w:r>
    </w:p>
    <w:p>
      <w:pPr>
        <w:pStyle w:val="56"/>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售价：</w:t>
      </w:r>
      <w:r>
        <w:rPr>
          <w:rFonts w:hint="eastAsia" w:ascii="仿宋" w:hAnsi="仿宋" w:eastAsia="仿宋" w:cs="仿宋"/>
          <w:color w:val="auto"/>
          <w:sz w:val="24"/>
          <w:lang w:val="en-US" w:eastAsia="zh-CN"/>
        </w:rPr>
        <w:t>300.00元/包（开标现场缴纳）</w:t>
      </w:r>
    </w:p>
    <w:p>
      <w:pPr>
        <w:pStyle w:val="56"/>
        <w:tabs>
          <w:tab w:val="left" w:pos="1018"/>
        </w:tabs>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四</w:t>
      </w:r>
      <w:bookmarkEnd w:id="8"/>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响应</w:t>
      </w:r>
      <w:r>
        <w:rPr>
          <w:rFonts w:hint="eastAsia" w:ascii="仿宋" w:hAnsi="仿宋" w:eastAsia="仿宋" w:cs="仿宋"/>
          <w:b/>
          <w:bCs/>
          <w:color w:val="auto"/>
          <w:sz w:val="28"/>
          <w:szCs w:val="28"/>
        </w:rPr>
        <w:t>文件提交</w:t>
      </w:r>
    </w:p>
    <w:p>
      <w:pPr>
        <w:pStyle w:val="56"/>
        <w:spacing w:after="0"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截止时间：</w:t>
      </w:r>
      <w:r>
        <w:rPr>
          <w:rFonts w:hint="eastAsia" w:ascii="仿宋" w:hAnsi="仿宋" w:eastAsia="仿宋" w:cs="仿宋"/>
          <w:color w:val="auto"/>
          <w:sz w:val="24"/>
          <w:u w:val="single"/>
          <w:lang w:val="en-US" w:eastAsia="zh-CN"/>
        </w:rPr>
        <w:t xml:space="preserve"> 2023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05</w:t>
      </w:r>
      <w:r>
        <w:rPr>
          <w:rFonts w:hint="eastAsia" w:ascii="仿宋" w:hAnsi="仿宋" w:eastAsia="仿宋" w:cs="仿宋"/>
          <w:color w:val="auto"/>
          <w:sz w:val="24"/>
          <w:u w:val="single"/>
          <w:lang w:val="zh-CN" w:eastAsia="zh-CN" w:bidi="zh-CN"/>
        </w:rPr>
        <w:t>月</w:t>
      </w:r>
      <w:r>
        <w:rPr>
          <w:rFonts w:hint="eastAsia" w:ascii="仿宋" w:hAnsi="仿宋" w:eastAsia="仿宋" w:cs="仿宋"/>
          <w:color w:val="auto"/>
          <w:sz w:val="24"/>
          <w:u w:val="single"/>
          <w:lang w:val="en-US" w:eastAsia="zh-CN" w:bidi="zh-CN"/>
        </w:rPr>
        <w:t>22日09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color w:val="auto"/>
          <w:sz w:val="24"/>
        </w:rPr>
        <w:t>（北京时间）</w:t>
      </w:r>
    </w:p>
    <w:p>
      <w:pPr>
        <w:pStyle w:val="5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w:t>
      </w:r>
      <w:bookmarkStart w:id="9" w:name="bookmark53"/>
      <w:r>
        <w:rPr>
          <w:rFonts w:hint="eastAsia" w:ascii="仿宋" w:hAnsi="仿宋" w:eastAsia="仿宋" w:cs="仿宋"/>
          <w:color w:val="auto"/>
          <w:sz w:val="24"/>
        </w:rPr>
        <w:t>海口市美兰区五指山路16-3号康业花园西湖苑G栋2A。</w:t>
      </w:r>
    </w:p>
    <w:p>
      <w:pPr>
        <w:pStyle w:val="56"/>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五</w:t>
      </w:r>
      <w:bookmarkEnd w:id="9"/>
      <w:r>
        <w:rPr>
          <w:rFonts w:hint="eastAsia" w:ascii="仿宋" w:hAnsi="仿宋" w:eastAsia="仿宋" w:cs="仿宋"/>
          <w:b/>
          <w:bCs/>
          <w:color w:val="auto"/>
          <w:sz w:val="28"/>
          <w:szCs w:val="28"/>
        </w:rPr>
        <w:t>、开启</w:t>
      </w:r>
    </w:p>
    <w:p>
      <w:pPr>
        <w:pStyle w:val="56"/>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 xml:space="preserve"> 2023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05</w:t>
      </w:r>
      <w:r>
        <w:rPr>
          <w:rFonts w:hint="eastAsia" w:ascii="仿宋" w:hAnsi="仿宋" w:eastAsia="仿宋" w:cs="仿宋"/>
          <w:color w:val="auto"/>
          <w:sz w:val="24"/>
          <w:u w:val="single"/>
          <w:lang w:val="zh-CN" w:eastAsia="zh-CN" w:bidi="zh-CN"/>
        </w:rPr>
        <w:t>月</w:t>
      </w:r>
      <w:r>
        <w:rPr>
          <w:rFonts w:hint="eastAsia" w:ascii="仿宋" w:hAnsi="仿宋" w:eastAsia="仿宋" w:cs="仿宋"/>
          <w:color w:val="auto"/>
          <w:sz w:val="24"/>
          <w:u w:val="single"/>
          <w:lang w:val="en-US" w:eastAsia="zh-CN" w:bidi="zh-CN"/>
        </w:rPr>
        <w:t>22日09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color w:val="auto"/>
          <w:sz w:val="24"/>
        </w:rPr>
        <w:t>（北京时间）</w:t>
      </w:r>
    </w:p>
    <w:p>
      <w:pPr>
        <w:pStyle w:val="5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地点：海口市美兰区五指山路16-3号康业花园西湖苑G栋2A。</w:t>
      </w:r>
    </w:p>
    <w:p>
      <w:pPr>
        <w:pStyle w:val="56"/>
        <w:tabs>
          <w:tab w:val="left" w:pos="1006"/>
        </w:tabs>
        <w:spacing w:after="0" w:line="360" w:lineRule="auto"/>
        <w:ind w:firstLine="0"/>
        <w:rPr>
          <w:rFonts w:hint="eastAsia" w:ascii="仿宋" w:hAnsi="仿宋" w:eastAsia="仿宋" w:cs="仿宋"/>
          <w:b/>
          <w:bCs/>
          <w:color w:val="auto"/>
          <w:sz w:val="28"/>
          <w:szCs w:val="28"/>
        </w:rPr>
      </w:pPr>
      <w:bookmarkStart w:id="10" w:name="bookmark54"/>
      <w:r>
        <w:rPr>
          <w:rFonts w:hint="eastAsia" w:ascii="仿宋" w:hAnsi="仿宋" w:eastAsia="仿宋" w:cs="仿宋"/>
          <w:b/>
          <w:bCs/>
          <w:color w:val="auto"/>
          <w:sz w:val="28"/>
          <w:szCs w:val="28"/>
        </w:rPr>
        <w:t>六</w:t>
      </w:r>
      <w:bookmarkEnd w:id="10"/>
      <w:r>
        <w:rPr>
          <w:rFonts w:hint="eastAsia" w:ascii="仿宋" w:hAnsi="仿宋" w:eastAsia="仿宋" w:cs="仿宋"/>
          <w:b/>
          <w:bCs/>
          <w:color w:val="auto"/>
          <w:sz w:val="28"/>
          <w:szCs w:val="28"/>
        </w:rPr>
        <w:t>、公告期限</w:t>
      </w:r>
    </w:p>
    <w:p>
      <w:pPr>
        <w:pStyle w:val="5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自本公告发布之日起</w:t>
      </w:r>
      <w:r>
        <w:rPr>
          <w:rFonts w:hint="eastAsia" w:ascii="仿宋" w:hAnsi="仿宋" w:eastAsia="仿宋" w:cs="仿宋"/>
          <w:color w:val="auto"/>
          <w:sz w:val="24"/>
          <w:lang w:val="en-US" w:eastAsia="zh-CN"/>
        </w:rPr>
        <w:t>5</w:t>
      </w:r>
      <w:r>
        <w:rPr>
          <w:rFonts w:hint="eastAsia" w:ascii="仿宋" w:hAnsi="仿宋" w:eastAsia="仿宋" w:cs="仿宋"/>
          <w:color w:val="auto"/>
          <w:sz w:val="24"/>
        </w:rPr>
        <w:t>个工作日。</w:t>
      </w:r>
    </w:p>
    <w:p>
      <w:pPr>
        <w:pStyle w:val="56"/>
        <w:tabs>
          <w:tab w:val="left" w:pos="1006"/>
        </w:tabs>
        <w:spacing w:after="0" w:line="360" w:lineRule="auto"/>
        <w:ind w:firstLine="0"/>
        <w:jc w:val="left"/>
        <w:rPr>
          <w:rFonts w:hint="eastAsia" w:ascii="仿宋" w:hAnsi="仿宋" w:eastAsia="仿宋" w:cs="仿宋"/>
          <w:b/>
          <w:bCs/>
          <w:color w:val="auto"/>
          <w:sz w:val="28"/>
          <w:szCs w:val="28"/>
        </w:rPr>
      </w:pPr>
      <w:bookmarkStart w:id="11" w:name="bookmark55"/>
      <w:r>
        <w:rPr>
          <w:rFonts w:hint="eastAsia" w:ascii="仿宋" w:hAnsi="仿宋" w:eastAsia="仿宋" w:cs="仿宋"/>
          <w:b/>
          <w:bCs/>
          <w:color w:val="auto"/>
          <w:sz w:val="28"/>
          <w:szCs w:val="28"/>
        </w:rPr>
        <w:t>七</w:t>
      </w:r>
      <w:bookmarkEnd w:id="11"/>
      <w:r>
        <w:rPr>
          <w:rFonts w:hint="eastAsia" w:ascii="仿宋" w:hAnsi="仿宋" w:eastAsia="仿宋" w:cs="仿宋"/>
          <w:b/>
          <w:bCs/>
          <w:color w:val="auto"/>
          <w:sz w:val="28"/>
          <w:szCs w:val="28"/>
        </w:rPr>
        <w:t>、其他补充事宜</w:t>
      </w:r>
    </w:p>
    <w:p>
      <w:pPr>
        <w:tabs>
          <w:tab w:val="left" w:pos="4680"/>
        </w:tabs>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磋商</w:t>
      </w:r>
      <w:r>
        <w:rPr>
          <w:rFonts w:hint="eastAsia" w:ascii="仿宋" w:hAnsi="仿宋" w:eastAsia="仿宋" w:cs="仿宋"/>
          <w:color w:val="auto"/>
          <w:sz w:val="24"/>
          <w:lang w:eastAsia="zh-CN"/>
        </w:rPr>
        <w:t>保证金：包</w:t>
      </w:r>
      <w:r>
        <w:rPr>
          <w:rFonts w:hint="eastAsia" w:ascii="仿宋" w:hAnsi="仿宋" w:eastAsia="仿宋" w:cs="仿宋"/>
          <w:color w:val="auto"/>
          <w:sz w:val="24"/>
          <w:lang w:val="en-US" w:eastAsia="zh-CN"/>
        </w:rPr>
        <w:t>4:182磋商</w:t>
      </w:r>
      <w:r>
        <w:rPr>
          <w:rFonts w:hint="eastAsia" w:ascii="仿宋" w:hAnsi="仿宋" w:eastAsia="仿宋" w:cs="仿宋"/>
          <w:color w:val="auto"/>
          <w:sz w:val="24"/>
        </w:rPr>
        <w:t>保证金应在</w:t>
      </w:r>
      <w:r>
        <w:rPr>
          <w:rFonts w:hint="eastAsia" w:ascii="仿宋" w:hAnsi="仿宋" w:eastAsia="仿宋" w:cs="仿宋"/>
          <w:color w:val="auto"/>
          <w:sz w:val="24"/>
          <w:lang w:val="en-US" w:eastAsia="zh-CN"/>
        </w:rPr>
        <w:t>响应</w:t>
      </w:r>
      <w:r>
        <w:rPr>
          <w:rFonts w:hint="eastAsia" w:ascii="仿宋" w:hAnsi="仿宋" w:eastAsia="仿宋" w:cs="仿宋"/>
          <w:color w:val="auto"/>
          <w:sz w:val="24"/>
        </w:rPr>
        <w:t>文件提交截止时间前转入采购代理机构以下账户</w:t>
      </w:r>
      <w:r>
        <w:rPr>
          <w:rFonts w:hint="eastAsia" w:ascii="仿宋" w:hAnsi="仿宋" w:eastAsia="仿宋" w:cs="仿宋"/>
          <w:color w:val="auto"/>
          <w:sz w:val="24"/>
          <w:lang w:eastAsia="zh-CN"/>
        </w:rPr>
        <w:t>，建议</w:t>
      </w:r>
      <w:r>
        <w:rPr>
          <w:rFonts w:hint="eastAsia" w:ascii="仿宋" w:hAnsi="仿宋" w:eastAsia="仿宋" w:cs="仿宋"/>
          <w:color w:val="auto"/>
          <w:sz w:val="24"/>
        </w:rPr>
        <w:t>注明汇款单位、项目编号或项目名称（如有分包，则同时注明包号），或可选择以支票、汇票、本票或者金融机构、担保机构出具的保函等非现金形式提交。</w:t>
      </w:r>
    </w:p>
    <w:p>
      <w:pPr>
        <w:pStyle w:val="56"/>
        <w:tabs>
          <w:tab w:val="left" w:pos="1006"/>
        </w:tabs>
        <w:wordWrap w:val="0"/>
        <w:spacing w:after="0"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户  名：海南政辉招投标代理有限公司</w:t>
      </w:r>
    </w:p>
    <w:p>
      <w:pPr>
        <w:pStyle w:val="56"/>
        <w:tabs>
          <w:tab w:val="left" w:pos="1006"/>
        </w:tabs>
        <w:wordWrap w:val="0"/>
        <w:spacing w:after="0"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开户行：中国工商银行股份有限公司海口新华支行</w:t>
      </w:r>
    </w:p>
    <w:p>
      <w:pPr>
        <w:pStyle w:val="56"/>
        <w:tabs>
          <w:tab w:val="left" w:pos="1006"/>
        </w:tabs>
        <w:wordWrap w:val="0"/>
        <w:spacing w:after="0"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账  户：2201023809200980178</w:t>
      </w:r>
    </w:p>
    <w:p>
      <w:pPr>
        <w:pStyle w:val="56"/>
        <w:numPr>
          <w:ilvl w:val="0"/>
          <w:numId w:val="3"/>
        </w:numPr>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公告发布媒介：</w:t>
      </w:r>
      <w:r>
        <w:fldChar w:fldCharType="begin"/>
      </w:r>
      <w:r>
        <w:instrText xml:space="preserve"> HYPERLINK "http://www.ccgp-hainan.gov.cn、www.ccgp.gov.cn。（）" </w:instrText>
      </w:r>
      <w:r>
        <w:fldChar w:fldCharType="separate"/>
      </w:r>
      <w:r>
        <w:rPr>
          <w:rFonts w:hint="eastAsia" w:ascii="仿宋" w:hAnsi="仿宋" w:eastAsia="仿宋" w:cs="仿宋"/>
          <w:color w:val="auto"/>
          <w:sz w:val="24"/>
          <w:lang w:val="en-US" w:eastAsia="zh-CN"/>
        </w:rPr>
        <w:t>https://www.ccgp-hainan.gov.cn（海南省政府采购网）。</w:t>
      </w:r>
      <w:r>
        <w:rPr>
          <w:rFonts w:hint="eastAsia" w:ascii="仿宋" w:hAnsi="仿宋" w:eastAsia="仿宋" w:cs="仿宋"/>
          <w:color w:val="auto"/>
          <w:sz w:val="24"/>
          <w:lang w:val="en-US" w:eastAsia="zh-CN"/>
        </w:rPr>
        <w:fldChar w:fldCharType="end"/>
      </w:r>
    </w:p>
    <w:p>
      <w:pPr>
        <w:pStyle w:val="56"/>
        <w:tabs>
          <w:tab w:val="left" w:pos="1006"/>
        </w:tabs>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八、凡对本次</w:t>
      </w:r>
      <w:r>
        <w:rPr>
          <w:rFonts w:hint="eastAsia" w:ascii="仿宋" w:hAnsi="仿宋" w:eastAsia="仿宋" w:cs="仿宋"/>
          <w:b/>
          <w:bCs/>
          <w:color w:val="auto"/>
          <w:sz w:val="28"/>
          <w:szCs w:val="28"/>
          <w:lang w:eastAsia="zh-CN"/>
        </w:rPr>
        <w:t>采</w:t>
      </w:r>
      <w:r>
        <w:rPr>
          <w:rFonts w:hint="eastAsia" w:ascii="仿宋" w:hAnsi="仿宋" w:eastAsia="仿宋" w:cs="仿宋"/>
          <w:b/>
          <w:bCs/>
          <w:color w:val="auto"/>
          <w:sz w:val="28"/>
          <w:szCs w:val="28"/>
        </w:rPr>
        <w:t>购提出询问，请按以下方式联系</w:t>
      </w:r>
    </w:p>
    <w:p>
      <w:pPr>
        <w:pStyle w:val="56"/>
        <w:tabs>
          <w:tab w:val="left" w:pos="1551"/>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采</w:t>
      </w:r>
      <w:r>
        <w:rPr>
          <w:rFonts w:hint="eastAsia" w:ascii="仿宋" w:hAnsi="仿宋" w:eastAsia="仿宋" w:cs="仿宋"/>
          <w:color w:val="auto"/>
          <w:sz w:val="24"/>
        </w:rPr>
        <w:t>购人信息</w:t>
      </w:r>
    </w:p>
    <w:p>
      <w:pPr>
        <w:pStyle w:val="56"/>
        <w:tabs>
          <w:tab w:val="left" w:pos="5664"/>
        </w:tabs>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rPr>
        <w:t>名 称</w:t>
      </w:r>
      <w:r>
        <w:rPr>
          <w:rFonts w:hint="eastAsia" w:ascii="仿宋" w:hAnsi="仿宋" w:eastAsia="仿宋" w:cs="仿宋"/>
          <w:color w:val="auto"/>
          <w:sz w:val="24"/>
          <w:lang w:eastAsia="zh-CN"/>
        </w:rPr>
        <w:t>：</w:t>
      </w:r>
      <w:r>
        <w:rPr>
          <w:rFonts w:hint="eastAsia" w:ascii="仿宋" w:hAnsi="仿宋" w:eastAsia="仿宋" w:cs="仿宋"/>
          <w:color w:val="auto"/>
          <w:sz w:val="24"/>
          <w:u w:val="single"/>
          <w:lang w:val="en-US" w:eastAsia="zh-CN"/>
        </w:rPr>
        <w:t>海南省医疗保障局</w:t>
      </w:r>
    </w:p>
    <w:p>
      <w:pPr>
        <w:pStyle w:val="56"/>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地 址：</w:t>
      </w:r>
      <w:r>
        <w:rPr>
          <w:rFonts w:hint="eastAsia" w:ascii="仿宋" w:hAnsi="仿宋" w:eastAsia="仿宋" w:cs="仿宋"/>
          <w:color w:val="auto"/>
          <w:sz w:val="24"/>
          <w:u w:val="single"/>
          <w:lang w:val="en-US" w:eastAsia="zh-CN"/>
        </w:rPr>
        <w:t>海南省海口市</w:t>
      </w:r>
    </w:p>
    <w:p>
      <w:pPr>
        <w:pStyle w:val="56"/>
        <w:tabs>
          <w:tab w:val="left" w:pos="5678"/>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联系人：</w:t>
      </w:r>
      <w:r>
        <w:rPr>
          <w:rFonts w:hint="eastAsia" w:ascii="仿宋" w:hAnsi="仿宋" w:eastAsia="仿宋" w:cs="仿宋"/>
          <w:color w:val="auto"/>
          <w:sz w:val="24"/>
          <w:u w:val="single"/>
          <w:lang w:val="en-US" w:eastAsia="zh-CN"/>
        </w:rPr>
        <w:t xml:space="preserve">杨先生 </w:t>
      </w:r>
    </w:p>
    <w:p>
      <w:pPr>
        <w:pStyle w:val="56"/>
        <w:tabs>
          <w:tab w:val="left" w:pos="5678"/>
        </w:tabs>
        <w:spacing w:after="0" w:line="360" w:lineRule="auto"/>
        <w:ind w:firstLine="480" w:firstLineChars="200"/>
        <w:jc w:val="left"/>
        <w:rPr>
          <w:rFonts w:hint="eastAsia" w:ascii="仿宋" w:hAnsi="仿宋" w:eastAsia="仿宋" w:cs="仿宋"/>
          <w:color w:val="auto"/>
          <w:sz w:val="24"/>
          <w:lang w:val="en-US"/>
        </w:rPr>
      </w:pPr>
      <w:r>
        <w:rPr>
          <w:rFonts w:hint="eastAsia" w:ascii="仿宋" w:hAnsi="仿宋" w:eastAsia="仿宋" w:cs="仿宋"/>
          <w:color w:val="auto"/>
          <w:sz w:val="24"/>
        </w:rPr>
        <w:t>联系方式：</w:t>
      </w:r>
      <w:r>
        <w:rPr>
          <w:rFonts w:hint="eastAsia" w:ascii="仿宋" w:hAnsi="仿宋" w:eastAsia="仿宋" w:cs="仿宋"/>
          <w:color w:val="auto"/>
          <w:sz w:val="24"/>
          <w:u w:val="single"/>
          <w:lang w:val="en-US" w:eastAsia="zh-CN"/>
        </w:rPr>
        <w:t xml:space="preserve">  0898-66727052  </w:t>
      </w:r>
    </w:p>
    <w:p>
      <w:pPr>
        <w:pStyle w:val="56"/>
        <w:tabs>
          <w:tab w:val="left" w:pos="1573"/>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采</w:t>
      </w:r>
      <w:r>
        <w:rPr>
          <w:rFonts w:hint="eastAsia" w:ascii="仿宋" w:hAnsi="仿宋" w:eastAsia="仿宋" w:cs="仿宋"/>
          <w:color w:val="auto"/>
          <w:sz w:val="24"/>
        </w:rPr>
        <w:t>购代理机构信息</w:t>
      </w:r>
    </w:p>
    <w:p>
      <w:pPr>
        <w:pStyle w:val="56"/>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w:t>
      </w:r>
      <w:r>
        <w:rPr>
          <w:rFonts w:hint="eastAsia" w:ascii="仿宋" w:hAnsi="仿宋" w:eastAsia="仿宋" w:cs="仿宋"/>
          <w:color w:val="auto"/>
          <w:sz w:val="24"/>
        </w:rPr>
        <w:t xml:space="preserve"> 称：</w:t>
      </w:r>
      <w:r>
        <w:rPr>
          <w:rFonts w:hint="eastAsia" w:ascii="仿宋" w:hAnsi="仿宋" w:eastAsia="仿宋" w:cs="仿宋"/>
          <w:color w:val="auto"/>
          <w:sz w:val="24"/>
          <w:u w:val="single"/>
          <w:lang w:val="en-US" w:eastAsia="zh-CN"/>
        </w:rPr>
        <w:t>海南政辉招投标代理有限公司</w:t>
      </w:r>
    </w:p>
    <w:p>
      <w:pPr>
        <w:pStyle w:val="56"/>
        <w:tabs>
          <w:tab w:val="left" w:pos="5671"/>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rPr>
        <w:t>海口市美兰区五指山路16-3号康业花园西湖苑G栋2A</w:t>
      </w:r>
    </w:p>
    <w:p>
      <w:pPr>
        <w:pStyle w:val="56"/>
        <w:keepNext w:val="0"/>
        <w:keepLines w:val="0"/>
        <w:widowControl w:val="0"/>
        <w:shd w:val="clear" w:color="auto" w:fill="auto"/>
        <w:tabs>
          <w:tab w:val="left" w:pos="5686"/>
        </w:tabs>
        <w:bidi w:val="0"/>
        <w:spacing w:before="0" w:after="0" w:line="360" w:lineRule="auto"/>
        <w:ind w:left="0" w:leftChars="0" w:right="0"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u w:val="none"/>
          <w:lang w:val="en-US" w:eastAsia="zh-CN"/>
        </w:rPr>
        <w:t>邮 箱：</w:t>
      </w:r>
      <w:r>
        <w:fldChar w:fldCharType="begin"/>
      </w:r>
      <w:r>
        <w:instrText xml:space="preserve"> HYPERLINK "mailto:hnzhztb@163.com" </w:instrText>
      </w:r>
      <w:r>
        <w:fldChar w:fldCharType="separate"/>
      </w:r>
      <w:r>
        <w:rPr>
          <w:rFonts w:hint="eastAsia" w:ascii="仿宋" w:hAnsi="仿宋" w:eastAsia="仿宋" w:cs="仿宋"/>
          <w:color w:val="auto"/>
          <w:sz w:val="24"/>
          <w:szCs w:val="24"/>
          <w:u w:val="single"/>
          <w:lang w:val="en-US" w:eastAsia="zh-CN"/>
        </w:rPr>
        <w:t>hnzhztb@163.com</w:t>
      </w:r>
      <w:r>
        <w:rPr>
          <w:rFonts w:hint="eastAsia" w:ascii="仿宋" w:hAnsi="仿宋" w:eastAsia="仿宋" w:cs="仿宋"/>
          <w:color w:val="auto"/>
          <w:sz w:val="24"/>
          <w:szCs w:val="24"/>
          <w:u w:val="single"/>
          <w:lang w:val="en-US" w:eastAsia="zh-CN"/>
        </w:rPr>
        <w:fldChar w:fldCharType="end"/>
      </w:r>
    </w:p>
    <w:p>
      <w:pPr>
        <w:pStyle w:val="56"/>
        <w:tabs>
          <w:tab w:val="left" w:pos="5686"/>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联系方式：</w:t>
      </w:r>
      <w:r>
        <w:rPr>
          <w:rFonts w:hint="eastAsia" w:ascii="仿宋" w:hAnsi="仿宋" w:eastAsia="仿宋" w:cs="仿宋"/>
          <w:color w:val="auto"/>
          <w:sz w:val="24"/>
          <w:u w:val="single"/>
        </w:rPr>
        <w:t>0898-66557609</w:t>
      </w:r>
    </w:p>
    <w:p>
      <w:pPr>
        <w:pStyle w:val="56"/>
        <w:tabs>
          <w:tab w:val="left" w:pos="1573"/>
        </w:tabs>
        <w:spacing w:after="0" w:line="360" w:lineRule="auto"/>
        <w:ind w:firstLine="480" w:firstLineChars="200"/>
        <w:jc w:val="left"/>
        <w:rPr>
          <w:rFonts w:hint="eastAsia" w:ascii="仿宋" w:hAnsi="仿宋" w:eastAsia="仿宋" w:cs="仿宋"/>
          <w:color w:val="auto"/>
          <w:sz w:val="24"/>
        </w:rPr>
      </w:pPr>
      <w:bookmarkStart w:id="12" w:name="bookmark59"/>
      <w:bookmarkEnd w:id="12"/>
      <w:r>
        <w:rPr>
          <w:rFonts w:hint="eastAsia" w:ascii="仿宋" w:hAnsi="仿宋" w:eastAsia="仿宋" w:cs="仿宋"/>
          <w:color w:val="auto"/>
          <w:sz w:val="24"/>
          <w:lang w:val="en-US" w:eastAsia="zh-CN"/>
        </w:rPr>
        <w:t>3.</w:t>
      </w:r>
      <w:r>
        <w:rPr>
          <w:rFonts w:hint="eastAsia" w:ascii="仿宋" w:hAnsi="仿宋" w:eastAsia="仿宋" w:cs="仿宋"/>
          <w:color w:val="auto"/>
          <w:sz w:val="24"/>
        </w:rPr>
        <w:t>项目联系方式</w:t>
      </w:r>
    </w:p>
    <w:p>
      <w:pPr>
        <w:pStyle w:val="56"/>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rPr>
        <w:t>项目联系人</w:t>
      </w:r>
      <w:r>
        <w:rPr>
          <w:rFonts w:hint="eastAsia" w:ascii="仿宋" w:hAnsi="仿宋" w:eastAsia="仿宋" w:cs="仿宋"/>
          <w:color w:val="auto"/>
          <w:sz w:val="24"/>
          <w:lang w:eastAsia="zh-CN"/>
        </w:rPr>
        <w:t>：</w:t>
      </w:r>
      <w:r>
        <w:rPr>
          <w:rFonts w:hint="eastAsia" w:ascii="仿宋" w:hAnsi="仿宋" w:eastAsia="仿宋" w:cs="仿宋"/>
          <w:color w:val="auto"/>
          <w:sz w:val="24"/>
          <w:u w:val="single"/>
          <w:lang w:val="en-US" w:eastAsia="zh-CN"/>
        </w:rPr>
        <w:t>陈工</w:t>
      </w:r>
    </w:p>
    <w:p>
      <w:pPr>
        <w:snapToGrid w:val="0"/>
        <w:spacing w:after="100" w:afterAutospacing="1" w:line="360" w:lineRule="auto"/>
        <w:ind w:firstLine="480" w:firstLineChars="200"/>
        <w:rPr>
          <w:rFonts w:hint="eastAsia" w:ascii="仿宋" w:hAnsi="仿宋" w:eastAsia="仿宋" w:cs="仿宋"/>
          <w:b/>
          <w:color w:val="auto"/>
          <w:sz w:val="44"/>
          <w:szCs w:val="44"/>
          <w:lang w:val="en-US" w:eastAsia="zh-CN"/>
        </w:rPr>
      </w:pPr>
      <w:r>
        <w:rPr>
          <w:rFonts w:hint="eastAsia" w:ascii="仿宋" w:hAnsi="仿宋" w:eastAsia="仿宋" w:cs="仿宋"/>
          <w:color w:val="auto"/>
          <w:sz w:val="24"/>
        </w:rPr>
        <w:t>电话：</w:t>
      </w:r>
      <w:r>
        <w:rPr>
          <w:rFonts w:hint="eastAsia" w:ascii="仿宋" w:hAnsi="仿宋" w:eastAsia="仿宋" w:cs="仿宋"/>
          <w:color w:val="auto"/>
          <w:sz w:val="24"/>
          <w:u w:val="single"/>
        </w:rPr>
        <w:t>0898-66557609</w:t>
      </w:r>
    </w:p>
    <w:p>
      <w:pPr>
        <w:spacing w:before="120" w:beforeLines="50" w:after="120" w:afterLines="50" w:line="360" w:lineRule="auto"/>
        <w:jc w:val="center"/>
        <w:rPr>
          <w:rFonts w:hint="eastAsia" w:ascii="仿宋" w:hAnsi="仿宋" w:eastAsia="仿宋" w:cs="仿宋"/>
          <w:b/>
          <w:color w:val="auto"/>
          <w:sz w:val="44"/>
          <w:szCs w:val="44"/>
        </w:rPr>
      </w:pPr>
    </w:p>
    <w:p>
      <w:pPr>
        <w:spacing w:before="120" w:beforeLines="50" w:after="120" w:afterLines="50" w:line="360" w:lineRule="auto"/>
        <w:jc w:val="center"/>
        <w:rPr>
          <w:rFonts w:hint="eastAsia" w:ascii="仿宋" w:hAnsi="仿宋" w:eastAsia="仿宋" w:cs="仿宋"/>
          <w:b/>
          <w:color w:val="auto"/>
          <w:sz w:val="44"/>
          <w:szCs w:val="44"/>
        </w:rPr>
      </w:pPr>
    </w:p>
    <w:p>
      <w:pPr>
        <w:spacing w:before="120" w:beforeLines="50" w:after="120" w:afterLines="50" w:line="360" w:lineRule="auto"/>
        <w:jc w:val="center"/>
        <w:outlineLvl w:val="0"/>
        <w:rPr>
          <w:rFonts w:hint="eastAsia" w:ascii="仿宋" w:hAnsi="仿宋" w:eastAsia="仿宋" w:cs="仿宋"/>
          <w:b/>
          <w:color w:val="auto"/>
          <w:sz w:val="36"/>
          <w:szCs w:val="36"/>
        </w:rPr>
        <w:sectPr>
          <w:footerReference r:id="rId6" w:type="default"/>
          <w:pgSz w:w="11906" w:h="16838"/>
          <w:pgMar w:top="934" w:right="1134" w:bottom="1134" w:left="1531" w:header="851" w:footer="992" w:gutter="0"/>
          <w:pgBorders w:offsetFrom="page">
            <w:top w:val="none" w:sz="0" w:space="0"/>
            <w:left w:val="none" w:sz="0" w:space="0"/>
            <w:bottom w:val="none" w:sz="0" w:space="0"/>
            <w:right w:val="none" w:sz="0" w:space="0"/>
          </w:pgBorders>
          <w:pgNumType w:fmt="decimal" w:start="1"/>
          <w:cols w:space="708" w:num="1"/>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bookmarkStart w:id="13" w:name="_Toc30513"/>
      <w:r>
        <w:rPr>
          <w:rFonts w:hint="eastAsia" w:ascii="仿宋" w:hAnsi="仿宋" w:eastAsia="仿宋" w:cs="仿宋"/>
          <w:b/>
          <w:color w:val="auto"/>
          <w:kern w:val="0"/>
          <w:sz w:val="44"/>
          <w:szCs w:val="44"/>
          <w:lang w:eastAsia="zh-CN"/>
        </w:rPr>
        <w:t>第二章  供应商须知</w:t>
      </w:r>
      <w:bookmarkEnd w:id="13"/>
    </w:p>
    <w:p>
      <w:pPr>
        <w:bidi w:val="0"/>
        <w:jc w:val="center"/>
        <w:rPr>
          <w:rFonts w:hint="eastAsia" w:ascii="仿宋" w:hAnsi="仿宋" w:eastAsia="仿宋" w:cs="仿宋"/>
          <w:b/>
          <w:bCs/>
          <w:color w:val="auto"/>
          <w:sz w:val="32"/>
          <w:szCs w:val="32"/>
          <w:lang w:val="en-US" w:eastAsia="zh-CN"/>
        </w:rPr>
      </w:pPr>
      <w:bookmarkStart w:id="14" w:name="_Toc6312"/>
    </w:p>
    <w:bookmarkEnd w:id="14"/>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eastAsia" w:ascii="仿宋" w:hAnsi="仿宋" w:eastAsia="仿宋" w:cs="仿宋"/>
          <w:b/>
          <w:bCs/>
          <w:color w:val="auto"/>
        </w:rPr>
      </w:pPr>
      <w:bookmarkStart w:id="15" w:name="_Toc19858"/>
      <w:r>
        <w:rPr>
          <w:rFonts w:hint="eastAsia" w:ascii="仿宋" w:hAnsi="仿宋" w:eastAsia="仿宋" w:cs="仿宋"/>
          <w:b/>
          <w:bCs/>
          <w:color w:val="auto"/>
        </w:rPr>
        <w:t>一、总则</w:t>
      </w:r>
      <w:bookmarkEnd w:id="15"/>
    </w:p>
    <w:p>
      <w:pPr>
        <w:spacing w:line="360" w:lineRule="auto"/>
        <w:rPr>
          <w:rFonts w:hint="eastAsia" w:ascii="仿宋" w:hAnsi="仿宋" w:eastAsia="仿宋" w:cs="仿宋"/>
          <w:color w:val="auto"/>
          <w:sz w:val="24"/>
        </w:rPr>
      </w:pPr>
      <w:bookmarkStart w:id="16" w:name="_Toc433126984"/>
      <w:bookmarkStart w:id="17" w:name="_Toc11904"/>
      <w:r>
        <w:rPr>
          <w:rFonts w:hint="eastAsia" w:ascii="仿宋" w:hAnsi="仿宋" w:eastAsia="仿宋" w:cs="仿宋"/>
          <w:color w:val="auto"/>
          <w:sz w:val="24"/>
        </w:rPr>
        <w:t>1、适用范围</w:t>
      </w:r>
      <w:bookmarkEnd w:id="16"/>
      <w:bookmarkEnd w:id="17"/>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eastAsia="zh-CN"/>
        </w:rPr>
        <w:t>本</w:t>
      </w:r>
      <w:r>
        <w:rPr>
          <w:rFonts w:hint="eastAsia" w:ascii="仿宋" w:hAnsi="仿宋" w:eastAsia="仿宋" w:cs="仿宋"/>
          <w:color w:val="auto"/>
          <w:sz w:val="24"/>
          <w:lang w:val="en-GB" w:eastAsia="zh-CN"/>
        </w:rPr>
        <w:t>竞争性磋商</w:t>
      </w:r>
      <w:r>
        <w:rPr>
          <w:rFonts w:hint="eastAsia" w:ascii="仿宋" w:hAnsi="仿宋" w:eastAsia="仿宋" w:cs="仿宋"/>
          <w:color w:val="auto"/>
          <w:sz w:val="24"/>
          <w:lang w:eastAsia="zh-CN"/>
        </w:rPr>
        <w:t>文件仅适用于</w:t>
      </w:r>
      <w:r>
        <w:rPr>
          <w:rFonts w:hint="eastAsia" w:ascii="仿宋" w:hAnsi="仿宋" w:eastAsia="仿宋" w:cs="仿宋"/>
          <w:color w:val="auto"/>
          <w:sz w:val="24"/>
          <w:lang w:val="en-GB" w:eastAsia="zh-CN"/>
        </w:rPr>
        <w:t>本次磋商邀请中所叙述项目的货物、服务、</w:t>
      </w:r>
      <w:r>
        <w:rPr>
          <w:rFonts w:hint="eastAsia" w:ascii="仿宋" w:hAnsi="仿宋" w:eastAsia="仿宋" w:cs="仿宋"/>
          <w:color w:val="auto"/>
          <w:sz w:val="24"/>
          <w:lang w:eastAsia="zh-CN"/>
        </w:rPr>
        <w:t>报价活动</w:t>
      </w:r>
      <w:r>
        <w:rPr>
          <w:rFonts w:hint="eastAsia" w:ascii="仿宋" w:hAnsi="仿宋" w:eastAsia="仿宋" w:cs="仿宋"/>
          <w:color w:val="auto"/>
          <w:sz w:val="24"/>
          <w:lang w:val="en-GB" w:eastAsia="zh-CN"/>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 名词解释</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rPr>
        <w:t>.1 采购人：海南省医疗保障局</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rPr>
        <w:t>.2 采购代理机构：</w:t>
      </w:r>
      <w:r>
        <w:rPr>
          <w:rFonts w:hint="eastAsia" w:ascii="仿宋" w:hAnsi="仿宋" w:eastAsia="仿宋" w:cs="仿宋"/>
          <w:color w:val="auto"/>
          <w:sz w:val="24"/>
          <w:lang w:eastAsia="zh-CN"/>
        </w:rPr>
        <w:t>海南政辉招投标代理有限公司</w:t>
      </w:r>
    </w:p>
    <w:p>
      <w:pPr>
        <w:spacing w:line="360" w:lineRule="auto"/>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US" w:eastAsia="zh-CN"/>
        </w:rPr>
        <w:t>2</w:t>
      </w:r>
      <w:r>
        <w:rPr>
          <w:rFonts w:hint="eastAsia" w:ascii="仿宋" w:hAnsi="仿宋" w:eastAsia="仿宋" w:cs="仿宋"/>
          <w:color w:val="auto"/>
          <w:sz w:val="24"/>
        </w:rPr>
        <w:t>.3 供应商：已从采购代理机构购买</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磋商文件并向采购代理机构提交响应文件的供应商。</w:t>
      </w:r>
    </w:p>
    <w:p>
      <w:pPr>
        <w:spacing w:line="360" w:lineRule="auto"/>
        <w:rPr>
          <w:rFonts w:hint="eastAsia" w:ascii="仿宋" w:hAnsi="仿宋" w:eastAsia="仿宋" w:cs="仿宋"/>
          <w:color w:val="auto"/>
          <w:sz w:val="24"/>
          <w:lang w:val="en-GB" w:eastAsia="zh-CN"/>
        </w:rPr>
      </w:pPr>
      <w:bookmarkStart w:id="18" w:name="_Toc6922"/>
      <w:bookmarkStart w:id="19" w:name="_Toc433126986"/>
      <w:bookmarkStart w:id="20" w:name="_Toc217446037"/>
      <w:bookmarkStart w:id="21" w:name="_Toc183582208"/>
      <w:bookmarkStart w:id="22" w:name="_Toc183682345"/>
      <w:r>
        <w:rPr>
          <w:rFonts w:hint="eastAsia" w:ascii="仿宋" w:hAnsi="仿宋" w:eastAsia="仿宋" w:cs="仿宋"/>
          <w:color w:val="auto"/>
          <w:sz w:val="24"/>
          <w:lang w:eastAsia="zh-CN"/>
        </w:rPr>
        <w:t>3</w:t>
      </w:r>
      <w:r>
        <w:rPr>
          <w:rFonts w:hint="eastAsia" w:ascii="仿宋" w:hAnsi="仿宋" w:eastAsia="仿宋" w:cs="仿宋"/>
          <w:color w:val="auto"/>
          <w:sz w:val="24"/>
          <w:lang w:val="en-GB" w:eastAsia="zh-CN"/>
        </w:rPr>
        <w:t>、合格的货物和服务</w:t>
      </w:r>
      <w:bookmarkEnd w:id="18"/>
      <w:bookmarkEnd w:id="19"/>
    </w:p>
    <w:bookmarkEnd w:id="20"/>
    <w:bookmarkEnd w:id="21"/>
    <w:bookmarkEnd w:id="22"/>
    <w:p>
      <w:pPr>
        <w:spacing w:line="360" w:lineRule="auto"/>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3.1 “货物”系指供应商制造或组织符合磋商采购文件要求的货物等。所投货物必须是合法生产的合格货物，并能够按照货物合同规定的品牌、产地、质量、价格和有效期等。</w:t>
      </w:r>
    </w:p>
    <w:p>
      <w:pPr>
        <w:spacing w:line="360" w:lineRule="auto"/>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3.2 “服务”系指除货物以外的其他政府采购对象，其中包括：卖方须承担的运输、安装、技术支持与升级、培训、验收以及其它类似附加服务的义务。</w:t>
      </w:r>
    </w:p>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．合格的供应商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.1 凡有能力按照本</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磋商文件规定的要求响应服务的均为合格的供应商。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.2 供应商参加本次政府采购活动应当符合《中华人民共和国政府采购法》第二十二条的规定，并具备本</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磋商文件第一章“申请人的资格要求”规定的条件。</w:t>
      </w:r>
    </w:p>
    <w:p>
      <w:pPr>
        <w:shd w:val="clear" w:color="auto" w:fill="FFFFFF"/>
        <w:snapToGrid w:val="0"/>
        <w:spacing w:line="355"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补充说明：根据《政府采购法实施条例》及有关释义，银行、保险、石油石化、电力、电信运营商等有行业特殊情况的，其分支机构可参与投标。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.3 供应商应遵守中华人民共和国的有关法律、法规。</w:t>
      </w:r>
    </w:p>
    <w:p>
      <w:pPr>
        <w:shd w:val="clear" w:color="auto" w:fill="FFFFFF"/>
        <w:snapToGrid w:val="0"/>
        <w:spacing w:line="355"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.4 供应商在本项目竞争性磋商公告前三年内被列入失信被执行人、</w:t>
      </w:r>
      <w:r>
        <w:rPr>
          <w:rFonts w:hint="eastAsia" w:ascii="仿宋" w:hAnsi="仿宋" w:eastAsia="仿宋" w:cs="仿宋"/>
          <w:color w:val="auto"/>
          <w:sz w:val="24"/>
          <w:lang w:eastAsia="zh-CN"/>
        </w:rPr>
        <w:t>税收违法黑名单</w:t>
      </w:r>
      <w:r>
        <w:rPr>
          <w:rFonts w:hint="eastAsia" w:ascii="仿宋" w:hAnsi="仿宋" w:eastAsia="仿宋" w:cs="仿宋"/>
          <w:color w:val="auto"/>
          <w:sz w:val="24"/>
        </w:rPr>
        <w:t>、政府采购严重违法失信行为记录名单，以及存在其他不符合《中华人民共和国政府采购法》第二十二条规定条件的情况的不得参与磋商报价。</w:t>
      </w:r>
    </w:p>
    <w:p>
      <w:pPr>
        <w:shd w:val="clear" w:color="auto" w:fill="FFFFFF"/>
        <w:wordWrap w:val="0"/>
        <w:snapToGrid w:val="0"/>
        <w:spacing w:line="356"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w:t>
      </w:r>
      <w:r>
        <w:rPr>
          <w:rFonts w:hint="eastAsia" w:ascii="仿宋" w:hAnsi="仿宋" w:eastAsia="仿宋" w:cs="仿宋"/>
          <w:color w:val="auto"/>
          <w:sz w:val="24"/>
        </w:rPr>
        <w:t>.5</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信用记录以中国执行信息公开网</w:t>
      </w:r>
      <w:r>
        <w:rPr>
          <w:rFonts w:hint="eastAsia" w:ascii="仿宋" w:hAnsi="仿宋" w:eastAsia="仿宋" w:cs="仿宋"/>
          <w:color w:val="auto"/>
          <w:sz w:val="24"/>
          <w:lang w:eastAsia="zh-CN"/>
        </w:rPr>
        <w:t>（http://zxgk.court.gov.cn）、</w:t>
      </w:r>
      <w:r>
        <w:rPr>
          <w:rFonts w:hint="eastAsia" w:ascii="仿宋" w:hAnsi="仿宋" w:eastAsia="仿宋" w:cs="仿宋"/>
          <w:color w:val="auto"/>
          <w:sz w:val="24"/>
        </w:rPr>
        <w:t>信用中国（www.creditchina.gov.cn）、中国政府采购网（www.ccgp.gov.cn）上公布的信用记录为准。</w:t>
      </w:r>
    </w:p>
    <w:p>
      <w:pPr>
        <w:pStyle w:val="22"/>
        <w:shd w:val="clear" w:color="auto" w:fill="auto"/>
        <w:spacing w:before="0" w:after="0" w:line="360" w:lineRule="auto"/>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4.6单位负责人为同一人或者存在直接控股、管理关系的不同供应商，不得参加同一合同项下的政府采购活动。</w:t>
      </w:r>
    </w:p>
    <w:p>
      <w:pPr>
        <w:shd w:val="clear" w:color="auto" w:fill="auto"/>
        <w:spacing w:line="360" w:lineRule="auto"/>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4.7除</w:t>
      </w:r>
      <w:r>
        <w:fldChar w:fldCharType="begin"/>
      </w:r>
      <w:r>
        <w:instrText xml:space="preserve"> HYPERLINK "https://baike.sogou.com/lemma/ShowInnerLink.htm?lemmaId=7589043&amp;ss_c=ssc.citiao.link" \t "https://baike.sogou.com/_blank" </w:instrText>
      </w:r>
      <w:r>
        <w:fldChar w:fldCharType="separate"/>
      </w:r>
      <w:r>
        <w:rPr>
          <w:rFonts w:hint="eastAsia" w:ascii="仿宋" w:hAnsi="仿宋" w:eastAsia="仿宋" w:cs="仿宋"/>
          <w:b w:val="0"/>
          <w:bCs w:val="0"/>
          <w:color w:val="auto"/>
          <w:sz w:val="24"/>
          <w:szCs w:val="24"/>
          <w:lang w:val="en-US" w:eastAsia="zh-CN"/>
        </w:rPr>
        <w:t>单一来源采购</w:t>
      </w:r>
      <w:r>
        <w:rPr>
          <w:rFonts w:hint="eastAsia" w:ascii="仿宋" w:hAnsi="仿宋" w:eastAsia="仿宋" w:cs="仿宋"/>
          <w:b w:val="0"/>
          <w:bCs w:val="0"/>
          <w:color w:val="auto"/>
          <w:sz w:val="24"/>
          <w:szCs w:val="24"/>
          <w:lang w:val="en-US" w:eastAsia="zh-CN"/>
        </w:rPr>
        <w:fldChar w:fldCharType="end"/>
      </w:r>
      <w:r>
        <w:rPr>
          <w:rFonts w:hint="eastAsia" w:ascii="仿宋" w:hAnsi="仿宋" w:eastAsia="仿宋" w:cs="仿宋"/>
          <w:b w:val="0"/>
          <w:bCs w:val="0"/>
          <w:color w:val="auto"/>
          <w:sz w:val="24"/>
          <w:szCs w:val="24"/>
          <w:lang w:val="en-US" w:eastAsia="zh-CN"/>
        </w:rPr>
        <w:t>项目外，为采购项目提供整体设计、规范编制或者项目管理、监理、检测等服务的供应商，不得再参加该采购项目的其他采购活动。</w:t>
      </w:r>
    </w:p>
    <w:p>
      <w:pPr>
        <w:shd w:val="clear" w:color="auto" w:fill="FFFFFF"/>
        <w:snapToGrid w:val="0"/>
        <w:spacing w:line="355" w:lineRule="auto"/>
        <w:rPr>
          <w:rFonts w:hint="eastAsia" w:ascii="仿宋" w:hAnsi="仿宋" w:eastAsia="仿宋" w:cs="仿宋"/>
          <w:color w:val="auto"/>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.联合体投标</w:t>
      </w:r>
    </w:p>
    <w:p>
      <w:pPr>
        <w:shd w:val="clear" w:color="auto" w:fill="FFFFFF"/>
        <w:snapToGrid w:val="0"/>
        <w:spacing w:line="355"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.1</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联合投标时，联合体各方之间应当签订共同投标协议，明确约定联合体各方承担的工作和相应的责任，并将共同投标协议连同响应文件一并提交。联合体各方签订共同投标协议后，不得再以自己名义单独在同一项目中投标，也不得组成新的联合体参加同一项目投标。联合体中至少有一方完全满足</w:t>
      </w:r>
      <w:r>
        <w:rPr>
          <w:rFonts w:hint="eastAsia" w:ascii="仿宋" w:hAnsi="仿宋" w:eastAsia="仿宋" w:cs="仿宋"/>
          <w:color w:val="auto"/>
          <w:sz w:val="24"/>
          <w:lang w:val="en-US" w:eastAsia="zh-CN"/>
        </w:rPr>
        <w:t>申请</w:t>
      </w:r>
      <w:r>
        <w:rPr>
          <w:rFonts w:hint="eastAsia" w:ascii="仿宋" w:hAnsi="仿宋" w:eastAsia="仿宋" w:cs="仿宋"/>
          <w:color w:val="auto"/>
          <w:sz w:val="24"/>
        </w:rPr>
        <w:t>人资格要求的特定条件。</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r>
        <w:rPr>
          <w:rFonts w:hint="eastAsia" w:ascii="仿宋" w:hAnsi="仿宋" w:eastAsia="仿宋" w:cs="仿宋"/>
          <w:color w:val="auto"/>
          <w:sz w:val="24"/>
        </w:rPr>
        <w:t>.2 本项目是否接受联合体投标：</w:t>
      </w:r>
      <w:r>
        <w:rPr>
          <w:rFonts w:hint="eastAsia" w:ascii="仿宋" w:hAnsi="仿宋" w:eastAsia="仿宋" w:cs="仿宋"/>
          <w:color w:val="auto"/>
          <w:sz w:val="24"/>
          <w:lang w:val="en-US" w:eastAsia="zh-CN"/>
        </w:rPr>
        <w:t>以招标文件第一章磋商邀请函中申请人的资格要求规定为准。</w:t>
      </w:r>
    </w:p>
    <w:p>
      <w:pPr>
        <w:shd w:val="clear" w:color="auto" w:fill="FFFFFF"/>
        <w:snapToGrid w:val="0"/>
        <w:spacing w:line="355" w:lineRule="auto"/>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磋商费用和解释权</w:t>
      </w:r>
    </w:p>
    <w:p>
      <w:pPr>
        <w:shd w:val="clear" w:color="auto" w:fill="FFFFFF"/>
        <w:snapToGrid w:val="0"/>
        <w:spacing w:line="355"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.1无论磋商过程中的做法和结果如何，供应商均自行承担所有与参加磋商有关的全部费用。</w:t>
      </w:r>
    </w:p>
    <w:p>
      <w:pPr>
        <w:shd w:val="clear" w:color="auto" w:fill="FFFFFF"/>
        <w:snapToGrid w:val="0"/>
        <w:spacing w:line="355"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.2本</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磋商文件由</w:t>
      </w:r>
      <w:r>
        <w:rPr>
          <w:rFonts w:hint="eastAsia" w:ascii="仿宋" w:hAnsi="仿宋" w:eastAsia="仿宋" w:cs="仿宋"/>
          <w:color w:val="auto"/>
          <w:sz w:val="24"/>
          <w:lang w:eastAsia="zh-CN"/>
        </w:rPr>
        <w:t>海南政辉招投标代理有限公司</w:t>
      </w:r>
      <w:r>
        <w:rPr>
          <w:rFonts w:hint="eastAsia" w:ascii="仿宋" w:hAnsi="仿宋" w:eastAsia="仿宋" w:cs="仿宋"/>
          <w:color w:val="auto"/>
          <w:sz w:val="24"/>
        </w:rPr>
        <w:t>负责解释。</w:t>
      </w: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eastAsia" w:ascii="仿宋" w:hAnsi="仿宋" w:eastAsia="仿宋" w:cs="仿宋"/>
          <w:b/>
          <w:bCs/>
          <w:color w:val="auto"/>
        </w:rPr>
      </w:pPr>
      <w:bookmarkStart w:id="23" w:name="_Toc27433"/>
      <w:r>
        <w:rPr>
          <w:rFonts w:hint="eastAsia" w:ascii="仿宋" w:hAnsi="仿宋" w:eastAsia="仿宋" w:cs="仿宋"/>
          <w:b/>
          <w:bCs/>
          <w:color w:val="auto"/>
        </w:rPr>
        <w:t>二、</w:t>
      </w:r>
      <w:r>
        <w:rPr>
          <w:rFonts w:hint="eastAsia" w:ascii="仿宋" w:hAnsi="仿宋" w:eastAsia="仿宋" w:cs="仿宋"/>
          <w:b/>
          <w:bCs/>
          <w:color w:val="auto"/>
          <w:lang w:val="en-US" w:eastAsia="zh-CN"/>
        </w:rPr>
        <w:t>竞争性</w:t>
      </w:r>
      <w:r>
        <w:rPr>
          <w:rFonts w:hint="eastAsia" w:ascii="仿宋" w:hAnsi="仿宋" w:eastAsia="仿宋" w:cs="仿宋"/>
          <w:b/>
          <w:bCs/>
          <w:color w:val="auto"/>
        </w:rPr>
        <w:t>磋商文件</w:t>
      </w:r>
      <w:bookmarkEnd w:id="23"/>
    </w:p>
    <w:p>
      <w:pPr>
        <w:spacing w:line="360" w:lineRule="auto"/>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磋商文件的组成</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7.l </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磋商文件由六部分组成，包括：</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第一章  磋商邀请书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第二章  供应商须知</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第三章  用户需求书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第四章  合同条款</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第五章  响应文件内容和格式</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第六章  磋商程序</w:t>
      </w:r>
    </w:p>
    <w:p>
      <w:pPr>
        <w:spacing w:line="360" w:lineRule="auto"/>
        <w:ind w:firstLine="482" w:firstLineChars="200"/>
        <w:rPr>
          <w:rFonts w:hint="eastAsia" w:ascii="仿宋" w:hAnsi="仿宋" w:eastAsia="仿宋" w:cs="仿宋"/>
          <w:b/>
          <w:bCs w:val="0"/>
          <w:color w:val="auto"/>
          <w:sz w:val="24"/>
        </w:rPr>
      </w:pPr>
      <w:r>
        <w:rPr>
          <w:rFonts w:hint="eastAsia" w:ascii="仿宋" w:hAnsi="仿宋" w:eastAsia="仿宋" w:cs="仿宋"/>
          <w:b/>
          <w:bCs w:val="0"/>
          <w:color w:val="auto"/>
          <w:sz w:val="24"/>
        </w:rPr>
        <w:t>注：请仔细检查</w:t>
      </w:r>
      <w:r>
        <w:rPr>
          <w:rFonts w:hint="eastAsia" w:ascii="仿宋" w:hAnsi="仿宋" w:eastAsia="仿宋" w:cs="仿宋"/>
          <w:b/>
          <w:bCs w:val="0"/>
          <w:color w:val="auto"/>
          <w:sz w:val="24"/>
          <w:lang w:val="en-US" w:eastAsia="zh-CN"/>
        </w:rPr>
        <w:t>竞争性</w:t>
      </w:r>
      <w:r>
        <w:rPr>
          <w:rFonts w:hint="eastAsia" w:ascii="仿宋" w:hAnsi="仿宋" w:eastAsia="仿宋" w:cs="仿宋"/>
          <w:b/>
          <w:bCs w:val="0"/>
          <w:color w:val="auto"/>
          <w:sz w:val="24"/>
        </w:rPr>
        <w:t>磋商文件是否齐全，如有缺漏，请立即与采购代理机构联系解决。</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7.2 供应商被视为充分熟悉本招标项目所在地的与履行合同有关的各种情况，包括自然环境、气候条件、劳动力及公用设施等，本</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磋商文件不再对上述情况进行描述。</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7.3 供应商必须详阅</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磋商文件的所有条款、文件及表格格式。供应商若未按</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磋商文件的要求和规范编制、提交响应文件，将有可能导致响应文件被拒绝接受，所造成的负面后果由供应商负责。</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8．</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磋商文件的澄清</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供应商在收到</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磋商文件后，若有疑问需要澄清，应于提交响应文件截止时间</w:t>
      </w:r>
      <w:r>
        <w:rPr>
          <w:rFonts w:hint="eastAsia" w:ascii="仿宋" w:hAnsi="仿宋" w:eastAsia="仿宋" w:cs="仿宋"/>
          <w:color w:val="auto"/>
          <w:sz w:val="24"/>
          <w:lang w:val="en-US" w:eastAsia="zh-CN"/>
        </w:rPr>
        <w:t>3</w:t>
      </w:r>
      <w:r>
        <w:rPr>
          <w:rFonts w:hint="eastAsia" w:ascii="仿宋" w:hAnsi="仿宋" w:eastAsia="仿宋" w:cs="仿宋"/>
          <w:color w:val="auto"/>
          <w:sz w:val="24"/>
        </w:rPr>
        <w:t>个工作日前以书面形式向采购代理机构提出，采购代理机构将以书面形式进行答复，同时采购代理机构有权将答复内容（包括所提问题，但不包括问题来源）分发给所有购买了同一</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磋商文件的供应商。</w:t>
      </w:r>
      <w:r>
        <w:rPr>
          <w:rFonts w:hint="eastAsia" w:ascii="仿宋" w:hAnsi="仿宋" w:eastAsia="仿宋" w:cs="仿宋"/>
          <w:color w:val="auto"/>
          <w:sz w:val="24"/>
          <w:lang w:eastAsia="zh-CN"/>
        </w:rPr>
        <w:t>未对采购代理机构提出书面意见，即视为接受了本竞争性磋商文件中的所有条款和规定。</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9．</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磋商文件的更正或补充</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9.1 在提交响应文件截止时间前，采购代理机构可以书面通知的方式修改</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磋商文件。修改通知作为</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磋商文件的组成部分，对供应商起同等约束作用。</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9.2 当</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磋商文件与更正公告的内容相互矛盾时，以采购代理机构最后发出的更正公告为准。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9.3 为使供应商有足够的时间按</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磋商文件的更正要求修正响应文件，采购代理机构有权决定推迟提交响应文件截止时间，并将此变更书面通知所有购买了同一</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磋商文件的供应商。</w:t>
      </w: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eastAsia" w:ascii="仿宋" w:hAnsi="仿宋" w:eastAsia="仿宋" w:cs="仿宋"/>
          <w:b/>
          <w:bCs/>
          <w:color w:val="auto"/>
          <w:lang w:val="en-US" w:eastAsia="zh-CN"/>
        </w:rPr>
      </w:pPr>
      <w:bookmarkStart w:id="24" w:name="_Toc24931"/>
      <w:r>
        <w:rPr>
          <w:rFonts w:hint="eastAsia" w:ascii="仿宋" w:hAnsi="仿宋" w:eastAsia="仿宋" w:cs="仿宋"/>
          <w:b/>
          <w:bCs/>
          <w:color w:val="auto"/>
          <w:lang w:val="en-US" w:eastAsia="zh-CN"/>
        </w:rPr>
        <w:t>三、响应文件</w:t>
      </w:r>
      <w:bookmarkEnd w:id="24"/>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10．响应文件的组成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响应文件应按“第五章 响应文件内容和格式”要求编制。</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11．报价</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1</w:t>
      </w:r>
      <w:r>
        <w:rPr>
          <w:rFonts w:hint="eastAsia" w:ascii="仿宋" w:hAnsi="仿宋" w:eastAsia="仿宋" w:cs="仿宋"/>
          <w:color w:val="auto"/>
          <w:sz w:val="24"/>
        </w:rPr>
        <w:t>.2本次采购采用总承包方式，因此</w:t>
      </w:r>
      <w:r>
        <w:rPr>
          <w:rFonts w:hint="eastAsia" w:ascii="仿宋" w:hAnsi="仿宋" w:eastAsia="仿宋" w:cs="仿宋"/>
          <w:color w:val="auto"/>
          <w:sz w:val="24"/>
          <w:lang w:eastAsia="zh-CN"/>
        </w:rPr>
        <w:t>供应商</w:t>
      </w:r>
      <w:r>
        <w:rPr>
          <w:rFonts w:hint="eastAsia" w:ascii="仿宋" w:hAnsi="仿宋" w:eastAsia="仿宋" w:cs="仿宋"/>
          <w:color w:val="auto"/>
          <w:sz w:val="24"/>
        </w:rPr>
        <w:t>的报价应包括全部货物、服务的价格及相关税费、运输到指定地点的装运费用、安装调试、培训、售后服务等其他有关的所有费用。</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1</w:t>
      </w:r>
      <w:r>
        <w:rPr>
          <w:rFonts w:hint="eastAsia" w:ascii="仿宋" w:hAnsi="仿宋" w:eastAsia="仿宋" w:cs="仿宋"/>
          <w:color w:val="auto"/>
          <w:sz w:val="24"/>
        </w:rPr>
        <w:t>.3</w:t>
      </w:r>
      <w:r>
        <w:rPr>
          <w:rFonts w:hint="eastAsia" w:ascii="仿宋" w:hAnsi="仿宋" w:eastAsia="仿宋" w:cs="仿宋"/>
          <w:color w:val="auto"/>
          <w:sz w:val="24"/>
          <w:lang w:eastAsia="zh-CN"/>
        </w:rPr>
        <w:t>供应商</w:t>
      </w:r>
      <w:r>
        <w:rPr>
          <w:rFonts w:hint="eastAsia" w:ascii="仿宋" w:hAnsi="仿宋" w:eastAsia="仿宋" w:cs="仿宋"/>
          <w:color w:val="auto"/>
          <w:sz w:val="24"/>
        </w:rPr>
        <w:t>应按开标一览表的要求报价，不能提供有选择的报价。</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1</w:t>
      </w:r>
      <w:r>
        <w:rPr>
          <w:rFonts w:hint="eastAsia" w:ascii="仿宋" w:hAnsi="仿宋" w:eastAsia="仿宋" w:cs="仿宋"/>
          <w:color w:val="auto"/>
          <w:sz w:val="24"/>
        </w:rPr>
        <w:t>.4中标候选人的报价如超过采购预算</w:t>
      </w:r>
      <w:r>
        <w:rPr>
          <w:rFonts w:hint="eastAsia" w:ascii="仿宋" w:hAnsi="仿宋" w:eastAsia="仿宋" w:cs="仿宋"/>
          <w:color w:val="auto"/>
          <w:sz w:val="24"/>
          <w:lang w:val="en-US" w:eastAsia="zh-CN"/>
        </w:rPr>
        <w:t>且</w:t>
      </w:r>
      <w:r>
        <w:rPr>
          <w:rFonts w:hint="eastAsia" w:ascii="仿宋" w:hAnsi="仿宋" w:eastAsia="仿宋" w:cs="仿宋"/>
          <w:color w:val="auto"/>
          <w:sz w:val="24"/>
        </w:rPr>
        <w:t xml:space="preserve">采购人不能支付的，采购人有权拒绝而递选下一个顺位的候选人。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12．磋商保证金</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.1磋商保证金是参加本项目</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的必要条件，磋商保证金应在</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文件提交截止时间前转入采购代理机构以下账户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建议</w:t>
      </w:r>
      <w:r>
        <w:rPr>
          <w:rFonts w:hint="eastAsia" w:ascii="仿宋" w:hAnsi="仿宋" w:eastAsia="仿宋" w:cs="仿宋"/>
          <w:color w:val="auto"/>
          <w:sz w:val="24"/>
          <w:szCs w:val="24"/>
        </w:rPr>
        <w:t>注明汇款单位、项目编号或项目名称（如有分包，则同时注明包号），或可选择以支票、汇票、本票或者金融机构、担保机构出具的保函等非现金形式提交</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spacing w:line="360" w:lineRule="auto"/>
        <w:ind w:firstLine="1566" w:firstLineChars="65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户  名：</w:t>
      </w:r>
      <w:r>
        <w:rPr>
          <w:rFonts w:hint="eastAsia" w:ascii="仿宋" w:hAnsi="仿宋" w:eastAsia="仿宋" w:cs="仿宋"/>
          <w:b/>
          <w:bCs/>
          <w:color w:val="auto"/>
          <w:sz w:val="24"/>
          <w:szCs w:val="24"/>
          <w:lang w:eastAsia="zh-CN"/>
        </w:rPr>
        <w:t>海南政辉招投标代理有限公司</w:t>
      </w:r>
    </w:p>
    <w:p>
      <w:pPr>
        <w:spacing w:line="360" w:lineRule="auto"/>
        <w:ind w:firstLine="1566" w:firstLineChars="650"/>
        <w:rPr>
          <w:rFonts w:hint="eastAsia" w:ascii="仿宋" w:hAnsi="仿宋" w:eastAsia="仿宋" w:cs="仿宋"/>
          <w:b/>
          <w:bCs/>
          <w:color w:val="auto"/>
          <w:sz w:val="24"/>
          <w:szCs w:val="24"/>
        </w:rPr>
      </w:pPr>
      <w:r>
        <w:rPr>
          <w:rFonts w:hint="eastAsia" w:ascii="仿宋" w:hAnsi="仿宋" w:eastAsia="仿宋" w:cs="仿宋"/>
          <w:b/>
          <w:bCs/>
          <w:color w:val="auto"/>
          <w:sz w:val="24"/>
          <w:szCs w:val="24"/>
        </w:rPr>
        <w:t>开户行：中国工商银行股份有限公司海口新华支行</w:t>
      </w:r>
    </w:p>
    <w:p>
      <w:pPr>
        <w:spacing w:line="360" w:lineRule="auto"/>
        <w:ind w:firstLine="1566" w:firstLineChars="650"/>
        <w:rPr>
          <w:rFonts w:hint="eastAsia" w:ascii="仿宋" w:hAnsi="仿宋" w:eastAsia="仿宋" w:cs="仿宋"/>
          <w:b/>
          <w:bCs/>
          <w:color w:val="auto"/>
          <w:sz w:val="24"/>
          <w:szCs w:val="24"/>
        </w:rPr>
      </w:pPr>
      <w:r>
        <w:rPr>
          <w:rFonts w:hint="eastAsia" w:ascii="仿宋" w:hAnsi="仿宋" w:eastAsia="仿宋" w:cs="仿宋"/>
          <w:b/>
          <w:bCs/>
          <w:color w:val="auto"/>
          <w:sz w:val="24"/>
          <w:szCs w:val="24"/>
        </w:rPr>
        <w:t>账  户：2201023809200980178</w:t>
      </w:r>
    </w:p>
    <w:p>
      <w:pPr>
        <w:snapToGrid w:val="0"/>
        <w:spacing w:line="520" w:lineRule="exact"/>
        <w:ind w:firstLine="480" w:firstLineChars="200"/>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12.2 响应</w:t>
      </w:r>
      <w:r>
        <w:rPr>
          <w:rFonts w:hint="eastAsia" w:ascii="仿宋" w:hAnsi="仿宋" w:eastAsia="仿宋" w:cs="仿宋"/>
          <w:b w:val="0"/>
          <w:bCs w:val="0"/>
          <w:color w:val="auto"/>
          <w:sz w:val="24"/>
          <w:szCs w:val="24"/>
        </w:rPr>
        <w:t>文件</w:t>
      </w:r>
      <w:r>
        <w:rPr>
          <w:rFonts w:hint="eastAsia" w:ascii="仿宋" w:hAnsi="仿宋" w:eastAsia="仿宋" w:cs="仿宋"/>
          <w:b w:val="0"/>
          <w:bCs w:val="0"/>
          <w:color w:val="auto"/>
          <w:sz w:val="24"/>
          <w:szCs w:val="24"/>
          <w:lang w:val="en-US" w:eastAsia="zh-CN"/>
        </w:rPr>
        <w:t>中</w:t>
      </w:r>
      <w:r>
        <w:rPr>
          <w:rFonts w:hint="eastAsia" w:ascii="仿宋" w:hAnsi="仿宋" w:eastAsia="仿宋" w:cs="仿宋"/>
          <w:b w:val="0"/>
          <w:bCs w:val="0"/>
          <w:color w:val="auto"/>
          <w:sz w:val="24"/>
          <w:szCs w:val="24"/>
        </w:rPr>
        <w:t>须附有缴纳</w:t>
      </w:r>
      <w:r>
        <w:rPr>
          <w:rFonts w:hint="eastAsia" w:ascii="仿宋" w:hAnsi="仿宋" w:eastAsia="仿宋" w:cs="仿宋"/>
          <w:b w:val="0"/>
          <w:bCs w:val="0"/>
          <w:color w:val="auto"/>
          <w:sz w:val="24"/>
        </w:rPr>
        <w:t>磋商</w:t>
      </w:r>
      <w:r>
        <w:rPr>
          <w:rFonts w:hint="eastAsia" w:ascii="仿宋" w:hAnsi="仿宋" w:eastAsia="仿宋" w:cs="仿宋"/>
          <w:b w:val="0"/>
          <w:bCs w:val="0"/>
          <w:color w:val="auto"/>
          <w:sz w:val="24"/>
          <w:szCs w:val="24"/>
        </w:rPr>
        <w:t>保证金的相关证明单据(银行回执单</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支票、汇票、本票或者金融机构、担保机构出具的保函)</w:t>
      </w:r>
      <w:r>
        <w:rPr>
          <w:rFonts w:hint="eastAsia" w:ascii="仿宋" w:hAnsi="仿宋" w:eastAsia="仿宋" w:cs="仿宋"/>
          <w:b w:val="0"/>
          <w:bCs w:val="0"/>
          <w:color w:val="auto"/>
          <w:sz w:val="24"/>
          <w:szCs w:val="24"/>
          <w:lang w:eastAsia="zh-CN"/>
        </w:rPr>
        <w:t>。</w:t>
      </w:r>
    </w:p>
    <w:p>
      <w:pPr>
        <w:snapToGrid w:val="0"/>
        <w:spacing w:line="520" w:lineRule="exact"/>
        <w:ind w:firstLine="480" w:firstLineChars="200"/>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 xml:space="preserve">12.2.1 </w:t>
      </w:r>
      <w:r>
        <w:rPr>
          <w:rFonts w:hint="eastAsia" w:ascii="仿宋" w:hAnsi="仿宋" w:eastAsia="仿宋" w:cs="仿宋"/>
          <w:b w:val="0"/>
          <w:bCs w:val="0"/>
          <w:color w:val="auto"/>
          <w:sz w:val="24"/>
          <w:szCs w:val="24"/>
          <w:lang w:eastAsia="zh-CN"/>
        </w:rPr>
        <w:t>为避免资金在途不能及时到账造成投标无效，建议</w:t>
      </w:r>
      <w:r>
        <w:rPr>
          <w:rFonts w:hint="eastAsia" w:ascii="仿宋" w:hAnsi="仿宋" w:eastAsia="仿宋" w:cs="仿宋"/>
          <w:b w:val="0"/>
          <w:bCs w:val="0"/>
          <w:color w:val="auto"/>
          <w:sz w:val="24"/>
          <w:szCs w:val="24"/>
        </w:rPr>
        <w:t>供应商</w:t>
      </w:r>
      <w:r>
        <w:rPr>
          <w:rFonts w:hint="eastAsia" w:ascii="仿宋" w:hAnsi="仿宋" w:eastAsia="仿宋" w:cs="仿宋"/>
          <w:b w:val="0"/>
          <w:bCs w:val="0"/>
          <w:color w:val="auto"/>
          <w:sz w:val="24"/>
          <w:szCs w:val="24"/>
          <w:lang w:eastAsia="zh-CN"/>
        </w:rPr>
        <w:t>提前在报价截止时间一个工作日前办理保证金支付手续。</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12.2.2 选择</w:t>
      </w:r>
      <w:r>
        <w:rPr>
          <w:rFonts w:hint="eastAsia" w:ascii="仿宋" w:hAnsi="仿宋" w:eastAsia="仿宋" w:cs="仿宋"/>
          <w:color w:val="auto"/>
          <w:sz w:val="24"/>
          <w:szCs w:val="24"/>
        </w:rPr>
        <w:t>支票、汇票、本票或者金融机构、担保机构出具的保函</w:t>
      </w:r>
      <w:r>
        <w:rPr>
          <w:rFonts w:hint="eastAsia" w:ascii="仿宋" w:hAnsi="仿宋" w:eastAsia="仿宋" w:cs="仿宋"/>
          <w:color w:val="auto"/>
          <w:sz w:val="24"/>
          <w:szCs w:val="24"/>
          <w:lang w:val="en-US" w:eastAsia="zh-CN"/>
        </w:rPr>
        <w:t>等形式提交保证金的</w:t>
      </w:r>
      <w:r>
        <w:rPr>
          <w:rFonts w:hint="eastAsia" w:ascii="仿宋" w:hAnsi="仿宋" w:eastAsia="仿宋" w:cs="仿宋"/>
          <w:color w:val="auto"/>
          <w:sz w:val="24"/>
          <w:szCs w:val="24"/>
        </w:rPr>
        <w:t>供应商</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建议</w:t>
      </w:r>
      <w:r>
        <w:rPr>
          <w:rFonts w:hint="eastAsia" w:ascii="仿宋" w:hAnsi="仿宋" w:eastAsia="仿宋" w:cs="仿宋"/>
          <w:color w:val="auto"/>
          <w:sz w:val="24"/>
          <w:szCs w:val="24"/>
        </w:rPr>
        <w:t>供应商</w:t>
      </w:r>
      <w:r>
        <w:rPr>
          <w:rFonts w:hint="eastAsia" w:ascii="仿宋" w:hAnsi="仿宋" w:eastAsia="仿宋" w:cs="仿宋"/>
          <w:color w:val="auto"/>
          <w:sz w:val="24"/>
          <w:szCs w:val="24"/>
          <w:lang w:eastAsia="zh-CN"/>
        </w:rPr>
        <w:t>提前在报价截止时间一个工作日前</w:t>
      </w:r>
      <w:r>
        <w:rPr>
          <w:rFonts w:hint="eastAsia" w:ascii="仿宋" w:hAnsi="仿宋" w:eastAsia="仿宋" w:cs="仿宋"/>
          <w:color w:val="auto"/>
          <w:sz w:val="24"/>
          <w:szCs w:val="24"/>
          <w:lang w:val="en-US" w:eastAsia="zh-CN"/>
        </w:rPr>
        <w:t>电话告知代理机构。</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若供应商不按规定磋商保证金，其响应文件将被拒绝接受。</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磋商保证金的退还</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12.4.l 成交供应商的磋商保证金在其与采购人签订了采购合同后5个工作日内无息退还。</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12.4.2 未成交供应商的磋商保证金将在采购代理机构发出成交通知书5个工作日内无息退还。</w:t>
      </w:r>
    </w:p>
    <w:p>
      <w:pPr>
        <w:snapToGrid w:val="0"/>
        <w:spacing w:line="360" w:lineRule="auto"/>
        <w:ind w:firstLine="538"/>
        <w:rPr>
          <w:rFonts w:hint="eastAsia" w:ascii="仿宋" w:hAnsi="仿宋" w:eastAsia="仿宋" w:cs="仿宋"/>
          <w:color w:val="auto"/>
          <w:sz w:val="24"/>
        </w:rPr>
      </w:pPr>
      <w:r>
        <w:rPr>
          <w:rFonts w:hint="eastAsia" w:ascii="仿宋" w:hAnsi="仿宋" w:eastAsia="仿宋" w:cs="仿宋"/>
          <w:color w:val="auto"/>
          <w:sz w:val="24"/>
        </w:rPr>
        <w:t>12.</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 发生下列情况之一，磋商保证金将不予退还：</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（1）供应商在提交响应文件截止时间后撤回响应文件的；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（2）供应商在响应文件中提供虚假材料的；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（3）除因不可抗力或</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磋商文件认可的情形之外，成交供应商不与采购人签订合同的；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（4）供应商与采购人、其它供应商或者采购代理机构恶意串通的；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（5）向采购人、采购代理机构、磋商小组成员行贿或者提供其他不正当利益的。</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13．报价有效期</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13.l 报价有效期为从开标截止之日起计算的</w:t>
      </w:r>
      <w:r>
        <w:rPr>
          <w:rFonts w:hint="eastAsia" w:ascii="仿宋" w:hAnsi="仿宋" w:eastAsia="仿宋" w:cs="仿宋"/>
          <w:b/>
          <w:color w:val="auto"/>
          <w:sz w:val="24"/>
          <w:u w:val="single"/>
        </w:rPr>
        <w:t>60</w:t>
      </w:r>
      <w:r>
        <w:rPr>
          <w:rFonts w:hint="eastAsia" w:ascii="仿宋" w:hAnsi="仿宋" w:eastAsia="仿宋" w:cs="仿宋"/>
          <w:bCs/>
          <w:color w:val="auto"/>
          <w:sz w:val="24"/>
        </w:rPr>
        <w:t>天</w:t>
      </w:r>
      <w:r>
        <w:rPr>
          <w:rFonts w:hint="eastAsia" w:ascii="仿宋" w:hAnsi="仿宋" w:eastAsia="仿宋" w:cs="仿宋"/>
          <w:color w:val="auto"/>
          <w:sz w:val="24"/>
        </w:rPr>
        <w:t>，有效期短于此规定的响应文件将被视为无效。</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13.2 在特殊情况下，采购代理机构可于报价有效期满之前，征得供应商同意延长报价有效期，要求与答复均应以书面形式进行。供应商可以拒绝接受这一要求而放弃报价，磋商保证金将尽快无息退还。同意这一要求的供应商，无需也不允许修改其响应文件，但须相应延长磋商保证金的有效期。受报价有效期制约的所有权利和义务均应延长至新的有效期。</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14．响应文件的数量、签署及形式</w:t>
      </w:r>
    </w:p>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14.1 响应文件一式肆份，固定装订。其中正本壹份，副本叁份，另提供电子版一份（U盘</w:t>
      </w:r>
      <w:r>
        <w:rPr>
          <w:rFonts w:hint="eastAsia" w:ascii="仿宋" w:hAnsi="仿宋" w:eastAsia="仿宋" w:cs="仿宋"/>
          <w:b/>
          <w:color w:val="auto"/>
          <w:sz w:val="24"/>
          <w:lang w:eastAsia="zh-CN"/>
        </w:rPr>
        <w:t>提交，</w:t>
      </w:r>
      <w:r>
        <w:rPr>
          <w:rFonts w:hint="eastAsia" w:ascii="仿宋" w:hAnsi="仿宋" w:eastAsia="仿宋" w:cs="仿宋"/>
          <w:b/>
          <w:color w:val="auto"/>
          <w:sz w:val="24"/>
          <w:lang w:val="en-US" w:eastAsia="zh-CN"/>
        </w:rPr>
        <w:t>须为签署盖章后的PDF格式</w:t>
      </w:r>
      <w:r>
        <w:rPr>
          <w:rFonts w:hint="eastAsia" w:ascii="仿宋" w:hAnsi="仿宋" w:eastAsia="仿宋" w:cs="仿宋"/>
          <w:b/>
          <w:color w:val="auto"/>
          <w:sz w:val="24"/>
        </w:rPr>
        <w:t>）</w:t>
      </w:r>
      <w:r>
        <w:rPr>
          <w:rFonts w:hint="eastAsia" w:ascii="仿宋" w:hAnsi="仿宋" w:eastAsia="仿宋" w:cs="仿宋"/>
          <w:color w:val="auto"/>
          <w:szCs w:val="21"/>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14.2 响应文件须按</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磋商文件的要求执行，每份响应文件均须在封面上清楚标明“正本”或“副本”字样，“正本”和“副本”具有同等的法律效力；“正本”和“副本”之间如有差异，以正本为准。</w:t>
      </w:r>
    </w:p>
    <w:p>
      <w:pPr>
        <w:snapToGrid w:val="0"/>
        <w:spacing w:line="360" w:lineRule="auto"/>
        <w:ind w:firstLine="480" w:firstLineChars="200"/>
        <w:rPr>
          <w:rFonts w:hint="eastAsia" w:ascii="仿宋" w:hAnsi="仿宋" w:eastAsia="仿宋" w:cs="仿宋"/>
          <w:b/>
          <w:bCs/>
          <w:color w:val="auto"/>
          <w:sz w:val="24"/>
          <w:szCs w:val="22"/>
        </w:rPr>
      </w:pPr>
      <w:r>
        <w:rPr>
          <w:rFonts w:hint="eastAsia" w:ascii="仿宋" w:hAnsi="仿宋" w:eastAsia="仿宋" w:cs="仿宋"/>
          <w:color w:val="auto"/>
          <w:sz w:val="24"/>
        </w:rPr>
        <w:t>14.3 响应文件正本中，文字材料需打印或用不褪色墨水书写。</w:t>
      </w:r>
      <w:r>
        <w:rPr>
          <w:rFonts w:hint="eastAsia" w:ascii="仿宋" w:hAnsi="仿宋" w:eastAsia="仿宋" w:cs="仿宋"/>
          <w:b/>
          <w:bCs/>
          <w:color w:val="auto"/>
          <w:sz w:val="24"/>
        </w:rPr>
        <w:t>响应文件</w:t>
      </w:r>
      <w:r>
        <w:rPr>
          <w:rFonts w:hint="eastAsia" w:ascii="仿宋" w:hAnsi="仿宋" w:eastAsia="仿宋" w:cs="仿宋"/>
          <w:b/>
          <w:bCs/>
          <w:color w:val="auto"/>
          <w:sz w:val="24"/>
          <w:szCs w:val="22"/>
        </w:rPr>
        <w:t>的正本须经法定代表人或授权代表签署和加盖公司公章，并逐页加盖公司公章。</w:t>
      </w:r>
      <w:r>
        <w:rPr>
          <w:rFonts w:hint="eastAsia" w:ascii="仿宋" w:hAnsi="仿宋" w:eastAsia="仿宋" w:cs="仿宋"/>
          <w:b/>
          <w:bCs/>
          <w:color w:val="auto"/>
          <w:sz w:val="24"/>
        </w:rPr>
        <w:t>响应文件</w:t>
      </w:r>
      <w:r>
        <w:rPr>
          <w:rFonts w:hint="eastAsia" w:ascii="仿宋" w:hAnsi="仿宋" w:eastAsia="仿宋" w:cs="仿宋"/>
          <w:b/>
          <w:bCs/>
          <w:color w:val="auto"/>
          <w:sz w:val="24"/>
          <w:szCs w:val="22"/>
        </w:rPr>
        <w:t>的副本可以按正本要求签署盖章或正本签署盖章后的复印件封面加盖公司公章和骑缝章。</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14.4 响应文件不得涂改和增删，如要修改错漏处，必须由同一签署人在修改处签</w:t>
      </w:r>
      <w:r>
        <w:rPr>
          <w:rFonts w:hint="eastAsia" w:ascii="仿宋" w:hAnsi="仿宋" w:eastAsia="仿宋" w:cs="仿宋"/>
          <w:color w:val="auto"/>
          <w:sz w:val="24"/>
          <w:lang w:val="en-US" w:eastAsia="zh-CN"/>
        </w:rPr>
        <w:t>名</w:t>
      </w:r>
      <w:r>
        <w:rPr>
          <w:rFonts w:hint="eastAsia" w:ascii="仿宋" w:hAnsi="仿宋" w:eastAsia="仿宋" w:cs="仿宋"/>
          <w:color w:val="auto"/>
          <w:sz w:val="24"/>
        </w:rPr>
        <w:t>和盖章。</w:t>
      </w: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eastAsia" w:ascii="仿宋" w:hAnsi="仿宋" w:eastAsia="仿宋" w:cs="仿宋"/>
          <w:b/>
          <w:bCs/>
          <w:color w:val="auto"/>
          <w:lang w:val="en-US" w:eastAsia="zh-CN"/>
        </w:rPr>
      </w:pPr>
      <w:bookmarkStart w:id="25" w:name="_Toc15909"/>
      <w:r>
        <w:rPr>
          <w:rFonts w:hint="eastAsia" w:ascii="仿宋" w:hAnsi="仿宋" w:eastAsia="仿宋" w:cs="仿宋"/>
          <w:b/>
          <w:bCs/>
          <w:color w:val="auto"/>
          <w:lang w:val="en-US" w:eastAsia="zh-CN"/>
        </w:rPr>
        <w:t>四、响应文件的递交</w:t>
      </w:r>
      <w:bookmarkEnd w:id="25"/>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15．响应文件的密封及标记</w:t>
      </w:r>
    </w:p>
    <w:p>
      <w:pPr>
        <w:pStyle w:val="29"/>
        <w:ind w:left="0" w:leftChars="0" w:firstLine="480" w:firstLineChars="200"/>
        <w:rPr>
          <w:rFonts w:hint="eastAsia" w:ascii="仿宋" w:hAnsi="仿宋" w:eastAsia="仿宋" w:cs="仿宋"/>
          <w:color w:val="auto"/>
        </w:rPr>
      </w:pPr>
      <w:r>
        <w:rPr>
          <w:rFonts w:hint="eastAsia" w:ascii="仿宋" w:hAnsi="仿宋" w:eastAsia="仿宋" w:cs="仿宋"/>
          <w:color w:val="auto"/>
          <w:sz w:val="24"/>
          <w:szCs w:val="24"/>
        </w:rPr>
        <w:t>纸质</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文件：</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投多包时要针对每个包单独做</w:t>
      </w:r>
      <w:r>
        <w:rPr>
          <w:rFonts w:hint="eastAsia" w:ascii="仿宋" w:hAnsi="仿宋" w:eastAsia="仿宋" w:cs="仿宋"/>
          <w:b/>
          <w:color w:val="auto"/>
          <w:sz w:val="24"/>
          <w:szCs w:val="24"/>
          <w:lang w:eastAsia="zh-CN"/>
        </w:rPr>
        <w:t>报价</w:t>
      </w:r>
      <w:r>
        <w:rPr>
          <w:rFonts w:hint="eastAsia" w:ascii="仿宋" w:hAnsi="仿宋" w:eastAsia="仿宋" w:cs="仿宋"/>
          <w:b/>
          <w:color w:val="auto"/>
          <w:sz w:val="24"/>
          <w:szCs w:val="24"/>
        </w:rPr>
        <w:t>文件，独立密封。</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15．l 供应商应将响应文件正本和所有副本分别密封在两个密封专用袋（箱）中（正本一包，副本一包），电子版单独密封，并在密封专用袋（箱）上标明“正本”、“副本”和“电子版”字样，封口处应加盖骑缝章。</w:t>
      </w:r>
      <w:r>
        <w:rPr>
          <w:rFonts w:hint="eastAsia" w:ascii="仿宋" w:hAnsi="仿宋" w:eastAsia="仿宋" w:cs="仿宋"/>
          <w:color w:val="auto"/>
          <w:sz w:val="24"/>
          <w:lang w:eastAsia="zh-CN"/>
        </w:rPr>
        <w:t>密</w:t>
      </w:r>
      <w:r>
        <w:rPr>
          <w:rFonts w:hint="eastAsia" w:ascii="仿宋" w:hAnsi="仿宋" w:eastAsia="仿宋" w:cs="仿宋"/>
          <w:color w:val="auto"/>
          <w:sz w:val="24"/>
        </w:rPr>
        <w:t>封皮上</w:t>
      </w:r>
      <w:r>
        <w:rPr>
          <w:rFonts w:hint="eastAsia" w:ascii="仿宋" w:hAnsi="仿宋" w:eastAsia="仿宋" w:cs="仿宋"/>
          <w:color w:val="auto"/>
          <w:sz w:val="24"/>
          <w:lang w:eastAsia="zh-CN"/>
        </w:rPr>
        <w:t>建议注</w:t>
      </w:r>
      <w:r>
        <w:rPr>
          <w:rFonts w:hint="eastAsia" w:ascii="仿宋" w:hAnsi="仿宋" w:eastAsia="仿宋" w:cs="仿宋"/>
          <w:color w:val="auto"/>
          <w:sz w:val="24"/>
        </w:rPr>
        <w:t>明：</w:t>
      </w:r>
    </w:p>
    <w:p>
      <w:pPr>
        <w:snapToGrid w:val="0"/>
        <w:spacing w:line="360" w:lineRule="auto"/>
        <w:ind w:firstLine="482" w:firstLineChars="200"/>
        <w:rPr>
          <w:rFonts w:hint="eastAsia" w:ascii="仿宋" w:hAnsi="仿宋" w:eastAsia="仿宋" w:cs="仿宋"/>
          <w:b/>
          <w:color w:val="auto"/>
          <w:sz w:val="24"/>
          <w:lang w:eastAsia="zh-CN"/>
        </w:rPr>
      </w:pPr>
      <w:r>
        <w:rPr>
          <w:rFonts w:hint="eastAsia" w:ascii="仿宋" w:hAnsi="仿宋" w:eastAsia="仿宋" w:cs="仿宋"/>
          <w:b/>
          <w:color w:val="auto"/>
          <w:sz w:val="24"/>
        </w:rPr>
        <w:t>致：</w:t>
      </w:r>
      <w:r>
        <w:rPr>
          <w:rFonts w:hint="eastAsia" w:ascii="仿宋" w:hAnsi="仿宋" w:eastAsia="仿宋" w:cs="仿宋"/>
          <w:b/>
          <w:color w:val="auto"/>
          <w:sz w:val="24"/>
          <w:lang w:eastAsia="zh-CN"/>
        </w:rPr>
        <w:t>海南政辉招投标代理有限公司</w:t>
      </w:r>
    </w:p>
    <w:p>
      <w:pPr>
        <w:snapToGrid w:val="0"/>
        <w:spacing w:line="360" w:lineRule="auto"/>
        <w:ind w:firstLine="482" w:firstLineChars="200"/>
        <w:rPr>
          <w:rFonts w:hint="eastAsia" w:ascii="仿宋" w:hAnsi="仿宋" w:eastAsia="仿宋" w:cs="仿宋"/>
          <w:b/>
          <w:color w:val="auto"/>
          <w:sz w:val="24"/>
          <w:lang w:eastAsia="zh-CN"/>
        </w:rPr>
      </w:pPr>
      <w:r>
        <w:rPr>
          <w:rFonts w:hint="eastAsia" w:ascii="仿宋" w:hAnsi="仿宋" w:eastAsia="仿宋" w:cs="仿宋"/>
          <w:b/>
          <w:color w:val="auto"/>
          <w:sz w:val="24"/>
        </w:rPr>
        <w:t>项目名称：</w:t>
      </w:r>
    </w:p>
    <w:p>
      <w:pPr>
        <w:snapToGrid w:val="0"/>
        <w:spacing w:line="360" w:lineRule="auto"/>
        <w:ind w:firstLine="482" w:firstLineChars="200"/>
        <w:rPr>
          <w:rFonts w:hint="eastAsia" w:ascii="仿宋" w:hAnsi="仿宋" w:eastAsia="仿宋" w:cs="仿宋"/>
          <w:b/>
          <w:color w:val="auto"/>
          <w:sz w:val="24"/>
          <w:lang w:eastAsia="zh-CN"/>
        </w:rPr>
      </w:pPr>
      <w:r>
        <w:rPr>
          <w:rFonts w:hint="eastAsia" w:ascii="仿宋" w:hAnsi="仿宋" w:eastAsia="仿宋" w:cs="仿宋"/>
          <w:b/>
          <w:color w:val="auto"/>
          <w:sz w:val="24"/>
        </w:rPr>
        <w:t>项目编号：</w:t>
      </w:r>
    </w:p>
    <w:p>
      <w:pPr>
        <w:snapToGrid w:val="0"/>
        <w:spacing w:line="360" w:lineRule="auto"/>
        <w:ind w:firstLine="482" w:firstLineChars="200"/>
        <w:rPr>
          <w:rFonts w:hint="eastAsia" w:ascii="仿宋" w:hAnsi="仿宋" w:eastAsia="仿宋" w:cs="仿宋"/>
          <w:b/>
          <w:color w:val="auto"/>
          <w:sz w:val="24"/>
          <w:lang w:eastAsia="zh-CN"/>
        </w:rPr>
      </w:pPr>
      <w:r>
        <w:rPr>
          <w:rFonts w:hint="eastAsia" w:ascii="仿宋" w:hAnsi="仿宋" w:eastAsia="仿宋" w:cs="仿宋"/>
          <w:b/>
          <w:color w:val="auto"/>
          <w:sz w:val="24"/>
          <w:lang w:eastAsia="zh-CN"/>
        </w:rPr>
        <w:t>包    号：</w:t>
      </w:r>
      <w:r>
        <w:rPr>
          <w:rFonts w:hint="eastAsia" w:ascii="仿宋" w:hAnsi="仿宋" w:eastAsia="仿宋" w:cs="仿宋"/>
          <w:b/>
          <w:color w:val="auto"/>
          <w:sz w:val="24"/>
          <w:u w:val="single"/>
          <w:lang w:eastAsia="zh-CN"/>
        </w:rPr>
        <w:t xml:space="preserve">    </w:t>
      </w:r>
      <w:r>
        <w:rPr>
          <w:rFonts w:hint="eastAsia" w:ascii="仿宋" w:hAnsi="仿宋" w:eastAsia="仿宋" w:cs="仿宋"/>
          <w:b/>
          <w:color w:val="auto"/>
          <w:sz w:val="24"/>
          <w:lang w:eastAsia="zh-CN"/>
        </w:rPr>
        <w:t>包（如有）</w:t>
      </w:r>
    </w:p>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注明：“请勿在开标时间之前启封”</w:t>
      </w:r>
    </w:p>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供应商名称、联系人姓名和电话</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15.2 响应文件未按上述规定书写标记和密封者，采购代理机构不对响应文件被错放或先期启封负责。</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16．提交响应文件截止时间</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16.l 供应商须在提交响应文件截止时间前将响应文件送达采购代理机构规定的响应文件开启地点。</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16.2 若采购代理机构推迟了提交响应文件截止时间，应以公告的形式通知所有供应商。在这种情况下，采购人和供应商的权利和义务均应以新的截止时间为准。</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16.3 在提交响应文件截止时间后递交的响应文件，采购代理机构将拒绝接受。</w:t>
      </w: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eastAsia" w:ascii="仿宋" w:hAnsi="仿宋" w:eastAsia="仿宋" w:cs="仿宋"/>
          <w:b/>
          <w:bCs/>
          <w:color w:val="auto"/>
          <w:lang w:val="en-US" w:eastAsia="zh-CN"/>
        </w:rPr>
      </w:pPr>
      <w:bookmarkStart w:id="26" w:name="_Toc9280"/>
      <w:r>
        <w:rPr>
          <w:rFonts w:hint="eastAsia" w:ascii="仿宋" w:hAnsi="仿宋" w:eastAsia="仿宋" w:cs="仿宋"/>
          <w:b/>
          <w:bCs/>
          <w:color w:val="auto"/>
          <w:lang w:val="en-US" w:eastAsia="zh-CN"/>
        </w:rPr>
        <w:t>五、磋商、评审及签约</w:t>
      </w:r>
      <w:bookmarkEnd w:id="26"/>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17．磋商</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17.l 采购代理机构按</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磋商文件第一章规定的时间和地点进行磋商。采购人代表、采购代理机构有关工作人员参加。政府采购主管部门、监督部门、国家公证机关公证员由其视情况决定是否派代表到现场进行监督。</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17.2 供应商应委派授权代表参加开标活动，参加开标的代表须持本人身份证件签名报到以证明其出席。未派授权代表或不能证明其授权代表身份的，采购代理机构对响应文件的处理不承担责任。</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17.3 磋商时，采购代理机构或供应商代表将查验响应文件密封情况，确认无误后拆封。</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17.4 若响应文件未密封，采购代理机构将拒绝接受该供应商的响应文件。</w:t>
      </w:r>
    </w:p>
    <w:p>
      <w:pPr>
        <w:snapToGrid w:val="0"/>
        <w:spacing w:line="360" w:lineRule="auto"/>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rPr>
        <w:t>1</w:t>
      </w:r>
      <w:r>
        <w:rPr>
          <w:rFonts w:hint="eastAsia" w:ascii="仿宋" w:hAnsi="仿宋" w:eastAsia="仿宋" w:cs="仿宋"/>
          <w:color w:val="auto"/>
          <w:sz w:val="24"/>
          <w:lang w:val="en-US" w:eastAsia="zh-CN"/>
        </w:rPr>
        <w:t>7</w:t>
      </w:r>
      <w:r>
        <w:rPr>
          <w:rFonts w:hint="eastAsia" w:ascii="仿宋" w:hAnsi="仿宋" w:eastAsia="仿宋" w:cs="仿宋"/>
          <w:color w:val="auto"/>
          <w:sz w:val="24"/>
        </w:rPr>
        <w:t>.5 根据财库〔2015〕124号《财政部关于政府采购竞争性磋商采购方式管理暂行办法有关问题的补充通知》在采购过程中符合要求的供应商（社会资本）只有2家的，竞争性磋商采购活动可以继续进行。</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18．磋商小组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评标委员会由技术、经济等方面的专家和</w:t>
      </w:r>
      <w:r>
        <w:rPr>
          <w:rFonts w:hint="eastAsia" w:ascii="仿宋" w:hAnsi="仿宋" w:eastAsia="仿宋" w:cs="仿宋"/>
          <w:color w:val="auto"/>
          <w:sz w:val="24"/>
          <w:lang w:val="en-US" w:eastAsia="zh-CN"/>
        </w:rPr>
        <w:t>采购人</w:t>
      </w:r>
      <w:r>
        <w:rPr>
          <w:rFonts w:hint="eastAsia" w:ascii="仿宋" w:hAnsi="仿宋" w:eastAsia="仿宋" w:cs="仿宋"/>
          <w:color w:val="auto"/>
          <w:sz w:val="24"/>
        </w:rPr>
        <w:t>代表</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如有</w:t>
      </w:r>
      <w:r>
        <w:rPr>
          <w:rFonts w:hint="eastAsia" w:ascii="仿宋" w:hAnsi="仿宋" w:eastAsia="仿宋" w:cs="仿宋"/>
          <w:color w:val="auto"/>
          <w:sz w:val="24"/>
          <w:lang w:eastAsia="zh-CN"/>
        </w:rPr>
        <w:t>）</w:t>
      </w:r>
      <w:r>
        <w:rPr>
          <w:rFonts w:hint="eastAsia" w:ascii="仿宋" w:hAnsi="仿宋" w:eastAsia="仿宋" w:cs="仿宋"/>
          <w:color w:val="auto"/>
          <w:sz w:val="24"/>
        </w:rPr>
        <w:t>组成，其中，技术、经济等方面的专家不少于成员总数的2/3。该磋商小组独立工作，负责评审所有响应文件并确定成交侯选供应商。</w:t>
      </w:r>
    </w:p>
    <w:p>
      <w:pPr>
        <w:shd w:val="clear" w:color="auto" w:fill="FFFFFF"/>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19.关于政策性优惠</w:t>
      </w:r>
    </w:p>
    <w:p>
      <w:pPr>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19.1所投分包(如不分包则指本项目)的所有投标产品进入当期节能清单的，其评审价=报价*（1-2%）；供应商所投产品满足此规定的，必须提供相关证明文件。</w:t>
      </w:r>
    </w:p>
    <w:p>
      <w:pPr>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19.2所投分包(如不分包则指本项目)的所有投标产品进入当期环保清单的，其评审价=报价*（1-1%）；供应商所投产品满足此规定的，必须提供相关证明文件。</w:t>
      </w:r>
    </w:p>
    <w:p>
      <w:pPr>
        <w:shd w:val="clear" w:color="auto" w:fill="auto"/>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.3 所投分包(如不分包则指本项目)的所有投标产品均为绿色产品的，均为</w:t>
      </w:r>
    </w:p>
    <w:p>
      <w:pPr>
        <w:shd w:val="clear" w:color="auto" w:fill="auto"/>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绿色产品的，其评审价=报价*（1-4%）；超过一半产品为绿色产品的，其评审价=报价*（1-3%）；个别产品为绿色产品的，其评审价=报价*（1-2%）。</w:t>
      </w:r>
      <w:r>
        <w:rPr>
          <w:rFonts w:hint="eastAsia" w:ascii="仿宋" w:hAnsi="仿宋" w:eastAsia="仿宋" w:cs="仿宋"/>
          <w:color w:val="auto"/>
          <w:sz w:val="24"/>
          <w:lang w:val="en-US" w:eastAsia="zh-CN"/>
        </w:rPr>
        <w:t>供应商</w:t>
      </w:r>
      <w:r>
        <w:rPr>
          <w:rFonts w:hint="eastAsia" w:ascii="仿宋" w:hAnsi="仿宋" w:eastAsia="仿宋" w:cs="仿宋"/>
          <w:color w:val="auto"/>
          <w:sz w:val="24"/>
        </w:rPr>
        <w:t>所投产品满足此规定的，必须提供相关证明文件。</w:t>
      </w:r>
    </w:p>
    <w:p>
      <w:pPr>
        <w:shd w:val="clear" w:color="auto" w:fill="auto"/>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.4纳入财政部公布的《政府采购自主创新产品目录》的货物和服务：</w:t>
      </w:r>
    </w:p>
    <w:p>
      <w:pPr>
        <w:shd w:val="clear" w:color="auto" w:fill="auto"/>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.4.1采用最低评标价法评标的项目，对自主创新产品在评审时对其投标价格给予5％的价格扣除。</w:t>
      </w:r>
    </w:p>
    <w:p>
      <w:pPr>
        <w:shd w:val="clear" w:color="auto" w:fill="auto"/>
        <w:snapToGrid w:val="0"/>
        <w:spacing w:line="360" w:lineRule="auto"/>
        <w:ind w:firstLine="465"/>
        <w:rPr>
          <w:rFonts w:hint="eastAsia" w:ascii="仿宋" w:hAnsi="仿宋" w:eastAsia="仿宋" w:cs="仿宋"/>
          <w:color w:val="auto"/>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.4.2采用综合评分法评标的项目，对自主创新产品在价格评标项中，对自主创新产品给予价格评标总分值的5％的加分。</w:t>
      </w:r>
    </w:p>
    <w:p>
      <w:pPr>
        <w:shd w:val="clear" w:color="auto" w:fill="auto"/>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w:t>
      </w:r>
      <w:r>
        <w:rPr>
          <w:rFonts w:hint="eastAsia" w:ascii="仿宋" w:hAnsi="仿宋" w:eastAsia="仿宋" w:cs="仿宋"/>
          <w:color w:val="auto"/>
          <w:sz w:val="24"/>
          <w:lang w:val="en-US" w:eastAsia="zh-CN"/>
        </w:rPr>
        <w:t>5供应商</w:t>
      </w:r>
      <w:r>
        <w:rPr>
          <w:rFonts w:hint="eastAsia" w:ascii="仿宋" w:hAnsi="仿宋" w:eastAsia="仿宋" w:cs="仿宋"/>
          <w:color w:val="auto"/>
          <w:sz w:val="24"/>
        </w:rPr>
        <w:t>为</w:t>
      </w:r>
      <w:r>
        <w:rPr>
          <w:rFonts w:hint="eastAsia" w:ascii="仿宋" w:hAnsi="仿宋" w:eastAsia="仿宋" w:cs="仿宋"/>
          <w:color w:val="auto"/>
          <w:sz w:val="24"/>
          <w:lang w:val="en-US" w:eastAsia="zh-CN"/>
        </w:rPr>
        <w:t>中小</w:t>
      </w:r>
      <w:r>
        <w:rPr>
          <w:rFonts w:hint="eastAsia" w:ascii="仿宋" w:hAnsi="仿宋" w:eastAsia="仿宋" w:cs="仿宋"/>
          <w:color w:val="auto"/>
          <w:sz w:val="24"/>
        </w:rPr>
        <w:t>企业（含联合体）的情况：</w:t>
      </w:r>
    </w:p>
    <w:p>
      <w:pPr>
        <w:pStyle w:val="22"/>
        <w:shd w:val="clear" w:color="auto" w:fill="auto"/>
        <w:spacing w:before="0" w:after="0" w:line="360" w:lineRule="auto"/>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19.5.1中小企业：</w:t>
      </w:r>
    </w:p>
    <w:p>
      <w:pPr>
        <w:shd w:val="clear" w:color="auto" w:fill="auto"/>
        <w:spacing w:line="360" w:lineRule="auto"/>
        <w:ind w:firstLine="480" w:firstLineChars="200"/>
        <w:rPr>
          <w:rFonts w:hint="eastAsia" w:ascii="仿宋" w:hAnsi="仿宋" w:eastAsia="仿宋" w:cs="仿宋"/>
          <w:color w:val="auto"/>
          <w:sz w:val="24"/>
          <w:szCs w:val="32"/>
          <w:lang w:val="en-US" w:eastAsia="zh-CN"/>
        </w:rPr>
      </w:pPr>
      <w:r>
        <w:rPr>
          <w:rFonts w:hint="eastAsia" w:ascii="仿宋" w:hAnsi="仿宋" w:eastAsia="仿宋" w:cs="仿宋"/>
          <w:color w:val="auto"/>
          <w:sz w:val="24"/>
          <w:szCs w:val="32"/>
          <w:lang w:val="en-US" w:eastAsia="zh-CN"/>
        </w:rPr>
        <w:t>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shd w:val="clear" w:color="auto" w:fill="auto"/>
        <w:spacing w:line="360" w:lineRule="auto"/>
        <w:ind w:firstLine="480" w:firstLineChars="200"/>
        <w:rPr>
          <w:rFonts w:hint="eastAsia" w:ascii="仿宋" w:hAnsi="仿宋" w:eastAsia="仿宋" w:cs="仿宋"/>
          <w:color w:val="auto"/>
          <w:sz w:val="24"/>
          <w:szCs w:val="32"/>
          <w:lang w:val="en-US" w:eastAsia="zh-CN"/>
        </w:rPr>
      </w:pPr>
      <w:r>
        <w:rPr>
          <w:rFonts w:hint="eastAsia" w:ascii="仿宋" w:hAnsi="仿宋" w:eastAsia="仿宋" w:cs="仿宋"/>
          <w:color w:val="auto"/>
          <w:sz w:val="24"/>
          <w:szCs w:val="32"/>
          <w:lang w:val="en-US" w:eastAsia="zh-CN"/>
        </w:rPr>
        <w:t>符合中小企业划分标准的个体工商户，在政府采购活动中视同中小企业。</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w:t>
      </w:r>
      <w:r>
        <w:rPr>
          <w:rFonts w:hint="eastAsia" w:ascii="仿宋" w:hAnsi="仿宋" w:eastAsia="仿宋" w:cs="仿宋"/>
          <w:color w:val="auto"/>
          <w:sz w:val="24"/>
          <w:lang w:val="en-US" w:eastAsia="zh-CN"/>
        </w:rPr>
        <w:t>2在政府采购活动中，供应商提供的货物、工程或者服务符合下列情形的，享受中小企业扶持政策：</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（1）在货物采购项目中，货物由中小企业制造，即货物由中小企业生产且使用该中小企业商号或者注册商标；</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（2）在工程采购项目中，工程由中小企业承建，即工程施工单位为中小企业；</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在货物采购项目中，供应商提供的货物既有中小企业制造货物，也有大型企业制造货物的，不享受中小企业扶持政策。</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19.5.3</w:t>
      </w:r>
      <w:r>
        <w:rPr>
          <w:rFonts w:hint="eastAsia" w:ascii="仿宋" w:hAnsi="仿宋" w:eastAsia="仿宋" w:cs="仿宋"/>
          <w:color w:val="auto"/>
          <w:sz w:val="24"/>
          <w:szCs w:val="24"/>
        </w:rPr>
        <w:t>监狱企业视同为小型、微型企业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必须提供相关证明文件。</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19.5.4</w:t>
      </w:r>
      <w:r>
        <w:rPr>
          <w:rFonts w:hint="eastAsia" w:ascii="仿宋" w:hAnsi="仿宋" w:eastAsia="仿宋" w:cs="仿宋"/>
          <w:color w:val="auto"/>
          <w:sz w:val="24"/>
          <w:szCs w:val="24"/>
        </w:rPr>
        <w:t>残疾人福利性单位视同为小型、微型企业，必须如实填写“残疾人福利性单位声明函”（内容、格式见财库〔2017〕141 号）。</w:t>
      </w:r>
    </w:p>
    <w:p>
      <w:pPr>
        <w:shd w:val="clear" w:color="auto" w:fill="auto"/>
        <w:snapToGrid w:val="0"/>
        <w:spacing w:line="360" w:lineRule="auto"/>
        <w:ind w:firstLine="465"/>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具体评审价说明：</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val="en-US" w:eastAsia="zh-CN"/>
        </w:rPr>
        <w:t>中小</w:t>
      </w:r>
      <w:r>
        <w:rPr>
          <w:rFonts w:hint="eastAsia" w:ascii="仿宋" w:hAnsi="仿宋" w:eastAsia="仿宋" w:cs="仿宋"/>
          <w:color w:val="auto"/>
          <w:sz w:val="24"/>
          <w:szCs w:val="24"/>
        </w:rPr>
        <w:t>企业，</w:t>
      </w:r>
      <w:r>
        <w:rPr>
          <w:rFonts w:hint="eastAsia" w:ascii="仿宋" w:hAnsi="仿宋" w:eastAsia="仿宋" w:cs="仿宋"/>
          <w:color w:val="auto"/>
          <w:sz w:val="24"/>
        </w:rPr>
        <w:t>货物和服务项目</w:t>
      </w:r>
      <w:r>
        <w:rPr>
          <w:rFonts w:hint="eastAsia" w:ascii="仿宋" w:hAnsi="仿宋" w:eastAsia="仿宋" w:cs="仿宋"/>
          <w:color w:val="auto"/>
          <w:sz w:val="24"/>
          <w:szCs w:val="24"/>
        </w:rPr>
        <w:t>评审价=报价*（1-</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适用招标投标法的政府采购工程建设项目，采用综合评估法但未采用低价优先法计算价格分的，评标时在采用原报价进行评分的基础上增加其价格得分的3%作为其价格分。</w:t>
      </w:r>
    </w:p>
    <w:p>
      <w:pPr>
        <w:shd w:val="clear" w:color="auto" w:fill="auto"/>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为联合体报价，对于联合</w:t>
      </w:r>
      <w:r>
        <w:rPr>
          <w:rFonts w:hint="eastAsia" w:ascii="仿宋" w:hAnsi="仿宋" w:eastAsia="仿宋" w:cs="仿宋"/>
          <w:color w:val="auto"/>
          <w:sz w:val="24"/>
          <w:szCs w:val="24"/>
          <w:lang w:val="en-US" w:eastAsia="zh-CN"/>
        </w:rPr>
        <w:t>协议</w:t>
      </w:r>
      <w:r>
        <w:rPr>
          <w:rFonts w:hint="eastAsia" w:ascii="仿宋" w:hAnsi="仿宋" w:eastAsia="仿宋" w:cs="仿宋"/>
          <w:color w:val="auto"/>
          <w:sz w:val="24"/>
          <w:szCs w:val="24"/>
        </w:rPr>
        <w:t>或者分包意向协议约定小微企业的合同份额占到合同总金额30%以上的，</w:t>
      </w:r>
      <w:r>
        <w:rPr>
          <w:rFonts w:hint="eastAsia" w:ascii="仿宋" w:hAnsi="仿宋" w:eastAsia="仿宋" w:cs="仿宋"/>
          <w:color w:val="auto"/>
          <w:sz w:val="24"/>
        </w:rPr>
        <w:t>货物和服务项目</w:t>
      </w:r>
      <w:r>
        <w:rPr>
          <w:rFonts w:hint="eastAsia" w:ascii="仿宋" w:hAnsi="仿宋" w:eastAsia="仿宋" w:cs="仿宋"/>
          <w:color w:val="auto"/>
          <w:sz w:val="24"/>
          <w:szCs w:val="24"/>
        </w:rPr>
        <w:t>评审价=报价*（1-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适用招标投标法的政府采购工程建设项目，采用综合评估法但未采用低价优先法计算价格分的，评标时在采用原报价进行评分的基础上增加其价格得分的1%作为其价格分。</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480" w:firstLineChars="20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lang w:eastAsia="zh-CN"/>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rPr>
          <w:rFonts w:hint="eastAsia" w:ascii="仿宋" w:hAnsi="仿宋" w:eastAsia="仿宋" w:cs="仿宋"/>
          <w:b/>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w:t>
      </w:r>
      <w:r>
        <w:rPr>
          <w:rFonts w:hint="eastAsia" w:ascii="仿宋" w:hAnsi="仿宋" w:eastAsia="仿宋" w:cs="仿宋"/>
          <w:color w:val="auto"/>
          <w:sz w:val="24"/>
          <w:lang w:val="en-US" w:eastAsia="zh-CN"/>
        </w:rPr>
        <w:t>6供应商</w:t>
      </w:r>
      <w:r>
        <w:rPr>
          <w:rFonts w:hint="eastAsia" w:ascii="仿宋" w:hAnsi="仿宋" w:eastAsia="仿宋" w:cs="仿宋"/>
          <w:color w:val="auto"/>
          <w:sz w:val="24"/>
        </w:rPr>
        <w:t>为</w:t>
      </w:r>
      <w:r>
        <w:rPr>
          <w:rFonts w:hint="eastAsia" w:ascii="仿宋" w:hAnsi="仿宋" w:eastAsia="仿宋" w:cs="仿宋"/>
          <w:color w:val="auto"/>
          <w:sz w:val="24"/>
          <w:lang w:val="en-US" w:eastAsia="zh-CN"/>
        </w:rPr>
        <w:t>中小企业</w:t>
      </w:r>
      <w:r>
        <w:rPr>
          <w:rFonts w:hint="eastAsia" w:ascii="仿宋" w:hAnsi="仿宋" w:eastAsia="仿宋" w:cs="仿宋"/>
          <w:color w:val="auto"/>
          <w:sz w:val="24"/>
        </w:rPr>
        <w:t>（含联合体）的，必须</w:t>
      </w:r>
      <w:bookmarkStart w:id="27" w:name="_Toc320093686"/>
      <w:r>
        <w:rPr>
          <w:rFonts w:hint="eastAsia" w:ascii="仿宋" w:hAnsi="仿宋" w:eastAsia="仿宋" w:cs="仿宋"/>
          <w:color w:val="auto"/>
          <w:sz w:val="24"/>
        </w:rPr>
        <w:t>如实填写“中小企业声明函”（内容、格式见财库〔20</w:t>
      </w:r>
      <w:r>
        <w:rPr>
          <w:rFonts w:hint="eastAsia" w:ascii="仿宋" w:hAnsi="仿宋" w:eastAsia="仿宋" w:cs="仿宋"/>
          <w:color w:val="auto"/>
          <w:sz w:val="24"/>
          <w:lang w:val="en-US" w:eastAsia="zh-CN"/>
        </w:rPr>
        <w:t>20</w:t>
      </w:r>
      <w:r>
        <w:rPr>
          <w:rFonts w:hint="eastAsia" w:ascii="仿宋" w:hAnsi="仿宋" w:eastAsia="仿宋" w:cs="仿宋"/>
          <w:color w:val="auto"/>
          <w:sz w:val="24"/>
        </w:rPr>
        <w:t>〕</w:t>
      </w:r>
      <w:r>
        <w:rPr>
          <w:rFonts w:hint="eastAsia" w:ascii="仿宋" w:hAnsi="仿宋" w:eastAsia="仿宋" w:cs="仿宋"/>
          <w:color w:val="auto"/>
          <w:sz w:val="24"/>
          <w:lang w:val="en-US" w:eastAsia="zh-CN"/>
        </w:rPr>
        <w:t>46</w:t>
      </w:r>
      <w:r>
        <w:rPr>
          <w:rFonts w:hint="eastAsia" w:ascii="仿宋" w:hAnsi="仿宋" w:eastAsia="仿宋" w:cs="仿宋"/>
          <w:color w:val="auto"/>
          <w:sz w:val="24"/>
        </w:rPr>
        <w:t>号）</w:t>
      </w:r>
      <w:bookmarkEnd w:id="27"/>
      <w:r>
        <w:rPr>
          <w:rFonts w:hint="eastAsia" w:ascii="仿宋" w:hAnsi="仿宋" w:eastAsia="仿宋" w:cs="仿宋"/>
          <w:color w:val="auto"/>
          <w:sz w:val="24"/>
        </w:rPr>
        <w:t>，否则无效。</w:t>
      </w:r>
      <w:r>
        <w:rPr>
          <w:rFonts w:hint="eastAsia" w:ascii="仿宋" w:hAnsi="仿宋" w:eastAsia="仿宋" w:cs="仿宋"/>
          <w:b/>
          <w:color w:val="auto"/>
          <w:sz w:val="24"/>
        </w:rPr>
        <w:t>如有虚假骗取政策性加分，将依法承担相应责任。</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20.磋商和定标</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20.1磋商、评分办法见“第六章 磋商程序”。</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20.2磋商小组将严格按照</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 xml:space="preserve">磋商文件的要求和条件进行评审,根据评审办法推荐出三人为成交候选供应商，并标明排列顺序。采购人将确定排名第一的成交候选供应商为成交供应商并向其授予合同。排名第一的成交候选供应商因不可抗力或者自身原因不能履行合同，或者排名第一的成交候选供应商提供虚假材料或存在其它违规行为的，或者是磋商小组出现评审错误，被他人质疑后证实确有其事的，采购人将把合同授予排名第二的成交候选供应商或重新组织招标。如此类推。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20.3采购代理机构将在指定的网站上公告成交结果。</w:t>
      </w:r>
    </w:p>
    <w:p>
      <w:pPr>
        <w:shd w:val="clear" w:color="auto" w:fill="FFFFFF"/>
        <w:snapToGrid w:val="0"/>
        <w:spacing w:line="355" w:lineRule="auto"/>
        <w:rPr>
          <w:rFonts w:hint="eastAsia" w:ascii="仿宋" w:hAnsi="仿宋" w:eastAsia="仿宋" w:cs="仿宋"/>
          <w:color w:val="auto"/>
          <w:sz w:val="24"/>
        </w:rPr>
      </w:pPr>
      <w:r>
        <w:rPr>
          <w:rFonts w:hint="eastAsia" w:ascii="仿宋" w:hAnsi="仿宋" w:eastAsia="仿宋" w:cs="仿宋"/>
          <w:color w:val="auto"/>
          <w:sz w:val="24"/>
        </w:rPr>
        <w:t>21. 质疑处理</w:t>
      </w:r>
    </w:p>
    <w:p>
      <w:pPr>
        <w:shd w:val="clear" w:color="auto" w:fill="FFFFFF"/>
        <w:snapToGrid w:val="0"/>
        <w:spacing w:line="355" w:lineRule="auto"/>
        <w:rPr>
          <w:rFonts w:hint="eastAsia" w:ascii="仿宋" w:hAnsi="仿宋" w:eastAsia="仿宋" w:cs="仿宋"/>
          <w:color w:val="auto"/>
          <w:sz w:val="24"/>
        </w:rPr>
      </w:pPr>
      <w:r>
        <w:rPr>
          <w:rFonts w:hint="eastAsia" w:ascii="仿宋" w:hAnsi="仿宋" w:eastAsia="仿宋" w:cs="仿宋"/>
          <w:color w:val="auto"/>
          <w:sz w:val="24"/>
        </w:rPr>
        <w:t xml:space="preserve">    21.1 供应商如认为</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磋商文件、磋商过程和成交结果使自己的权益受到损害的，应在知道或应知道其权益受到损害之日起七个工作日内以书面形式向</w:t>
      </w:r>
      <w:r>
        <w:rPr>
          <w:rFonts w:hint="eastAsia" w:ascii="仿宋" w:hAnsi="仿宋" w:eastAsia="仿宋" w:cs="仿宋"/>
          <w:color w:val="auto"/>
          <w:sz w:val="24"/>
          <w:lang w:eastAsia="zh-CN"/>
        </w:rPr>
        <w:t>海南政辉招投标代理有限公司</w:t>
      </w:r>
      <w:r>
        <w:rPr>
          <w:rFonts w:hint="eastAsia" w:ascii="仿宋" w:hAnsi="仿宋" w:eastAsia="仿宋" w:cs="仿宋"/>
          <w:color w:val="auto"/>
          <w:sz w:val="24"/>
        </w:rPr>
        <w:t>提出质疑，并附相关证明材料</w:t>
      </w:r>
      <w:r>
        <w:rPr>
          <w:rFonts w:hint="eastAsia" w:ascii="仿宋" w:hAnsi="仿宋" w:eastAsia="仿宋" w:cs="仿宋"/>
          <w:b/>
          <w:bCs/>
          <w:color w:val="auto"/>
          <w:sz w:val="24"/>
        </w:rPr>
        <w:t>（质疑函格式详见海南省财政厅质疑函范本，未按照质疑函范本书写或未附相关证明材料的质疑均不受理）</w:t>
      </w:r>
      <w:r>
        <w:rPr>
          <w:rFonts w:hint="eastAsia" w:ascii="仿宋" w:hAnsi="仿宋" w:eastAsia="仿宋" w:cs="仿宋"/>
          <w:color w:val="auto"/>
          <w:sz w:val="24"/>
        </w:rPr>
        <w:t>。匿名、非书面形式、七个工作日之外的质疑均不予受理。</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21.2 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hd w:val="clear" w:color="auto" w:fill="FFFFFF"/>
        <w:snapToGrid w:val="0"/>
        <w:spacing w:line="355"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以邮寄、快递方式递交质疑函的，质疑人可以在质疑有效期内以清晰扫描及时将质疑事项告知代理机构，并提供邮寄件、快递件的有效查询方式。</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21.3质疑函接收信息</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联系部门：海南政辉招投标代理有限公司—项目部</w:t>
      </w:r>
    </w:p>
    <w:p>
      <w:pPr>
        <w:shd w:val="clear" w:color="auto" w:fill="FFFFFF"/>
        <w:snapToGrid w:val="0"/>
        <w:spacing w:line="355" w:lineRule="auto"/>
        <w:ind w:firstLine="480" w:firstLineChars="200"/>
        <w:rPr>
          <w:rFonts w:hint="eastAsia" w:ascii="仿宋" w:hAnsi="仿宋" w:eastAsia="仿宋" w:cs="仿宋"/>
          <w:color w:val="auto"/>
          <w:sz w:val="24"/>
          <w:u w:val="single"/>
          <w:lang w:val="en-US" w:eastAsia="zh-CN"/>
        </w:rPr>
      </w:pPr>
      <w:r>
        <w:rPr>
          <w:rFonts w:hint="eastAsia" w:ascii="仿宋" w:hAnsi="仿宋" w:eastAsia="仿宋" w:cs="仿宋"/>
          <w:color w:val="auto"/>
          <w:sz w:val="24"/>
          <w:u w:val="none"/>
          <w:lang w:val="en-US" w:eastAsia="zh-CN"/>
        </w:rPr>
        <w:t>联系电话及联系人</w:t>
      </w:r>
      <w:r>
        <w:rPr>
          <w:rFonts w:hint="eastAsia" w:ascii="仿宋" w:hAnsi="仿宋" w:eastAsia="仿宋" w:cs="仿宋"/>
          <w:color w:val="auto"/>
          <w:sz w:val="24"/>
          <w:u w:val="single"/>
          <w:lang w:val="en-US" w:eastAsia="zh-CN"/>
        </w:rPr>
        <w:t xml:space="preserve">：0898-66557609    陈工      </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通讯地址：海口市五指山路康业花园西湖苑G栋2A</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21.4有下列情形之一的，属于无效质疑，采购人或采购代理机构可不予受理：</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（1）未在有效期限内提出质疑的；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（2）质疑未以书面形式提出的；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（3）所提交材料未明示属于质疑材料的；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（4）质疑事项已经进入投诉或者诉讼程序的；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（5）在质疑有效期内未就同一环节一次性提出质疑的；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（6）其它不符合受理条件的情形。</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21.5质疑函的形式有下列情形之一的，采购人或采购代理机构应当一次性告知质疑人在法定质疑期内修改后重新提交。法定质疑期内质疑人未重新提交，或者重新提交的质疑仍不符合形式规定的，由此产生的风险由供应商自行承担：</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（1）质疑函未使用财政部制定的政府采购供应商质疑函范本进行编写的；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（2）质疑函内容不全的。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21.6代理机构应于收到质疑函后一个工作日内对质疑函的形式进行审查，符合条件的质疑，应当受理并向质疑人发出质疑签收单。收到质疑函原件并向质疑人发出质疑签收单之日，为质疑正式受理之日。</w:t>
      </w:r>
    </w:p>
    <w:p>
      <w:pPr>
        <w:shd w:val="clear" w:color="auto" w:fill="FFFFFF"/>
        <w:snapToGrid w:val="0"/>
        <w:spacing w:line="355" w:lineRule="auto"/>
        <w:ind w:firstLine="480" w:firstLineChars="200"/>
        <w:rPr>
          <w:rFonts w:hint="eastAsia" w:ascii="仿宋" w:hAnsi="仿宋" w:eastAsia="仿宋" w:cs="仿宋"/>
          <w:color w:val="auto"/>
        </w:rPr>
      </w:pPr>
      <w:r>
        <w:rPr>
          <w:rFonts w:hint="eastAsia" w:ascii="仿宋" w:hAnsi="仿宋" w:eastAsia="仿宋" w:cs="仿宋"/>
          <w:color w:val="auto"/>
          <w:sz w:val="24"/>
          <w:lang w:val="en-US" w:eastAsia="zh-CN"/>
        </w:rPr>
        <w:t>质疑函在质疑有效期内需要修改、补充的，以提交修改或补充的质疑函原件并发出质疑签收单之日作为质疑正式受理之日。</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22．成交通知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22.1 成交供应商收到成交通知后，到采购代理机构处办理有关手续。</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22.2 成交通知书将是合同的一个组成部分。</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23．签订合同</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23.l 成交供应商应按成交通知书规定的时间、地点与采购人签订成交合同,否则磋商保证金将不予退还，给采购人和采购代理机构造成损失的，成交供应商还应承担赔偿责任。</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23.2 </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磋商文件、成交供应商的响应文件及评审过程中有关澄清文件均应作为合同附件。</w:t>
      </w: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eastAsia" w:ascii="仿宋" w:hAnsi="仿宋" w:eastAsia="仿宋" w:cs="仿宋"/>
          <w:b/>
          <w:bCs/>
          <w:color w:val="auto"/>
          <w:lang w:val="en-US" w:eastAsia="zh-CN"/>
        </w:rPr>
      </w:pPr>
      <w:bookmarkStart w:id="28" w:name="_Toc3255"/>
      <w:r>
        <w:rPr>
          <w:rFonts w:hint="eastAsia" w:ascii="仿宋" w:hAnsi="仿宋" w:eastAsia="仿宋" w:cs="仿宋"/>
          <w:b/>
          <w:bCs/>
          <w:color w:val="auto"/>
          <w:lang w:val="en-US" w:eastAsia="zh-CN"/>
        </w:rPr>
        <w:t>六、其他</w:t>
      </w:r>
      <w:bookmarkEnd w:id="28"/>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24．采购代理服务费</w:t>
      </w:r>
    </w:p>
    <w:p>
      <w:pPr>
        <w:keepNext w:val="0"/>
        <w:keepLines w:val="0"/>
        <w:pageBreakBefore w:val="0"/>
        <w:widowControl w:val="0"/>
        <w:kinsoku/>
        <w:wordWrap/>
        <w:overflowPunct/>
        <w:topLinePunct w:val="0"/>
        <w:autoSpaceDE/>
        <w:autoSpaceDN/>
        <w:bidi w:val="0"/>
        <w:adjustRightInd/>
        <w:snapToGrid w:val="0"/>
        <w:spacing w:line="360" w:lineRule="auto"/>
        <w:ind w:firstLine="542" w:firstLineChars="225"/>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val="en-US" w:eastAsia="zh-CN"/>
        </w:rPr>
        <w:t>按海南省物价局关于降低部分招标代理服务收费标准的通知【琼价费管（2011）225号】</w:t>
      </w:r>
      <w:r>
        <w:rPr>
          <w:rFonts w:hint="eastAsia" w:ascii="仿宋" w:hAnsi="仿宋" w:eastAsia="仿宋" w:cs="仿宋"/>
          <w:b/>
          <w:bCs/>
          <w:color w:val="auto"/>
          <w:sz w:val="24"/>
          <w:szCs w:val="24"/>
        </w:rPr>
        <w:t>文</w:t>
      </w:r>
      <w:r>
        <w:rPr>
          <w:rFonts w:hint="eastAsia" w:ascii="仿宋" w:hAnsi="仿宋" w:eastAsia="仿宋" w:cs="仿宋"/>
          <w:b/>
          <w:bCs/>
          <w:color w:val="auto"/>
          <w:sz w:val="24"/>
          <w:szCs w:val="24"/>
          <w:lang w:val="en-US" w:eastAsia="zh-CN"/>
        </w:rPr>
        <w:t>件</w:t>
      </w:r>
      <w:r>
        <w:rPr>
          <w:rFonts w:hint="eastAsia" w:ascii="仿宋" w:hAnsi="仿宋" w:eastAsia="仿宋" w:cs="仿宋"/>
          <w:b/>
          <w:bCs/>
          <w:color w:val="auto"/>
          <w:sz w:val="24"/>
          <w:szCs w:val="24"/>
        </w:rPr>
        <w:t>相关规定向</w:t>
      </w:r>
      <w:r>
        <w:rPr>
          <w:rFonts w:hint="eastAsia" w:ascii="仿宋" w:hAnsi="仿宋" w:eastAsia="仿宋" w:cs="仿宋"/>
          <w:b/>
          <w:bCs/>
          <w:color w:val="auto"/>
          <w:sz w:val="24"/>
          <w:szCs w:val="24"/>
          <w:lang w:val="en-US" w:eastAsia="zh-CN"/>
        </w:rPr>
        <w:t>成交</w:t>
      </w:r>
      <w:r>
        <w:rPr>
          <w:rFonts w:hint="eastAsia" w:ascii="仿宋" w:hAnsi="仿宋" w:eastAsia="仿宋" w:cs="仿宋"/>
          <w:b/>
          <w:bCs/>
          <w:color w:val="auto"/>
          <w:sz w:val="24"/>
          <w:szCs w:val="24"/>
        </w:rPr>
        <w:t>人收取，由</w:t>
      </w:r>
      <w:r>
        <w:rPr>
          <w:rFonts w:hint="eastAsia" w:ascii="仿宋" w:hAnsi="仿宋" w:eastAsia="仿宋" w:cs="仿宋"/>
          <w:b/>
          <w:bCs/>
          <w:color w:val="auto"/>
          <w:sz w:val="24"/>
          <w:szCs w:val="24"/>
          <w:lang w:val="en-US" w:eastAsia="zh-CN"/>
        </w:rPr>
        <w:t>成交</w:t>
      </w:r>
      <w:r>
        <w:rPr>
          <w:rFonts w:hint="eastAsia" w:ascii="仿宋" w:hAnsi="仿宋" w:eastAsia="仿宋" w:cs="仿宋"/>
          <w:b/>
          <w:bCs/>
          <w:color w:val="auto"/>
          <w:sz w:val="24"/>
          <w:szCs w:val="24"/>
        </w:rPr>
        <w:t>供应商向</w:t>
      </w:r>
      <w:r>
        <w:rPr>
          <w:rFonts w:hint="eastAsia" w:ascii="仿宋" w:hAnsi="仿宋" w:eastAsia="仿宋" w:cs="仿宋"/>
          <w:b/>
          <w:bCs/>
          <w:color w:val="auto"/>
          <w:sz w:val="24"/>
          <w:szCs w:val="24"/>
          <w:lang w:eastAsia="zh-CN"/>
        </w:rPr>
        <w:t>海南政辉招投标代理有限公司</w:t>
      </w:r>
      <w:r>
        <w:rPr>
          <w:rFonts w:hint="eastAsia" w:ascii="仿宋" w:hAnsi="仿宋" w:eastAsia="仿宋" w:cs="仿宋"/>
          <w:b/>
          <w:bCs/>
          <w:color w:val="auto"/>
          <w:sz w:val="24"/>
          <w:szCs w:val="24"/>
        </w:rPr>
        <w:t>支付</w:t>
      </w:r>
      <w:r>
        <w:rPr>
          <w:rFonts w:hint="eastAsia" w:ascii="仿宋" w:hAnsi="仿宋" w:eastAsia="仿宋" w:cs="仿宋"/>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25.其他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本项目不召开答疑会。</w:t>
      </w:r>
    </w:p>
    <w:p>
      <w:pPr>
        <w:pStyle w:val="7"/>
        <w:numPr>
          <w:ilvl w:val="0"/>
          <w:numId w:val="0"/>
        </w:numPr>
        <w:rPr>
          <w:rFonts w:hint="eastAsia" w:ascii="仿宋" w:hAnsi="仿宋" w:eastAsia="仿宋" w:cs="仿宋"/>
          <w:color w:val="auto"/>
        </w:rPr>
      </w:pPr>
    </w:p>
    <w:p>
      <w:pPr>
        <w:pStyle w:val="7"/>
        <w:numPr>
          <w:ilvl w:val="0"/>
          <w:numId w:val="0"/>
        </w:numPr>
        <w:rPr>
          <w:rFonts w:hint="eastAsia" w:ascii="仿宋" w:hAnsi="仿宋" w:eastAsia="仿宋" w:cs="仿宋"/>
          <w:color w:val="auto"/>
        </w:rPr>
      </w:pPr>
    </w:p>
    <w:p>
      <w:pPr>
        <w:pStyle w:val="7"/>
        <w:numPr>
          <w:ilvl w:val="0"/>
          <w:numId w:val="0"/>
        </w:numPr>
        <w:rPr>
          <w:rFonts w:hint="eastAsia" w:ascii="仿宋" w:hAnsi="仿宋" w:eastAsia="仿宋" w:cs="仿宋"/>
          <w:color w:val="auto"/>
        </w:rPr>
      </w:pPr>
    </w:p>
    <w:p>
      <w:pPr>
        <w:pStyle w:val="7"/>
        <w:numPr>
          <w:ilvl w:val="0"/>
          <w:numId w:val="0"/>
        </w:numPr>
        <w:rPr>
          <w:rFonts w:hint="eastAsia" w:ascii="仿宋" w:hAnsi="仿宋" w:eastAsia="仿宋" w:cs="仿宋"/>
          <w:color w:val="auto"/>
        </w:rPr>
      </w:pPr>
    </w:p>
    <w:p>
      <w:pPr>
        <w:pStyle w:val="7"/>
        <w:numPr>
          <w:ilvl w:val="0"/>
          <w:numId w:val="0"/>
        </w:numPr>
        <w:rPr>
          <w:rFonts w:hint="eastAsia" w:ascii="仿宋" w:hAnsi="仿宋" w:eastAsia="仿宋" w:cs="仿宋"/>
          <w:color w:val="auto"/>
        </w:rPr>
        <w:sectPr>
          <w:pgSz w:w="11906" w:h="16838"/>
          <w:pgMar w:top="934" w:right="1134" w:bottom="1134" w:left="1531" w:header="851" w:footer="992" w:gutter="0"/>
          <w:pgBorders w:offsetFrom="page">
            <w:top w:val="none" w:sz="0" w:space="0"/>
            <w:left w:val="none" w:sz="0" w:space="0"/>
            <w:bottom w:val="none" w:sz="0" w:space="0"/>
            <w:right w:val="none" w:sz="0" w:space="0"/>
          </w:pgBorders>
          <w:pgNumType w:fmt="decimal"/>
          <w:cols w:space="708" w:num="1"/>
          <w:docGrid w:linePitch="312" w:charSpace="0"/>
        </w:sectPr>
      </w:pPr>
    </w:p>
    <w:p>
      <w:pPr>
        <w:keepNext w:val="0"/>
        <w:keepLines w:val="0"/>
        <w:pageBreakBefore w:val="0"/>
        <w:widowControl/>
        <w:numPr>
          <w:ilvl w:val="0"/>
          <w:numId w:val="4"/>
        </w:numPr>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bookmarkStart w:id="29" w:name="_Toc4912"/>
      <w:bookmarkStart w:id="30" w:name="_Toc27043"/>
      <w:r>
        <w:rPr>
          <w:rFonts w:hint="eastAsia" w:ascii="仿宋" w:hAnsi="仿宋" w:eastAsia="仿宋" w:cs="仿宋"/>
          <w:b/>
          <w:color w:val="auto"/>
          <w:kern w:val="0"/>
          <w:sz w:val="44"/>
          <w:szCs w:val="44"/>
          <w:lang w:eastAsia="zh-CN"/>
        </w:rPr>
        <w:t xml:space="preserve"> 用户需求书</w:t>
      </w:r>
      <w:bookmarkEnd w:id="29"/>
      <w:bookmarkEnd w:id="30"/>
    </w:p>
    <w:p>
      <w:pPr>
        <w:spacing w:line="560" w:lineRule="exact"/>
        <w:ind w:left="0" w:leftChars="0" w:right="0" w:rightChars="0" w:firstLine="0" w:firstLineChars="0"/>
        <w:jc w:val="center"/>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第四包 软件测评和代码审计服务</w:t>
      </w:r>
    </w:p>
    <w:p>
      <w:pPr>
        <w:spacing w:line="560" w:lineRule="exact"/>
        <w:ind w:firstLine="640" w:firstLineChars="200"/>
        <w:jc w:val="left"/>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（1）技术要求</w:t>
      </w:r>
    </w:p>
    <w:p>
      <w:pPr>
        <w:adjustRightInd w:val="0"/>
        <w:snapToGrid w:val="0"/>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一、</w:t>
      </w:r>
      <w:r>
        <w:rPr>
          <w:rFonts w:hint="eastAsia" w:ascii="仿宋" w:hAnsi="仿宋" w:eastAsia="仿宋" w:cs="仿宋"/>
          <w:b/>
          <w:bCs/>
          <w:color w:val="auto"/>
          <w:sz w:val="24"/>
          <w:szCs w:val="24"/>
        </w:rPr>
        <w:t>服务目标</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为保障</w:t>
      </w:r>
      <w:r>
        <w:rPr>
          <w:rFonts w:hint="eastAsia" w:ascii="仿宋" w:hAnsi="仿宋" w:eastAsia="仿宋" w:cs="仿宋"/>
          <w:color w:val="auto"/>
          <w:kern w:val="28"/>
          <w:sz w:val="24"/>
          <w:szCs w:val="24"/>
        </w:rPr>
        <w:t>本项目应用</w:t>
      </w:r>
      <w:r>
        <w:rPr>
          <w:rFonts w:hint="eastAsia" w:ascii="仿宋" w:hAnsi="仿宋" w:eastAsia="仿宋" w:cs="仿宋"/>
          <w:color w:val="auto"/>
          <w:sz w:val="24"/>
          <w:szCs w:val="24"/>
        </w:rPr>
        <w:t>系统平台如期上线，需要对项目应用系统进行系统功能测试、系统性能测试、可靠性测试等，同时通过测试过程了解信息系统的交付情况，通过采购专业第三方测试服务，达成如下总体测试目标：</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1、判定各项目的建设方案、招标方案、需求规格说明书等是否实现；</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2、判定各项目的建设是否满足国家、海南省各项政策法规及标准要求；</w:t>
      </w:r>
    </w:p>
    <w:p>
      <w:pPr>
        <w:keepNext/>
        <w:keepLines/>
        <w:adjustRightInd w:val="0"/>
        <w:snapToGrid w:val="0"/>
        <w:spacing w:line="360" w:lineRule="auto"/>
        <w:ind w:firstLine="482" w:firstLineChars="200"/>
        <w:outlineLvl w:val="2"/>
        <w:rPr>
          <w:rFonts w:hint="eastAsia" w:ascii="仿宋" w:hAnsi="仿宋" w:eastAsia="仿宋" w:cs="仿宋"/>
          <w:b/>
          <w:bCs/>
          <w:color w:val="auto"/>
          <w:sz w:val="24"/>
          <w:szCs w:val="24"/>
        </w:rPr>
      </w:pPr>
      <w:bookmarkStart w:id="31" w:name="_Toc69283569"/>
      <w:bookmarkStart w:id="32" w:name="_Toc69462193"/>
      <w:r>
        <w:rPr>
          <w:rFonts w:hint="eastAsia" w:ascii="仿宋" w:hAnsi="仿宋" w:eastAsia="仿宋" w:cs="仿宋"/>
          <w:b/>
          <w:bCs/>
          <w:color w:val="auto"/>
          <w:sz w:val="24"/>
          <w:szCs w:val="24"/>
          <w:lang w:eastAsia="zh-CN"/>
        </w:rPr>
        <w:t>二</w:t>
      </w:r>
      <w:r>
        <w:rPr>
          <w:rFonts w:hint="eastAsia" w:ascii="仿宋" w:hAnsi="仿宋" w:eastAsia="仿宋" w:cs="仿宋"/>
          <w:b/>
          <w:bCs/>
          <w:color w:val="auto"/>
          <w:sz w:val="24"/>
          <w:szCs w:val="24"/>
        </w:rPr>
        <w:t>、服务内容</w:t>
      </w:r>
      <w:bookmarkEnd w:id="31"/>
      <w:bookmarkEnd w:id="32"/>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从以下几个方面进行测评：</w:t>
      </w:r>
    </w:p>
    <w:p>
      <w:pPr>
        <w:keepNext/>
        <w:keepLines/>
        <w:widowControl w:val="0"/>
        <w:tabs>
          <w:tab w:val="left" w:pos="1146"/>
        </w:tabs>
        <w:adjustRightInd w:val="0"/>
        <w:snapToGrid w:val="0"/>
        <w:spacing w:before="0" w:after="0" w:line="360" w:lineRule="auto"/>
        <w:ind w:firstLine="482" w:firstLineChars="200"/>
        <w:jc w:val="both"/>
        <w:outlineLvl w:val="3"/>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1、功能性</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功能性主要从功能完备性、适合性、准确性3个方面内容进行测试。功能性的适合性是必测内容，同时应根据软件特点和用户要求分析准确性、完备性等其他特性的测试需求，确定测试范围和测试内容。</w:t>
      </w:r>
    </w:p>
    <w:p>
      <w:pPr>
        <w:keepNext/>
        <w:keepLines/>
        <w:widowControl w:val="0"/>
        <w:tabs>
          <w:tab w:val="left" w:pos="1146"/>
        </w:tabs>
        <w:adjustRightInd w:val="0"/>
        <w:snapToGrid w:val="0"/>
        <w:spacing w:before="0" w:after="0" w:line="360" w:lineRule="auto"/>
        <w:ind w:firstLine="482" w:firstLineChars="200"/>
        <w:jc w:val="both"/>
        <w:outlineLvl w:val="3"/>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2、可靠性</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可靠性测试主要从成熟性、容错性、易恢复性、可用性等4个方面内容进行测试。如果需要，可靠性测试与性能测试结合，测试被测软件的稳定性和健壮性。</w:t>
      </w:r>
    </w:p>
    <w:p>
      <w:pPr>
        <w:keepNext/>
        <w:keepLines/>
        <w:widowControl w:val="0"/>
        <w:tabs>
          <w:tab w:val="left" w:pos="1146"/>
        </w:tabs>
        <w:adjustRightInd w:val="0"/>
        <w:snapToGrid w:val="0"/>
        <w:spacing w:before="0" w:after="0" w:line="360" w:lineRule="auto"/>
        <w:ind w:firstLine="482" w:firstLineChars="200"/>
        <w:jc w:val="both"/>
        <w:outlineLvl w:val="3"/>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 xml:space="preserve">3、性能效率 </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效率测试主要关注时间特性、资源利用性 、容量3 个方面内容。具体的新年测试场景需要根据具体项目，并现场沟通确定。</w:t>
      </w:r>
    </w:p>
    <w:p>
      <w:pPr>
        <w:keepNext/>
        <w:keepLines/>
        <w:widowControl w:val="0"/>
        <w:tabs>
          <w:tab w:val="left" w:pos="1146"/>
        </w:tabs>
        <w:adjustRightInd w:val="0"/>
        <w:snapToGrid w:val="0"/>
        <w:spacing w:before="0" w:after="0" w:line="360" w:lineRule="auto"/>
        <w:ind w:firstLine="482" w:firstLineChars="200"/>
        <w:jc w:val="both"/>
        <w:outlineLvl w:val="3"/>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4、信息安全性</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信息安全性主要从保密性（产品或系统确保数据只有在被授权时才能被访问的程度）、完整性（系统、产品或组件防止未授权访问，篡改计算机程序或数据的程度）、抗抵赖性（活动或事件发生后可以被证实且不可被否认的程度）、可核查性（实体的活动可以被唯一地追溯到该实体的程度）、真实性（对象或资源的身份标识能够被证实符合其声明的程度）。</w:t>
      </w:r>
    </w:p>
    <w:p>
      <w:pPr>
        <w:keepNext/>
        <w:keepLines/>
        <w:widowControl w:val="0"/>
        <w:tabs>
          <w:tab w:val="left" w:pos="1146"/>
        </w:tabs>
        <w:adjustRightInd w:val="0"/>
        <w:snapToGrid w:val="0"/>
        <w:spacing w:before="0" w:after="0" w:line="360" w:lineRule="auto"/>
        <w:ind w:firstLine="482" w:firstLineChars="200"/>
        <w:jc w:val="both"/>
        <w:outlineLvl w:val="3"/>
        <w:rPr>
          <w:rFonts w:hint="eastAsia" w:ascii="仿宋" w:hAnsi="仿宋" w:eastAsia="仿宋" w:cs="仿宋"/>
          <w:b/>
          <w:bCs/>
          <w:color w:val="auto"/>
          <w:kern w:val="2"/>
          <w:sz w:val="24"/>
          <w:szCs w:val="24"/>
          <w:lang w:val="en-US" w:eastAsia="zh-CN" w:bidi="ar-SA"/>
        </w:rPr>
      </w:pPr>
      <w:bookmarkStart w:id="33" w:name="_Toc11417"/>
    </w:p>
    <w:p>
      <w:pPr>
        <w:keepNext/>
        <w:keepLines/>
        <w:widowControl w:val="0"/>
        <w:tabs>
          <w:tab w:val="left" w:pos="1146"/>
        </w:tabs>
        <w:adjustRightInd w:val="0"/>
        <w:snapToGrid w:val="0"/>
        <w:spacing w:before="0" w:after="0" w:line="360" w:lineRule="auto"/>
        <w:ind w:firstLine="482" w:firstLineChars="200"/>
        <w:jc w:val="both"/>
        <w:outlineLvl w:val="3"/>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5、兼容性测试</w:t>
      </w:r>
      <w:bookmarkEnd w:id="33"/>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按照需求中所描述的兼容性特征来执行兼容性测试，主要内容包括对公共服务渠道常用Web浏览器和移动终端产品和版本进行兼容性测评，确保在不同服务终端上用户体验的一致性。</w:t>
      </w:r>
    </w:p>
    <w:p>
      <w:pPr>
        <w:keepNext/>
        <w:keepLines/>
        <w:widowControl w:val="0"/>
        <w:tabs>
          <w:tab w:val="left" w:pos="1146"/>
        </w:tabs>
        <w:adjustRightInd w:val="0"/>
        <w:snapToGrid w:val="0"/>
        <w:spacing w:before="0" w:after="0" w:line="360" w:lineRule="auto"/>
        <w:ind w:firstLine="482" w:firstLineChars="200"/>
        <w:jc w:val="both"/>
        <w:outlineLvl w:val="3"/>
        <w:rPr>
          <w:rFonts w:hint="eastAsia" w:ascii="仿宋" w:hAnsi="仿宋" w:eastAsia="仿宋" w:cs="仿宋"/>
          <w:b/>
          <w:bCs/>
          <w:color w:val="auto"/>
          <w:kern w:val="2"/>
          <w:sz w:val="24"/>
          <w:szCs w:val="24"/>
          <w:lang w:val="en-US" w:eastAsia="zh-CN" w:bidi="ar-SA"/>
        </w:rPr>
      </w:pPr>
      <w:bookmarkStart w:id="34" w:name="_Toc31486"/>
      <w:r>
        <w:rPr>
          <w:rFonts w:hint="eastAsia" w:ascii="仿宋" w:hAnsi="仿宋" w:eastAsia="仿宋" w:cs="仿宋"/>
          <w:b/>
          <w:bCs/>
          <w:color w:val="auto"/>
          <w:kern w:val="2"/>
          <w:sz w:val="24"/>
          <w:szCs w:val="24"/>
          <w:lang w:val="en-US" w:eastAsia="zh-CN" w:bidi="ar-SA"/>
        </w:rPr>
        <w:t>6、安全功能性测评</w:t>
      </w:r>
      <w:bookmarkEnd w:id="34"/>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实施软件产品安全相关功能性测评，评估内外部用户或系统是否具有与其授权类型和授权级别一致的数据访问和业务操作，包括数据信息访问的保密性、抗抵赖性、可核查审计、对敏感信息屏蔽、受限的业务访问控制等方面。</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主要内容包括：测评对不同的用户权限限制情况；用户和密码封闭性，即对于相应用户及密码进行次数限制；留痕功能，即系统是否有操作日志，操作日志记录的操作情况的全面性和准确性，是否包括主要要素如操作员、操作日期、使用模块等，是否具有日志查询功能，是否记录超过权限范围的非法或可疑操作行为；系统是否提供备份及恢复功能，备份手段如何，是否对备份数据加密、压缩等，对敏感信息是否进行了屏蔽展示等。</w:t>
      </w:r>
    </w:p>
    <w:p>
      <w:pPr>
        <w:keepNext/>
        <w:keepLines/>
        <w:widowControl w:val="0"/>
        <w:tabs>
          <w:tab w:val="left" w:pos="1146"/>
        </w:tabs>
        <w:adjustRightInd w:val="0"/>
        <w:snapToGrid w:val="0"/>
        <w:spacing w:before="0" w:after="0" w:line="360" w:lineRule="auto"/>
        <w:ind w:firstLine="482" w:firstLineChars="200"/>
        <w:jc w:val="both"/>
        <w:outlineLvl w:val="3"/>
        <w:rPr>
          <w:rFonts w:hint="eastAsia" w:ascii="仿宋" w:hAnsi="仿宋" w:eastAsia="仿宋" w:cs="仿宋"/>
          <w:b/>
          <w:bCs/>
          <w:color w:val="auto"/>
          <w:kern w:val="2"/>
          <w:sz w:val="24"/>
          <w:szCs w:val="24"/>
          <w:lang w:val="en-US" w:eastAsia="zh-CN" w:bidi="ar-SA"/>
        </w:rPr>
      </w:pPr>
      <w:bookmarkStart w:id="35" w:name="_Toc10488"/>
      <w:r>
        <w:rPr>
          <w:rFonts w:hint="eastAsia" w:ascii="仿宋" w:hAnsi="仿宋" w:eastAsia="仿宋" w:cs="仿宋"/>
          <w:b/>
          <w:bCs/>
          <w:color w:val="auto"/>
          <w:kern w:val="2"/>
          <w:sz w:val="24"/>
          <w:szCs w:val="24"/>
          <w:lang w:val="en-US" w:eastAsia="zh-CN" w:bidi="ar-SA"/>
        </w:rPr>
        <w:t>7、代码审计</w:t>
      </w:r>
      <w:bookmarkEnd w:id="35"/>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实施代码审计，通过开发工具插件方式自查、版本库代码批量扫描检查、结合人工静态代码审查等方式，对软件产品代码质量进行综合评估。服务商应参考业界普遍认可和遵守的代码开发实践，结合国家医疗保障局制定的安全编码规范，提出应用系统编码要求，并根据编码要求确定代码质量衡量指标。</w:t>
      </w:r>
    </w:p>
    <w:p>
      <w:pPr>
        <w:keepNext/>
        <w:keepLines/>
        <w:widowControl w:val="0"/>
        <w:numPr>
          <w:ilvl w:val="4"/>
          <w:numId w:val="5"/>
        </w:numPr>
        <w:tabs>
          <w:tab w:val="left" w:pos="1434"/>
        </w:tabs>
        <w:adjustRightInd w:val="0"/>
        <w:snapToGrid w:val="0"/>
        <w:spacing w:before="0" w:after="0" w:line="360" w:lineRule="auto"/>
        <w:ind w:firstLine="482" w:firstLineChars="200"/>
        <w:jc w:val="left"/>
        <w:outlineLvl w:val="4"/>
        <w:rPr>
          <w:rFonts w:hint="eastAsia" w:ascii="仿宋" w:hAnsi="仿宋" w:eastAsia="仿宋" w:cs="仿宋"/>
          <w:b/>
          <w:color w:val="auto"/>
          <w:kern w:val="2"/>
          <w:sz w:val="24"/>
          <w:szCs w:val="24"/>
          <w:lang w:val="en-US" w:eastAsia="zh-CN" w:bidi="ar-SA"/>
        </w:rPr>
      </w:pPr>
      <w:bookmarkStart w:id="36" w:name="_Toc1653"/>
      <w:r>
        <w:rPr>
          <w:rFonts w:hint="eastAsia" w:ascii="仿宋" w:hAnsi="仿宋" w:eastAsia="仿宋" w:cs="仿宋"/>
          <w:b/>
          <w:color w:val="auto"/>
          <w:kern w:val="2"/>
          <w:sz w:val="24"/>
          <w:szCs w:val="24"/>
          <w:lang w:val="en-US" w:eastAsia="zh-CN" w:bidi="ar-SA"/>
        </w:rPr>
        <w:t>7.1代码审计内容</w:t>
      </w:r>
      <w:bookmarkEnd w:id="36"/>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代码审计应包括但不限于如下内容：</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1）代码规范性</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代码规范性关系到软件代码的可读性、可理解性以及可维护性等特性，规范良好的代码可以降低开发者阅读、理解代码的难度，提高代码运行的安全性和执行效率。服务商应对代码规范性进行检查与分析，包括但不限于代码编写规范程度、代码规模、代码模块化结构合理性、代码执行效率、SQL语句编写规范、代码可重用性、合理的注释比例等方面。</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2）测试复杂度</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测试复杂度描述了对一个模块充分测试的复杂程度。代码的测试复杂度越大，说明可执行路径越多，开发者需要理解和测试函数所需要的成本越高，另外，分支控制节点嵌套层次越深也会降低代码的可读性和可测试性，因此服务商需要对测试复杂度维度进行检查与衡量，确定合理的复杂度评估指标。</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3）变量控制</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函数本身及其上下文需要维护的变量数量、命名对函数的可理解性、可维护性和函数的执行效率都有着直接的影响。服务商应从函数调用和函数执行两个方面检查与衡量函数粒度的代码质量度量指标。</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4）重复代码</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重复代码来源于代码编写过程中的“复制粘贴”，大量的重复代码会降低代码的可维护性和健壮性，同时也意味着重复部分存在可被再次抽象的可能，代码结构有进一步优化的空间。服务商应对可重复代码着重审核，指导开发人员开发。</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5）架构规则</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服务商应根据自定义架构规则，检查代码中包与包、类与类之间的相互依赖关系，防止循环依赖、不满足架构分层、架构设计要求等代码质量问题。</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6）版本标识规则</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软件代码应能识别出每一个基本组件的发布号、相关质量特性、参数和数据模型。软件代码应能在任何时候都能识别出每一个基本组件的发布号，包括安装的版本，以及对软件特征产生的影响。</w:t>
      </w:r>
    </w:p>
    <w:p>
      <w:pPr>
        <w:keepNext/>
        <w:keepLines/>
        <w:widowControl w:val="0"/>
        <w:numPr>
          <w:ilvl w:val="4"/>
          <w:numId w:val="5"/>
        </w:numPr>
        <w:tabs>
          <w:tab w:val="left" w:pos="1434"/>
        </w:tabs>
        <w:adjustRightInd w:val="0"/>
        <w:snapToGrid w:val="0"/>
        <w:spacing w:before="0" w:after="0" w:line="360" w:lineRule="auto"/>
        <w:ind w:firstLine="482" w:firstLineChars="200"/>
        <w:jc w:val="left"/>
        <w:outlineLvl w:val="4"/>
        <w:rPr>
          <w:rFonts w:hint="eastAsia" w:ascii="仿宋" w:hAnsi="仿宋" w:eastAsia="仿宋" w:cs="仿宋"/>
          <w:b/>
          <w:color w:val="auto"/>
          <w:kern w:val="2"/>
          <w:sz w:val="24"/>
          <w:szCs w:val="24"/>
          <w:lang w:val="en-US" w:eastAsia="zh-CN" w:bidi="ar-SA"/>
        </w:rPr>
      </w:pPr>
      <w:bookmarkStart w:id="37" w:name="_Toc8492"/>
      <w:r>
        <w:rPr>
          <w:rFonts w:hint="eastAsia" w:ascii="仿宋" w:hAnsi="仿宋" w:eastAsia="仿宋" w:cs="仿宋"/>
          <w:b/>
          <w:color w:val="auto"/>
          <w:kern w:val="2"/>
          <w:sz w:val="24"/>
          <w:szCs w:val="24"/>
          <w:lang w:val="en-US" w:eastAsia="zh-CN" w:bidi="ar-SA"/>
        </w:rPr>
        <w:t>7.2代码审计工具要求</w:t>
      </w:r>
      <w:bookmarkEnd w:id="37"/>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服务商应提供符合项目要求的源代码审计工具，包括①代码质量批量审查工具，②能嵌入到开发人员集成开发工具的代码质量检查插件，出具源代码审计报告。工具应满足以下功能要求：</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1）代码质量批量审查工具应支持服务端独立部署模式，实现对海南省医疗保障局代码版本库中的代码进行批量检查。支持主流版本库管理系统，包括svn、git等。</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2）代码质量检查插件应能够嵌入到常用的集成开发工具（Eclipse、IDEA等），供开发人员在开发过程中实时检查代码质量。</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3）需支持代码质量检查相关的配置管理，包括自定义检查规则、检查结果的可视化输出、统计分析和报表输出等功能。</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4）支持Java、Python、SQL、JavaScript等常用语言的自动化代码规则检查。</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5）能够分析、提示和统计代码中出现的疑似问题情况，并按严重、警告、一般、潜在等级别对疑似问题进行分类。</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支持自动生成软件质量检查报告，能够自动生成软件结构图以及各种质量模型图，作为软件清晰性、维护性、可测试性判断的依据，分析报告应根据代码质量检查对象和内容包括缺陷统计信息、安全漏洞统计信息、架构分析、类关系分析、函数调用关系分析、脚本关系分析、度量分析等内容。</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7）能够提供问题信息的详细解释，帮助开发人员加深理解问题背后的语言特性。</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8）能够实现代码架构的可视化显示，揭示和辅助用户理解代码之间的关系，并能够允许用户快速标记出具有潜在危险信息流的来源。</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9）支持多种语言的代码检查规则库，支持自定义规则的配置服务，配置已有检查规则组或者创建新的检查规则。</w:t>
      </w:r>
    </w:p>
    <w:p>
      <w:pPr>
        <w:keepNext/>
        <w:keepLines/>
        <w:widowControl w:val="0"/>
        <w:tabs>
          <w:tab w:val="left" w:pos="1146"/>
        </w:tabs>
        <w:adjustRightInd w:val="0"/>
        <w:snapToGrid w:val="0"/>
        <w:spacing w:before="0" w:after="0" w:line="360" w:lineRule="auto"/>
        <w:ind w:firstLine="482" w:firstLineChars="200"/>
        <w:jc w:val="both"/>
        <w:outlineLvl w:val="3"/>
        <w:rPr>
          <w:rFonts w:hint="eastAsia" w:ascii="仿宋" w:hAnsi="仿宋" w:eastAsia="仿宋" w:cs="仿宋"/>
          <w:b/>
          <w:bCs/>
          <w:color w:val="auto"/>
          <w:kern w:val="2"/>
          <w:sz w:val="24"/>
          <w:szCs w:val="24"/>
          <w:lang w:val="en-US" w:eastAsia="zh-CN" w:bidi="ar-SA"/>
        </w:rPr>
      </w:pPr>
      <w:bookmarkStart w:id="38" w:name="_Toc15151"/>
      <w:r>
        <w:rPr>
          <w:rFonts w:hint="eastAsia" w:ascii="仿宋" w:hAnsi="仿宋" w:eastAsia="仿宋" w:cs="仿宋"/>
          <w:b/>
          <w:bCs/>
          <w:color w:val="auto"/>
          <w:kern w:val="2"/>
          <w:sz w:val="24"/>
          <w:szCs w:val="24"/>
          <w:lang w:val="en-US" w:eastAsia="zh-CN" w:bidi="ar-SA"/>
        </w:rPr>
        <w:t>8、可移植性测评</w:t>
      </w:r>
      <w:bookmarkEnd w:id="38"/>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可移植性测试是被测系统对相关测试环境的兼容程度，通过可移植性测试，确认应用系统软件与相关的各种硬件设备、操作系统、相关支撑软件以及其他相关应用系统的兼容性。服务商应实施代码可移植性测评，评估工程项目在其他云平台基础服务设施、开源产品、系统软件或硬件运行环境下的可适应度。</w:t>
      </w:r>
    </w:p>
    <w:p>
      <w:pPr>
        <w:keepNext/>
        <w:keepLines/>
        <w:adjustRightInd w:val="0"/>
        <w:snapToGrid w:val="0"/>
        <w:spacing w:line="360" w:lineRule="auto"/>
        <w:ind w:firstLine="482" w:firstLineChars="200"/>
        <w:outlineLvl w:val="2"/>
        <w:rPr>
          <w:rFonts w:hint="eastAsia" w:ascii="仿宋" w:hAnsi="仿宋" w:eastAsia="仿宋" w:cs="仿宋"/>
          <w:b/>
          <w:bCs/>
          <w:color w:val="auto"/>
          <w:sz w:val="24"/>
          <w:szCs w:val="24"/>
        </w:rPr>
      </w:pPr>
      <w:bookmarkStart w:id="39" w:name="_Toc69283570"/>
      <w:bookmarkStart w:id="40" w:name="_Toc69462194"/>
      <w:r>
        <w:rPr>
          <w:rFonts w:hint="eastAsia" w:ascii="仿宋" w:hAnsi="仿宋" w:eastAsia="仿宋" w:cs="仿宋"/>
          <w:b/>
          <w:bCs/>
          <w:color w:val="auto"/>
          <w:sz w:val="24"/>
          <w:szCs w:val="24"/>
        </w:rPr>
        <w:t>五、项目成果交付</w:t>
      </w:r>
      <w:bookmarkEnd w:id="39"/>
      <w:bookmarkEnd w:id="40"/>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在测试完成后需提供下列技术文档：</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1、测试报告；</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2、测试问题清单及整改建议；</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3、回归测试报告。</w:t>
      </w:r>
    </w:p>
    <w:p>
      <w:pPr>
        <w:keepNext/>
        <w:keepLines/>
        <w:widowControl w:val="0"/>
        <w:autoSpaceDE w:val="0"/>
        <w:autoSpaceDN w:val="0"/>
        <w:adjustRightInd w:val="0"/>
        <w:snapToGrid w:val="0"/>
        <w:spacing w:before="0" w:after="0" w:line="360" w:lineRule="auto"/>
        <w:ind w:firstLine="361" w:firstLineChars="150"/>
        <w:jc w:val="left"/>
        <w:textAlignment w:val="baseline"/>
        <w:outlineLvl w:val="2"/>
        <w:rPr>
          <w:rFonts w:hint="eastAsia" w:ascii="仿宋" w:hAnsi="仿宋" w:eastAsia="仿宋" w:cs="仿宋"/>
          <w:b/>
          <w:color w:val="auto"/>
          <w:kern w:val="2"/>
          <w:sz w:val="24"/>
          <w:szCs w:val="24"/>
          <w:lang w:val="en-US" w:eastAsia="zh-CN" w:bidi="ar-SA"/>
        </w:rPr>
      </w:pPr>
      <w:bookmarkStart w:id="41" w:name="_Toc15462"/>
      <w:r>
        <w:rPr>
          <w:rFonts w:hint="eastAsia" w:ascii="仿宋" w:hAnsi="仿宋" w:eastAsia="仿宋" w:cs="仿宋"/>
          <w:b/>
          <w:color w:val="auto"/>
          <w:kern w:val="2"/>
          <w:sz w:val="24"/>
          <w:szCs w:val="24"/>
          <w:lang w:val="en-US" w:eastAsia="zh-CN" w:bidi="ar-SA"/>
        </w:rPr>
        <w:t>六、服务形式要求</w:t>
      </w:r>
      <w:bookmarkEnd w:id="41"/>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（1）投标人必须拥有完善的技术支持服务体系，能够为海南省医疗保障局提供统一快捷的技术支持服务；</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投标人需提供在海南省医疗保障局部署应用系统软件产品质量测评工具，并派驻技术人员，确保质量测评工作在海南省医疗保障局现场完成，且存放源代码和安全审计结果的存储介质不能带离海南省医疗保障局；</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（3）投标人需提供7×24小时技术支持响应，服务方式包括电话、互联网、E-MAIL和现场等方式；</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投标人应对本项目质量测评服务过程中出现的安全事件提供应急响应，接到海南省医疗保障局应急响应支持服务请求后，服务商必须在30分钟内做出实质性响应。对于海南省医疗保障局的应急支持服务请求，投标人必须在8小时内提出解决方案，现场指导恢复正常，如8小时内未能恢复正常，投标人应派专家在12小时内到达现场提供服务，协助解决问题。</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（5）保密要求</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中标单位(含项目组所有成员)必须对项目技术文件以及由招标人提供的所有内部资料、技术文档、数据和信息予以保密。中标单位必须与招标人签订保密协议并严格遵守，未经招标人书面许可，中标单位不得以任何形式向第三方透露本项目标书以及本项目的任何内容。</w:t>
      </w:r>
    </w:p>
    <w:p>
      <w:pPr>
        <w:adjustRightInd w:val="0"/>
        <w:snapToGrid w:val="0"/>
        <w:spacing w:line="360" w:lineRule="auto"/>
        <w:ind w:firstLine="480" w:firstLineChars="200"/>
        <w:rPr>
          <w:rFonts w:hint="eastAsia" w:ascii="仿宋" w:hAnsi="仿宋" w:eastAsia="仿宋" w:cs="仿宋"/>
          <w:color w:val="auto"/>
          <w:sz w:val="24"/>
          <w:szCs w:val="24"/>
        </w:rPr>
      </w:pPr>
      <w:bookmarkStart w:id="42" w:name="_Toc25500"/>
      <w:r>
        <w:rPr>
          <w:rFonts w:hint="eastAsia" w:ascii="仿宋" w:hAnsi="仿宋" w:eastAsia="仿宋" w:cs="仿宋"/>
          <w:color w:val="auto"/>
          <w:sz w:val="24"/>
          <w:szCs w:val="24"/>
        </w:rPr>
        <w:t>（6）测评实施过程需求</w:t>
      </w:r>
      <w:bookmarkEnd w:id="42"/>
    </w:p>
    <w:p>
      <w:pPr>
        <w:adjustRightInd w:val="0"/>
        <w:snapToGrid w:val="0"/>
        <w:spacing w:line="360" w:lineRule="auto"/>
        <w:ind w:firstLine="480" w:firstLineChars="200"/>
        <w:rPr>
          <w:rFonts w:hint="eastAsia" w:ascii="仿宋" w:hAnsi="仿宋" w:eastAsia="仿宋" w:cs="仿宋"/>
          <w:color w:val="auto"/>
          <w:sz w:val="24"/>
          <w:szCs w:val="24"/>
        </w:rPr>
      </w:pPr>
      <w:bookmarkStart w:id="43" w:name="_Toc10274"/>
      <w:r>
        <w:rPr>
          <w:rFonts w:hint="eastAsia" w:ascii="仿宋" w:hAnsi="仿宋" w:eastAsia="仿宋" w:cs="仿宋"/>
          <w:color w:val="auto"/>
          <w:sz w:val="24"/>
          <w:szCs w:val="24"/>
        </w:rPr>
        <w:t>1、测试流程要求</w:t>
      </w:r>
      <w:bookmarkEnd w:id="43"/>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应按照海南省医疗保障局要求和项目实施计划有序开展软件产品质量测评工作。每次测评工作分为四个阶段，包括测评准备阶段、首测阶段、复测阶段以及总结交流阶段，整个工作还需要增加阶段性沟通和培训等工作，具体包括：</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（1）测评准备阶段</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在开展应用系统软件产品质量检查实施工作前，服务商编写并提交应用系统质量审查相关方案，与海南省医疗保障局对质量测评内容及技术细节进行沟通，并确认测评时间、方式、要求、最终对象等具体内容。</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海南省医疗保障局负责提供质量测评服务所需的源代码和相关开发技术文档，投标人根据海南省医疗保障局相关要求，须在海南省提供的质量测评、测试环境内开展相关工作，并准备测评过程中其他所需的资源，确保源代码访问和存放的安全性。</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（2）首测阶段</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质量测评实施过程中，投标人应按照测评技术需求，结合被测应用子系统需求说明书和设计文档，编写完善的测评用例，组织测评用例评审，按照评审通过的测评用例进行软件产品质量测评，并出具《XX应用子系统软件产品质量首次测评报告》，提交海南省医疗保障局审核。</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（3）复测阶段</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XX应用子系统软件产品质量首次测评报告》提交后，投标人应对软件质量审查过程中发现的问题与软件开发商沟通，并提出整改建议。在软件开发商完成产品质量问题整改后，投标人须再次对应用系统进行质量审查的复测工作，如果复测结果不通过，开发商继续整改，直到满足质量测评指标要求为止，并提交《XX应用子系统软件产品质量测评报告》。</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（4）总结交流</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投标人应对测评应用系统的质量进行总结，对应用系统质量改进提出相关建议。</w:t>
      </w:r>
    </w:p>
    <w:p>
      <w:pPr>
        <w:adjustRightInd w:val="0"/>
        <w:snapToGrid w:val="0"/>
        <w:spacing w:line="360" w:lineRule="auto"/>
        <w:ind w:firstLine="480" w:firstLineChars="200"/>
        <w:rPr>
          <w:rFonts w:hint="eastAsia" w:ascii="仿宋" w:hAnsi="仿宋" w:eastAsia="仿宋" w:cs="仿宋"/>
          <w:color w:val="auto"/>
          <w:sz w:val="24"/>
          <w:szCs w:val="24"/>
        </w:rPr>
      </w:pPr>
      <w:bookmarkStart w:id="44" w:name="_Toc32156"/>
      <w:r>
        <w:rPr>
          <w:rFonts w:hint="eastAsia" w:ascii="仿宋" w:hAnsi="仿宋" w:eastAsia="仿宋" w:cs="仿宋"/>
          <w:color w:val="auto"/>
          <w:sz w:val="24"/>
          <w:szCs w:val="24"/>
        </w:rPr>
        <w:t>2、测试文档要求</w:t>
      </w:r>
      <w:bookmarkEnd w:id="44"/>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应提供完善的测试文档集，测试文档集中的每个文档所包含的信息应是正确的并且可以执行的，测试文档集中的每个文档不应自相矛盾，并且不应与产品说明和用户文档矛盾。测试文档集应包含：测试计划、测试用例、测试说明、测试结果报告。</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对每个测试用例的说明应包括：</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a.测试目标</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b.唯一性标识符</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c.测试的输入数据和边界</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d.详细实施步骤</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e.系统的预期行为</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f.测试用例的预期输出</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g.结果解释的准则</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h.用于判定测试用例的肯定或否定结果的准则</w:t>
      </w:r>
    </w:p>
    <w:p>
      <w:pPr>
        <w:adjustRightInd w:val="0"/>
        <w:snapToGrid w:val="0"/>
        <w:spacing w:line="360" w:lineRule="auto"/>
        <w:ind w:firstLine="480" w:firstLineChars="200"/>
        <w:rPr>
          <w:rFonts w:hint="eastAsia" w:ascii="仿宋" w:hAnsi="仿宋" w:eastAsia="仿宋" w:cs="仿宋"/>
          <w:color w:val="auto"/>
          <w:sz w:val="24"/>
          <w:szCs w:val="24"/>
        </w:rPr>
      </w:pPr>
      <w:bookmarkStart w:id="45" w:name="_Toc16061"/>
      <w:r>
        <w:rPr>
          <w:rFonts w:hint="eastAsia" w:ascii="仿宋" w:hAnsi="仿宋" w:eastAsia="仿宋" w:cs="仿宋"/>
          <w:color w:val="auto"/>
          <w:sz w:val="24"/>
          <w:szCs w:val="24"/>
        </w:rPr>
        <w:t>3、测试方法要求</w:t>
      </w:r>
      <w:bookmarkEnd w:id="45"/>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（1）在需求规格说明书和软件质量要求中提及的所有质量特性均应有相应的测试用例。</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（2）在需求规格说明书中和软件质量要求中提及的每个质量特性至少应经一个测试用例测试。</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（3）测试用例应能证实软件与用户文档集中的陈述的符合性。</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（4）应指明测试用例设计的功能分解层次。</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（5）应指明测试用例的设计方法。</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（6）在产品说明和用户文档集中指明的所有操作限制均应经过测试用例测试</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（7）对所标识的违反句法条件的输入应经过测试用例的测试</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（8）软件质量要求中的任何要求不适用时，应说明理由。</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（9）应对产品说明和用户文档集中所陈述的所有配置进行测试。</w:t>
      </w:r>
    </w:p>
    <w:p>
      <w:pPr>
        <w:adjustRightInd w:val="0"/>
        <w:snapToGrid w:val="0"/>
        <w:spacing w:line="360" w:lineRule="auto"/>
        <w:ind w:firstLine="480" w:firstLineChars="200"/>
        <w:rPr>
          <w:rFonts w:hint="eastAsia" w:ascii="仿宋" w:hAnsi="仿宋" w:eastAsia="仿宋" w:cs="仿宋"/>
          <w:color w:val="auto"/>
          <w:sz w:val="24"/>
          <w:szCs w:val="24"/>
        </w:rPr>
      </w:pPr>
      <w:bookmarkStart w:id="46" w:name="_Toc30366"/>
      <w:r>
        <w:rPr>
          <w:rFonts w:hint="eastAsia" w:ascii="仿宋" w:hAnsi="仿宋" w:eastAsia="仿宋" w:cs="仿宋"/>
          <w:color w:val="auto"/>
          <w:sz w:val="24"/>
          <w:szCs w:val="24"/>
        </w:rPr>
        <w:t>4、测试计划要求</w:t>
      </w:r>
      <w:bookmarkEnd w:id="46"/>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投标人应合理评估测试工作量、制定测试时间计划、以及测试人力资源投入。</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w:t>
      </w:r>
      <w:bookmarkStart w:id="47" w:name="_Toc23908"/>
      <w:r>
        <w:rPr>
          <w:rFonts w:hint="eastAsia" w:ascii="仿宋" w:hAnsi="仿宋" w:eastAsia="仿宋" w:cs="仿宋"/>
          <w:color w:val="auto"/>
          <w:sz w:val="24"/>
          <w:szCs w:val="24"/>
        </w:rPr>
        <w:t>测评环境要求</w:t>
      </w:r>
      <w:bookmarkEnd w:id="47"/>
    </w:p>
    <w:p>
      <w:pPr>
        <w:adjustRightInd w:val="0"/>
        <w:snapToGrid w:val="0"/>
        <w:spacing w:line="360" w:lineRule="auto"/>
        <w:ind w:firstLine="480" w:firstLineChars="200"/>
        <w:rPr>
          <w:rFonts w:hint="eastAsia" w:ascii="仿宋" w:hAnsi="仿宋" w:eastAsia="仿宋" w:cs="仿宋"/>
          <w:color w:val="auto"/>
          <w:sz w:val="24"/>
          <w:szCs w:val="24"/>
        </w:rPr>
      </w:pPr>
      <w:bookmarkStart w:id="48" w:name="_Toc15686"/>
      <w:r>
        <w:rPr>
          <w:rFonts w:hint="eastAsia" w:ascii="仿宋" w:hAnsi="仿宋" w:eastAsia="仿宋" w:cs="仿宋"/>
          <w:color w:val="auto"/>
          <w:sz w:val="24"/>
          <w:szCs w:val="24"/>
        </w:rPr>
        <w:t>1、测评环境</w:t>
      </w:r>
      <w:bookmarkEnd w:id="48"/>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测评环境主要基于医保局提供的云平台环境搭建，如果投标人对测试所需软硬件资源（包括测试服务器、客户端、移动终端、测试工具软件等）的型号、数量、许可证数量等有特殊要求，采购人现有环境不能满足的，由投标人负责提供相关测评环境。</w:t>
      </w:r>
    </w:p>
    <w:p>
      <w:pPr>
        <w:adjustRightInd w:val="0"/>
        <w:snapToGrid w:val="0"/>
        <w:spacing w:line="360" w:lineRule="auto"/>
        <w:ind w:firstLine="480" w:firstLineChars="200"/>
        <w:rPr>
          <w:rFonts w:hint="eastAsia" w:ascii="仿宋" w:hAnsi="仿宋" w:eastAsia="仿宋" w:cs="仿宋"/>
          <w:color w:val="auto"/>
          <w:sz w:val="24"/>
          <w:szCs w:val="24"/>
        </w:rPr>
      </w:pPr>
      <w:bookmarkStart w:id="49" w:name="_Toc25266"/>
      <w:r>
        <w:rPr>
          <w:rFonts w:hint="eastAsia" w:ascii="仿宋" w:hAnsi="仿宋" w:eastAsia="仿宋" w:cs="仿宋"/>
          <w:color w:val="auto"/>
          <w:sz w:val="24"/>
          <w:szCs w:val="24"/>
        </w:rPr>
        <w:t>2、测评工具</w:t>
      </w:r>
      <w:bookmarkEnd w:id="49"/>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投标人应使用主流测试工具软件，测试工具类型应包含：测试管理工具、代码审计工具、功能测试工具、性能测试工具、安全测试工具等，测试工具的功能和性能应能满足软件产品质量测评的需要。</w:t>
      </w:r>
    </w:p>
    <w:p>
      <w:pPr>
        <w:spacing w:line="560" w:lineRule="exact"/>
        <w:jc w:val="left"/>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（2）商务要求</w:t>
      </w:r>
    </w:p>
    <w:p>
      <w:pPr>
        <w:keepNext/>
        <w:keepLines/>
        <w:widowControl w:val="0"/>
        <w:autoSpaceDE w:val="0"/>
        <w:autoSpaceDN w:val="0"/>
        <w:adjustRightInd w:val="0"/>
        <w:snapToGrid w:val="0"/>
        <w:spacing w:before="0" w:after="0" w:line="360" w:lineRule="auto"/>
        <w:ind w:firstLine="482" w:firstLineChars="200"/>
        <w:jc w:val="left"/>
        <w:textAlignment w:val="baseline"/>
        <w:outlineLvl w:val="2"/>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1、服务质量要求</w:t>
      </w:r>
    </w:p>
    <w:p>
      <w:pPr>
        <w:adjustRightInd w:val="0"/>
        <w:snapToGrid w:val="0"/>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投标人应针对本项目在内部建立完善的服务质量管理与监督体系，并在投标文件提交针对本项目服务质量管理与监督的方案。包含针对项目的进度控制、项目过程管理、项目风险管理、项目质量管理、项目保密管理等措施。</w:t>
      </w:r>
    </w:p>
    <w:p>
      <w:pPr>
        <w:keepNext/>
        <w:keepLines/>
        <w:adjustRightInd w:val="0"/>
        <w:snapToGrid w:val="0"/>
        <w:spacing w:line="360" w:lineRule="auto"/>
        <w:ind w:firstLine="482" w:firstLineChars="200"/>
        <w:outlineLvl w:val="2"/>
        <w:rPr>
          <w:rFonts w:hint="eastAsia" w:ascii="仿宋" w:hAnsi="仿宋" w:eastAsia="仿宋" w:cs="仿宋"/>
          <w:b/>
          <w:bCs/>
          <w:color w:val="auto"/>
          <w:sz w:val="24"/>
          <w:szCs w:val="24"/>
        </w:rPr>
      </w:pPr>
      <w:bookmarkStart w:id="50" w:name="_Toc69283571"/>
      <w:bookmarkStart w:id="51" w:name="_Toc69462195"/>
      <w:r>
        <w:rPr>
          <w:rFonts w:hint="eastAsia" w:ascii="仿宋" w:hAnsi="仿宋" w:eastAsia="仿宋" w:cs="仿宋"/>
          <w:b/>
          <w:bCs/>
          <w:color w:val="auto"/>
          <w:sz w:val="24"/>
          <w:szCs w:val="24"/>
          <w:lang w:val="en-US" w:eastAsia="zh-CN"/>
        </w:rPr>
        <w:t>2</w:t>
      </w:r>
      <w:r>
        <w:rPr>
          <w:rFonts w:hint="eastAsia" w:ascii="仿宋" w:hAnsi="仿宋" w:eastAsia="仿宋" w:cs="仿宋"/>
          <w:b/>
          <w:bCs/>
          <w:color w:val="auto"/>
          <w:sz w:val="24"/>
          <w:szCs w:val="24"/>
        </w:rPr>
        <w:t>、项目工期</w:t>
      </w:r>
      <w:bookmarkEnd w:id="50"/>
      <w:bookmarkEnd w:id="51"/>
      <w:r>
        <w:rPr>
          <w:rFonts w:hint="eastAsia" w:ascii="仿宋" w:hAnsi="仿宋" w:eastAsia="仿宋" w:cs="仿宋"/>
          <w:b/>
          <w:bCs/>
          <w:color w:val="auto"/>
          <w:sz w:val="24"/>
          <w:szCs w:val="24"/>
        </w:rPr>
        <w:tab/>
      </w:r>
    </w:p>
    <w:p>
      <w:pPr>
        <w:adjustRightInd w:val="0"/>
        <w:snapToGrid w:val="0"/>
        <w:spacing w:line="360" w:lineRule="auto"/>
        <w:ind w:firstLine="480" w:firstLineChars="200"/>
        <w:rPr>
          <w:rFonts w:hint="eastAsia" w:ascii="仿宋" w:hAnsi="仿宋" w:eastAsia="仿宋" w:cs="仿宋"/>
          <w:color w:val="auto"/>
          <w:kern w:val="28"/>
          <w:sz w:val="24"/>
          <w:szCs w:val="24"/>
        </w:rPr>
      </w:pPr>
      <w:r>
        <w:rPr>
          <w:rFonts w:hint="eastAsia" w:ascii="仿宋" w:hAnsi="仿宋" w:eastAsia="仿宋" w:cs="仿宋"/>
          <w:color w:val="auto"/>
          <w:kern w:val="0"/>
          <w:sz w:val="24"/>
          <w:szCs w:val="24"/>
        </w:rPr>
        <w:t>项目实施工期：</w:t>
      </w:r>
      <w:r>
        <w:rPr>
          <w:rFonts w:hint="eastAsia" w:ascii="仿宋" w:hAnsi="仿宋" w:eastAsia="仿宋" w:cs="仿宋"/>
          <w:color w:val="auto"/>
          <w:sz w:val="24"/>
          <w:szCs w:val="24"/>
        </w:rPr>
        <w:t>采购人下达测评通知书后30天内完成测评服务，并交付测评服务成果。</w:t>
      </w:r>
    </w:p>
    <w:p>
      <w:pPr>
        <w:keepNext/>
        <w:keepLines/>
        <w:tabs>
          <w:tab w:val="left" w:pos="3405"/>
        </w:tabs>
        <w:adjustRightInd w:val="0"/>
        <w:snapToGrid w:val="0"/>
        <w:spacing w:line="360" w:lineRule="auto"/>
        <w:ind w:firstLine="482" w:firstLineChars="200"/>
        <w:outlineLvl w:val="2"/>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、付款</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（1）双方签订合同后，根据成交方所开具的有效发票在10个工作日内，采购人支付给成交方合同总金额50%。</w:t>
      </w:r>
    </w:p>
    <w:p>
      <w:pPr>
        <w:adjustRightInd w:val="0"/>
        <w:snapToGrid w:val="0"/>
        <w:spacing w:line="360" w:lineRule="auto"/>
        <w:ind w:firstLine="480" w:firstLineChars="200"/>
        <w:rPr>
          <w:rFonts w:hint="eastAsia" w:ascii="仿宋_GB2312" w:hAnsi="仿宋" w:eastAsia="仿宋_GB2312" w:cs="Times New Roman"/>
          <w:color w:val="auto"/>
          <w:sz w:val="32"/>
          <w:szCs w:val="32"/>
          <w:lang w:val="en-US" w:eastAsia="zh-CN"/>
        </w:rPr>
      </w:pPr>
      <w:r>
        <w:rPr>
          <w:rFonts w:hint="eastAsia" w:ascii="仿宋" w:hAnsi="仿宋" w:eastAsia="仿宋" w:cs="仿宋"/>
          <w:color w:val="auto"/>
          <w:sz w:val="24"/>
          <w:szCs w:val="24"/>
        </w:rPr>
        <w:t>（2）采购人收到成交方的测评报告验收通过后，根据成交方所开具的有效发票在10个工作日内，采购人支付给成交方合同总金额50%。</w:t>
      </w:r>
    </w:p>
    <w:p>
      <w:pPr>
        <w:spacing w:line="560" w:lineRule="exact"/>
        <w:ind w:firstLine="960" w:firstLineChars="300"/>
        <w:jc w:val="left"/>
        <w:rPr>
          <w:rFonts w:hint="eastAsia" w:ascii="仿宋_GB2312" w:hAnsi="仿宋" w:eastAsia="仿宋_GB2312" w:cs="Times New Roman"/>
          <w:color w:val="auto"/>
          <w:sz w:val="32"/>
          <w:szCs w:val="32"/>
          <w:lang w:val="en-US" w:eastAsia="zh-CN"/>
        </w:rPr>
      </w:pPr>
    </w:p>
    <w:p>
      <w:pPr>
        <w:spacing w:line="560" w:lineRule="exact"/>
        <w:ind w:left="0" w:leftChars="0" w:right="0" w:rightChars="0" w:firstLine="0" w:firstLineChars="0"/>
        <w:jc w:val="center"/>
        <w:rPr>
          <w:rFonts w:hint="eastAsia" w:ascii="仿宋_GB2312" w:hAnsi="仿宋" w:eastAsia="仿宋_GB2312" w:cs="Times New Roman"/>
          <w:b/>
          <w:bCs/>
          <w:color w:val="auto"/>
          <w:sz w:val="32"/>
          <w:szCs w:val="32"/>
          <w:lang w:val="en-US" w:eastAsia="zh-CN"/>
        </w:rPr>
      </w:pPr>
    </w:p>
    <w:p>
      <w:pPr>
        <w:spacing w:line="360" w:lineRule="auto"/>
        <w:rPr>
          <w:rFonts w:hint="eastAsia" w:ascii="仿宋" w:hAnsi="仿宋" w:eastAsia="仿宋" w:cs="仿宋"/>
          <w:b/>
          <w:bCs/>
          <w:color w:val="auto"/>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bookmarkStart w:id="52" w:name="_Toc3032"/>
      <w:bookmarkStart w:id="53" w:name="_Toc20382"/>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r>
        <w:rPr>
          <w:rFonts w:hint="eastAsia" w:ascii="仿宋" w:hAnsi="仿宋" w:eastAsia="仿宋" w:cs="仿宋"/>
          <w:b/>
          <w:color w:val="auto"/>
          <w:kern w:val="0"/>
          <w:sz w:val="44"/>
          <w:szCs w:val="44"/>
          <w:lang w:eastAsia="zh-CN"/>
        </w:rPr>
        <w:t>第四章 合同主要条款</w:t>
      </w:r>
      <w:bookmarkEnd w:id="52"/>
      <w:bookmarkEnd w:id="53"/>
    </w:p>
    <w:p>
      <w:pPr>
        <w:shd w:val="clear" w:color="auto" w:fill="auto"/>
        <w:snapToGrid w:val="0"/>
        <w:spacing w:line="360" w:lineRule="auto"/>
        <w:jc w:val="center"/>
        <w:rPr>
          <w:rFonts w:hint="eastAsia" w:ascii="仿宋" w:hAnsi="仿宋" w:eastAsia="仿宋" w:cs="仿宋"/>
          <w:b/>
          <w:color w:val="auto"/>
          <w:sz w:val="24"/>
        </w:rPr>
      </w:pPr>
    </w:p>
    <w:p>
      <w:pPr>
        <w:shd w:val="clear" w:color="auto" w:fill="auto"/>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注：本合同仅为合同的参考文本，合同签订双方可根据项目的具体要求进行修订。</w:t>
      </w:r>
    </w:p>
    <w:p>
      <w:pPr>
        <w:shd w:val="clear" w:color="auto" w:fill="auto"/>
        <w:spacing w:line="360" w:lineRule="auto"/>
        <w:jc w:val="center"/>
        <w:rPr>
          <w:rFonts w:hint="eastAsia" w:ascii="仿宋" w:hAnsi="仿宋" w:eastAsia="仿宋" w:cs="仿宋"/>
          <w:b/>
          <w:color w:val="auto"/>
          <w:sz w:val="24"/>
        </w:rPr>
      </w:pPr>
    </w:p>
    <w:p>
      <w:pPr>
        <w:shd w:val="clear" w:color="auto" w:fill="auto"/>
        <w:spacing w:before="19"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通用合同条款</w:t>
      </w:r>
    </w:p>
    <w:p>
      <w:pPr>
        <w:shd w:val="clear" w:color="auto" w:fill="auto"/>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（略）</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合同专用条款部分</w:t>
      </w:r>
    </w:p>
    <w:p>
      <w:pPr>
        <w:snapToGrid w:val="0"/>
        <w:spacing w:before="19" w:line="500" w:lineRule="exact"/>
        <w:rPr>
          <w:rFonts w:hint="eastAsia" w:ascii="仿宋" w:hAnsi="仿宋" w:eastAsia="仿宋" w:cs="仿宋"/>
          <w:color w:val="auto"/>
          <w:sz w:val="24"/>
          <w:szCs w:val="24"/>
        </w:rPr>
      </w:pPr>
    </w:p>
    <w:p>
      <w:pPr>
        <w:snapToGrid w:val="0"/>
        <w:spacing w:before="19" w:line="500" w:lineRule="exact"/>
        <w:rPr>
          <w:rFonts w:hint="eastAsia" w:ascii="仿宋" w:hAnsi="仿宋" w:eastAsia="仿宋" w:cs="仿宋"/>
          <w:b/>
          <w:color w:val="auto"/>
          <w:sz w:val="24"/>
          <w:szCs w:val="24"/>
          <w:u w:val="single"/>
        </w:rPr>
      </w:pPr>
      <w:r>
        <w:rPr>
          <w:rFonts w:hint="eastAsia" w:ascii="仿宋" w:hAnsi="仿宋" w:eastAsia="仿宋" w:cs="仿宋"/>
          <w:color w:val="auto"/>
          <w:sz w:val="24"/>
          <w:szCs w:val="24"/>
        </w:rPr>
        <w:t>甲方:</w:t>
      </w:r>
      <w:r>
        <w:rPr>
          <w:rFonts w:hint="eastAsia" w:ascii="仿宋" w:hAnsi="仿宋" w:eastAsia="仿宋" w:cs="仿宋"/>
          <w:b/>
          <w:bCs/>
          <w:color w:val="auto"/>
          <w:sz w:val="24"/>
          <w:szCs w:val="24"/>
        </w:rPr>
        <w:t xml:space="preserve"> </w:t>
      </w:r>
      <w:r>
        <w:rPr>
          <w:rFonts w:hint="eastAsia" w:ascii="仿宋" w:hAnsi="仿宋" w:eastAsia="仿宋" w:cs="仿宋"/>
          <w:b/>
          <w:color w:val="auto"/>
          <w:sz w:val="24"/>
          <w:szCs w:val="24"/>
          <w:u w:val="single"/>
        </w:rPr>
        <w:t xml:space="preserve">                            </w:t>
      </w:r>
    </w:p>
    <w:p>
      <w:pPr>
        <w:snapToGrid w:val="0"/>
        <w:spacing w:before="19" w:line="500" w:lineRule="exact"/>
        <w:rPr>
          <w:rFonts w:hint="eastAsia" w:ascii="仿宋" w:hAnsi="仿宋" w:eastAsia="仿宋" w:cs="仿宋"/>
          <w:b/>
          <w:color w:val="auto"/>
          <w:sz w:val="24"/>
          <w:szCs w:val="24"/>
          <w:u w:val="single"/>
        </w:rPr>
      </w:pPr>
      <w:r>
        <w:rPr>
          <w:rFonts w:hint="eastAsia" w:ascii="仿宋" w:hAnsi="仿宋" w:eastAsia="仿宋" w:cs="仿宋"/>
          <w:color w:val="auto"/>
          <w:sz w:val="24"/>
          <w:szCs w:val="24"/>
        </w:rPr>
        <w:t>乙方:</w:t>
      </w:r>
      <w:r>
        <w:rPr>
          <w:rFonts w:hint="eastAsia" w:ascii="仿宋" w:hAnsi="仿宋" w:eastAsia="仿宋" w:cs="仿宋"/>
          <w:b/>
          <w:color w:val="auto"/>
          <w:sz w:val="24"/>
          <w:szCs w:val="24"/>
        </w:rPr>
        <w:t xml:space="preserve">  </w:t>
      </w:r>
      <w:r>
        <w:rPr>
          <w:rFonts w:hint="eastAsia" w:ascii="仿宋" w:hAnsi="仿宋" w:eastAsia="仿宋" w:cs="仿宋"/>
          <w:b/>
          <w:color w:val="auto"/>
          <w:sz w:val="24"/>
          <w:szCs w:val="24"/>
          <w:u w:val="single"/>
        </w:rPr>
        <w:t xml:space="preserve">                           </w:t>
      </w:r>
    </w:p>
    <w:p>
      <w:pPr>
        <w:snapToGrid w:val="0"/>
        <w:spacing w:before="19" w:line="500" w:lineRule="exact"/>
        <w:rPr>
          <w:rFonts w:hint="eastAsia" w:ascii="仿宋" w:hAnsi="仿宋" w:eastAsia="仿宋" w:cs="仿宋"/>
          <w:b/>
          <w:color w:val="auto"/>
          <w:sz w:val="24"/>
          <w:szCs w:val="24"/>
          <w:u w:val="single"/>
        </w:rPr>
      </w:pPr>
    </w:p>
    <w:p>
      <w:pPr>
        <w:widowControl w:val="0"/>
        <w:snapToGrid w:val="0"/>
        <w:spacing w:line="360" w:lineRule="auto"/>
        <w:ind w:firstLine="480" w:firstLineChars="200"/>
        <w:rPr>
          <w:rFonts w:hint="eastAsia" w:ascii="仿宋" w:hAnsi="仿宋" w:eastAsia="仿宋" w:cs="仿宋"/>
          <w:b/>
          <w:color w:val="auto"/>
          <w:kern w:val="2"/>
          <w:sz w:val="24"/>
          <w:szCs w:val="24"/>
        </w:rPr>
      </w:pPr>
      <w:r>
        <w:rPr>
          <w:rFonts w:hint="eastAsia" w:ascii="仿宋" w:hAnsi="仿宋" w:eastAsia="仿宋" w:cs="仿宋"/>
          <w:color w:val="auto"/>
          <w:sz w:val="24"/>
          <w:szCs w:val="24"/>
        </w:rPr>
        <w:t>甲乙双方根据</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竞争性磋商</w:t>
      </w:r>
      <w:r>
        <w:rPr>
          <w:rFonts w:hint="eastAsia" w:ascii="仿宋" w:hAnsi="仿宋" w:eastAsia="仿宋" w:cs="仿宋"/>
          <w:color w:val="auto"/>
          <w:sz w:val="24"/>
          <w:szCs w:val="24"/>
        </w:rPr>
        <w:t>结果及</w:t>
      </w:r>
      <w:r>
        <w:rPr>
          <w:rFonts w:hint="eastAsia" w:ascii="仿宋" w:hAnsi="仿宋" w:eastAsia="仿宋" w:cs="仿宋"/>
          <w:color w:val="auto"/>
          <w:sz w:val="24"/>
          <w:szCs w:val="24"/>
          <w:lang w:val="en-US" w:eastAsia="zh-CN"/>
        </w:rPr>
        <w:t>竞争性磋商</w:t>
      </w:r>
      <w:r>
        <w:rPr>
          <w:rFonts w:hint="eastAsia" w:ascii="仿宋" w:hAnsi="仿宋" w:eastAsia="仿宋" w:cs="仿宋"/>
          <w:color w:val="auto"/>
          <w:sz w:val="24"/>
          <w:szCs w:val="24"/>
        </w:rPr>
        <w:t>文件的要求,经协商一致,同意以下专用条款作为本项目合同条款的补充。当合同条款与专用条款不一致时，以专用条款为准。</w:t>
      </w:r>
    </w:p>
    <w:p>
      <w:pPr>
        <w:widowControl w:val="0"/>
        <w:snapToGrid w:val="0"/>
        <w:spacing w:before="19"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rPr>
        <w:t>一、合同标的及金额等(详见附件清单)</w:t>
      </w:r>
    </w:p>
    <w:tbl>
      <w:tblPr>
        <w:tblStyle w:val="30"/>
        <w:tblW w:w="8976" w:type="dxa"/>
        <w:jc w:val="center"/>
        <w:tblLayout w:type="fixed"/>
        <w:tblCellMar>
          <w:top w:w="0" w:type="dxa"/>
          <w:left w:w="30" w:type="dxa"/>
          <w:bottom w:w="0" w:type="dxa"/>
          <w:right w:w="30" w:type="dxa"/>
        </w:tblCellMar>
      </w:tblPr>
      <w:tblGrid>
        <w:gridCol w:w="720"/>
        <w:gridCol w:w="1148"/>
        <w:gridCol w:w="1971"/>
        <w:gridCol w:w="778"/>
        <w:gridCol w:w="800"/>
        <w:gridCol w:w="1260"/>
        <w:gridCol w:w="1260"/>
        <w:gridCol w:w="1039"/>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Cs w:val="21"/>
              </w:rPr>
            </w:pPr>
            <w:bookmarkStart w:id="54" w:name="_Toc417386176"/>
            <w:bookmarkStart w:id="55" w:name="_Toc462068968"/>
            <w:r>
              <w:rPr>
                <w:rFonts w:hint="eastAsia" w:ascii="仿宋" w:hAnsi="仿宋" w:eastAsia="仿宋" w:cs="仿宋"/>
                <w:b/>
                <w:color w:val="auto"/>
                <w:szCs w:val="21"/>
              </w:rPr>
              <w:t>序号</w:t>
            </w:r>
          </w:p>
        </w:tc>
        <w:tc>
          <w:tcPr>
            <w:tcW w:w="11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lang w:val="en-US" w:eastAsia="zh-CN"/>
              </w:rPr>
              <w:t>服务品目</w:t>
            </w:r>
          </w:p>
        </w:tc>
        <w:tc>
          <w:tcPr>
            <w:tcW w:w="197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Cs w:val="21"/>
                <w:lang w:val="en-US" w:eastAsia="zh-CN"/>
              </w:rPr>
            </w:pPr>
            <w:r>
              <w:rPr>
                <w:rFonts w:hint="eastAsia" w:ascii="仿宋" w:hAnsi="仿宋" w:eastAsia="仿宋" w:cs="仿宋"/>
                <w:b/>
                <w:color w:val="auto"/>
                <w:szCs w:val="21"/>
                <w:lang w:val="en-US" w:eastAsia="zh-CN"/>
              </w:rPr>
              <w:t>服务内容</w:t>
            </w:r>
          </w:p>
        </w:tc>
        <w:tc>
          <w:tcPr>
            <w:tcW w:w="77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数量</w:t>
            </w:r>
          </w:p>
        </w:tc>
        <w:tc>
          <w:tcPr>
            <w:tcW w:w="8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73" w:firstLineChars="82"/>
              <w:jc w:val="both"/>
              <w:rPr>
                <w:rFonts w:hint="eastAsia" w:ascii="仿宋" w:hAnsi="仿宋" w:eastAsia="仿宋" w:cs="仿宋"/>
                <w:b/>
                <w:color w:val="auto"/>
                <w:szCs w:val="21"/>
              </w:rPr>
            </w:pPr>
            <w:r>
              <w:rPr>
                <w:rFonts w:hint="eastAsia" w:ascii="仿宋" w:hAnsi="仿宋" w:eastAsia="仿宋" w:cs="仿宋"/>
                <w:b/>
                <w:color w:val="auto"/>
                <w:szCs w:val="21"/>
              </w:rPr>
              <w:t>单位</w:t>
            </w:r>
          </w:p>
        </w:tc>
        <w:tc>
          <w:tcPr>
            <w:tcW w:w="1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单价（元）</w:t>
            </w:r>
          </w:p>
        </w:tc>
        <w:tc>
          <w:tcPr>
            <w:tcW w:w="1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小计（元）</w:t>
            </w:r>
          </w:p>
        </w:tc>
        <w:tc>
          <w:tcPr>
            <w:tcW w:w="103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备注</w:t>
            </w: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45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47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74" w:firstLineChars="83"/>
              <w:jc w:val="center"/>
              <w:rPr>
                <w:rFonts w:hint="eastAsia" w:ascii="仿宋" w:hAnsi="仿宋" w:eastAsia="仿宋" w:cs="仿宋"/>
                <w:color w:val="auto"/>
                <w:szCs w:val="21"/>
              </w:rPr>
            </w:pPr>
            <w:r>
              <w:rPr>
                <w:rFonts w:hint="eastAsia" w:ascii="仿宋" w:hAnsi="仿宋" w:eastAsia="仿宋" w:cs="仿宋"/>
                <w:color w:val="auto"/>
                <w:szCs w:val="21"/>
              </w:rPr>
              <w:t>…</w:t>
            </w:r>
          </w:p>
        </w:tc>
        <w:tc>
          <w:tcPr>
            <w:tcW w:w="1148" w:type="dxa"/>
            <w:tcBorders>
              <w:top w:val="single" w:color="auto" w:sz="8" w:space="0"/>
              <w:left w:val="single" w:color="auto" w:sz="8" w:space="0"/>
              <w:bottom w:val="single" w:color="auto" w:sz="8" w:space="0"/>
              <w:right w:val="single" w:color="auto" w:sz="8" w:space="0"/>
            </w:tcBorders>
            <w:vAlign w:val="center"/>
          </w:tcPr>
          <w:p>
            <w:pPr>
              <w:rPr>
                <w:rFonts w:hint="eastAsia" w:ascii="仿宋" w:hAnsi="仿宋" w:eastAsia="仿宋" w:cs="仿宋"/>
                <w:b/>
                <w:color w:val="auto"/>
                <w:szCs w:val="21"/>
              </w:rPr>
            </w:pPr>
            <w:r>
              <w:rPr>
                <w:rFonts w:hint="eastAsia" w:ascii="仿宋" w:hAnsi="仿宋" w:eastAsia="仿宋" w:cs="仿宋"/>
                <w:b/>
                <w:color w:val="auto"/>
                <w:szCs w:val="21"/>
              </w:rPr>
              <w:t xml:space="preserve"> </w:t>
            </w:r>
          </w:p>
        </w:tc>
        <w:tc>
          <w:tcPr>
            <w:tcW w:w="1971" w:type="dxa"/>
            <w:tcBorders>
              <w:top w:val="single" w:color="auto" w:sz="8" w:space="0"/>
              <w:left w:val="single" w:color="auto" w:sz="8" w:space="0"/>
              <w:bottom w:val="single" w:color="auto" w:sz="8" w:space="0"/>
              <w:right w:val="single" w:color="auto" w:sz="8" w:space="0"/>
            </w:tcBorders>
            <w:vAlign w:val="center"/>
          </w:tcPr>
          <w:p>
            <w:pPr>
              <w:rPr>
                <w:rFonts w:hint="eastAsia" w:ascii="仿宋" w:hAnsi="仿宋" w:eastAsia="仿宋" w:cs="仿宋"/>
                <w:b/>
                <w:color w:val="auto"/>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40" w:hRule="exact"/>
          <w:jc w:val="center"/>
        </w:trPr>
        <w:tc>
          <w:tcPr>
            <w:tcW w:w="1868" w:type="dxa"/>
            <w:gridSpan w:val="2"/>
            <w:vMerge w:val="restart"/>
            <w:tcBorders>
              <w:top w:val="single" w:color="auto" w:sz="8" w:space="0"/>
              <w:left w:val="single" w:color="auto" w:sz="8" w:space="0"/>
              <w:right w:val="single" w:color="auto" w:sz="8" w:space="0"/>
            </w:tcBorders>
            <w:vAlign w:val="center"/>
          </w:tcPr>
          <w:p>
            <w:pPr>
              <w:autoSpaceDE w:val="0"/>
              <w:autoSpaceDN w:val="0"/>
              <w:adjustRightInd w:val="0"/>
              <w:ind w:firstLine="173" w:firstLineChars="82"/>
              <w:jc w:val="center"/>
              <w:rPr>
                <w:rFonts w:hint="eastAsia" w:ascii="仿宋" w:hAnsi="仿宋" w:eastAsia="仿宋" w:cs="仿宋"/>
                <w:color w:val="auto"/>
                <w:szCs w:val="21"/>
              </w:rPr>
            </w:pPr>
            <w:r>
              <w:rPr>
                <w:rFonts w:hint="eastAsia" w:ascii="仿宋" w:hAnsi="仿宋" w:eastAsia="仿宋" w:cs="仿宋"/>
                <w:b/>
                <w:color w:val="auto"/>
                <w:szCs w:val="21"/>
              </w:rPr>
              <w:t>合同金额</w:t>
            </w:r>
          </w:p>
        </w:tc>
        <w:tc>
          <w:tcPr>
            <w:tcW w:w="7108"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（小写）</w:t>
            </w:r>
          </w:p>
        </w:tc>
      </w:tr>
      <w:tr>
        <w:tblPrEx>
          <w:tblCellMar>
            <w:top w:w="0" w:type="dxa"/>
            <w:left w:w="30" w:type="dxa"/>
            <w:bottom w:w="0" w:type="dxa"/>
            <w:right w:w="30" w:type="dxa"/>
          </w:tblCellMar>
        </w:tblPrEx>
        <w:trPr>
          <w:trHeight w:val="615" w:hRule="exact"/>
          <w:jc w:val="center"/>
        </w:trPr>
        <w:tc>
          <w:tcPr>
            <w:tcW w:w="1868" w:type="dxa"/>
            <w:gridSpan w:val="2"/>
            <w:vMerge w:val="continue"/>
            <w:tcBorders>
              <w:left w:val="single" w:color="auto" w:sz="8" w:space="0"/>
              <w:bottom w:val="single" w:color="auto" w:sz="8" w:space="0"/>
              <w:right w:val="single" w:color="auto" w:sz="8" w:space="0"/>
            </w:tcBorders>
            <w:vAlign w:val="center"/>
          </w:tcPr>
          <w:p>
            <w:pPr>
              <w:autoSpaceDE w:val="0"/>
              <w:autoSpaceDN w:val="0"/>
              <w:adjustRightInd w:val="0"/>
              <w:ind w:firstLine="480"/>
              <w:jc w:val="center"/>
              <w:rPr>
                <w:rFonts w:hint="eastAsia" w:ascii="仿宋" w:hAnsi="仿宋" w:eastAsia="仿宋" w:cs="仿宋"/>
                <w:color w:val="auto"/>
                <w:szCs w:val="21"/>
              </w:rPr>
            </w:pPr>
          </w:p>
        </w:tc>
        <w:tc>
          <w:tcPr>
            <w:tcW w:w="7108" w:type="dxa"/>
            <w:gridSpan w:val="6"/>
            <w:tcBorders>
              <w:top w:val="single" w:color="auto" w:sz="8" w:space="0"/>
              <w:left w:val="single" w:color="auto" w:sz="8" w:space="0"/>
              <w:bottom w:val="single" w:color="auto" w:sz="8" w:space="0"/>
              <w:right w:val="single" w:color="auto" w:sz="6" w:space="0"/>
            </w:tcBorders>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（大写）</w:t>
            </w:r>
          </w:p>
        </w:tc>
      </w:tr>
    </w:tbl>
    <w:p>
      <w:pPr>
        <w:widowControl w:val="0"/>
        <w:snapToGrid w:val="0"/>
        <w:spacing w:before="19" w:line="360" w:lineRule="auto"/>
        <w:jc w:val="both"/>
        <w:rPr>
          <w:rFonts w:hint="eastAsia" w:ascii="仿宋" w:hAnsi="仿宋" w:eastAsia="仿宋" w:cs="仿宋"/>
          <w:b/>
          <w:color w:val="auto"/>
          <w:sz w:val="24"/>
          <w:szCs w:val="24"/>
        </w:rPr>
      </w:pPr>
    </w:p>
    <w:p>
      <w:pPr>
        <w:widowControl w:val="0"/>
        <w:snapToGrid w:val="0"/>
        <w:spacing w:before="19"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二、</w:t>
      </w:r>
      <w:r>
        <w:rPr>
          <w:rFonts w:hint="eastAsia" w:ascii="仿宋" w:hAnsi="仿宋" w:eastAsia="仿宋" w:cs="仿宋"/>
          <w:b/>
          <w:color w:val="auto"/>
          <w:sz w:val="24"/>
          <w:szCs w:val="24"/>
        </w:rPr>
        <w:t>合同履行期限</w:t>
      </w:r>
    </w:p>
    <w:p>
      <w:pPr>
        <w:widowControl w:val="0"/>
        <w:snapToGrid w:val="0"/>
        <w:spacing w:before="19" w:line="360" w:lineRule="auto"/>
        <w:jc w:val="both"/>
        <w:rPr>
          <w:rFonts w:hint="eastAsia" w:ascii="仿宋" w:hAnsi="仿宋" w:eastAsia="仿宋" w:cs="仿宋"/>
          <w:b/>
          <w:color w:val="auto"/>
          <w:sz w:val="24"/>
          <w:szCs w:val="24"/>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三、地点和方式</w:t>
      </w:r>
    </w:p>
    <w:p>
      <w:pPr>
        <w:numPr>
          <w:ilvl w:val="0"/>
          <w:numId w:val="0"/>
        </w:numPr>
        <w:snapToGrid w:val="0"/>
        <w:spacing w:line="360" w:lineRule="auto"/>
        <w:rPr>
          <w:rFonts w:hint="eastAsia" w:ascii="仿宋" w:hAnsi="仿宋" w:eastAsia="仿宋" w:cs="仿宋"/>
          <w:b/>
          <w:color w:val="auto"/>
          <w:sz w:val="28"/>
          <w:szCs w:val="28"/>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四、包装方式</w:t>
      </w:r>
    </w:p>
    <w:p>
      <w:pPr>
        <w:numPr>
          <w:ilvl w:val="0"/>
          <w:numId w:val="0"/>
        </w:numPr>
        <w:snapToGrid w:val="0"/>
        <w:spacing w:line="360" w:lineRule="auto"/>
        <w:rPr>
          <w:rFonts w:hint="eastAsia" w:ascii="仿宋" w:hAnsi="仿宋" w:eastAsia="仿宋" w:cs="仿宋"/>
          <w:b/>
          <w:color w:val="auto"/>
          <w:sz w:val="28"/>
          <w:szCs w:val="28"/>
        </w:rPr>
      </w:pPr>
    </w:p>
    <w:bookmarkEnd w:id="54"/>
    <w:bookmarkEnd w:id="55"/>
    <w:p>
      <w:pPr>
        <w:widowControl w:val="0"/>
        <w:snapToGrid w:val="0"/>
        <w:spacing w:before="19" w:line="360" w:lineRule="auto"/>
        <w:jc w:val="both"/>
        <w:rPr>
          <w:rFonts w:hint="eastAsia" w:ascii="仿宋" w:hAnsi="仿宋" w:eastAsia="仿宋" w:cs="仿宋"/>
          <w:b/>
          <w:color w:val="auto"/>
          <w:sz w:val="24"/>
          <w:szCs w:val="24"/>
          <w:lang w:val="en-US" w:eastAsia="zh-CN"/>
        </w:rPr>
      </w:pPr>
      <w:bookmarkStart w:id="56" w:name="_Toc424566854"/>
      <w:bookmarkStart w:id="57" w:name="_Toc424563315"/>
      <w:bookmarkStart w:id="58" w:name="_Toc425425703"/>
      <w:bookmarkStart w:id="59" w:name="_Toc424716420"/>
      <w:r>
        <w:rPr>
          <w:rFonts w:hint="eastAsia" w:ascii="仿宋" w:hAnsi="仿宋" w:eastAsia="仿宋" w:cs="仿宋"/>
          <w:b/>
          <w:color w:val="auto"/>
          <w:sz w:val="24"/>
          <w:szCs w:val="24"/>
          <w:lang w:val="en-US" w:eastAsia="zh-CN"/>
        </w:rPr>
        <w:t>五、付款条件</w:t>
      </w:r>
    </w:p>
    <w:p>
      <w:pPr>
        <w:widowControl w:val="0"/>
        <w:snapToGrid w:val="0"/>
        <w:spacing w:before="19" w:line="360" w:lineRule="auto"/>
        <w:jc w:val="both"/>
        <w:rPr>
          <w:rFonts w:hint="eastAsia" w:ascii="仿宋" w:hAnsi="仿宋" w:eastAsia="仿宋" w:cs="仿宋"/>
          <w:b/>
          <w:color w:val="auto"/>
          <w:sz w:val="24"/>
          <w:szCs w:val="24"/>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六、验收、交付标准和方法</w:t>
      </w:r>
    </w:p>
    <w:p>
      <w:pPr>
        <w:numPr>
          <w:ilvl w:val="0"/>
          <w:numId w:val="0"/>
        </w:numPr>
        <w:snapToGrid w:val="0"/>
        <w:spacing w:line="360" w:lineRule="auto"/>
        <w:rPr>
          <w:rFonts w:hint="eastAsia" w:ascii="仿宋" w:hAnsi="仿宋" w:eastAsia="仿宋" w:cs="仿宋"/>
          <w:b/>
          <w:color w:val="auto"/>
          <w:sz w:val="28"/>
          <w:szCs w:val="28"/>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七、质量保修范围和保修期限</w:t>
      </w:r>
    </w:p>
    <w:p>
      <w:pPr>
        <w:numPr>
          <w:ilvl w:val="0"/>
          <w:numId w:val="0"/>
        </w:numPr>
        <w:snapToGrid w:val="0"/>
        <w:spacing w:line="360" w:lineRule="auto"/>
        <w:rPr>
          <w:rFonts w:hint="eastAsia" w:ascii="仿宋" w:hAnsi="仿宋" w:eastAsia="仿宋" w:cs="仿宋"/>
          <w:b/>
          <w:color w:val="auto"/>
          <w:sz w:val="28"/>
          <w:szCs w:val="28"/>
          <w:lang w:val="en-US" w:eastAsia="zh-CN"/>
        </w:rPr>
      </w:pPr>
    </w:p>
    <w:bookmarkEnd w:id="56"/>
    <w:bookmarkEnd w:id="57"/>
    <w:bookmarkEnd w:id="58"/>
    <w:bookmarkEnd w:id="59"/>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八、违约赔偿</w:t>
      </w:r>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pPr>
        <w:widowControl w:val="0"/>
        <w:snapToGrid w:val="0"/>
        <w:spacing w:before="19" w:line="360" w:lineRule="auto"/>
        <w:jc w:val="both"/>
        <w:rPr>
          <w:rFonts w:hint="eastAsia" w:ascii="仿宋" w:hAnsi="仿宋" w:eastAsia="仿宋" w:cs="仿宋"/>
          <w:b/>
          <w:color w:val="auto"/>
          <w:sz w:val="24"/>
          <w:szCs w:val="24"/>
          <w:lang w:val="en-US" w:eastAsia="zh-CN"/>
        </w:rPr>
      </w:pPr>
      <w:bookmarkStart w:id="60" w:name="_Toc462068969"/>
      <w:bookmarkStart w:id="61" w:name="_Toc417386177"/>
      <w:r>
        <w:rPr>
          <w:rFonts w:hint="eastAsia" w:ascii="仿宋" w:hAnsi="仿宋" w:eastAsia="仿宋" w:cs="仿宋"/>
          <w:b/>
          <w:color w:val="auto"/>
          <w:sz w:val="24"/>
          <w:szCs w:val="24"/>
          <w:lang w:val="en-US" w:eastAsia="zh-CN"/>
        </w:rPr>
        <w:t>九、合同纠纷处理</w:t>
      </w:r>
      <w:bookmarkEnd w:id="60"/>
      <w:bookmarkEnd w:id="61"/>
    </w:p>
    <w:p>
      <w:pPr>
        <w:tabs>
          <w:tab w:val="left" w:pos="1980"/>
        </w:tabs>
        <w:snapToGrid w:val="0"/>
        <w:spacing w:line="360" w:lineRule="auto"/>
        <w:ind w:firstLine="470" w:firstLineChars="196"/>
        <w:rPr>
          <w:rFonts w:hint="eastAsia" w:ascii="仿宋" w:hAnsi="仿宋" w:eastAsia="仿宋" w:cs="仿宋"/>
          <w:color w:val="auto"/>
          <w:sz w:val="24"/>
          <w:szCs w:val="24"/>
        </w:rPr>
      </w:pPr>
      <w:bookmarkStart w:id="62" w:name="_Toc417386178"/>
      <w:bookmarkStart w:id="63" w:name="_Toc462068970"/>
      <w:r>
        <w:rPr>
          <w:rFonts w:hint="eastAsia" w:ascii="仿宋" w:hAnsi="仿宋" w:eastAsia="仿宋" w:cs="仿宋"/>
          <w:color w:val="auto"/>
          <w:sz w:val="24"/>
          <w:szCs w:val="24"/>
        </w:rPr>
        <w:t>本合同履行过程中发生纠纷，应协商解决，协商不成，可向人民法院提起诉讼解决。</w:t>
      </w:r>
    </w:p>
    <w:p>
      <w:pPr>
        <w:snapToGrid w:val="0"/>
        <w:spacing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十</w:t>
      </w:r>
      <w:r>
        <w:rPr>
          <w:rFonts w:hint="eastAsia" w:ascii="仿宋" w:hAnsi="仿宋" w:eastAsia="仿宋" w:cs="仿宋"/>
          <w:b/>
          <w:color w:val="auto"/>
          <w:sz w:val="24"/>
          <w:szCs w:val="24"/>
        </w:rPr>
        <w:t>、合同生效</w:t>
      </w:r>
      <w:bookmarkEnd w:id="62"/>
      <w:bookmarkEnd w:id="63"/>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本合同由甲乙双方签字盖章后生效。</w:t>
      </w:r>
    </w:p>
    <w:p>
      <w:pPr>
        <w:snapToGrid w:val="0"/>
        <w:spacing w:line="360" w:lineRule="auto"/>
        <w:jc w:val="both"/>
        <w:rPr>
          <w:rFonts w:hint="eastAsia" w:ascii="仿宋" w:hAnsi="仿宋" w:eastAsia="仿宋" w:cs="仿宋"/>
          <w:b/>
          <w:color w:val="auto"/>
          <w:sz w:val="24"/>
          <w:szCs w:val="24"/>
        </w:rPr>
      </w:pPr>
      <w:bookmarkStart w:id="64" w:name="_Toc417386179"/>
      <w:bookmarkStart w:id="65" w:name="_Toc462068971"/>
      <w:r>
        <w:rPr>
          <w:rFonts w:hint="eastAsia" w:ascii="仿宋" w:hAnsi="仿宋" w:eastAsia="仿宋" w:cs="仿宋"/>
          <w:b/>
          <w:color w:val="auto"/>
          <w:sz w:val="24"/>
          <w:szCs w:val="24"/>
          <w:lang w:val="en-US" w:eastAsia="zh-CN"/>
        </w:rPr>
        <w:t>十一</w:t>
      </w:r>
      <w:r>
        <w:rPr>
          <w:rFonts w:hint="eastAsia" w:ascii="仿宋" w:hAnsi="仿宋" w:eastAsia="仿宋" w:cs="仿宋"/>
          <w:b/>
          <w:color w:val="auto"/>
          <w:sz w:val="24"/>
          <w:szCs w:val="24"/>
        </w:rPr>
        <w:t>、合同鉴证</w:t>
      </w:r>
      <w:bookmarkEnd w:id="64"/>
      <w:bookmarkEnd w:id="65"/>
    </w:p>
    <w:p>
      <w:pPr>
        <w:snapToGrid w:val="0"/>
        <w:spacing w:line="360" w:lineRule="auto"/>
        <w:ind w:firstLine="480" w:firstLineChars="200"/>
        <w:jc w:val="both"/>
        <w:rPr>
          <w:rFonts w:hint="eastAsia" w:ascii="仿宋" w:hAnsi="仿宋" w:eastAsia="仿宋" w:cs="仿宋"/>
          <w:b/>
          <w:color w:val="auto"/>
          <w:sz w:val="24"/>
          <w:szCs w:val="24"/>
        </w:rPr>
      </w:pP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应当在本合同上签章，以证明本合同条款与</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文件、</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文件的相关要求相符并且未对采购内容和技术参数进行实质性修改。</w:t>
      </w:r>
    </w:p>
    <w:p>
      <w:pPr>
        <w:snapToGrid w:val="0"/>
        <w:spacing w:line="360" w:lineRule="auto"/>
        <w:jc w:val="both"/>
        <w:rPr>
          <w:rFonts w:hint="eastAsia" w:ascii="仿宋" w:hAnsi="仿宋" w:eastAsia="仿宋" w:cs="仿宋"/>
          <w:b/>
          <w:color w:val="auto"/>
          <w:sz w:val="24"/>
          <w:szCs w:val="24"/>
        </w:rPr>
      </w:pPr>
      <w:bookmarkStart w:id="66" w:name="_Toc462068972"/>
      <w:bookmarkStart w:id="67" w:name="_Toc417386180"/>
      <w:r>
        <w:rPr>
          <w:rFonts w:hint="eastAsia" w:ascii="仿宋" w:hAnsi="仿宋" w:eastAsia="仿宋" w:cs="仿宋"/>
          <w:b/>
          <w:color w:val="auto"/>
          <w:sz w:val="24"/>
          <w:szCs w:val="24"/>
          <w:lang w:val="en-US" w:eastAsia="zh-CN"/>
        </w:rPr>
        <w:t>十二</w:t>
      </w:r>
      <w:r>
        <w:rPr>
          <w:rFonts w:hint="eastAsia" w:ascii="仿宋" w:hAnsi="仿宋" w:eastAsia="仿宋" w:cs="仿宋"/>
          <w:b/>
          <w:color w:val="auto"/>
          <w:sz w:val="24"/>
          <w:szCs w:val="24"/>
        </w:rPr>
        <w:t>、本合同的组成文件</w:t>
      </w:r>
      <w:bookmarkEnd w:id="66"/>
      <w:bookmarkEnd w:id="67"/>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1.合同通用条款和专用条款；</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2.招标文件、乙方的</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文件和评标时的澄清函（如有）；</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3.中标通知书；</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4.甲乙双方商定的其他必要文件。</w:t>
      </w:r>
    </w:p>
    <w:p>
      <w:pPr>
        <w:snapToGrid w:val="0"/>
        <w:spacing w:line="360" w:lineRule="auto"/>
        <w:ind w:firstLine="480" w:firstLineChars="200"/>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上述合同文件内容互为补充，如有不明确，由甲方负责解释。</w:t>
      </w:r>
    </w:p>
    <w:p>
      <w:pPr>
        <w:snapToGrid w:val="0"/>
        <w:spacing w:line="360" w:lineRule="auto"/>
        <w:jc w:val="both"/>
        <w:rPr>
          <w:rFonts w:hint="eastAsia" w:ascii="仿宋" w:hAnsi="仿宋" w:eastAsia="仿宋" w:cs="仿宋"/>
          <w:b/>
          <w:color w:val="auto"/>
          <w:sz w:val="24"/>
          <w:szCs w:val="24"/>
        </w:rPr>
      </w:pPr>
      <w:bookmarkStart w:id="68" w:name="_Toc417386181"/>
      <w:bookmarkStart w:id="69" w:name="_Toc462068973"/>
      <w:r>
        <w:rPr>
          <w:rFonts w:hint="eastAsia" w:ascii="仿宋" w:hAnsi="仿宋" w:eastAsia="仿宋" w:cs="仿宋"/>
          <w:b/>
          <w:color w:val="auto"/>
          <w:sz w:val="24"/>
          <w:szCs w:val="24"/>
          <w:lang w:val="en-US" w:eastAsia="zh-CN"/>
        </w:rPr>
        <w:t>十三</w:t>
      </w:r>
      <w:r>
        <w:rPr>
          <w:rFonts w:hint="eastAsia" w:ascii="仿宋" w:hAnsi="仿宋" w:eastAsia="仿宋" w:cs="仿宋"/>
          <w:b/>
          <w:color w:val="auto"/>
          <w:sz w:val="24"/>
          <w:szCs w:val="24"/>
        </w:rPr>
        <w:t>、合同备案</w:t>
      </w:r>
      <w:bookmarkEnd w:id="68"/>
      <w:bookmarkEnd w:id="69"/>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bCs/>
          <w:color w:val="auto"/>
          <w:sz w:val="24"/>
          <w:szCs w:val="24"/>
        </w:rPr>
        <w:t>本合同一式</w:t>
      </w:r>
      <w:r>
        <w:rPr>
          <w:rFonts w:hint="eastAsia" w:ascii="仿宋" w:hAnsi="仿宋" w:eastAsia="仿宋" w:cs="仿宋"/>
          <w:bCs/>
          <w:color w:val="auto"/>
          <w:sz w:val="24"/>
          <w:szCs w:val="24"/>
          <w:lang w:val="en-US" w:eastAsia="zh-CN"/>
        </w:rPr>
        <w:t>三</w:t>
      </w:r>
      <w:r>
        <w:rPr>
          <w:rFonts w:hint="eastAsia" w:ascii="仿宋" w:hAnsi="仿宋" w:eastAsia="仿宋" w:cs="仿宋"/>
          <w:bCs/>
          <w:color w:val="auto"/>
          <w:sz w:val="24"/>
          <w:szCs w:val="24"/>
        </w:rPr>
        <w:t>份，中文书写。甲方</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乙方</w:t>
      </w:r>
      <w:r>
        <w:rPr>
          <w:rFonts w:hint="eastAsia" w:ascii="仿宋" w:hAnsi="仿宋" w:eastAsia="仿宋" w:cs="仿宋"/>
          <w:bCs/>
          <w:color w:val="auto"/>
          <w:sz w:val="24"/>
          <w:szCs w:val="24"/>
          <w:lang w:val="en-US" w:eastAsia="zh-CN"/>
        </w:rPr>
        <w:t>和</w:t>
      </w:r>
      <w:r>
        <w:rPr>
          <w:rFonts w:hint="eastAsia" w:ascii="仿宋" w:hAnsi="仿宋" w:eastAsia="仿宋" w:cs="仿宋"/>
          <w:bCs/>
          <w:color w:val="auto"/>
          <w:sz w:val="24"/>
          <w:szCs w:val="24"/>
          <w:lang w:eastAsia="zh-CN"/>
        </w:rPr>
        <w:t>采购代理机构</w:t>
      </w:r>
      <w:r>
        <w:rPr>
          <w:rFonts w:hint="eastAsia" w:ascii="仿宋" w:hAnsi="仿宋" w:eastAsia="仿宋" w:cs="仿宋"/>
          <w:bCs/>
          <w:color w:val="auto"/>
          <w:sz w:val="24"/>
          <w:szCs w:val="24"/>
        </w:rPr>
        <w:t>执</w:t>
      </w:r>
      <w:r>
        <w:rPr>
          <w:rFonts w:hint="eastAsia" w:ascii="仿宋" w:hAnsi="仿宋" w:eastAsia="仿宋" w:cs="仿宋"/>
          <w:bCs/>
          <w:color w:val="auto"/>
          <w:sz w:val="24"/>
          <w:szCs w:val="24"/>
          <w:lang w:val="en-US" w:eastAsia="zh-CN"/>
        </w:rPr>
        <w:t>一</w:t>
      </w:r>
      <w:r>
        <w:rPr>
          <w:rFonts w:hint="eastAsia" w:ascii="仿宋" w:hAnsi="仿宋" w:eastAsia="仿宋" w:cs="仿宋"/>
          <w:bCs/>
          <w:color w:val="auto"/>
          <w:sz w:val="24"/>
          <w:szCs w:val="24"/>
        </w:rPr>
        <w:t>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eastAsia" w:ascii="仿宋" w:hAnsi="仿宋" w:eastAsia="仿宋" w:cs="仿宋"/>
          <w:bCs/>
          <w:color w:val="auto"/>
          <w:sz w:val="24"/>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b/>
          <w:color w:val="auto"/>
          <w:sz w:val="24"/>
          <w:szCs w:val="24"/>
        </w:rPr>
        <w:t>甲方：</w:t>
      </w:r>
      <w:r>
        <w:rPr>
          <w:rFonts w:hint="eastAsia" w:ascii="仿宋" w:hAnsi="仿宋" w:eastAsia="仿宋" w:cs="仿宋"/>
          <w:b/>
          <w:color w:val="auto"/>
          <w:sz w:val="24"/>
          <w:szCs w:val="24"/>
          <w:u w:val="single"/>
        </w:rPr>
        <w:t xml:space="preserve">                   （盖章）</w:t>
      </w:r>
      <w:r>
        <w:rPr>
          <w:rFonts w:hint="eastAsia" w:ascii="仿宋" w:hAnsi="仿宋" w:eastAsia="仿宋" w:cs="仿宋"/>
          <w:b/>
          <w:color w:val="auto"/>
          <w:sz w:val="24"/>
          <w:szCs w:val="24"/>
        </w:rPr>
        <w:t xml:space="preserve">      乙方：</w:t>
      </w:r>
      <w:r>
        <w:rPr>
          <w:rFonts w:hint="eastAsia" w:ascii="仿宋" w:hAnsi="仿宋" w:eastAsia="仿宋" w:cs="仿宋"/>
          <w:b/>
          <w:color w:val="auto"/>
          <w:sz w:val="24"/>
          <w:szCs w:val="24"/>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法定（或授权）代表人：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法定（或授权）代表人：</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开户行：</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开户行：</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户名：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户名：</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账</w:t>
      </w:r>
      <w:r>
        <w:rPr>
          <w:rFonts w:hint="eastAsia" w:ascii="仿宋" w:hAnsi="仿宋" w:eastAsia="仿宋" w:cs="仿宋"/>
          <w:color w:val="auto"/>
          <w:sz w:val="24"/>
          <w:szCs w:val="24"/>
        </w:rPr>
        <w:t>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账</w:t>
      </w:r>
      <w:r>
        <w:rPr>
          <w:rFonts w:hint="eastAsia" w:ascii="仿宋" w:hAnsi="仿宋" w:eastAsia="仿宋" w:cs="仿宋"/>
          <w:color w:val="auto"/>
          <w:sz w:val="24"/>
          <w:szCs w:val="24"/>
        </w:rPr>
        <w:t>号：</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日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b/>
          <w:color w:val="auto"/>
          <w:sz w:val="24"/>
          <w:szCs w:val="24"/>
        </w:rPr>
      </w:pPr>
      <w:r>
        <w:rPr>
          <w:rFonts w:hint="eastAsia" w:ascii="仿宋" w:hAnsi="仿宋" w:eastAsia="仿宋" w:cs="仿宋"/>
          <w:b/>
          <w:color w:val="auto"/>
          <w:sz w:val="24"/>
          <w:szCs w:val="24"/>
        </w:rPr>
        <w:t> </w:t>
      </w:r>
    </w:p>
    <w:p>
      <w:pPr>
        <w:snapToGrid w:val="0"/>
        <w:spacing w:line="360" w:lineRule="auto"/>
        <w:ind w:firstLine="425"/>
        <w:jc w:val="center"/>
        <w:outlineLvl w:val="0"/>
        <w:rPr>
          <w:rFonts w:hint="eastAsia" w:ascii="仿宋" w:hAnsi="仿宋" w:eastAsia="仿宋" w:cs="仿宋"/>
          <w:b/>
          <w:color w:val="auto"/>
          <w:sz w:val="24"/>
          <w:szCs w:val="24"/>
        </w:rPr>
        <w:sectPr>
          <w:footerReference r:id="rId9" w:type="first"/>
          <w:headerReference r:id="rId7" w:type="default"/>
          <w:footerReference r:id="rId8"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08" w:num="1"/>
          <w:titlePg/>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bookmarkStart w:id="70" w:name="_Toc11129"/>
      <w:bookmarkStart w:id="71" w:name="_Toc15482"/>
      <w:r>
        <w:rPr>
          <w:rFonts w:hint="eastAsia" w:ascii="仿宋" w:hAnsi="仿宋" w:eastAsia="仿宋" w:cs="仿宋"/>
          <w:b/>
          <w:color w:val="auto"/>
          <w:kern w:val="0"/>
          <w:sz w:val="44"/>
          <w:szCs w:val="44"/>
          <w:lang w:eastAsia="zh-CN"/>
        </w:rPr>
        <w:t xml:space="preserve">第五章 </w:t>
      </w:r>
      <w:r>
        <w:rPr>
          <w:rFonts w:hint="eastAsia" w:ascii="仿宋" w:hAnsi="仿宋" w:eastAsia="仿宋" w:cs="仿宋"/>
          <w:b/>
          <w:color w:val="auto"/>
          <w:kern w:val="0"/>
          <w:sz w:val="44"/>
          <w:szCs w:val="44"/>
          <w:lang w:val="en-US" w:eastAsia="zh-CN"/>
        </w:rPr>
        <w:t>响应</w:t>
      </w:r>
      <w:r>
        <w:rPr>
          <w:rFonts w:hint="eastAsia" w:ascii="仿宋" w:hAnsi="仿宋" w:eastAsia="仿宋" w:cs="仿宋"/>
          <w:b/>
          <w:color w:val="auto"/>
          <w:kern w:val="0"/>
          <w:sz w:val="44"/>
          <w:szCs w:val="44"/>
          <w:lang w:eastAsia="zh-CN"/>
        </w:rPr>
        <w:t>文件内容和格式</w:t>
      </w:r>
      <w:bookmarkEnd w:id="70"/>
      <w:bookmarkEnd w:id="71"/>
    </w:p>
    <w:p>
      <w:pPr>
        <w:rPr>
          <w:rFonts w:hint="eastAsia" w:ascii="仿宋" w:hAnsi="仿宋" w:eastAsia="仿宋" w:cs="仿宋"/>
          <w:color w:val="auto"/>
        </w:rPr>
      </w:pP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请供应商按照以下文件要求的格式、内容制作</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lang w:eastAsia="zh-CN"/>
        </w:rPr>
        <w:t>文件</w:t>
      </w:r>
      <w:r>
        <w:rPr>
          <w:rFonts w:hint="eastAsia" w:ascii="仿宋" w:hAnsi="仿宋" w:eastAsia="仿宋" w:cs="仿宋"/>
          <w:color w:val="auto"/>
          <w:sz w:val="24"/>
          <w:szCs w:val="24"/>
        </w:rPr>
        <w:t>，并按以下顺序编制目录及页码，否则可能将影响对</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lang w:eastAsia="zh-CN"/>
        </w:rPr>
        <w:t>文件</w:t>
      </w:r>
      <w:r>
        <w:rPr>
          <w:rFonts w:hint="eastAsia" w:ascii="仿宋" w:hAnsi="仿宋" w:eastAsia="仿宋" w:cs="仿宋"/>
          <w:color w:val="auto"/>
          <w:sz w:val="24"/>
          <w:szCs w:val="24"/>
        </w:rPr>
        <w:t>的评价。</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1、报价函（表1）</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color w:val="auto"/>
          <w:sz w:val="24"/>
          <w:szCs w:val="24"/>
        </w:rPr>
        <w:t>2、报价一览表（表2）</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分项报价明细表</w:t>
      </w:r>
      <w:r>
        <w:rPr>
          <w:rFonts w:hint="eastAsia" w:ascii="仿宋" w:hAnsi="仿宋" w:eastAsia="仿宋" w:cs="仿宋"/>
          <w:color w:val="auto"/>
          <w:sz w:val="24"/>
          <w:szCs w:val="24"/>
        </w:rPr>
        <w:t>（表3）</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技术及资质要求响应表（表</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、供应商简介</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、营业执照副本、组织机构代码证、税务登记证和资格证书复印件（或者三证合一复印件）</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7、法定代表人证明书（表5）</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8、授权委托书（表6）</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9、具有良好的商业信誉和健全的财务会计制度</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10、企业纳税证明复印件</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11、社会保障缴费记录复印件</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12、保证金缴纳证明复印件</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13、参加政府采购活动前三年内，在经营活动中没有重大违法记录的声明函（表7）</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14、参加政府采购活动前三年内，无环保类行政处罚记录（提供声明函）（表8）</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15、具备《中华人民共和国政府采购法》第二十二条规定条件的承诺书（表9）</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16、不存在与参加本项目采购活动的其他供应商单位负责人为同一人或者存在直接控股、管理关系的承诺函（表10）</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17、中小企业声明函（表11，没有可不提供）</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18、监狱企业证明文件（表12，没有可不提供）</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19、残疾人福利性单位声明函（表13，没有可不提供）</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20、技术部分（包括技术资料、技术方案、实施方案、服务承诺等）</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21、供应商认为需要的其他材料</w:t>
      </w:r>
    </w:p>
    <w:p>
      <w:pPr>
        <w:spacing w:line="500" w:lineRule="exact"/>
        <w:ind w:firstLine="480" w:firstLineChars="200"/>
        <w:rPr>
          <w:rFonts w:hint="eastAsia" w:ascii="仿宋" w:hAnsi="仿宋" w:eastAsia="仿宋" w:cs="仿宋"/>
          <w:color w:val="auto"/>
          <w:sz w:val="24"/>
          <w:szCs w:val="24"/>
        </w:rPr>
      </w:pPr>
    </w:p>
    <w:p>
      <w:pPr>
        <w:pStyle w:val="7"/>
        <w:ind w:left="0" w:leftChars="0" w:right="482" w:firstLine="0" w:firstLineChars="0"/>
        <w:jc w:val="both"/>
        <w:rPr>
          <w:rFonts w:hint="eastAsia" w:ascii="仿宋" w:hAnsi="仿宋" w:eastAsia="仿宋" w:cs="仿宋"/>
          <w:b/>
          <w:bCs/>
          <w:color w:val="auto"/>
          <w:sz w:val="32"/>
          <w:szCs w:val="32"/>
          <w:lang w:val="en-US" w:eastAsia="zh-CN"/>
        </w:rPr>
      </w:pPr>
      <w:r>
        <w:rPr>
          <w:rFonts w:hint="eastAsia" w:ascii="仿宋" w:hAnsi="仿宋" w:eastAsia="仿宋" w:cs="仿宋"/>
          <w:color w:val="auto"/>
          <w:sz w:val="24"/>
          <w:szCs w:val="24"/>
        </w:rPr>
        <w:br w:type="page"/>
      </w:r>
      <w:bookmarkStart w:id="72" w:name="_Toc171325099"/>
      <w:bookmarkStart w:id="73" w:name="_Toc264213368"/>
      <w:bookmarkStart w:id="74" w:name="_Toc264213369"/>
      <w:r>
        <w:rPr>
          <w:rFonts w:hint="eastAsia" w:ascii="仿宋" w:hAnsi="仿宋" w:eastAsia="仿宋" w:cs="仿宋"/>
          <w:b/>
          <w:bCs/>
          <w:color w:val="auto"/>
          <w:sz w:val="32"/>
          <w:szCs w:val="32"/>
        </w:rPr>
        <w:t>表1</w:t>
      </w:r>
      <w:r>
        <w:rPr>
          <w:rFonts w:hint="eastAsia" w:ascii="仿宋" w:hAnsi="仿宋" w:eastAsia="仿宋" w:cs="仿宋"/>
          <w:b/>
          <w:bCs/>
          <w:color w:val="auto"/>
          <w:sz w:val="32"/>
          <w:szCs w:val="32"/>
          <w:lang w:val="en-US" w:eastAsia="zh-CN"/>
        </w:rPr>
        <w:t>:</w:t>
      </w:r>
    </w:p>
    <w:p>
      <w:pPr>
        <w:rPr>
          <w:rFonts w:hint="eastAsia" w:ascii="仿宋" w:hAnsi="仿宋" w:eastAsia="仿宋" w:cs="仿宋"/>
          <w:color w:val="auto"/>
          <w:lang w:val="en-US" w:eastAsia="zh-CN"/>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75" w:name="_Toc6755"/>
      <w:bookmarkStart w:id="76" w:name="_Toc31498"/>
      <w:r>
        <w:rPr>
          <w:rFonts w:hint="eastAsia" w:ascii="仿宋" w:hAnsi="仿宋" w:eastAsia="仿宋" w:cs="仿宋"/>
          <w:color w:val="auto"/>
          <w:lang w:val="en-US" w:eastAsia="zh-CN"/>
        </w:rPr>
        <w:t>1</w:t>
      </w:r>
      <w:r>
        <w:rPr>
          <w:rFonts w:hint="eastAsia" w:ascii="仿宋" w:hAnsi="仿宋" w:eastAsia="仿宋" w:cs="仿宋"/>
          <w:color w:val="auto"/>
        </w:rPr>
        <w:t>、报价函</w:t>
      </w:r>
      <w:bookmarkEnd w:id="75"/>
      <w:bookmarkEnd w:id="76"/>
    </w:p>
    <w:p>
      <w:pPr>
        <w:pStyle w:val="7"/>
        <w:rPr>
          <w:rFonts w:hint="eastAsia" w:ascii="仿宋" w:hAnsi="仿宋" w:eastAsia="仿宋" w:cs="仿宋"/>
          <w:color w:val="auto"/>
        </w:rPr>
      </w:pPr>
    </w:p>
    <w:p>
      <w:pPr>
        <w:snapToGrid w:val="0"/>
        <w:spacing w:before="19"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w:t>
      </w:r>
    </w:p>
    <w:p>
      <w:pPr>
        <w:spacing w:before="19"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根据贵司  </w:t>
      </w:r>
      <w:r>
        <w:rPr>
          <w:rFonts w:hint="eastAsia" w:ascii="仿宋" w:hAnsi="仿宋" w:eastAsia="仿宋" w:cs="仿宋"/>
          <w:color w:val="auto"/>
          <w:sz w:val="24"/>
          <w:szCs w:val="24"/>
          <w:u w:val="single"/>
        </w:rPr>
        <w:t xml:space="preserve">           项目（招标编号：       ）</w:t>
      </w:r>
      <w:r>
        <w:rPr>
          <w:rFonts w:hint="eastAsia" w:ascii="仿宋" w:hAnsi="仿宋" w:eastAsia="仿宋" w:cs="仿宋"/>
          <w:color w:val="auto"/>
          <w:sz w:val="24"/>
          <w:szCs w:val="24"/>
        </w:rPr>
        <w:t>的投标邀请函，正式授权下述签字人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（姓名和职务）代表</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单位名称），提交</w:t>
      </w:r>
      <w:r>
        <w:rPr>
          <w:rFonts w:hint="eastAsia" w:ascii="仿宋" w:hAnsi="仿宋" w:eastAsia="仿宋" w:cs="仿宋"/>
          <w:color w:val="auto"/>
          <w:sz w:val="24"/>
          <w:szCs w:val="24"/>
          <w:u w:val="single"/>
          <w:lang w:val="en-US" w:eastAsia="zh-CN"/>
        </w:rPr>
        <w:t xml:space="preserve">  包</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书。</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根据此函，我们宣布同意如下：</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我方接受招标文件的所有的条款和规定。</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我方同意按照招标文件第二章“</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须知”的规定，本</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lang w:eastAsia="zh-CN"/>
        </w:rPr>
        <w:t>文件</w:t>
      </w:r>
      <w:r>
        <w:rPr>
          <w:rFonts w:hint="eastAsia" w:ascii="仿宋" w:hAnsi="仿宋" w:eastAsia="仿宋" w:cs="仿宋"/>
          <w:color w:val="auto"/>
          <w:sz w:val="24"/>
          <w:szCs w:val="24"/>
        </w:rPr>
        <w:t>的有效期为从投标截止日期起计算的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60</w:t>
      </w:r>
      <w:r>
        <w:rPr>
          <w:rFonts w:hint="eastAsia" w:ascii="仿宋" w:hAnsi="仿宋" w:eastAsia="仿宋" w:cs="仿宋"/>
          <w:color w:val="auto"/>
          <w:sz w:val="24"/>
          <w:szCs w:val="24"/>
          <w:u w:val="single"/>
        </w:rPr>
        <w:t>天</w:t>
      </w:r>
      <w:r>
        <w:rPr>
          <w:rFonts w:hint="eastAsia" w:ascii="仿宋" w:hAnsi="仿宋" w:eastAsia="仿宋" w:cs="仿宋"/>
          <w:color w:val="auto"/>
          <w:sz w:val="24"/>
          <w:szCs w:val="24"/>
        </w:rPr>
        <w:t>，在此期间，本</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lang w:eastAsia="zh-CN"/>
        </w:rPr>
        <w:t>文件</w:t>
      </w:r>
      <w:r>
        <w:rPr>
          <w:rFonts w:hint="eastAsia" w:ascii="仿宋" w:hAnsi="仿宋" w:eastAsia="仿宋" w:cs="仿宋"/>
          <w:color w:val="auto"/>
          <w:sz w:val="24"/>
          <w:szCs w:val="24"/>
        </w:rPr>
        <w:t>将始终对我方具有约束力，并可随时被接受。</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如果在开标后规定的投标有效期内撤回投标，我方的投标保证金可被贵方没收。</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我方完全理解贵方不一定要接受最低价的投标。</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我们同意提供贵单位要求的有关本次投标的所有资料或证据。</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如果我方中标，我们将根据招标文件的规定严格履行自己的责任和义务。</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如果我方中标，我方将支付本次招标的服务费。</w:t>
      </w:r>
    </w:p>
    <w:p>
      <w:pPr>
        <w:snapToGrid w:val="0"/>
        <w:spacing w:line="480" w:lineRule="exact"/>
        <w:ind w:firstLine="570"/>
        <w:rPr>
          <w:rFonts w:hint="eastAsia" w:ascii="仿宋" w:hAnsi="仿宋" w:eastAsia="仿宋" w:cs="仿宋"/>
          <w:color w:val="auto"/>
          <w:sz w:val="24"/>
          <w:szCs w:val="24"/>
        </w:rPr>
      </w:pPr>
    </w:p>
    <w:p>
      <w:pPr>
        <w:rPr>
          <w:rFonts w:hint="eastAsia" w:ascii="仿宋" w:hAnsi="仿宋" w:eastAsia="仿宋" w:cs="仿宋"/>
          <w:color w:val="auto"/>
        </w:rPr>
      </w:pPr>
    </w:p>
    <w:p>
      <w:pPr>
        <w:pStyle w:val="7"/>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b/>
          <w:color w:val="auto"/>
          <w:sz w:val="24"/>
          <w:szCs w:val="24"/>
        </w:rPr>
      </w:pPr>
    </w:p>
    <w:p>
      <w:pPr>
        <w:pStyle w:val="7"/>
        <w:ind w:right="482"/>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08" w:num="1"/>
          <w:titlePg/>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2:</w:t>
      </w:r>
    </w:p>
    <w:p>
      <w:pPr>
        <w:rPr>
          <w:rFonts w:hint="eastAsia" w:ascii="仿宋" w:hAnsi="仿宋" w:eastAsia="仿宋" w:cs="仿宋"/>
          <w:color w:val="auto"/>
          <w:lang w:val="en-US" w:eastAsia="zh-CN"/>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77" w:name="_Toc12892"/>
      <w:bookmarkStart w:id="78" w:name="_Toc32105"/>
      <w:r>
        <w:rPr>
          <w:rFonts w:hint="eastAsia" w:ascii="仿宋" w:hAnsi="仿宋" w:eastAsia="仿宋" w:cs="仿宋"/>
          <w:color w:val="auto"/>
          <w:lang w:val="en-US" w:eastAsia="zh-CN"/>
        </w:rPr>
        <w:t>2</w:t>
      </w:r>
      <w:r>
        <w:rPr>
          <w:rFonts w:hint="eastAsia" w:ascii="仿宋" w:hAnsi="仿宋" w:eastAsia="仿宋" w:cs="仿宋"/>
          <w:color w:val="auto"/>
        </w:rPr>
        <w:t>、报价一览表</w:t>
      </w:r>
      <w:bookmarkEnd w:id="77"/>
      <w:bookmarkEnd w:id="78"/>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包号：</w:t>
      </w:r>
      <w:r>
        <w:rPr>
          <w:rFonts w:hint="eastAsia" w:ascii="仿宋" w:hAnsi="仿宋" w:eastAsia="仿宋" w:cs="仿宋"/>
          <w:color w:val="auto"/>
          <w:sz w:val="24"/>
          <w:szCs w:val="24"/>
          <w:u w:val="single"/>
          <w:lang w:val="en-US" w:eastAsia="zh-CN"/>
        </w:rPr>
        <w:t xml:space="preserve">               </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58" w:type="dxa"/>
          </w:tcPr>
          <w:p>
            <w:pPr>
              <w:widowControl w:val="0"/>
              <w:spacing w:line="360" w:lineRule="auto"/>
              <w:jc w:val="center"/>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列名称</w:t>
            </w:r>
          </w:p>
        </w:tc>
        <w:tc>
          <w:tcPr>
            <w:tcW w:w="4558" w:type="dxa"/>
          </w:tcPr>
          <w:p>
            <w:pPr>
              <w:widowControl w:val="0"/>
              <w:spacing w:line="360" w:lineRule="auto"/>
              <w:jc w:val="center"/>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报价单位名称</w:t>
            </w:r>
          </w:p>
        </w:tc>
        <w:tc>
          <w:tcPr>
            <w:tcW w:w="4558" w:type="dxa"/>
          </w:tcPr>
          <w:p>
            <w:pPr>
              <w:widowControl w:val="0"/>
              <w:spacing w:line="360" w:lineRule="auto"/>
              <w:jc w:val="center"/>
              <w:rPr>
                <w:rFonts w:hint="eastAsia" w:ascii="仿宋" w:hAnsi="仿宋" w:eastAsia="仿宋" w:cs="仿宋"/>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Pr>
          <w:p>
            <w:pPr>
              <w:widowControl w:val="0"/>
              <w:spacing w:line="360" w:lineRule="auto"/>
              <w:jc w:val="both"/>
              <w:rPr>
                <w:rFonts w:hint="eastAsia" w:ascii="仿宋" w:hAnsi="仿宋" w:eastAsia="仿宋" w:cs="仿宋"/>
                <w:color w:val="auto"/>
                <w:sz w:val="24"/>
                <w:szCs w:val="24"/>
                <w:highlight w:val="none"/>
                <w:u w:val="none"/>
                <w:vertAlign w:val="baseline"/>
                <w:lang w:val="en-US" w:eastAsia="zh-CN"/>
              </w:rPr>
            </w:pPr>
            <w:r>
              <w:rPr>
                <w:rFonts w:hint="eastAsia" w:ascii="仿宋" w:hAnsi="仿宋" w:eastAsia="仿宋" w:cs="仿宋"/>
                <w:color w:val="auto"/>
                <w:sz w:val="24"/>
                <w:szCs w:val="24"/>
                <w:highlight w:val="none"/>
                <w:u w:val="none"/>
                <w:vertAlign w:val="baseline"/>
                <w:lang w:val="en-US" w:eastAsia="zh-CN"/>
              </w:rPr>
              <w:t>投标报价（小写）</w:t>
            </w:r>
          </w:p>
        </w:tc>
        <w:tc>
          <w:tcPr>
            <w:tcW w:w="4558" w:type="dxa"/>
          </w:tcPr>
          <w:p>
            <w:pPr>
              <w:widowControl w:val="0"/>
              <w:spacing w:line="360" w:lineRule="auto"/>
              <w:jc w:val="center"/>
              <w:rPr>
                <w:rFonts w:hint="eastAsia" w:ascii="仿宋" w:hAnsi="仿宋" w:eastAsia="仿宋" w:cs="仿宋"/>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Pr>
          <w:p>
            <w:pPr>
              <w:widowControl w:val="0"/>
              <w:spacing w:line="360" w:lineRule="auto"/>
              <w:jc w:val="both"/>
              <w:rPr>
                <w:rFonts w:hint="eastAsia" w:ascii="仿宋" w:hAnsi="仿宋" w:eastAsia="仿宋" w:cs="仿宋"/>
                <w:color w:val="auto"/>
                <w:sz w:val="24"/>
                <w:szCs w:val="24"/>
                <w:highlight w:val="none"/>
                <w:u w:val="none"/>
                <w:vertAlign w:val="baseline"/>
                <w:lang w:val="en-US" w:eastAsia="zh-CN"/>
              </w:rPr>
            </w:pPr>
            <w:r>
              <w:rPr>
                <w:rFonts w:hint="eastAsia" w:ascii="仿宋" w:hAnsi="仿宋" w:eastAsia="仿宋" w:cs="仿宋"/>
                <w:color w:val="auto"/>
                <w:sz w:val="24"/>
                <w:szCs w:val="24"/>
                <w:highlight w:val="none"/>
                <w:u w:val="none"/>
                <w:vertAlign w:val="baseline"/>
                <w:lang w:val="en-US" w:eastAsia="zh-CN"/>
              </w:rPr>
              <w:t>投标报价（大写）</w:t>
            </w:r>
          </w:p>
        </w:tc>
        <w:tc>
          <w:tcPr>
            <w:tcW w:w="4558" w:type="dxa"/>
          </w:tcPr>
          <w:p>
            <w:pPr>
              <w:widowControl w:val="0"/>
              <w:spacing w:line="360" w:lineRule="auto"/>
              <w:jc w:val="center"/>
              <w:rPr>
                <w:rFonts w:hint="eastAsia" w:ascii="仿宋" w:hAnsi="仿宋" w:eastAsia="仿宋" w:cs="仿宋"/>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合同履约期限</w:t>
            </w:r>
          </w:p>
        </w:tc>
        <w:tc>
          <w:tcPr>
            <w:tcW w:w="4558" w:type="dxa"/>
          </w:tcPr>
          <w:p>
            <w:pPr>
              <w:keepNext w:val="0"/>
              <w:keepLines w:val="0"/>
              <w:widowControl/>
              <w:suppressLineNumbers w:val="0"/>
              <w:jc w:val="center"/>
              <w:rPr>
                <w:rFonts w:hint="eastAsia" w:ascii="仿宋" w:hAnsi="仿宋" w:eastAsia="仿宋" w:cs="仿宋"/>
                <w:b/>
                <w:bCs/>
                <w:color w:val="auto"/>
                <w:sz w:val="24"/>
                <w:szCs w:val="24"/>
                <w:u w:val="none"/>
                <w:vertAlign w:val="baseline"/>
                <w:lang w:val="en-US" w:eastAsia="zh-CN"/>
              </w:rPr>
            </w:pPr>
          </w:p>
        </w:tc>
      </w:tr>
    </w:tbl>
    <w:p>
      <w:pPr>
        <w:spacing w:line="360" w:lineRule="auto"/>
        <w:rPr>
          <w:rFonts w:hint="eastAsia" w:ascii="仿宋" w:hAnsi="仿宋" w:eastAsia="仿宋" w:cs="仿宋"/>
          <w:color w:val="auto"/>
          <w:sz w:val="24"/>
          <w:szCs w:val="24"/>
          <w:u w:val="none"/>
          <w:lang w:val="en-US" w:eastAsia="zh-CN"/>
        </w:rPr>
      </w:pPr>
    </w:p>
    <w:p>
      <w:pPr>
        <w:spacing w:line="360" w:lineRule="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交货地点：用户指定地点</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lang w:val="en-US" w:eastAsia="zh-CN"/>
        </w:rPr>
        <w:t>名称</w:t>
      </w:r>
      <w:r>
        <w:rPr>
          <w:rFonts w:hint="eastAsia" w:ascii="仿宋" w:hAnsi="仿宋" w:eastAsia="仿宋" w:cs="仿宋"/>
          <w:color w:val="auto"/>
          <w:sz w:val="24"/>
          <w:szCs w:val="24"/>
          <w:lang w:eastAsia="zh-CN"/>
        </w:rPr>
        <w:t>：</w:t>
      </w:r>
      <w:r>
        <w:rPr>
          <w:rFonts w:hint="eastAsia" w:ascii="仿宋" w:hAnsi="仿宋" w:eastAsia="仿宋" w:cs="仿宋"/>
          <w:b/>
          <w:bCs/>
          <w:color w:val="auto"/>
          <w:sz w:val="24"/>
          <w:szCs w:val="24"/>
          <w:u w:val="single"/>
          <w:lang w:val="en-US" w:eastAsia="zh-CN"/>
        </w:rPr>
        <w:t xml:space="preserve">                  （公章）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法定代表人（或授权代理人）：</w:t>
      </w:r>
      <w:r>
        <w:rPr>
          <w:rFonts w:hint="eastAsia" w:ascii="仿宋" w:hAnsi="仿宋" w:eastAsia="仿宋" w:cs="仿宋"/>
          <w:b/>
          <w:bCs/>
          <w:color w:val="auto"/>
          <w:sz w:val="24"/>
          <w:szCs w:val="24"/>
          <w:u w:val="single"/>
          <w:lang w:val="en-US" w:eastAsia="zh-CN"/>
        </w:rPr>
        <w:t xml:space="preserve">    </w:t>
      </w:r>
      <w:r>
        <w:rPr>
          <w:rFonts w:hint="eastAsia" w:ascii="仿宋" w:hAnsi="仿宋" w:eastAsia="仿宋" w:cs="仿宋"/>
          <w:b/>
          <w:bCs/>
          <w:color w:val="auto"/>
          <w:sz w:val="24"/>
          <w:szCs w:val="24"/>
          <w:u w:val="single"/>
          <w:lang w:eastAsia="zh-CN"/>
        </w:rPr>
        <w:t xml:space="preserve">           </w:t>
      </w:r>
      <w:r>
        <w:rPr>
          <w:rFonts w:hint="eastAsia" w:ascii="仿宋" w:hAnsi="仿宋" w:eastAsia="仿宋" w:cs="仿宋"/>
          <w:b/>
          <w:bCs/>
          <w:color w:val="auto"/>
          <w:sz w:val="24"/>
          <w:szCs w:val="24"/>
          <w:u w:val="single"/>
          <w:lang w:val="en-US" w:eastAsia="zh-CN"/>
        </w:rPr>
        <w:t xml:space="preserve">   （签字或盖章）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日期：</w:t>
      </w:r>
      <w:r>
        <w:rPr>
          <w:rFonts w:hint="eastAsia" w:ascii="仿宋" w:hAnsi="仿宋" w:eastAsia="仿宋" w:cs="仿宋"/>
          <w:b/>
          <w:bCs/>
          <w:color w:val="auto"/>
          <w:sz w:val="24"/>
          <w:szCs w:val="24"/>
          <w:u w:val="single"/>
          <w:lang w:val="en-US" w:eastAsia="zh-CN"/>
        </w:rPr>
        <w:t xml:space="preserve">                    </w:t>
      </w:r>
    </w:p>
    <w:p>
      <w:pPr>
        <w:rPr>
          <w:rFonts w:hint="eastAsia" w:ascii="仿宋" w:hAnsi="仿宋" w:eastAsia="仿宋" w:cs="仿宋"/>
          <w:color w:val="auto"/>
          <w:sz w:val="24"/>
          <w:szCs w:val="24"/>
          <w:lang w:eastAsia="zh-CN"/>
        </w:rPr>
      </w:pPr>
    </w:p>
    <w:p>
      <w:pPr>
        <w:rPr>
          <w:rFonts w:hint="eastAsia" w:ascii="仿宋" w:hAnsi="仿宋" w:eastAsia="仿宋" w:cs="仿宋"/>
          <w:color w:val="auto"/>
          <w:sz w:val="24"/>
          <w:szCs w:val="24"/>
          <w:lang w:eastAsia="zh-CN"/>
        </w:rPr>
      </w:pPr>
    </w:p>
    <w:p>
      <w:pPr>
        <w:pStyle w:val="58"/>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注：</w:t>
      </w:r>
      <w:r>
        <w:rPr>
          <w:rFonts w:hint="eastAsia" w:ascii="仿宋" w:hAnsi="仿宋" w:eastAsia="仿宋" w:cs="仿宋"/>
          <w:b/>
          <w:bCs/>
          <w:color w:val="auto"/>
          <w:sz w:val="24"/>
          <w:szCs w:val="24"/>
          <w:lang w:val="en-US" w:eastAsia="zh-CN"/>
        </w:rPr>
        <w:t>1.投标报价应包括招标文件所规定的招标范围的全部内容，投标总金额包括本招标书中要求的所有货物和服务的费用，包括运输、保险、税收等相关费用。</w:t>
      </w:r>
    </w:p>
    <w:p>
      <w:pPr>
        <w:pStyle w:val="58"/>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2.本项目投标总报价超过采购预算的将视为无效投标。</w:t>
      </w:r>
    </w:p>
    <w:p>
      <w:pPr>
        <w:rPr>
          <w:rFonts w:hint="eastAsia" w:ascii="仿宋" w:hAnsi="仿宋" w:eastAsia="仿宋" w:cs="仿宋"/>
          <w:color w:val="auto"/>
          <w:sz w:val="24"/>
          <w:szCs w:val="24"/>
        </w:rPr>
      </w:pPr>
    </w:p>
    <w:p>
      <w:pPr>
        <w:spacing w:before="19" w:line="360" w:lineRule="auto"/>
        <w:rPr>
          <w:rFonts w:hint="eastAsia" w:ascii="仿宋" w:hAnsi="仿宋" w:eastAsia="仿宋" w:cs="仿宋"/>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08" w:num="1"/>
          <w:titlePg/>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3:</w:t>
      </w:r>
    </w:p>
    <w:p>
      <w:pPr>
        <w:rPr>
          <w:rFonts w:hint="eastAsia" w:ascii="仿宋" w:hAnsi="仿宋" w:eastAsia="仿宋" w:cs="仿宋"/>
          <w:color w:val="auto"/>
          <w:lang w:val="en-US" w:eastAsia="zh-CN"/>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9" w:name="_Toc14273"/>
      <w:bookmarkStart w:id="80" w:name="_Toc28100"/>
      <w:r>
        <w:rPr>
          <w:rFonts w:hint="eastAsia" w:ascii="仿宋" w:hAnsi="仿宋" w:eastAsia="仿宋" w:cs="仿宋"/>
          <w:color w:val="auto"/>
          <w:lang w:val="en-US" w:eastAsia="zh-CN"/>
        </w:rPr>
        <w:t>3、分项报价明细表</w:t>
      </w:r>
      <w:bookmarkEnd w:id="79"/>
      <w:bookmarkEnd w:id="80"/>
    </w:p>
    <w:p>
      <w:pPr>
        <w:rPr>
          <w:rFonts w:hint="eastAsia" w:ascii="仿宋" w:hAnsi="仿宋" w:eastAsia="仿宋" w:cs="仿宋"/>
          <w:color w:val="auto"/>
          <w:sz w:val="24"/>
          <w:szCs w:val="24"/>
        </w:rPr>
      </w:pPr>
    </w:p>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p>
      <w:pPr>
        <w:spacing w:before="19"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eastAsia="zh-CN"/>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包号：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tbl>
      <w:tblPr>
        <w:tblStyle w:val="30"/>
        <w:tblW w:w="9686" w:type="dxa"/>
        <w:tblInd w:w="-318" w:type="dxa"/>
        <w:tblBorders>
          <w:top w:val="none" w:color="auto" w:sz="0" w:space="0"/>
          <w:left w:val="none" w:color="auto" w:sz="0" w:space="0"/>
          <w:bottom w:val="none" w:color="auto" w:sz="0" w:space="0"/>
          <w:right w:val="single" w:color="000000" w:sz="8" w:space="0"/>
          <w:insideH w:val="none" w:color="auto" w:sz="0" w:space="0"/>
          <w:insideV w:val="none" w:color="auto" w:sz="0" w:space="0"/>
        </w:tblBorders>
        <w:tblLayout w:type="fixed"/>
        <w:tblCellMar>
          <w:top w:w="0" w:type="dxa"/>
          <w:left w:w="30" w:type="dxa"/>
          <w:bottom w:w="0" w:type="dxa"/>
          <w:right w:w="30" w:type="dxa"/>
        </w:tblCellMar>
      </w:tblPr>
      <w:tblGrid>
        <w:gridCol w:w="806"/>
        <w:gridCol w:w="1641"/>
        <w:gridCol w:w="2493"/>
        <w:gridCol w:w="864"/>
        <w:gridCol w:w="930"/>
        <w:gridCol w:w="1340"/>
        <w:gridCol w:w="1612"/>
      </w:tblGrid>
      <w:tr>
        <w:tblPrEx>
          <w:tblBorders>
            <w:top w:val="none" w:color="auto" w:sz="0" w:space="0"/>
            <w:left w:val="none" w:color="auto" w:sz="0" w:space="0"/>
            <w:bottom w:val="none" w:color="auto" w:sz="0" w:space="0"/>
            <w:right w:val="single" w:color="000000" w:sz="8" w:space="0"/>
            <w:insideH w:val="none" w:color="auto" w:sz="0" w:space="0"/>
            <w:insideV w:val="none" w:color="auto" w:sz="0" w:space="0"/>
          </w:tblBorders>
          <w:tblCellMar>
            <w:top w:w="0" w:type="dxa"/>
            <w:left w:w="30" w:type="dxa"/>
            <w:bottom w:w="0" w:type="dxa"/>
            <w:right w:w="30" w:type="dxa"/>
          </w:tblCellMar>
        </w:tblPrEx>
        <w:trPr>
          <w:trHeight w:val="593"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64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 w:val="24"/>
                <w:szCs w:val="24"/>
                <w:lang w:val="en-US"/>
              </w:rPr>
            </w:pPr>
            <w:r>
              <w:rPr>
                <w:rFonts w:hint="eastAsia" w:ascii="仿宋" w:hAnsi="仿宋" w:eastAsia="仿宋" w:cs="仿宋"/>
                <w:b/>
                <w:color w:val="auto"/>
                <w:sz w:val="24"/>
                <w:szCs w:val="24"/>
                <w:lang w:val="en-US" w:eastAsia="zh-CN"/>
              </w:rPr>
              <w:t>服务品目</w:t>
            </w:r>
          </w:p>
        </w:tc>
        <w:tc>
          <w:tcPr>
            <w:tcW w:w="249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服务内容</w:t>
            </w:r>
          </w:p>
        </w:tc>
        <w:tc>
          <w:tcPr>
            <w:tcW w:w="86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数量</w:t>
            </w:r>
          </w:p>
        </w:tc>
        <w:tc>
          <w:tcPr>
            <w:tcW w:w="9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单位</w:t>
            </w:r>
          </w:p>
        </w:tc>
        <w:tc>
          <w:tcPr>
            <w:tcW w:w="13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98" w:firstLineChars="82"/>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单价（元）</w:t>
            </w:r>
          </w:p>
        </w:tc>
        <w:tc>
          <w:tcPr>
            <w:tcW w:w="1612" w:type="dxa"/>
            <w:tcBorders>
              <w:top w:val="single" w:color="auto" w:sz="8" w:space="0"/>
              <w:left w:val="single" w:color="auto" w:sz="8" w:space="0"/>
              <w:bottom w:val="single" w:color="auto" w:sz="8" w:space="0"/>
            </w:tcBorders>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小计（元）</w:t>
            </w:r>
          </w:p>
        </w:tc>
      </w:tr>
      <w:tr>
        <w:tblPrEx>
          <w:tblBorders>
            <w:top w:val="none" w:color="auto" w:sz="0" w:space="0"/>
            <w:left w:val="none" w:color="auto" w:sz="0" w:space="0"/>
            <w:bottom w:val="none" w:color="auto" w:sz="0" w:space="0"/>
            <w:right w:val="single" w:color="000000" w:sz="8" w:space="0"/>
            <w:insideH w:val="none" w:color="auto" w:sz="0" w:space="0"/>
            <w:insideV w:val="none" w:color="auto" w:sz="0"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0" w:space="0"/>
            <w:left w:val="none" w:color="auto" w:sz="0" w:space="0"/>
            <w:bottom w:val="none" w:color="auto" w:sz="0" w:space="0"/>
            <w:right w:val="single" w:color="000000" w:sz="8" w:space="0"/>
            <w:insideH w:val="none" w:color="auto" w:sz="0" w:space="0"/>
            <w:insideV w:val="none" w:color="auto" w:sz="0"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0" w:space="0"/>
            <w:left w:val="none" w:color="auto" w:sz="0" w:space="0"/>
            <w:bottom w:val="none" w:color="auto" w:sz="0" w:space="0"/>
            <w:right w:val="single" w:color="000000" w:sz="8" w:space="0"/>
            <w:insideH w:val="none" w:color="auto" w:sz="0" w:space="0"/>
            <w:insideV w:val="none" w:color="auto" w:sz="0" w:space="0"/>
          </w:tblBorders>
          <w:tblCellMar>
            <w:top w:w="0" w:type="dxa"/>
            <w:left w:w="30" w:type="dxa"/>
            <w:bottom w:w="0" w:type="dxa"/>
            <w:right w:w="30" w:type="dxa"/>
          </w:tblCellMar>
        </w:tblPrEx>
        <w:trPr>
          <w:trHeight w:val="45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0" w:space="0"/>
            <w:left w:val="none" w:color="auto" w:sz="0" w:space="0"/>
            <w:bottom w:val="none" w:color="auto" w:sz="0" w:space="0"/>
            <w:right w:val="single" w:color="000000" w:sz="8" w:space="0"/>
            <w:insideH w:val="none" w:color="auto" w:sz="0" w:space="0"/>
            <w:insideV w:val="none" w:color="auto" w:sz="0" w:space="0"/>
          </w:tblBorders>
          <w:tblCellMar>
            <w:top w:w="0" w:type="dxa"/>
            <w:left w:w="30" w:type="dxa"/>
            <w:bottom w:w="0" w:type="dxa"/>
            <w:right w:w="30" w:type="dxa"/>
          </w:tblCellMar>
        </w:tblPrEx>
        <w:trPr>
          <w:trHeight w:val="47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0" w:space="0"/>
            <w:left w:val="none" w:color="auto" w:sz="0" w:space="0"/>
            <w:bottom w:val="none" w:color="auto" w:sz="0" w:space="0"/>
            <w:right w:val="single" w:color="000000" w:sz="8" w:space="0"/>
            <w:insideH w:val="none" w:color="auto" w:sz="0" w:space="0"/>
            <w:insideV w:val="none" w:color="auto" w:sz="0"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0" w:space="0"/>
            <w:left w:val="none" w:color="auto" w:sz="0" w:space="0"/>
            <w:bottom w:val="none" w:color="auto" w:sz="0" w:space="0"/>
            <w:right w:val="single" w:color="000000" w:sz="8" w:space="0"/>
            <w:insideH w:val="none" w:color="auto" w:sz="0" w:space="0"/>
            <w:insideV w:val="none" w:color="auto" w:sz="0"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99" w:firstLineChars="83"/>
              <w:jc w:val="both"/>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2"/>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 </w:t>
            </w:r>
          </w:p>
        </w:tc>
        <w:tc>
          <w:tcPr>
            <w:tcW w:w="2493" w:type="dxa"/>
            <w:tcBorders>
              <w:top w:val="single" w:color="auto" w:sz="8" w:space="0"/>
              <w:left w:val="single" w:color="auto" w:sz="8" w:space="0"/>
              <w:bottom w:val="single" w:color="auto" w:sz="8" w:space="0"/>
              <w:right w:val="single" w:color="auto" w:sz="8" w:space="0"/>
            </w:tcBorders>
            <w:vAlign w:val="center"/>
          </w:tcPr>
          <w:p>
            <w:pPr>
              <w:rPr>
                <w:rFonts w:hint="eastAsia" w:ascii="仿宋" w:hAnsi="仿宋" w:eastAsia="仿宋" w:cs="仿宋"/>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0" w:space="0"/>
            <w:left w:val="none" w:color="auto" w:sz="0" w:space="0"/>
            <w:bottom w:val="none" w:color="auto" w:sz="0" w:space="0"/>
            <w:right w:val="single" w:color="000000" w:sz="8" w:space="0"/>
            <w:insideH w:val="none" w:color="auto" w:sz="0" w:space="0"/>
            <w:insideV w:val="none" w:color="auto" w:sz="0"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99" w:firstLineChars="83"/>
              <w:jc w:val="both"/>
              <w:rPr>
                <w:rFonts w:hint="eastAsia" w:ascii="仿宋" w:hAnsi="仿宋" w:eastAsia="仿宋" w:cs="仿宋"/>
                <w:color w:val="auto"/>
                <w:sz w:val="24"/>
                <w:szCs w:val="24"/>
              </w:rPr>
            </w:pPr>
          </w:p>
        </w:tc>
        <w:tc>
          <w:tcPr>
            <w:tcW w:w="7268" w:type="dxa"/>
            <w:gridSpan w:val="5"/>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480"/>
              <w:jc w:val="center"/>
              <w:rPr>
                <w:rFonts w:hint="eastAsia" w:ascii="仿宋" w:hAnsi="仿宋" w:eastAsia="仿宋" w:cs="仿宋"/>
                <w:color w:val="auto"/>
                <w:sz w:val="24"/>
                <w:szCs w:val="24"/>
                <w:lang w:val="en-US" w:eastAsia="zh-CN"/>
              </w:rPr>
            </w:pPr>
            <w:r>
              <w:rPr>
                <w:rFonts w:hint="eastAsia" w:ascii="仿宋" w:hAnsi="仿宋" w:eastAsia="仿宋" w:cs="仿宋"/>
                <w:b/>
                <w:color w:val="auto"/>
                <w:sz w:val="24"/>
                <w:szCs w:val="24"/>
                <w:lang w:val="en-US" w:eastAsia="zh-CN"/>
              </w:rPr>
              <w:t>合计：</w:t>
            </w: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hint="eastAsia" w:ascii="仿宋" w:hAnsi="仿宋" w:eastAsia="仿宋" w:cs="仿宋"/>
                <w:color w:val="auto"/>
                <w:sz w:val="24"/>
                <w:szCs w:val="24"/>
              </w:rPr>
            </w:pPr>
          </w:p>
        </w:tc>
      </w:tr>
    </w:tbl>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名称（盖章）：                          授权代表（签名或私章）：</w:t>
      </w:r>
    </w:p>
    <w:p>
      <w:pPr>
        <w:rPr>
          <w:rFonts w:hint="eastAsia" w:ascii="仿宋" w:hAnsi="仿宋" w:eastAsia="仿宋" w:cs="仿宋"/>
          <w:color w:val="auto"/>
          <w:sz w:val="24"/>
          <w:szCs w:val="24"/>
        </w:rPr>
      </w:pPr>
    </w:p>
    <w:p>
      <w:pPr>
        <w:snapToGrid w:val="0"/>
        <w:spacing w:line="360" w:lineRule="auto"/>
        <w:ind w:left="480" w:hanging="482" w:hangingChars="200"/>
        <w:rPr>
          <w:rFonts w:hint="eastAsia" w:ascii="仿宋" w:hAnsi="仿宋" w:eastAsia="仿宋" w:cs="仿宋"/>
          <w:b/>
          <w:color w:val="auto"/>
          <w:sz w:val="24"/>
          <w:szCs w:val="24"/>
        </w:rPr>
      </w:pPr>
    </w:p>
    <w:p>
      <w:pPr>
        <w:snapToGrid w:val="0"/>
        <w:spacing w:line="360" w:lineRule="auto"/>
        <w:ind w:left="480" w:hanging="482" w:hangingChars="200"/>
        <w:rPr>
          <w:rFonts w:hint="eastAsia" w:ascii="仿宋" w:hAnsi="仿宋" w:eastAsia="仿宋" w:cs="仿宋"/>
          <w:b/>
          <w:color w:val="auto"/>
          <w:sz w:val="24"/>
          <w:szCs w:val="24"/>
        </w:rPr>
      </w:pPr>
    </w:p>
    <w:p>
      <w:pPr>
        <w:snapToGrid w:val="0"/>
        <w:spacing w:line="360" w:lineRule="auto"/>
        <w:ind w:left="480" w:hanging="482" w:hangingChars="200"/>
        <w:rPr>
          <w:rFonts w:hint="eastAsia" w:ascii="仿宋" w:hAnsi="仿宋" w:eastAsia="仿宋" w:cs="仿宋"/>
          <w:b/>
          <w:color w:val="auto"/>
          <w:sz w:val="24"/>
          <w:szCs w:val="24"/>
        </w:rPr>
      </w:pPr>
      <w:r>
        <w:rPr>
          <w:rFonts w:hint="eastAsia" w:ascii="仿宋" w:hAnsi="仿宋" w:eastAsia="仿宋" w:cs="仿宋"/>
          <w:b/>
          <w:color w:val="auto"/>
          <w:sz w:val="24"/>
          <w:szCs w:val="24"/>
        </w:rPr>
        <w:t>注: 1、</w:t>
      </w:r>
      <w:r>
        <w:rPr>
          <w:rFonts w:hint="eastAsia" w:ascii="仿宋" w:hAnsi="仿宋" w:eastAsia="仿宋" w:cs="仿宋"/>
          <w:b/>
          <w:color w:val="auto"/>
          <w:sz w:val="24"/>
          <w:szCs w:val="24"/>
          <w:lang w:val="en-US" w:eastAsia="zh-CN"/>
        </w:rPr>
        <w:t>供应商必须按“分项报价明细表”的格式详细报出投标总价的各个组成部分的报价，否则作无效投标处理。</w:t>
      </w:r>
    </w:p>
    <w:p>
      <w:pPr>
        <w:numPr>
          <w:ilvl w:val="0"/>
          <w:numId w:val="6"/>
        </w:numPr>
        <w:tabs>
          <w:tab w:val="left" w:pos="360"/>
        </w:tabs>
        <w:snapToGrid w:val="0"/>
        <w:spacing w:line="360" w:lineRule="auto"/>
        <w:ind w:left="-15" w:leftChars="-7" w:right="-119" w:firstLine="472" w:firstLineChars="196"/>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分项报价明细表</w:t>
      </w:r>
      <w:r>
        <w:rPr>
          <w:rFonts w:hint="eastAsia" w:ascii="仿宋" w:hAnsi="仿宋" w:eastAsia="仿宋" w:cs="仿宋"/>
          <w:b/>
          <w:color w:val="auto"/>
          <w:sz w:val="24"/>
          <w:szCs w:val="24"/>
        </w:rPr>
        <w:t>格式不得自行改动</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行数可以自行添加</w:t>
      </w:r>
      <w:r>
        <w:rPr>
          <w:rFonts w:hint="eastAsia" w:ascii="仿宋" w:hAnsi="仿宋" w:eastAsia="仿宋" w:cs="仿宋"/>
          <w:b/>
          <w:color w:val="auto"/>
          <w:sz w:val="24"/>
          <w:szCs w:val="24"/>
        </w:rPr>
        <w:t>。</w:t>
      </w:r>
    </w:p>
    <w:p>
      <w:pPr>
        <w:numPr>
          <w:ilvl w:val="0"/>
          <w:numId w:val="0"/>
        </w:numPr>
        <w:tabs>
          <w:tab w:val="left" w:pos="360"/>
        </w:tabs>
        <w:snapToGrid w:val="0"/>
        <w:spacing w:line="360" w:lineRule="auto"/>
        <w:ind w:right="-119" w:rightChars="0"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3、“分项报价明细表”各分项报价合计应当与“开标一览表”报价合计相等。</w:t>
      </w:r>
    </w:p>
    <w:p>
      <w:pPr>
        <w:pStyle w:val="7"/>
        <w:spacing w:line="440" w:lineRule="exact"/>
        <w:ind w:firstLine="0"/>
        <w:rPr>
          <w:rFonts w:hint="eastAsia" w:ascii="仿宋" w:hAnsi="仿宋" w:eastAsia="仿宋" w:cs="仿宋"/>
          <w:bCs/>
          <w:color w:val="auto"/>
          <w:sz w:val="24"/>
          <w:szCs w:val="24"/>
        </w:rPr>
      </w:pPr>
      <w:r>
        <w:rPr>
          <w:rFonts w:hint="eastAsia" w:ascii="仿宋" w:hAnsi="仿宋" w:eastAsia="仿宋" w:cs="仿宋"/>
          <w:bCs/>
          <w:color w:val="auto"/>
          <w:sz w:val="24"/>
          <w:szCs w:val="24"/>
        </w:rPr>
        <w:t>　　　　　　　　</w:t>
      </w:r>
      <w:bookmarkEnd w:id="72"/>
      <w:bookmarkEnd w:id="73"/>
      <w:bookmarkStart w:id="81" w:name="_Toc264213367"/>
    </w:p>
    <w:p>
      <w:pPr>
        <w:pStyle w:val="7"/>
        <w:spacing w:line="440" w:lineRule="exact"/>
        <w:ind w:firstLine="0"/>
        <w:rPr>
          <w:rFonts w:hint="eastAsia" w:ascii="仿宋" w:hAnsi="仿宋" w:eastAsia="仿宋" w:cs="仿宋"/>
          <w:bCs/>
          <w:color w:val="auto"/>
          <w:sz w:val="24"/>
          <w:szCs w:val="24"/>
        </w:rPr>
      </w:pPr>
    </w:p>
    <w:p>
      <w:pPr>
        <w:pStyle w:val="7"/>
        <w:spacing w:line="440" w:lineRule="exact"/>
        <w:ind w:firstLine="0"/>
        <w:jc w:val="center"/>
        <w:rPr>
          <w:rFonts w:hint="eastAsia" w:ascii="仿宋" w:hAnsi="仿宋" w:eastAsia="仿宋" w:cs="仿宋"/>
          <w:b/>
          <w:color w:val="auto"/>
          <w:sz w:val="24"/>
          <w:szCs w:val="24"/>
        </w:rPr>
      </w:pPr>
    </w:p>
    <w:p>
      <w:pPr>
        <w:pStyle w:val="7"/>
        <w:spacing w:line="440" w:lineRule="exact"/>
        <w:ind w:firstLine="0"/>
        <w:jc w:val="center"/>
        <w:rPr>
          <w:rFonts w:hint="eastAsia" w:ascii="仿宋" w:hAnsi="仿宋" w:eastAsia="仿宋" w:cs="仿宋"/>
          <w:b/>
          <w:color w:val="auto"/>
          <w:sz w:val="24"/>
          <w:szCs w:val="24"/>
        </w:rPr>
      </w:pPr>
    </w:p>
    <w:p>
      <w:pPr>
        <w:pStyle w:val="7"/>
        <w:spacing w:line="440" w:lineRule="exact"/>
        <w:ind w:firstLine="0"/>
        <w:jc w:val="center"/>
        <w:rPr>
          <w:rFonts w:hint="eastAsia" w:ascii="仿宋" w:hAnsi="仿宋" w:eastAsia="仿宋" w:cs="仿宋"/>
          <w:b/>
          <w:color w:val="auto"/>
          <w:sz w:val="24"/>
          <w:szCs w:val="24"/>
        </w:rPr>
      </w:pPr>
    </w:p>
    <w:p>
      <w:pPr>
        <w:pStyle w:val="7"/>
        <w:spacing w:line="440" w:lineRule="exact"/>
        <w:ind w:firstLine="0"/>
        <w:jc w:val="center"/>
        <w:rPr>
          <w:rFonts w:hint="eastAsia" w:ascii="仿宋" w:hAnsi="仿宋" w:eastAsia="仿宋" w:cs="仿宋"/>
          <w:b/>
          <w:color w:val="auto"/>
          <w:sz w:val="24"/>
          <w:szCs w:val="24"/>
        </w:rPr>
      </w:pPr>
    </w:p>
    <w:p>
      <w:pPr>
        <w:pStyle w:val="7"/>
        <w:spacing w:line="440" w:lineRule="exact"/>
        <w:ind w:firstLine="0"/>
        <w:jc w:val="center"/>
        <w:rPr>
          <w:rFonts w:hint="eastAsia" w:ascii="仿宋" w:hAnsi="仿宋" w:eastAsia="仿宋" w:cs="仿宋"/>
          <w:b/>
          <w:color w:val="auto"/>
          <w:sz w:val="24"/>
          <w:szCs w:val="24"/>
        </w:rPr>
      </w:pPr>
    </w:p>
    <w:p>
      <w:pPr>
        <w:pStyle w:val="7"/>
        <w:spacing w:line="440" w:lineRule="exact"/>
        <w:ind w:firstLine="0"/>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08" w:num="1"/>
          <w:titlePg/>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4:</w:t>
      </w:r>
    </w:p>
    <w:p>
      <w:pPr>
        <w:rPr>
          <w:rFonts w:hint="eastAsia" w:ascii="仿宋" w:hAnsi="仿宋" w:eastAsia="仿宋" w:cs="仿宋"/>
          <w:color w:val="auto"/>
          <w:lang w:val="en-US" w:eastAsia="zh-CN"/>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82" w:name="_Toc22613"/>
      <w:bookmarkStart w:id="83" w:name="_Toc5692"/>
      <w:r>
        <w:rPr>
          <w:rFonts w:hint="eastAsia" w:ascii="仿宋" w:hAnsi="仿宋" w:eastAsia="仿宋" w:cs="仿宋"/>
          <w:color w:val="auto"/>
          <w:lang w:val="en-US" w:eastAsia="zh-CN"/>
        </w:rPr>
        <w:t>4、用户需求响应表</w:t>
      </w:r>
      <w:bookmarkEnd w:id="82"/>
      <w:bookmarkEnd w:id="83"/>
    </w:p>
    <w:p>
      <w:pPr>
        <w:rPr>
          <w:rFonts w:hint="eastAsia" w:ascii="仿宋" w:hAnsi="仿宋" w:eastAsia="仿宋" w:cs="仿宋"/>
          <w:color w:val="auto"/>
          <w:sz w:val="24"/>
          <w:szCs w:val="24"/>
        </w:rPr>
      </w:pPr>
    </w:p>
    <w:p>
      <w:pPr>
        <w:snapToGrid w:val="0"/>
        <w:spacing w:line="360" w:lineRule="auto"/>
        <w:ind w:firstLine="480" w:firstLineChars="200"/>
        <w:rPr>
          <w:rFonts w:hint="eastAsia" w:ascii="仿宋" w:hAnsi="仿宋" w:eastAsia="仿宋" w:cs="仿宋"/>
          <w:b/>
          <w:color w:val="auto"/>
          <w:sz w:val="24"/>
          <w:szCs w:val="24"/>
          <w:u w:val="single"/>
        </w:rPr>
      </w:pPr>
      <w:r>
        <w:rPr>
          <w:rFonts w:hint="eastAsia" w:ascii="仿宋" w:hAnsi="仿宋" w:eastAsia="仿宋" w:cs="仿宋"/>
          <w:color w:val="auto"/>
          <w:sz w:val="24"/>
          <w:szCs w:val="24"/>
        </w:rPr>
        <w:t>说明：</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必须仔细阅读招标文件中所有“用户需求书”中的</w:t>
      </w:r>
      <w:r>
        <w:rPr>
          <w:rFonts w:hint="eastAsia" w:ascii="仿宋" w:hAnsi="仿宋" w:eastAsia="仿宋" w:cs="仿宋"/>
          <w:color w:val="auto"/>
          <w:sz w:val="24"/>
        </w:rPr>
        <w:t>技术</w:t>
      </w:r>
      <w:r>
        <w:rPr>
          <w:rFonts w:hint="eastAsia" w:ascii="仿宋" w:hAnsi="仿宋" w:eastAsia="仿宋" w:cs="仿宋"/>
          <w:color w:val="auto"/>
          <w:sz w:val="24"/>
          <w:lang w:eastAsia="zh-CN"/>
        </w:rPr>
        <w:t>（服务）要求</w:t>
      </w:r>
      <w:r>
        <w:rPr>
          <w:rFonts w:hint="eastAsia" w:ascii="仿宋" w:hAnsi="仿宋" w:eastAsia="仿宋" w:cs="仿宋"/>
          <w:color w:val="auto"/>
          <w:sz w:val="24"/>
        </w:rPr>
        <w:t>、相关功能要求</w:t>
      </w:r>
      <w:r>
        <w:rPr>
          <w:rFonts w:hint="eastAsia" w:ascii="仿宋" w:hAnsi="仿宋" w:eastAsia="仿宋" w:cs="仿宋"/>
          <w:color w:val="auto"/>
          <w:sz w:val="24"/>
          <w:lang w:eastAsia="zh-CN"/>
        </w:rPr>
        <w:t>、商务要求</w:t>
      </w:r>
      <w:r>
        <w:rPr>
          <w:rFonts w:hint="eastAsia" w:ascii="仿宋" w:hAnsi="仿宋" w:eastAsia="仿宋" w:cs="仿宋"/>
          <w:color w:val="auto"/>
          <w:sz w:val="24"/>
        </w:rPr>
        <w:t>等</w:t>
      </w:r>
      <w:r>
        <w:rPr>
          <w:rFonts w:hint="eastAsia" w:ascii="仿宋" w:hAnsi="仿宋" w:eastAsia="仿宋" w:cs="仿宋"/>
          <w:color w:val="auto"/>
          <w:sz w:val="24"/>
          <w:lang w:eastAsia="zh-CN"/>
        </w:rPr>
        <w:t>内容</w:t>
      </w:r>
      <w:r>
        <w:rPr>
          <w:rFonts w:hint="eastAsia" w:ascii="仿宋" w:hAnsi="仿宋" w:eastAsia="仿宋" w:cs="仿宋"/>
          <w:color w:val="auto"/>
          <w:sz w:val="24"/>
          <w:szCs w:val="24"/>
        </w:rPr>
        <w:t>，并对所有</w:t>
      </w:r>
      <w:r>
        <w:rPr>
          <w:rFonts w:hint="eastAsia" w:ascii="仿宋" w:hAnsi="仿宋" w:eastAsia="仿宋" w:cs="仿宋"/>
          <w:color w:val="auto"/>
          <w:sz w:val="24"/>
        </w:rPr>
        <w:t>技术</w:t>
      </w:r>
      <w:r>
        <w:rPr>
          <w:rFonts w:hint="eastAsia" w:ascii="仿宋" w:hAnsi="仿宋" w:eastAsia="仿宋" w:cs="仿宋"/>
          <w:color w:val="auto"/>
          <w:sz w:val="24"/>
          <w:lang w:eastAsia="zh-CN"/>
        </w:rPr>
        <w:t>（服务）要求</w:t>
      </w:r>
      <w:r>
        <w:rPr>
          <w:rFonts w:hint="eastAsia" w:ascii="仿宋" w:hAnsi="仿宋" w:eastAsia="仿宋" w:cs="仿宋"/>
          <w:color w:val="auto"/>
          <w:sz w:val="24"/>
        </w:rPr>
        <w:t>、相关功能要求</w:t>
      </w:r>
      <w:r>
        <w:rPr>
          <w:rFonts w:hint="eastAsia" w:ascii="仿宋" w:hAnsi="仿宋" w:eastAsia="仿宋" w:cs="仿宋"/>
          <w:color w:val="auto"/>
          <w:sz w:val="24"/>
          <w:lang w:eastAsia="zh-CN"/>
        </w:rPr>
        <w:t>、商务要求</w:t>
      </w:r>
      <w:r>
        <w:rPr>
          <w:rFonts w:hint="eastAsia" w:ascii="仿宋" w:hAnsi="仿宋" w:eastAsia="仿宋" w:cs="仿宋"/>
          <w:color w:val="auto"/>
          <w:sz w:val="24"/>
        </w:rPr>
        <w:t>等</w:t>
      </w:r>
      <w:r>
        <w:rPr>
          <w:rFonts w:hint="eastAsia" w:ascii="仿宋" w:hAnsi="仿宋" w:eastAsia="仿宋" w:cs="仿宋"/>
          <w:color w:val="auto"/>
          <w:sz w:val="24"/>
          <w:szCs w:val="24"/>
        </w:rPr>
        <w:t>条目列入下表，未列入下表的视作</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不响应。</w:t>
      </w:r>
      <w:r>
        <w:rPr>
          <w:rFonts w:hint="eastAsia" w:ascii="仿宋" w:hAnsi="仿宋" w:eastAsia="仿宋" w:cs="仿宋"/>
          <w:b/>
          <w:color w:val="auto"/>
          <w:sz w:val="24"/>
          <w:szCs w:val="24"/>
          <w:u w:val="single"/>
          <w:lang w:eastAsia="zh-CN"/>
        </w:rPr>
        <w:t>供应商</w:t>
      </w:r>
      <w:r>
        <w:rPr>
          <w:rFonts w:hint="eastAsia" w:ascii="仿宋" w:hAnsi="仿宋" w:eastAsia="仿宋" w:cs="仿宋"/>
          <w:b/>
          <w:color w:val="auto"/>
          <w:sz w:val="24"/>
          <w:szCs w:val="24"/>
          <w:u w:val="single"/>
        </w:rPr>
        <w:t>必须根据所投</w:t>
      </w:r>
      <w:r>
        <w:rPr>
          <w:rFonts w:hint="eastAsia" w:ascii="仿宋" w:hAnsi="仿宋" w:eastAsia="仿宋" w:cs="仿宋"/>
          <w:b/>
          <w:color w:val="auto"/>
          <w:sz w:val="24"/>
          <w:u w:val="single"/>
          <w:lang w:val="en-US" w:eastAsia="zh-CN"/>
        </w:rPr>
        <w:t>服务内容</w:t>
      </w:r>
      <w:r>
        <w:rPr>
          <w:rFonts w:hint="eastAsia" w:ascii="仿宋" w:hAnsi="仿宋" w:eastAsia="仿宋" w:cs="仿宋"/>
          <w:b/>
          <w:color w:val="auto"/>
          <w:sz w:val="24"/>
          <w:szCs w:val="24"/>
          <w:u w:val="single"/>
        </w:rPr>
        <w:t>的实际情况如实填写，评委会如发现有虚假描述的，该</w:t>
      </w:r>
      <w:r>
        <w:rPr>
          <w:rFonts w:hint="eastAsia" w:ascii="仿宋" w:hAnsi="仿宋" w:eastAsia="仿宋" w:cs="仿宋"/>
          <w:b/>
          <w:color w:val="auto"/>
          <w:sz w:val="24"/>
          <w:szCs w:val="24"/>
          <w:u w:val="single"/>
          <w:lang w:val="en-US" w:eastAsia="zh-CN"/>
        </w:rPr>
        <w:t>响应</w:t>
      </w:r>
      <w:r>
        <w:rPr>
          <w:rFonts w:hint="eastAsia" w:ascii="仿宋" w:hAnsi="仿宋" w:eastAsia="仿宋" w:cs="仿宋"/>
          <w:b/>
          <w:color w:val="auto"/>
          <w:sz w:val="24"/>
          <w:szCs w:val="24"/>
          <w:u w:val="single"/>
          <w:lang w:eastAsia="zh-CN"/>
        </w:rPr>
        <w:t>文件</w:t>
      </w:r>
      <w:r>
        <w:rPr>
          <w:rFonts w:hint="eastAsia" w:ascii="仿宋" w:hAnsi="仿宋" w:eastAsia="仿宋" w:cs="仿宋"/>
          <w:b/>
          <w:color w:val="auto"/>
          <w:sz w:val="24"/>
          <w:szCs w:val="24"/>
          <w:u w:val="single"/>
        </w:rPr>
        <w:t>作废标处理，并报政府采购主管部门严肃处理。</w:t>
      </w:r>
    </w:p>
    <w:tbl>
      <w:tblPr>
        <w:tblStyle w:val="3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序号</w:t>
            </w:r>
          </w:p>
        </w:tc>
        <w:tc>
          <w:tcPr>
            <w:tcW w:w="1234" w:type="dxa"/>
            <w:tcBorders>
              <w:bottom w:val="single" w:color="auto" w:sz="4" w:space="0"/>
            </w:tcBorders>
            <w:shd w:val="clear" w:color="auto" w:fill="D9D9D9"/>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lang w:val="en-US" w:eastAsia="zh-CN"/>
              </w:rPr>
              <w:t>服务品目</w:t>
            </w:r>
          </w:p>
        </w:tc>
        <w:tc>
          <w:tcPr>
            <w:tcW w:w="2767" w:type="dxa"/>
            <w:tcBorders>
              <w:bottom w:val="single" w:color="auto" w:sz="4" w:space="0"/>
            </w:tcBorders>
            <w:shd w:val="clear" w:color="auto" w:fill="D9D9D9"/>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lang w:val="en-US" w:eastAsia="zh-CN"/>
              </w:rPr>
              <w:t>磋商</w:t>
            </w:r>
            <w:r>
              <w:rPr>
                <w:rFonts w:hint="eastAsia" w:ascii="仿宋" w:hAnsi="仿宋" w:eastAsia="仿宋" w:cs="仿宋"/>
                <w:b/>
                <w:bCs/>
                <w:color w:val="auto"/>
                <w:szCs w:val="21"/>
              </w:rPr>
              <w:t>文件技术</w:t>
            </w:r>
            <w:r>
              <w:rPr>
                <w:rFonts w:hint="eastAsia" w:ascii="仿宋" w:hAnsi="仿宋" w:eastAsia="仿宋" w:cs="仿宋"/>
                <w:b/>
                <w:bCs/>
                <w:color w:val="auto"/>
                <w:szCs w:val="21"/>
                <w:lang w:eastAsia="zh-CN"/>
              </w:rPr>
              <w:t>（服务）</w:t>
            </w:r>
            <w:r>
              <w:rPr>
                <w:rFonts w:hint="eastAsia" w:ascii="仿宋" w:hAnsi="仿宋" w:eastAsia="仿宋" w:cs="仿宋"/>
                <w:b/>
                <w:bCs/>
                <w:color w:val="auto"/>
                <w:szCs w:val="21"/>
              </w:rPr>
              <w:t>/</w:t>
            </w:r>
            <w:r>
              <w:rPr>
                <w:rFonts w:hint="eastAsia" w:ascii="仿宋" w:hAnsi="仿宋" w:eastAsia="仿宋" w:cs="仿宋"/>
                <w:b/>
                <w:bCs/>
                <w:color w:val="auto"/>
                <w:szCs w:val="21"/>
                <w:lang w:eastAsia="zh-CN"/>
              </w:rPr>
              <w:t>相关</w:t>
            </w:r>
            <w:r>
              <w:rPr>
                <w:rFonts w:hint="eastAsia" w:ascii="仿宋" w:hAnsi="仿宋" w:eastAsia="仿宋" w:cs="仿宋"/>
                <w:b/>
                <w:bCs/>
                <w:color w:val="auto"/>
                <w:szCs w:val="21"/>
              </w:rPr>
              <w:t>功能/</w:t>
            </w:r>
            <w:r>
              <w:rPr>
                <w:rFonts w:hint="eastAsia" w:ascii="仿宋" w:hAnsi="仿宋" w:eastAsia="仿宋" w:cs="仿宋"/>
                <w:b/>
                <w:bCs/>
                <w:color w:val="auto"/>
                <w:szCs w:val="21"/>
                <w:lang w:eastAsia="zh-CN"/>
              </w:rPr>
              <w:t>商务等</w:t>
            </w:r>
            <w:r>
              <w:rPr>
                <w:rFonts w:hint="eastAsia" w:ascii="仿宋" w:hAnsi="仿宋" w:eastAsia="仿宋" w:cs="仿宋"/>
                <w:b/>
                <w:bCs/>
                <w:color w:val="auto"/>
                <w:szCs w:val="21"/>
              </w:rPr>
              <w:t>要求</w:t>
            </w:r>
          </w:p>
        </w:tc>
        <w:tc>
          <w:tcPr>
            <w:tcW w:w="2752" w:type="dxa"/>
            <w:tcBorders>
              <w:bottom w:val="single" w:color="auto" w:sz="4" w:space="0"/>
            </w:tcBorders>
            <w:shd w:val="clear" w:color="auto" w:fill="D9D9D9"/>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lang w:eastAsia="zh-CN"/>
              </w:rPr>
              <w:t>响应文件</w:t>
            </w:r>
            <w:r>
              <w:rPr>
                <w:rFonts w:hint="eastAsia" w:ascii="仿宋" w:hAnsi="仿宋" w:eastAsia="仿宋" w:cs="仿宋"/>
                <w:b/>
                <w:bCs/>
                <w:color w:val="auto"/>
                <w:szCs w:val="21"/>
              </w:rPr>
              <w:t>技术</w:t>
            </w:r>
            <w:r>
              <w:rPr>
                <w:rFonts w:hint="eastAsia" w:ascii="仿宋" w:hAnsi="仿宋" w:eastAsia="仿宋" w:cs="仿宋"/>
                <w:b/>
                <w:bCs/>
                <w:color w:val="auto"/>
                <w:szCs w:val="21"/>
                <w:lang w:eastAsia="zh-CN"/>
              </w:rPr>
              <w:t>（服务）</w:t>
            </w:r>
            <w:r>
              <w:rPr>
                <w:rFonts w:hint="eastAsia" w:ascii="仿宋" w:hAnsi="仿宋" w:eastAsia="仿宋" w:cs="仿宋"/>
                <w:b/>
                <w:bCs/>
                <w:color w:val="auto"/>
                <w:szCs w:val="21"/>
              </w:rPr>
              <w:t>/</w:t>
            </w:r>
            <w:r>
              <w:rPr>
                <w:rFonts w:hint="eastAsia" w:ascii="仿宋" w:hAnsi="仿宋" w:eastAsia="仿宋" w:cs="仿宋"/>
                <w:b/>
                <w:bCs/>
                <w:color w:val="auto"/>
                <w:szCs w:val="21"/>
                <w:lang w:eastAsia="zh-CN"/>
              </w:rPr>
              <w:t>相关</w:t>
            </w:r>
            <w:r>
              <w:rPr>
                <w:rFonts w:hint="eastAsia" w:ascii="仿宋" w:hAnsi="仿宋" w:eastAsia="仿宋" w:cs="仿宋"/>
                <w:b/>
                <w:bCs/>
                <w:color w:val="auto"/>
                <w:szCs w:val="21"/>
              </w:rPr>
              <w:t>功能/</w:t>
            </w:r>
            <w:r>
              <w:rPr>
                <w:rFonts w:hint="eastAsia" w:ascii="仿宋" w:hAnsi="仿宋" w:eastAsia="仿宋" w:cs="仿宋"/>
                <w:b/>
                <w:bCs/>
                <w:color w:val="auto"/>
                <w:szCs w:val="21"/>
                <w:lang w:eastAsia="zh-CN"/>
              </w:rPr>
              <w:t>商务</w:t>
            </w:r>
            <w:r>
              <w:rPr>
                <w:rFonts w:hint="eastAsia" w:ascii="仿宋" w:hAnsi="仿宋" w:eastAsia="仿宋" w:cs="仿宋"/>
                <w:b/>
                <w:bCs/>
                <w:color w:val="auto"/>
                <w:szCs w:val="21"/>
              </w:rPr>
              <w:t>内容</w:t>
            </w:r>
          </w:p>
        </w:tc>
        <w:tc>
          <w:tcPr>
            <w:tcW w:w="1071" w:type="dxa"/>
            <w:tcBorders>
              <w:bottom w:val="single" w:color="auto" w:sz="4" w:space="0"/>
            </w:tcBorders>
            <w:shd w:val="clear" w:color="auto" w:fill="D9D9D9"/>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偏离情况</w:t>
            </w:r>
          </w:p>
        </w:tc>
        <w:tc>
          <w:tcPr>
            <w:tcW w:w="1094" w:type="dxa"/>
            <w:tcBorders>
              <w:bottom w:val="single" w:color="auto" w:sz="4" w:space="0"/>
            </w:tcBorders>
            <w:shd w:val="clear" w:color="auto" w:fill="D9D9D9"/>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34" w:type="dxa"/>
            <w:vAlign w:val="center"/>
          </w:tcPr>
          <w:p>
            <w:pPr>
              <w:snapToGrid w:val="0"/>
              <w:spacing w:line="360" w:lineRule="auto"/>
              <w:jc w:val="center"/>
              <w:rPr>
                <w:rFonts w:hint="eastAsia" w:ascii="仿宋" w:hAnsi="仿宋" w:eastAsia="仿宋" w:cs="仿宋"/>
                <w:color w:val="auto"/>
                <w:sz w:val="24"/>
                <w:szCs w:val="24"/>
                <w:lang w:eastAsia="zh-CN"/>
              </w:rPr>
            </w:pPr>
          </w:p>
        </w:tc>
        <w:tc>
          <w:tcPr>
            <w:tcW w:w="2767" w:type="dxa"/>
            <w:vAlign w:val="center"/>
          </w:tcPr>
          <w:p>
            <w:pPr>
              <w:snapToGrid w:val="0"/>
              <w:spacing w:line="360" w:lineRule="auto"/>
              <w:jc w:val="center"/>
              <w:rPr>
                <w:rFonts w:hint="eastAsia" w:ascii="仿宋" w:hAnsi="仿宋" w:eastAsia="仿宋" w:cs="仿宋"/>
                <w:color w:val="auto"/>
                <w:sz w:val="24"/>
                <w:szCs w:val="24"/>
              </w:rPr>
            </w:pPr>
          </w:p>
        </w:tc>
        <w:tc>
          <w:tcPr>
            <w:tcW w:w="2752" w:type="dxa"/>
            <w:vAlign w:val="center"/>
          </w:tcPr>
          <w:p>
            <w:pPr>
              <w:snapToGrid w:val="0"/>
              <w:spacing w:line="360" w:lineRule="auto"/>
              <w:jc w:val="center"/>
              <w:rPr>
                <w:rFonts w:hint="eastAsia" w:ascii="仿宋" w:hAnsi="仿宋" w:eastAsia="仿宋" w:cs="仿宋"/>
                <w:color w:val="auto"/>
                <w:sz w:val="24"/>
                <w:szCs w:val="24"/>
              </w:rPr>
            </w:pPr>
          </w:p>
        </w:tc>
        <w:tc>
          <w:tcPr>
            <w:tcW w:w="1071" w:type="dxa"/>
            <w:vAlign w:val="center"/>
          </w:tcPr>
          <w:p>
            <w:pPr>
              <w:snapToGrid w:val="0"/>
              <w:spacing w:line="360" w:lineRule="auto"/>
              <w:jc w:val="center"/>
              <w:rPr>
                <w:rFonts w:hint="eastAsia" w:ascii="仿宋" w:hAnsi="仿宋" w:eastAsia="仿宋" w:cs="仿宋"/>
                <w:color w:val="auto"/>
                <w:sz w:val="24"/>
                <w:szCs w:val="24"/>
              </w:rPr>
            </w:pPr>
          </w:p>
        </w:tc>
        <w:tc>
          <w:tcPr>
            <w:tcW w:w="1094" w:type="dxa"/>
            <w:vAlign w:val="center"/>
          </w:tcPr>
          <w:p>
            <w:pPr>
              <w:snapToGrid w:val="0"/>
              <w:spacing w:line="360" w:lineRule="auto"/>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234" w:type="dxa"/>
            <w:vAlign w:val="center"/>
          </w:tcPr>
          <w:p>
            <w:pPr>
              <w:snapToGrid w:val="0"/>
              <w:spacing w:line="360" w:lineRule="auto"/>
              <w:jc w:val="center"/>
              <w:rPr>
                <w:rFonts w:hint="eastAsia" w:ascii="仿宋" w:hAnsi="仿宋" w:eastAsia="仿宋" w:cs="仿宋"/>
                <w:color w:val="auto"/>
                <w:sz w:val="24"/>
                <w:szCs w:val="24"/>
                <w:lang w:val="en-US" w:eastAsia="zh-CN"/>
              </w:rPr>
            </w:pPr>
          </w:p>
        </w:tc>
        <w:tc>
          <w:tcPr>
            <w:tcW w:w="2767" w:type="dxa"/>
            <w:vAlign w:val="center"/>
          </w:tcPr>
          <w:p>
            <w:pPr>
              <w:snapToGrid w:val="0"/>
              <w:spacing w:line="360" w:lineRule="auto"/>
              <w:jc w:val="center"/>
              <w:rPr>
                <w:rFonts w:hint="eastAsia" w:ascii="仿宋" w:hAnsi="仿宋" w:eastAsia="仿宋" w:cs="仿宋"/>
                <w:color w:val="auto"/>
                <w:sz w:val="24"/>
                <w:szCs w:val="24"/>
              </w:rPr>
            </w:pPr>
          </w:p>
        </w:tc>
        <w:tc>
          <w:tcPr>
            <w:tcW w:w="2752" w:type="dxa"/>
            <w:vAlign w:val="center"/>
          </w:tcPr>
          <w:p>
            <w:pPr>
              <w:snapToGrid w:val="0"/>
              <w:spacing w:line="360" w:lineRule="auto"/>
              <w:jc w:val="center"/>
              <w:rPr>
                <w:rFonts w:hint="eastAsia" w:ascii="仿宋" w:hAnsi="仿宋" w:eastAsia="仿宋" w:cs="仿宋"/>
                <w:color w:val="auto"/>
                <w:sz w:val="24"/>
                <w:szCs w:val="24"/>
              </w:rPr>
            </w:pPr>
          </w:p>
        </w:tc>
        <w:tc>
          <w:tcPr>
            <w:tcW w:w="1071" w:type="dxa"/>
            <w:vAlign w:val="center"/>
          </w:tcPr>
          <w:p>
            <w:pPr>
              <w:snapToGrid w:val="0"/>
              <w:spacing w:line="360" w:lineRule="auto"/>
              <w:jc w:val="center"/>
              <w:rPr>
                <w:rFonts w:hint="eastAsia" w:ascii="仿宋" w:hAnsi="仿宋" w:eastAsia="仿宋" w:cs="仿宋"/>
                <w:color w:val="auto"/>
                <w:sz w:val="24"/>
                <w:szCs w:val="24"/>
              </w:rPr>
            </w:pPr>
          </w:p>
        </w:tc>
        <w:tc>
          <w:tcPr>
            <w:tcW w:w="1094" w:type="dxa"/>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234" w:type="dxa"/>
            <w:vAlign w:val="center"/>
          </w:tcPr>
          <w:p>
            <w:pPr>
              <w:snapToGrid w:val="0"/>
              <w:spacing w:line="360" w:lineRule="auto"/>
              <w:jc w:val="center"/>
              <w:rPr>
                <w:rFonts w:hint="eastAsia" w:ascii="仿宋" w:hAnsi="仿宋" w:eastAsia="仿宋" w:cs="仿宋"/>
                <w:color w:val="auto"/>
                <w:sz w:val="24"/>
                <w:szCs w:val="24"/>
              </w:rPr>
            </w:pPr>
          </w:p>
        </w:tc>
        <w:tc>
          <w:tcPr>
            <w:tcW w:w="2767" w:type="dxa"/>
            <w:vAlign w:val="center"/>
          </w:tcPr>
          <w:p>
            <w:pPr>
              <w:snapToGrid w:val="0"/>
              <w:spacing w:line="360" w:lineRule="auto"/>
              <w:jc w:val="center"/>
              <w:rPr>
                <w:rFonts w:hint="eastAsia" w:ascii="仿宋" w:hAnsi="仿宋" w:eastAsia="仿宋" w:cs="仿宋"/>
                <w:color w:val="auto"/>
                <w:sz w:val="24"/>
                <w:szCs w:val="24"/>
              </w:rPr>
            </w:pPr>
          </w:p>
        </w:tc>
        <w:tc>
          <w:tcPr>
            <w:tcW w:w="2752" w:type="dxa"/>
            <w:vAlign w:val="center"/>
          </w:tcPr>
          <w:p>
            <w:pPr>
              <w:snapToGrid w:val="0"/>
              <w:spacing w:line="360" w:lineRule="auto"/>
              <w:jc w:val="center"/>
              <w:rPr>
                <w:rFonts w:hint="eastAsia" w:ascii="仿宋" w:hAnsi="仿宋" w:eastAsia="仿宋" w:cs="仿宋"/>
                <w:color w:val="auto"/>
                <w:sz w:val="24"/>
                <w:szCs w:val="24"/>
              </w:rPr>
            </w:pPr>
          </w:p>
        </w:tc>
        <w:tc>
          <w:tcPr>
            <w:tcW w:w="1071" w:type="dxa"/>
            <w:vAlign w:val="center"/>
          </w:tcPr>
          <w:p>
            <w:pPr>
              <w:snapToGrid w:val="0"/>
              <w:spacing w:line="360" w:lineRule="auto"/>
              <w:jc w:val="center"/>
              <w:rPr>
                <w:rFonts w:hint="eastAsia" w:ascii="仿宋" w:hAnsi="仿宋" w:eastAsia="仿宋" w:cs="仿宋"/>
                <w:color w:val="auto"/>
                <w:sz w:val="24"/>
                <w:szCs w:val="24"/>
              </w:rPr>
            </w:pPr>
          </w:p>
        </w:tc>
        <w:tc>
          <w:tcPr>
            <w:tcW w:w="1094" w:type="dxa"/>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234" w:type="dxa"/>
            <w:vAlign w:val="center"/>
          </w:tcPr>
          <w:p>
            <w:pPr>
              <w:snapToGrid w:val="0"/>
              <w:spacing w:line="360" w:lineRule="auto"/>
              <w:jc w:val="center"/>
              <w:rPr>
                <w:rFonts w:hint="eastAsia" w:ascii="仿宋" w:hAnsi="仿宋" w:eastAsia="仿宋" w:cs="仿宋"/>
                <w:color w:val="auto"/>
                <w:sz w:val="24"/>
                <w:szCs w:val="24"/>
              </w:rPr>
            </w:pPr>
          </w:p>
        </w:tc>
        <w:tc>
          <w:tcPr>
            <w:tcW w:w="2767" w:type="dxa"/>
            <w:vAlign w:val="center"/>
          </w:tcPr>
          <w:p>
            <w:pPr>
              <w:snapToGrid w:val="0"/>
              <w:spacing w:line="360" w:lineRule="auto"/>
              <w:jc w:val="center"/>
              <w:rPr>
                <w:rFonts w:hint="eastAsia" w:ascii="仿宋" w:hAnsi="仿宋" w:eastAsia="仿宋" w:cs="仿宋"/>
                <w:color w:val="auto"/>
                <w:sz w:val="24"/>
                <w:szCs w:val="24"/>
              </w:rPr>
            </w:pPr>
          </w:p>
        </w:tc>
        <w:tc>
          <w:tcPr>
            <w:tcW w:w="2752" w:type="dxa"/>
            <w:vAlign w:val="center"/>
          </w:tcPr>
          <w:p>
            <w:pPr>
              <w:snapToGrid w:val="0"/>
              <w:spacing w:line="360" w:lineRule="auto"/>
              <w:jc w:val="center"/>
              <w:rPr>
                <w:rFonts w:hint="eastAsia" w:ascii="仿宋" w:hAnsi="仿宋" w:eastAsia="仿宋" w:cs="仿宋"/>
                <w:color w:val="auto"/>
                <w:sz w:val="24"/>
                <w:szCs w:val="24"/>
              </w:rPr>
            </w:pPr>
          </w:p>
        </w:tc>
        <w:tc>
          <w:tcPr>
            <w:tcW w:w="1071" w:type="dxa"/>
            <w:vAlign w:val="center"/>
          </w:tcPr>
          <w:p>
            <w:pPr>
              <w:snapToGrid w:val="0"/>
              <w:spacing w:line="360" w:lineRule="auto"/>
              <w:jc w:val="center"/>
              <w:rPr>
                <w:rFonts w:hint="eastAsia" w:ascii="仿宋" w:hAnsi="仿宋" w:eastAsia="仿宋" w:cs="仿宋"/>
                <w:color w:val="auto"/>
                <w:sz w:val="24"/>
                <w:szCs w:val="24"/>
              </w:rPr>
            </w:pPr>
          </w:p>
        </w:tc>
        <w:tc>
          <w:tcPr>
            <w:tcW w:w="1094" w:type="dxa"/>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234"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767" w:type="dxa"/>
            <w:vAlign w:val="center"/>
          </w:tcPr>
          <w:p>
            <w:pPr>
              <w:snapToGrid w:val="0"/>
              <w:spacing w:line="360" w:lineRule="auto"/>
              <w:jc w:val="center"/>
              <w:rPr>
                <w:rFonts w:hint="eastAsia" w:ascii="仿宋" w:hAnsi="仿宋" w:eastAsia="仿宋" w:cs="仿宋"/>
                <w:color w:val="auto"/>
                <w:sz w:val="24"/>
                <w:szCs w:val="24"/>
              </w:rPr>
            </w:pPr>
          </w:p>
        </w:tc>
        <w:tc>
          <w:tcPr>
            <w:tcW w:w="2752" w:type="dxa"/>
            <w:vAlign w:val="center"/>
          </w:tcPr>
          <w:p>
            <w:pPr>
              <w:snapToGrid w:val="0"/>
              <w:spacing w:line="360" w:lineRule="auto"/>
              <w:jc w:val="center"/>
              <w:rPr>
                <w:rFonts w:hint="eastAsia" w:ascii="仿宋" w:hAnsi="仿宋" w:eastAsia="仿宋" w:cs="仿宋"/>
                <w:color w:val="auto"/>
                <w:sz w:val="24"/>
                <w:szCs w:val="24"/>
              </w:rPr>
            </w:pPr>
          </w:p>
        </w:tc>
        <w:tc>
          <w:tcPr>
            <w:tcW w:w="1071" w:type="dxa"/>
            <w:vAlign w:val="center"/>
          </w:tcPr>
          <w:p>
            <w:pPr>
              <w:snapToGrid w:val="0"/>
              <w:spacing w:line="360" w:lineRule="auto"/>
              <w:jc w:val="center"/>
              <w:rPr>
                <w:rFonts w:hint="eastAsia" w:ascii="仿宋" w:hAnsi="仿宋" w:eastAsia="仿宋" w:cs="仿宋"/>
                <w:color w:val="auto"/>
                <w:sz w:val="24"/>
                <w:szCs w:val="24"/>
              </w:rPr>
            </w:pPr>
          </w:p>
        </w:tc>
        <w:tc>
          <w:tcPr>
            <w:tcW w:w="1094" w:type="dxa"/>
            <w:vAlign w:val="center"/>
          </w:tcPr>
          <w:p>
            <w:pPr>
              <w:snapToGrid w:val="0"/>
              <w:spacing w:line="360" w:lineRule="auto"/>
              <w:jc w:val="center"/>
              <w:rPr>
                <w:rFonts w:hint="eastAsia" w:ascii="仿宋" w:hAnsi="仿宋" w:eastAsia="仿宋" w:cs="仿宋"/>
                <w:color w:val="auto"/>
                <w:sz w:val="24"/>
                <w:szCs w:val="24"/>
              </w:rPr>
            </w:pPr>
          </w:p>
        </w:tc>
      </w:tr>
    </w:tbl>
    <w:p>
      <w:pPr>
        <w:snapToGrid w:val="0"/>
        <w:spacing w:line="360" w:lineRule="auto"/>
        <w:rPr>
          <w:rFonts w:hint="eastAsia" w:ascii="仿宋" w:hAnsi="仿宋" w:eastAsia="仿宋" w:cs="仿宋"/>
          <w:bCs/>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w:t>
      </w:r>
      <w:r>
        <w:rPr>
          <w:rFonts w:hint="eastAsia" w:ascii="仿宋" w:hAnsi="仿宋" w:eastAsia="仿宋" w:cs="仿宋"/>
          <w:bCs/>
          <w:color w:val="auto"/>
          <w:sz w:val="24"/>
          <w:szCs w:val="24"/>
        </w:rPr>
        <w:t>称（盖章）：                          授权代表</w:t>
      </w:r>
      <w:r>
        <w:rPr>
          <w:rFonts w:hint="eastAsia" w:ascii="仿宋" w:hAnsi="仿宋" w:eastAsia="仿宋" w:cs="仿宋"/>
          <w:color w:val="auto"/>
          <w:sz w:val="24"/>
          <w:szCs w:val="24"/>
        </w:rPr>
        <w:t>（签</w:t>
      </w:r>
      <w:r>
        <w:rPr>
          <w:rFonts w:hint="eastAsia" w:ascii="仿宋" w:hAnsi="仿宋" w:eastAsia="仿宋" w:cs="仿宋"/>
          <w:color w:val="auto"/>
          <w:sz w:val="24"/>
          <w:szCs w:val="24"/>
          <w:lang w:val="en-US" w:eastAsia="zh-CN"/>
        </w:rPr>
        <w:t>名</w:t>
      </w:r>
      <w:r>
        <w:rPr>
          <w:rFonts w:hint="eastAsia" w:ascii="仿宋" w:hAnsi="仿宋" w:eastAsia="仿宋" w:cs="仿宋"/>
          <w:color w:val="auto"/>
          <w:sz w:val="24"/>
          <w:szCs w:val="24"/>
        </w:rPr>
        <w:t>或私章）</w:t>
      </w:r>
      <w:r>
        <w:rPr>
          <w:rFonts w:hint="eastAsia" w:ascii="仿宋" w:hAnsi="仿宋" w:eastAsia="仿宋" w:cs="仿宋"/>
          <w:bCs/>
          <w:color w:val="auto"/>
          <w:sz w:val="24"/>
          <w:szCs w:val="24"/>
        </w:rPr>
        <w:t>：</w:t>
      </w:r>
    </w:p>
    <w:p>
      <w:pPr>
        <w:rPr>
          <w:rFonts w:hint="eastAsia" w:ascii="仿宋" w:hAnsi="仿宋" w:eastAsia="仿宋" w:cs="仿宋"/>
          <w:color w:val="auto"/>
        </w:rPr>
      </w:pPr>
    </w:p>
    <w:p>
      <w:pPr>
        <w:shd w:val="clear" w:color="auto" w:fill="FFFFFF"/>
        <w:snapToGrid w:val="0"/>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注：1、此表为表样，行数可自行添加，但表式不变。</w:t>
      </w:r>
    </w:p>
    <w:p>
      <w:pPr>
        <w:shd w:val="clear" w:color="auto" w:fill="FFFFFF"/>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、偏离情况说明分正偏离、完全响应、负偏离，分别表示优于要求、满足要求、不满足要求。</w:t>
      </w:r>
      <w:r>
        <w:rPr>
          <w:rFonts w:hint="eastAsia" w:ascii="仿宋" w:hAnsi="仿宋" w:eastAsia="仿宋" w:cs="仿宋"/>
          <w:b/>
          <w:bCs/>
          <w:color w:val="auto"/>
          <w:sz w:val="24"/>
          <w:szCs w:val="24"/>
          <w:u w:val="single"/>
        </w:rPr>
        <w:t>评委评审时不能只根据供应商填写的偏离情况说明来判断是否响应</w:t>
      </w:r>
      <w:r>
        <w:rPr>
          <w:rFonts w:hint="eastAsia" w:ascii="仿宋" w:hAnsi="仿宋" w:eastAsia="仿宋" w:cs="仿宋"/>
          <w:bCs/>
          <w:color w:val="auto"/>
          <w:sz w:val="24"/>
          <w:szCs w:val="24"/>
        </w:rPr>
        <w:t>，而应认真查阅“</w:t>
      </w:r>
      <w:r>
        <w:rPr>
          <w:rFonts w:hint="eastAsia" w:ascii="仿宋" w:hAnsi="仿宋" w:eastAsia="仿宋" w:cs="仿宋"/>
          <w:bCs/>
          <w:color w:val="auto"/>
          <w:sz w:val="24"/>
          <w:szCs w:val="24"/>
          <w:lang w:eastAsia="zh-CN"/>
        </w:rPr>
        <w:t>响应文件</w:t>
      </w:r>
      <w:r>
        <w:rPr>
          <w:rFonts w:hint="eastAsia" w:ascii="仿宋" w:hAnsi="仿宋" w:eastAsia="仿宋" w:cs="仿宋"/>
          <w:bCs/>
          <w:color w:val="auto"/>
          <w:sz w:val="24"/>
          <w:szCs w:val="24"/>
        </w:rPr>
        <w:t>技术</w:t>
      </w:r>
      <w:r>
        <w:rPr>
          <w:rFonts w:hint="eastAsia" w:ascii="仿宋" w:hAnsi="仿宋" w:eastAsia="仿宋" w:cs="仿宋"/>
          <w:bCs/>
          <w:color w:val="auto"/>
          <w:sz w:val="24"/>
          <w:szCs w:val="24"/>
          <w:lang w:eastAsia="zh-CN"/>
        </w:rPr>
        <w:t>（服务）</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相关</w:t>
      </w:r>
      <w:r>
        <w:rPr>
          <w:rFonts w:hint="eastAsia" w:ascii="仿宋" w:hAnsi="仿宋" w:eastAsia="仿宋" w:cs="仿宋"/>
          <w:bCs/>
          <w:color w:val="auto"/>
          <w:sz w:val="24"/>
          <w:szCs w:val="24"/>
        </w:rPr>
        <w:t>功能/</w:t>
      </w:r>
      <w:r>
        <w:rPr>
          <w:rFonts w:hint="eastAsia" w:ascii="仿宋" w:hAnsi="仿宋" w:eastAsia="仿宋" w:cs="仿宋"/>
          <w:bCs/>
          <w:color w:val="auto"/>
          <w:sz w:val="24"/>
          <w:szCs w:val="24"/>
          <w:lang w:eastAsia="zh-CN"/>
        </w:rPr>
        <w:t>商务</w:t>
      </w:r>
      <w:r>
        <w:rPr>
          <w:rFonts w:hint="eastAsia" w:ascii="仿宋" w:hAnsi="仿宋" w:eastAsia="仿宋" w:cs="仿宋"/>
          <w:bCs/>
          <w:color w:val="auto"/>
          <w:sz w:val="24"/>
          <w:szCs w:val="24"/>
        </w:rPr>
        <w:t>内容”</w:t>
      </w:r>
      <w:r>
        <w:rPr>
          <w:rFonts w:hint="eastAsia" w:ascii="仿宋" w:hAnsi="仿宋" w:eastAsia="仿宋" w:cs="仿宋"/>
          <w:bCs/>
          <w:color w:val="auto"/>
          <w:sz w:val="24"/>
          <w:szCs w:val="24"/>
          <w:lang w:eastAsia="zh-CN"/>
        </w:rPr>
        <w:t>的</w:t>
      </w:r>
      <w:r>
        <w:rPr>
          <w:rFonts w:hint="eastAsia" w:ascii="仿宋" w:hAnsi="仿宋" w:eastAsia="仿宋" w:cs="仿宋"/>
          <w:bCs/>
          <w:color w:val="auto"/>
          <w:sz w:val="24"/>
          <w:szCs w:val="24"/>
        </w:rPr>
        <w:t>内容以及相关的资料（如有）判断是否满足要求。</w:t>
      </w:r>
    </w:p>
    <w:p>
      <w:pPr>
        <w:snapToGrid w:val="0"/>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b/>
          <w:color w:val="auto"/>
          <w:sz w:val="24"/>
          <w:szCs w:val="24"/>
        </w:rPr>
        <w:t>“页码索引”指“</w:t>
      </w:r>
      <w:r>
        <w:rPr>
          <w:rFonts w:hint="eastAsia" w:ascii="仿宋" w:hAnsi="仿宋" w:eastAsia="仿宋" w:cs="仿宋"/>
          <w:b/>
          <w:color w:val="auto"/>
          <w:sz w:val="24"/>
          <w:szCs w:val="24"/>
          <w:lang w:eastAsia="zh-CN"/>
        </w:rPr>
        <w:t>响应文件</w:t>
      </w:r>
      <w:r>
        <w:rPr>
          <w:rFonts w:hint="eastAsia" w:ascii="仿宋" w:hAnsi="仿宋" w:eastAsia="仿宋" w:cs="仿宋"/>
          <w:b/>
          <w:color w:val="auto"/>
          <w:sz w:val="24"/>
          <w:szCs w:val="24"/>
        </w:rPr>
        <w:t>技术</w:t>
      </w:r>
      <w:r>
        <w:rPr>
          <w:rFonts w:hint="eastAsia" w:ascii="仿宋" w:hAnsi="仿宋" w:eastAsia="仿宋" w:cs="仿宋"/>
          <w:b/>
          <w:color w:val="auto"/>
          <w:sz w:val="24"/>
          <w:szCs w:val="24"/>
          <w:lang w:eastAsia="zh-CN"/>
        </w:rPr>
        <w:t>（服务）</w:t>
      </w:r>
      <w:r>
        <w:rPr>
          <w:rFonts w:hint="eastAsia" w:ascii="仿宋" w:hAnsi="仿宋" w:eastAsia="仿宋" w:cs="仿宋"/>
          <w:b/>
          <w:color w:val="auto"/>
          <w:sz w:val="24"/>
          <w:szCs w:val="24"/>
        </w:rPr>
        <w:t>/</w:t>
      </w:r>
      <w:r>
        <w:rPr>
          <w:rFonts w:hint="eastAsia" w:ascii="仿宋" w:hAnsi="仿宋" w:eastAsia="仿宋" w:cs="仿宋"/>
          <w:b/>
          <w:color w:val="auto"/>
          <w:sz w:val="24"/>
          <w:szCs w:val="24"/>
          <w:lang w:eastAsia="zh-CN"/>
        </w:rPr>
        <w:t>相关</w:t>
      </w:r>
      <w:r>
        <w:rPr>
          <w:rFonts w:hint="eastAsia" w:ascii="仿宋" w:hAnsi="仿宋" w:eastAsia="仿宋" w:cs="仿宋"/>
          <w:b/>
          <w:color w:val="auto"/>
          <w:sz w:val="24"/>
          <w:szCs w:val="24"/>
        </w:rPr>
        <w:t>功能/</w:t>
      </w:r>
      <w:r>
        <w:rPr>
          <w:rFonts w:hint="eastAsia" w:ascii="仿宋" w:hAnsi="仿宋" w:eastAsia="仿宋" w:cs="仿宋"/>
          <w:b/>
          <w:color w:val="auto"/>
          <w:sz w:val="24"/>
          <w:szCs w:val="24"/>
          <w:lang w:eastAsia="zh-CN"/>
        </w:rPr>
        <w:t>商务</w:t>
      </w:r>
      <w:r>
        <w:rPr>
          <w:rFonts w:hint="eastAsia" w:ascii="仿宋" w:hAnsi="仿宋" w:eastAsia="仿宋" w:cs="仿宋"/>
          <w:b/>
          <w:color w:val="auto"/>
          <w:sz w:val="24"/>
          <w:szCs w:val="24"/>
        </w:rPr>
        <w:t>内容”所对应的证明材料在供应商</w:t>
      </w:r>
      <w:r>
        <w:rPr>
          <w:rFonts w:hint="eastAsia" w:ascii="仿宋" w:hAnsi="仿宋" w:eastAsia="仿宋" w:cs="仿宋"/>
          <w:b/>
          <w:color w:val="auto"/>
          <w:sz w:val="24"/>
          <w:szCs w:val="24"/>
          <w:lang w:val="en-US" w:eastAsia="zh-CN"/>
        </w:rPr>
        <w:t>响应</w:t>
      </w:r>
      <w:r>
        <w:rPr>
          <w:rFonts w:hint="eastAsia" w:ascii="仿宋" w:hAnsi="仿宋" w:eastAsia="仿宋" w:cs="仿宋"/>
          <w:b/>
          <w:color w:val="auto"/>
          <w:sz w:val="24"/>
          <w:szCs w:val="24"/>
          <w:lang w:eastAsia="zh-CN"/>
        </w:rPr>
        <w:t>文件</w:t>
      </w:r>
      <w:r>
        <w:rPr>
          <w:rFonts w:hint="eastAsia" w:ascii="仿宋" w:hAnsi="仿宋" w:eastAsia="仿宋" w:cs="仿宋"/>
          <w:b/>
          <w:color w:val="auto"/>
          <w:sz w:val="24"/>
          <w:szCs w:val="24"/>
        </w:rPr>
        <w:t>中的页码。</w:t>
      </w:r>
    </w:p>
    <w:p>
      <w:pPr>
        <w:snapToGrid w:val="0"/>
        <w:spacing w:line="360" w:lineRule="auto"/>
        <w:rPr>
          <w:rFonts w:hint="eastAsia" w:ascii="仿宋" w:hAnsi="仿宋" w:eastAsia="仿宋" w:cs="仿宋"/>
          <w:color w:val="auto"/>
          <w:lang w:val="en-US" w:eastAsia="zh-CN"/>
        </w:rPr>
      </w:pPr>
      <w:r>
        <w:rPr>
          <w:rFonts w:hint="eastAsia" w:ascii="仿宋" w:hAnsi="仿宋" w:eastAsia="仿宋" w:cs="仿宋"/>
          <w:b/>
          <w:color w:val="auto"/>
          <w:sz w:val="24"/>
          <w:szCs w:val="24"/>
        </w:rPr>
        <w:br w:type="page"/>
      </w:r>
      <w:bookmarkEnd w:id="81"/>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5:</w:t>
      </w: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84" w:name="_Toc23099"/>
      <w:bookmarkStart w:id="85" w:name="_Toc20581"/>
      <w:r>
        <w:rPr>
          <w:rFonts w:hint="eastAsia" w:ascii="仿宋" w:hAnsi="仿宋" w:eastAsia="仿宋" w:cs="仿宋"/>
          <w:color w:val="auto"/>
          <w:lang w:val="en-US" w:eastAsia="zh-CN"/>
        </w:rPr>
        <w:t>5、法定代表人证明书</w:t>
      </w:r>
      <w:bookmarkEnd w:id="84"/>
      <w:bookmarkEnd w:id="85"/>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职务：</w:t>
      </w:r>
      <w:r>
        <w:rPr>
          <w:rFonts w:hint="eastAsia" w:ascii="仿宋" w:hAnsi="仿宋" w:eastAsia="仿宋" w:cs="仿宋"/>
          <w:color w:val="auto"/>
          <w:sz w:val="24"/>
          <w:szCs w:val="24"/>
          <w:u w:val="single"/>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名称）的法定代表人。</w:t>
      </w:r>
    </w:p>
    <w:p>
      <w:pPr>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u w:val="none"/>
        </w:rPr>
        <w:t>签名</w:t>
      </w:r>
      <w:r>
        <w:rPr>
          <w:rFonts w:hint="eastAsia" w:ascii="仿宋" w:hAnsi="仿宋" w:eastAsia="仿宋" w:cs="仿宋"/>
          <w:color w:val="auto"/>
          <w:sz w:val="24"/>
          <w:szCs w:val="24"/>
          <w:u w:val="none"/>
          <w:lang w:eastAsia="zh-CN"/>
        </w:rPr>
        <w:t>或盖章</w:t>
      </w:r>
      <w:r>
        <w:rPr>
          <w:rFonts w:hint="eastAsia" w:ascii="仿宋" w:hAnsi="仿宋" w:eastAsia="仿宋" w:cs="仿宋"/>
          <w:color w:val="auto"/>
          <w:sz w:val="24"/>
          <w:szCs w:val="24"/>
        </w:rPr>
        <w:t>）</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spacing w:line="360" w:lineRule="auto"/>
        <w:ind w:firstLine="5160" w:firstLineChars="2150"/>
        <w:rPr>
          <w:rFonts w:hint="eastAsia" w:ascii="仿宋" w:hAnsi="仿宋" w:eastAsia="仿宋" w:cs="仿宋"/>
          <w:color w:val="auto"/>
          <w:sz w:val="24"/>
          <w:szCs w:val="24"/>
          <w:u w:val="single"/>
        </w:rPr>
      </w:pPr>
    </w:p>
    <w:p>
      <w:pPr>
        <w:spacing w:line="360" w:lineRule="auto"/>
        <w:ind w:firstLine="5160" w:firstLineChars="215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rPr>
          <w:rFonts w:hint="eastAsia" w:ascii="仿宋" w:hAnsi="仿宋" w:eastAsia="仿宋" w:cs="仿宋"/>
          <w:color w:val="auto"/>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60" w:lineRule="auto"/>
        <w:rPr>
          <w:rFonts w:hint="eastAsia" w:ascii="仿宋" w:hAnsi="仿宋" w:eastAsia="仿宋" w:cs="仿宋"/>
          <w:b/>
          <w:color w:val="auto"/>
          <w:sz w:val="24"/>
          <w:szCs w:val="24"/>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08"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6:</w:t>
      </w: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86" w:name="_Toc26280"/>
      <w:bookmarkStart w:id="87" w:name="_Toc2005"/>
      <w:r>
        <w:rPr>
          <w:rFonts w:hint="eastAsia" w:ascii="仿宋" w:hAnsi="仿宋" w:eastAsia="仿宋" w:cs="仿宋"/>
          <w:color w:val="auto"/>
          <w:lang w:val="en-US" w:eastAsia="zh-CN"/>
        </w:rPr>
        <w:t>6、授权委托书</w:t>
      </w:r>
      <w:bookmarkEnd w:id="86"/>
      <w:bookmarkEnd w:id="87"/>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本授权书声明：</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委托人：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受托人：姓名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出生日期：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所在单位：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身 份 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兹委托受托人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代表我方参加</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 xml:space="preserve">组织的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w:t>
      </w:r>
      <w:r>
        <w:rPr>
          <w:rFonts w:hint="eastAsia" w:ascii="仿宋" w:hAnsi="仿宋" w:eastAsia="仿宋" w:cs="仿宋"/>
          <w:color w:val="auto"/>
          <w:sz w:val="24"/>
          <w:szCs w:val="24"/>
          <w:u w:val="single"/>
          <w:lang w:val="en-US" w:eastAsia="zh-CN"/>
        </w:rPr>
        <w:t xml:space="preserve">    包</w:t>
      </w:r>
      <w:r>
        <w:rPr>
          <w:rFonts w:hint="eastAsia" w:ascii="仿宋" w:hAnsi="仿宋" w:eastAsia="仿宋" w:cs="仿宋"/>
          <w:color w:val="auto"/>
          <w:sz w:val="24"/>
          <w:szCs w:val="24"/>
        </w:rPr>
        <w:t>（招标编号：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）的政府采购活动，并授权其全权办理以下事宜：</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1、参加投标活动；</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2、出席开标评标会议；</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3、签订与中标事宜有关的合同；</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4、负责合同的履行、服务以及在合同履行过程中有关事宜的洽谈和处理。</w:t>
      </w:r>
    </w:p>
    <w:p>
      <w:pPr>
        <w:snapToGrid w:val="0"/>
        <w:spacing w:line="360" w:lineRule="auto"/>
        <w:ind w:left="480"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委托期限：至上述事宜处理完毕止。</w:t>
      </w: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附：受托人身份证复印件</w:t>
      </w:r>
    </w:p>
    <w:p>
      <w:pPr>
        <w:snapToGrid w:val="0"/>
        <w:spacing w:line="360" w:lineRule="auto"/>
        <w:ind w:firstLine="3840" w:firstLineChars="1600"/>
        <w:rPr>
          <w:rFonts w:hint="eastAsia" w:ascii="仿宋" w:hAnsi="仿宋" w:eastAsia="仿宋" w:cs="仿宋"/>
          <w:color w:val="auto"/>
          <w:sz w:val="24"/>
          <w:szCs w:val="24"/>
        </w:rPr>
      </w:pPr>
    </w:p>
    <w:p>
      <w:pPr>
        <w:pStyle w:val="7"/>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7"/>
        <w:rPr>
          <w:rFonts w:hint="eastAsia" w:ascii="仿宋" w:hAnsi="仿宋" w:eastAsia="仿宋" w:cs="仿宋"/>
          <w:color w:val="auto"/>
        </w:rPr>
      </w:pP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（签名</w:t>
      </w:r>
      <w:r>
        <w:rPr>
          <w:rFonts w:hint="eastAsia" w:ascii="仿宋" w:hAnsi="仿宋" w:eastAsia="仿宋" w:cs="仿宋"/>
          <w:color w:val="auto"/>
          <w:sz w:val="24"/>
          <w:szCs w:val="24"/>
          <w:u w:val="single"/>
          <w:lang w:eastAsia="zh-CN"/>
        </w:rPr>
        <w:t>或盖章</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受托人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（签名）          </w:t>
      </w:r>
    </w:p>
    <w:p>
      <w:pPr>
        <w:snapToGrid w:val="0"/>
        <w:spacing w:line="360" w:lineRule="auto"/>
        <w:ind w:firstLine="3840" w:firstLineChars="1600"/>
        <w:rPr>
          <w:rFonts w:hint="eastAsia" w:ascii="仿宋" w:hAnsi="仿宋" w:eastAsia="仿宋" w:cs="仿宋"/>
          <w:color w:val="auto"/>
          <w:sz w:val="24"/>
          <w:szCs w:val="24"/>
          <w:u w:val="single"/>
        </w:rPr>
      </w:pPr>
      <w:r>
        <w:rPr>
          <w:rFonts w:hint="eastAsia" w:ascii="仿宋" w:hAnsi="仿宋" w:eastAsia="仿宋" w:cs="仿宋"/>
          <w:color w:val="auto"/>
          <w:sz w:val="24"/>
          <w:szCs w:val="24"/>
        </w:rPr>
        <w:t>委托单位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（公章）          </w:t>
      </w:r>
    </w:p>
    <w:p>
      <w:pPr>
        <w:snapToGrid w:val="0"/>
        <w:spacing w:line="360" w:lineRule="auto"/>
        <w:ind w:firstLine="352" w:firstLineChars="147"/>
        <w:jc w:val="right"/>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7:</w:t>
      </w:r>
    </w:p>
    <w:p>
      <w:pPr>
        <w:rPr>
          <w:rFonts w:hint="eastAsia" w:ascii="仿宋" w:hAnsi="仿宋" w:eastAsia="仿宋" w:cs="仿宋"/>
          <w:color w:val="auto"/>
          <w:lang w:val="en-US" w:eastAsia="zh-CN"/>
        </w:rPr>
      </w:pPr>
    </w:p>
    <w:bookmarkEnd w:id="74"/>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88" w:name="_Toc30555"/>
      <w:bookmarkStart w:id="89" w:name="_Toc2712"/>
      <w:bookmarkStart w:id="90" w:name="_Toc19635"/>
      <w:bookmarkStart w:id="91" w:name="_Toc18619"/>
      <w:bookmarkStart w:id="92" w:name="_Toc13835"/>
      <w:r>
        <w:rPr>
          <w:rFonts w:hint="eastAsia" w:ascii="仿宋" w:hAnsi="仿宋" w:eastAsia="仿宋" w:cs="仿宋"/>
          <w:color w:val="auto"/>
          <w:lang w:val="en-US" w:eastAsia="zh-CN"/>
        </w:rPr>
        <w:t>7、参加政府采购活动前三年内，在经营活动中没有重大违法记录的声明函</w:t>
      </w:r>
      <w:bookmarkEnd w:id="88"/>
      <w:bookmarkEnd w:id="89"/>
    </w:p>
    <w:p>
      <w:pPr>
        <w:shd w:val="clear" w:color="auto" w:fill="FFFFFF"/>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（项目名称+包号）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）货物及服务的招标采购活动，我司声明如下：</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1、参加政府采购活动前三年内，在经营活动中没有重大违法记录。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本项目</w:t>
      </w:r>
      <w:r>
        <w:rPr>
          <w:rFonts w:hint="eastAsia" w:ascii="仿宋" w:hAnsi="仿宋" w:eastAsia="仿宋" w:cs="仿宋"/>
          <w:color w:val="auto"/>
          <w:sz w:val="24"/>
          <w:szCs w:val="24"/>
          <w:lang w:val="en-US" w:eastAsia="zh-CN"/>
        </w:rPr>
        <w:t>招标</w:t>
      </w:r>
      <w:r>
        <w:rPr>
          <w:rFonts w:hint="eastAsia" w:ascii="仿宋" w:hAnsi="仿宋" w:eastAsia="仿宋" w:cs="仿宋"/>
          <w:color w:val="auto"/>
          <w:sz w:val="24"/>
          <w:szCs w:val="24"/>
        </w:rPr>
        <w:t>公告前三年内，我司在经营活动中没有被</w:t>
      </w:r>
      <w:r>
        <w:rPr>
          <w:rFonts w:hint="eastAsia" w:ascii="仿宋" w:hAnsi="仿宋" w:eastAsia="仿宋" w:cs="仿宋"/>
          <w:color w:val="auto"/>
          <w:sz w:val="24"/>
          <w:szCs w:val="24"/>
          <w:lang w:val="en-US" w:eastAsia="zh-CN"/>
        </w:rPr>
        <w:t>列入</w:t>
      </w:r>
      <w:r>
        <w:rPr>
          <w:rFonts w:hint="eastAsia" w:ascii="仿宋" w:hAnsi="仿宋" w:eastAsia="仿宋" w:cs="仿宋"/>
          <w:color w:val="auto"/>
          <w:sz w:val="24"/>
          <w:szCs w:val="24"/>
        </w:rPr>
        <w:t>中国执行信息公开网</w:t>
      </w:r>
      <w:r>
        <w:rPr>
          <w:rFonts w:hint="eastAsia" w:ascii="仿宋" w:hAnsi="仿宋" w:eastAsia="仿宋" w:cs="仿宋"/>
          <w:color w:val="auto"/>
          <w:sz w:val="24"/>
          <w:szCs w:val="24"/>
          <w:lang w:eastAsia="zh-CN"/>
        </w:rPr>
        <w:t>（http://zxgk.court.gov.cn）</w:t>
      </w:r>
      <w:r>
        <w:rPr>
          <w:rFonts w:hint="eastAsia" w:ascii="仿宋" w:hAnsi="仿宋" w:eastAsia="仿宋" w:cs="仿宋"/>
          <w:color w:val="auto"/>
          <w:sz w:val="24"/>
          <w:szCs w:val="24"/>
          <w:lang w:val="en-US" w:eastAsia="zh-CN"/>
        </w:rPr>
        <w:t>的“失信被执行人”、信用中国(www.creditchina.gov.cn)的“税收违法黑名单”、“政府采购严重违法失信名单”和中国政府采购网(www.ccgp.gov.cn)的“政府采购严重违法失信行为记录名单”等</w:t>
      </w:r>
      <w:r>
        <w:rPr>
          <w:rFonts w:hint="eastAsia" w:ascii="仿宋" w:hAnsi="仿宋" w:eastAsia="仿宋" w:cs="仿宋"/>
          <w:color w:val="auto"/>
          <w:sz w:val="24"/>
          <w:szCs w:val="24"/>
        </w:rPr>
        <w:t>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w:t>
      </w:r>
      <w:r>
        <w:rPr>
          <w:rFonts w:hint="eastAsia" w:ascii="仿宋" w:hAnsi="仿宋" w:eastAsia="仿宋" w:cs="仿宋"/>
          <w:b/>
          <w:bCs/>
          <w:color w:val="auto"/>
          <w:sz w:val="24"/>
          <w:szCs w:val="24"/>
          <w:lang w:val="en-US" w:eastAsia="zh-CN"/>
        </w:rPr>
        <w:t>声明</w:t>
      </w:r>
      <w:r>
        <w:rPr>
          <w:rFonts w:hint="eastAsia" w:ascii="仿宋" w:hAnsi="仿宋" w:eastAsia="仿宋" w:cs="仿宋"/>
          <w:b/>
          <w:bCs/>
          <w:color w:val="auto"/>
          <w:sz w:val="24"/>
          <w:szCs w:val="24"/>
        </w:rPr>
        <w:t>的真实性负责</w:t>
      </w:r>
      <w:r>
        <w:rPr>
          <w:rFonts w:hint="eastAsia" w:ascii="仿宋" w:hAnsi="仿宋" w:eastAsia="仿宋" w:cs="仿宋"/>
          <w:b/>
          <w:bCs/>
          <w:color w:val="auto"/>
          <w:sz w:val="24"/>
          <w:szCs w:val="24"/>
          <w:lang w:eastAsia="zh-CN"/>
        </w:rPr>
        <w:t>，</w:t>
      </w:r>
      <w:r>
        <w:rPr>
          <w:rFonts w:hint="eastAsia" w:ascii="仿宋" w:hAnsi="仿宋" w:eastAsia="仿宋" w:cs="仿宋"/>
          <w:b/>
          <w:color w:val="auto"/>
          <w:sz w:val="24"/>
          <w:szCs w:val="24"/>
        </w:rPr>
        <w:t>如有虚假，我司愿意接受相关处罚。</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spacing w:line="440" w:lineRule="exact"/>
        <w:ind w:firstLine="480" w:firstLineChars="200"/>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pStyle w:val="7"/>
        <w:ind w:right="482" w:firstLine="0"/>
        <w:jc w:val="center"/>
        <w:rPr>
          <w:rFonts w:hint="eastAsia" w:ascii="仿宋" w:hAnsi="仿宋" w:eastAsia="仿宋" w:cs="仿宋"/>
          <w:b/>
          <w:bCs/>
          <w:color w:val="auto"/>
          <w:sz w:val="24"/>
          <w:szCs w:val="24"/>
        </w:rPr>
      </w:pPr>
    </w:p>
    <w:p>
      <w:pPr>
        <w:pStyle w:val="7"/>
        <w:ind w:right="482" w:firstLine="0"/>
        <w:jc w:val="center"/>
        <w:rPr>
          <w:rFonts w:hint="eastAsia" w:ascii="仿宋" w:hAnsi="仿宋" w:eastAsia="仿宋" w:cs="仿宋"/>
          <w:b/>
          <w:bCs/>
          <w:color w:val="auto"/>
          <w:sz w:val="24"/>
          <w:szCs w:val="24"/>
        </w:rPr>
      </w:pPr>
    </w:p>
    <w:p>
      <w:pPr>
        <w:pStyle w:val="7"/>
        <w:ind w:right="482" w:firstLine="0"/>
        <w:jc w:val="center"/>
        <w:rPr>
          <w:rFonts w:hint="eastAsia" w:ascii="仿宋" w:hAnsi="仿宋" w:eastAsia="仿宋" w:cs="仿宋"/>
          <w:b/>
          <w:bCs/>
          <w:color w:val="auto"/>
          <w:sz w:val="24"/>
          <w:szCs w:val="24"/>
        </w:rPr>
      </w:pPr>
    </w:p>
    <w:p>
      <w:pPr>
        <w:pStyle w:val="7"/>
        <w:ind w:right="482" w:firstLine="0"/>
        <w:jc w:val="center"/>
        <w:rPr>
          <w:rFonts w:hint="eastAsia" w:ascii="仿宋" w:hAnsi="仿宋" w:eastAsia="仿宋" w:cs="仿宋"/>
          <w:b/>
          <w:bCs/>
          <w:color w:val="auto"/>
          <w:sz w:val="24"/>
          <w:szCs w:val="24"/>
        </w:rPr>
      </w:pPr>
    </w:p>
    <w:p>
      <w:pPr>
        <w:pStyle w:val="7"/>
        <w:ind w:right="482" w:firstLine="0"/>
        <w:jc w:val="center"/>
        <w:rPr>
          <w:rFonts w:hint="eastAsia" w:ascii="仿宋" w:hAnsi="仿宋" w:eastAsia="仿宋" w:cs="仿宋"/>
          <w:b/>
          <w:bCs/>
          <w:color w:val="auto"/>
          <w:sz w:val="24"/>
          <w:szCs w:val="24"/>
        </w:rPr>
      </w:pPr>
    </w:p>
    <w:p>
      <w:pPr>
        <w:pStyle w:val="7"/>
        <w:ind w:right="482" w:firstLine="0"/>
        <w:jc w:val="center"/>
        <w:rPr>
          <w:rFonts w:hint="eastAsia" w:ascii="仿宋" w:hAnsi="仿宋" w:eastAsia="仿宋" w:cs="仿宋"/>
          <w:b/>
          <w:bCs/>
          <w:color w:val="auto"/>
          <w:sz w:val="24"/>
          <w:szCs w:val="24"/>
        </w:rPr>
      </w:pPr>
    </w:p>
    <w:p>
      <w:pPr>
        <w:rPr>
          <w:rFonts w:hint="eastAsia" w:ascii="仿宋" w:hAnsi="仿宋" w:eastAsia="仿宋" w:cs="仿宋"/>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08" w:num="1"/>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8:</w:t>
      </w:r>
    </w:p>
    <w:p>
      <w:pPr>
        <w:rPr>
          <w:rFonts w:hint="eastAsia" w:ascii="仿宋" w:hAnsi="仿宋" w:eastAsia="仿宋" w:cs="仿宋"/>
          <w:color w:val="auto"/>
          <w:lang w:val="en-US" w:eastAsia="zh-CN"/>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auto"/>
          <w:sz w:val="32"/>
          <w:szCs w:val="32"/>
          <w:lang w:val="en-US" w:eastAsia="zh-CN"/>
        </w:rPr>
      </w:pPr>
      <w:bookmarkStart w:id="93" w:name="_Toc2437"/>
      <w:bookmarkStart w:id="94" w:name="_Toc12108"/>
      <w:bookmarkStart w:id="95" w:name="_Toc4274"/>
      <w:bookmarkStart w:id="96" w:name="_Toc6488"/>
      <w:r>
        <w:rPr>
          <w:rFonts w:hint="eastAsia" w:ascii="仿宋" w:hAnsi="仿宋" w:eastAsia="仿宋" w:cs="仿宋"/>
          <w:b/>
          <w:color w:val="auto"/>
          <w:sz w:val="32"/>
          <w:szCs w:val="32"/>
          <w:lang w:val="en-US" w:eastAsia="zh-CN"/>
        </w:rPr>
        <w:t>8、参加政府采购活动前三年内，无环保类行政处罚记录声明函</w:t>
      </w:r>
      <w:bookmarkEnd w:id="93"/>
      <w:bookmarkEnd w:id="94"/>
      <w:bookmarkEnd w:id="95"/>
      <w:bookmarkEnd w:id="96"/>
    </w:p>
    <w:p>
      <w:pPr>
        <w:keepNext w:val="0"/>
        <w:keepLines w:val="0"/>
        <w:widowControl/>
        <w:suppressLineNumbers w:val="0"/>
        <w:jc w:val="left"/>
        <w:rPr>
          <w:rFonts w:hint="eastAsia" w:ascii="仿宋" w:hAnsi="仿宋" w:eastAsia="仿宋" w:cs="仿宋"/>
          <w:b/>
          <w:bCs/>
          <w:color w:val="auto"/>
          <w:kern w:val="0"/>
          <w:sz w:val="28"/>
          <w:szCs w:val="28"/>
          <w:lang w:val="en-US" w:eastAsia="zh-CN" w:bidi="ar"/>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56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kern w:val="0"/>
          <w:sz w:val="28"/>
          <w:szCs w:val="28"/>
          <w:lang w:val="en-US" w:eastAsia="zh-CN" w:bidi="ar"/>
        </w:rPr>
        <w:t xml:space="preserve"> </w:t>
      </w: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（项目名称+包号）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）货物及服务的招标采购活动，我司声明</w:t>
      </w:r>
      <w:r>
        <w:rPr>
          <w:rFonts w:hint="eastAsia" w:ascii="仿宋" w:hAnsi="仿宋" w:eastAsia="仿宋" w:cs="仿宋"/>
          <w:color w:val="auto"/>
          <w:sz w:val="24"/>
          <w:szCs w:val="24"/>
          <w:lang w:val="en-US" w:eastAsia="zh-CN"/>
        </w:rPr>
        <w:t>参加政府采购活动前三年内，无环保类行政处罚记录。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w:t>
      </w:r>
      <w:r>
        <w:rPr>
          <w:rFonts w:hint="eastAsia" w:ascii="仿宋" w:hAnsi="仿宋" w:eastAsia="仿宋" w:cs="仿宋"/>
          <w:b/>
          <w:bCs/>
          <w:color w:val="auto"/>
          <w:sz w:val="24"/>
          <w:szCs w:val="24"/>
          <w:lang w:val="en-US" w:eastAsia="zh-CN"/>
        </w:rPr>
        <w:t>声明</w:t>
      </w:r>
      <w:r>
        <w:rPr>
          <w:rFonts w:hint="eastAsia" w:ascii="仿宋" w:hAnsi="仿宋" w:eastAsia="仿宋" w:cs="仿宋"/>
          <w:b/>
          <w:bCs/>
          <w:color w:val="auto"/>
          <w:sz w:val="24"/>
          <w:szCs w:val="24"/>
        </w:rPr>
        <w:t>的真实性负责</w:t>
      </w:r>
      <w:r>
        <w:rPr>
          <w:rFonts w:hint="eastAsia" w:ascii="仿宋" w:hAnsi="仿宋" w:eastAsia="仿宋" w:cs="仿宋"/>
          <w:b/>
          <w:bCs/>
          <w:color w:val="auto"/>
          <w:sz w:val="24"/>
          <w:szCs w:val="24"/>
          <w:lang w:eastAsia="zh-CN"/>
        </w:rPr>
        <w:t>，</w:t>
      </w:r>
      <w:r>
        <w:rPr>
          <w:rFonts w:hint="eastAsia" w:ascii="仿宋" w:hAnsi="仿宋" w:eastAsia="仿宋" w:cs="仿宋"/>
          <w:b/>
          <w:color w:val="auto"/>
          <w:sz w:val="24"/>
          <w:szCs w:val="24"/>
        </w:rPr>
        <w:t>如有虚假，我司愿意接受相关处罚。</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spacing w:line="440" w:lineRule="exact"/>
        <w:ind w:firstLine="480" w:firstLineChars="200"/>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rPr>
          <w:rFonts w:hint="eastAsia" w:ascii="仿宋" w:hAnsi="仿宋" w:eastAsia="仿宋" w:cs="仿宋"/>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08" w:num="1"/>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9:</w:t>
      </w:r>
    </w:p>
    <w:p>
      <w:pPr>
        <w:rPr>
          <w:rFonts w:hint="eastAsia" w:ascii="仿宋" w:hAnsi="仿宋" w:eastAsia="仿宋" w:cs="仿宋"/>
          <w:color w:val="auto"/>
          <w:lang w:val="en-US" w:eastAsia="zh-CN"/>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97" w:name="_Toc2850"/>
      <w:bookmarkStart w:id="98" w:name="_Toc9667"/>
      <w:r>
        <w:rPr>
          <w:rFonts w:hint="eastAsia" w:ascii="仿宋" w:hAnsi="仿宋" w:eastAsia="仿宋" w:cs="仿宋"/>
          <w:color w:val="auto"/>
          <w:lang w:val="en-US" w:eastAsia="zh-CN"/>
        </w:rPr>
        <w:t>9、具备《中华人民共和国政府采购法》第二十二条规定条件的承诺书</w:t>
      </w:r>
      <w:bookmarkEnd w:id="97"/>
      <w:bookmarkEnd w:id="9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致：</w:t>
      </w:r>
      <w:r>
        <w:rPr>
          <w:rFonts w:hint="eastAsia" w:ascii="仿宋" w:hAnsi="仿宋" w:eastAsia="仿宋" w:cs="仿宋"/>
          <w:b/>
          <w:bCs/>
          <w:color w:val="auto"/>
          <w:sz w:val="24"/>
          <w:szCs w:val="24"/>
          <w:lang w:eastAsia="zh-CN"/>
        </w:rPr>
        <w:t>海南政辉招投标代理有限公司</w:t>
      </w: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本公司作为参加本次</w:t>
      </w:r>
      <w:r>
        <w:rPr>
          <w:rFonts w:hint="eastAsia" w:ascii="仿宋" w:hAnsi="仿宋" w:eastAsia="仿宋" w:cs="仿宋"/>
          <w:color w:val="auto"/>
          <w:sz w:val="24"/>
          <w:szCs w:val="24"/>
          <w:u w:val="single"/>
          <w:lang w:val="en-US" w:eastAsia="zh-CN"/>
        </w:rPr>
        <w:t xml:space="preserve">         （项目名称+包号）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）的</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 xml:space="preserve">，现郑重承诺具备以下条件（《中华人民共和国政府采购法》第二十二条）：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具有独立承担民事责任的能力；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具有良好的商业信誉和健全的财务会计制度；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具有履行合同所必需的设备和专业技术能力；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具有依法缴纳税收和社会保障资金的良好记录；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参加本次政府采购活动前三年内，在经营活动中没有重大违法违规记录；</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7"/>
        <w:rPr>
          <w:rFonts w:hint="eastAsia" w:ascii="仿宋" w:hAnsi="仿宋" w:eastAsia="仿宋" w:cs="仿宋"/>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p>
    <w:p>
      <w:pPr>
        <w:pStyle w:val="7"/>
        <w:rPr>
          <w:rFonts w:hint="eastAsia" w:ascii="仿宋" w:hAnsi="仿宋" w:eastAsia="仿宋" w:cs="仿宋"/>
          <w:color w:val="auto"/>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val="en-US" w:eastAsia="zh-CN"/>
        </w:rPr>
        <w:t>盖</w:t>
      </w:r>
      <w:r>
        <w:rPr>
          <w:rFonts w:hint="eastAsia" w:ascii="仿宋" w:hAnsi="仿宋" w:eastAsia="仿宋" w:cs="仿宋"/>
          <w:color w:val="auto"/>
          <w:sz w:val="24"/>
          <w:szCs w:val="24"/>
          <w:u w:val="single"/>
        </w:rPr>
        <w:t>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ind w:firstLine="482" w:firstLineChars="200"/>
        <w:jc w:val="center"/>
        <w:rPr>
          <w:rFonts w:hint="eastAsia" w:ascii="仿宋" w:hAnsi="仿宋" w:eastAsia="仿宋" w:cs="仿宋"/>
          <w:b/>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08" w:num="1"/>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10:</w:t>
      </w:r>
    </w:p>
    <w:p>
      <w:pPr>
        <w:rPr>
          <w:rFonts w:hint="eastAsia" w:ascii="仿宋" w:hAnsi="仿宋" w:eastAsia="仿宋" w:cs="仿宋"/>
          <w:color w:val="auto"/>
          <w:lang w:val="en-US" w:eastAsia="zh-CN"/>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99" w:name="_Toc10292"/>
      <w:bookmarkStart w:id="100" w:name="_Toc26364"/>
      <w:r>
        <w:rPr>
          <w:rFonts w:hint="eastAsia" w:ascii="仿宋" w:hAnsi="仿宋" w:eastAsia="仿宋" w:cs="仿宋"/>
          <w:color w:val="auto"/>
          <w:lang w:val="en-US" w:eastAsia="zh-CN"/>
        </w:rPr>
        <w:t>10、不存在与参加本项目采购活动的其他供应商单位负责人为同一人或者存在直接控股、管理关系的承诺函</w:t>
      </w:r>
      <w:bookmarkEnd w:id="99"/>
      <w:bookmarkEnd w:id="100"/>
    </w:p>
    <w:p>
      <w:pPr>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（项目名称+包号）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）货物及服务的招标采购活动，我司</w:t>
      </w:r>
      <w:r>
        <w:rPr>
          <w:rFonts w:hint="eastAsia" w:ascii="仿宋" w:hAnsi="仿宋" w:eastAsia="仿宋" w:cs="仿宋"/>
          <w:color w:val="auto"/>
          <w:sz w:val="24"/>
          <w:szCs w:val="24"/>
          <w:lang w:val="en-US" w:eastAsia="zh-CN"/>
        </w:rPr>
        <w:t>郑重承诺</w:t>
      </w:r>
      <w:r>
        <w:rPr>
          <w:rFonts w:hint="eastAsia" w:ascii="仿宋" w:hAnsi="仿宋" w:eastAsia="仿宋" w:cs="仿宋"/>
          <w:color w:val="auto"/>
          <w:sz w:val="24"/>
          <w:szCs w:val="24"/>
        </w:rPr>
        <w:t>如下：</w:t>
      </w:r>
    </w:p>
    <w:p>
      <w:pPr>
        <w:spacing w:line="360" w:lineRule="auto"/>
        <w:ind w:firstLine="482" w:firstLineChars="200"/>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我公司在参加该项目招标采购活动中，不存在与参加本项目采购活动的其他供应商单位负责人为同一人或者存在直接控股、管理关系。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7"/>
        <w:rPr>
          <w:rFonts w:hint="eastAsia" w:ascii="仿宋" w:hAnsi="仿宋" w:eastAsia="仿宋" w:cs="仿宋"/>
          <w:color w:val="auto"/>
        </w:rPr>
      </w:pPr>
    </w:p>
    <w:p>
      <w:pPr>
        <w:spacing w:line="440" w:lineRule="exact"/>
        <w:ind w:firstLine="480" w:firstLineChars="200"/>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08"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11:</w:t>
      </w:r>
    </w:p>
    <w:p>
      <w:pPr>
        <w:rPr>
          <w:rFonts w:hint="eastAsia" w:ascii="仿宋" w:hAnsi="仿宋" w:eastAsia="仿宋" w:cs="仿宋"/>
          <w:color w:val="auto"/>
          <w:lang w:val="en-US" w:eastAsia="zh-CN"/>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101" w:name="_Toc24014"/>
      <w:r>
        <w:rPr>
          <w:rFonts w:hint="eastAsia" w:ascii="仿宋" w:hAnsi="仿宋" w:eastAsia="仿宋" w:cs="仿宋"/>
          <w:color w:val="auto"/>
          <w:lang w:val="en-US" w:eastAsia="zh-CN"/>
        </w:rPr>
        <w:t>11、中小企业声明函（工程、服务）</w:t>
      </w:r>
      <w:bookmarkEnd w:id="101"/>
    </w:p>
    <w:p>
      <w:pPr>
        <w:spacing w:after="0" w:line="360" w:lineRule="auto"/>
        <w:ind w:right="2"/>
        <w:jc w:val="both"/>
        <w:rPr>
          <w:rFonts w:hint="eastAsia" w:ascii="仿宋" w:hAnsi="仿宋" w:eastAsia="仿宋" w:cs="仿宋"/>
          <w:b w:val="0"/>
          <w:bCs/>
          <w:color w:val="auto"/>
          <w:sz w:val="24"/>
          <w:szCs w:val="24"/>
        </w:rPr>
      </w:pP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本公司(联合体)郑重声明，根据《政府采购促进中小企业发展管理办法》(财库﹝</w:t>
      </w:r>
      <w:r>
        <w:rPr>
          <w:rFonts w:hint="eastAsia" w:ascii="仿宋" w:hAnsi="仿宋" w:eastAsia="仿宋" w:cs="仿宋"/>
          <w:b w:val="0"/>
          <w:bCs/>
          <w:color w:val="auto"/>
          <w:sz w:val="24"/>
          <w:szCs w:val="24"/>
          <w:lang w:eastAsia="zh-CN"/>
        </w:rPr>
        <w:t>202</w:t>
      </w:r>
      <w:r>
        <w:rPr>
          <w:rFonts w:hint="eastAsia" w:ascii="仿宋" w:hAnsi="仿宋" w:eastAsia="仿宋" w:cs="仿宋"/>
          <w:b w:val="0"/>
          <w:bCs/>
          <w:color w:val="auto"/>
          <w:sz w:val="24"/>
          <w:szCs w:val="24"/>
          <w:lang w:val="en-US" w:eastAsia="zh-CN"/>
        </w:rPr>
        <w:t>0</w:t>
      </w:r>
      <w:r>
        <w:rPr>
          <w:rFonts w:hint="eastAsia" w:ascii="仿宋" w:hAnsi="仿宋" w:eastAsia="仿宋" w:cs="仿宋"/>
          <w:b w:val="0"/>
          <w:bCs/>
          <w:color w:val="auto"/>
          <w:sz w:val="24"/>
          <w:szCs w:val="24"/>
        </w:rPr>
        <w:t>﹞46号)的规定，本公司(联合体)参加</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(单位名称</w:t>
      </w:r>
      <w:r>
        <w:rPr>
          <w:rFonts w:hint="eastAsia" w:ascii="仿宋" w:hAnsi="仿宋" w:eastAsia="仿宋" w:cs="仿宋"/>
          <w:b w:val="0"/>
          <w:bCs/>
          <w:color w:val="auto"/>
          <w:sz w:val="24"/>
          <w:szCs w:val="24"/>
        </w:rPr>
        <w:t>)的</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color w:val="auto"/>
          <w:sz w:val="24"/>
          <w:szCs w:val="24"/>
          <w:u w:val="single"/>
          <w:lang w:val="en-US" w:eastAsia="zh-CN"/>
        </w:rPr>
        <w:t xml:space="preserve">  （项目名称+包号） </w:t>
      </w:r>
      <w:r>
        <w:rPr>
          <w:rFonts w:hint="eastAsia" w:ascii="仿宋" w:hAnsi="仿宋" w:eastAsia="仿宋" w:cs="仿宋"/>
          <w:b w:val="0"/>
          <w:bCs/>
          <w:color w:val="auto"/>
          <w:sz w:val="24"/>
          <w:szCs w:val="24"/>
          <w:u w:val="single"/>
        </w:rPr>
        <w:t>)</w:t>
      </w:r>
      <w:r>
        <w:rPr>
          <w:rFonts w:hint="eastAsia" w:ascii="仿宋" w:hAnsi="仿宋" w:eastAsia="仿宋" w:cs="仿宋"/>
          <w:b w:val="0"/>
          <w:bCs/>
          <w:color w:val="auto"/>
          <w:sz w:val="24"/>
          <w:szCs w:val="24"/>
        </w:rPr>
        <w:t>采购活动，工程的施工单位全部为符合政策要求的中小企业(或者</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服务全部由符合政策要求的中小企业承接)。相关企业(含联合体中的中小企业、签订分包意向协议的中小企业)的具体情况如下</w:t>
      </w:r>
      <w:r>
        <w:rPr>
          <w:rFonts w:hint="eastAsia" w:ascii="仿宋" w:hAnsi="仿宋" w:eastAsia="仿宋" w:cs="仿宋"/>
          <w:b w:val="0"/>
          <w:bCs/>
          <w:color w:val="auto"/>
          <w:sz w:val="24"/>
          <w:szCs w:val="24"/>
          <w:lang w:eastAsia="zh-CN"/>
        </w:rPr>
        <w:t>：</w:t>
      </w: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w:t>
      </w:r>
      <w:r>
        <w:rPr>
          <w:rFonts w:hint="eastAsia" w:ascii="仿宋" w:hAnsi="仿宋" w:eastAsia="仿宋" w:cs="仿宋"/>
          <w:b w:val="0"/>
          <w:bCs/>
          <w:color w:val="auto"/>
          <w:sz w:val="24"/>
          <w:szCs w:val="24"/>
        </w:rPr>
        <w:t>承建(承接)企业为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万元¹，属于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lang w:eastAsia="zh-CN"/>
        </w:rPr>
        <w:t>；</w:t>
      </w:r>
    </w:p>
    <w:p>
      <w:pPr>
        <w:spacing w:after="0" w:line="360" w:lineRule="auto"/>
        <w:ind w:right="2" w:firstLine="480" w:firstLineChars="200"/>
        <w:jc w:val="both"/>
        <w:rPr>
          <w:rFonts w:hint="eastAsia" w:ascii="仿宋" w:hAnsi="仿宋" w:eastAsia="仿宋" w:cs="仿宋"/>
          <w:b w:val="0"/>
          <w:bCs/>
          <w:color w:val="auto"/>
          <w:sz w:val="24"/>
          <w:szCs w:val="24"/>
          <w:u w:val="single"/>
          <w:lang w:eastAsia="zh-CN"/>
        </w:rPr>
      </w:pP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w:t>
      </w:r>
      <w:r>
        <w:rPr>
          <w:rFonts w:hint="eastAsia" w:ascii="仿宋" w:hAnsi="仿宋" w:eastAsia="仿宋" w:cs="仿宋"/>
          <w:b w:val="0"/>
          <w:bCs/>
          <w:color w:val="auto"/>
          <w:sz w:val="24"/>
          <w:szCs w:val="24"/>
        </w:rPr>
        <w:t>承建(承接)企业为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i w:val="0"/>
          <w:iCs w:val="0"/>
          <w:color w:val="auto"/>
          <w:sz w:val="24"/>
          <w:szCs w:val="24"/>
          <w:u w:val="none"/>
          <w:lang w:eastAsia="zh-CN"/>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以上企业，不属于大企业的分支机构，不存在控股股东为大企业的情形，也不存在与大企业的负责人为同一人的情形。</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本企业对上述声明内容的真实性负责。如有虚假，将依法承担相应责任。</w:t>
      </w: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企业名称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盖章</w:t>
      </w:r>
      <w:r>
        <w:rPr>
          <w:rFonts w:hint="eastAsia" w:ascii="仿宋" w:hAnsi="仿宋" w:eastAsia="仿宋" w:cs="仿宋"/>
          <w:b w:val="0"/>
          <w:bCs/>
          <w:color w:val="auto"/>
          <w:sz w:val="24"/>
          <w:szCs w:val="24"/>
          <w:lang w:eastAsia="zh-CN"/>
        </w:rPr>
        <w:t>）：</w:t>
      </w: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日期</w:t>
      </w:r>
      <w:r>
        <w:rPr>
          <w:rFonts w:hint="eastAsia" w:ascii="仿宋" w:hAnsi="仿宋" w:eastAsia="仿宋" w:cs="仿宋"/>
          <w:b w:val="0"/>
          <w:bCs/>
          <w:color w:val="auto"/>
          <w:sz w:val="24"/>
          <w:szCs w:val="24"/>
          <w:lang w:eastAsia="zh-CN"/>
        </w:rPr>
        <w:t>：</w:t>
      </w: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rPr>
      </w:pPr>
    </w:p>
    <w:p>
      <w:pPr>
        <w:bidi w:val="0"/>
        <w:rPr>
          <w:rFonts w:hint="eastAsia" w:ascii="仿宋" w:hAnsi="仿宋" w:eastAsia="仿宋" w:cs="仿宋"/>
          <w:color w:val="auto"/>
          <w:sz w:val="24"/>
          <w:szCs w:val="24"/>
          <w:lang w:val="en-US" w:eastAsia="zh-CN"/>
        </w:rPr>
      </w:pPr>
      <w:r>
        <w:rPr>
          <w:rFonts w:hint="eastAsia" w:ascii="仿宋" w:hAnsi="仿宋" w:eastAsia="仿宋" w:cs="仿宋"/>
          <w:b w:val="0"/>
          <w:bCs/>
          <w:color w:val="auto"/>
          <w:sz w:val="24"/>
          <w:szCs w:val="24"/>
        </w:rPr>
        <w:t>¹从业人员、营业收入、资产总额填报上一年度数据，无上一年度数据的新成立企业可不填报。</w:t>
      </w:r>
    </w:p>
    <w:p>
      <w:pPr>
        <w:spacing w:after="0" w:line="360" w:lineRule="auto"/>
        <w:ind w:right="2"/>
        <w:jc w:val="center"/>
        <w:rPr>
          <w:rFonts w:hint="eastAsia" w:ascii="仿宋" w:hAnsi="仿宋" w:eastAsia="仿宋" w:cs="仿宋"/>
          <w:b/>
          <w:color w:val="auto"/>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08"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12:</w:t>
      </w: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102" w:name="_Toc4334"/>
      <w:bookmarkStart w:id="103" w:name="_Toc12366"/>
      <w:r>
        <w:rPr>
          <w:rFonts w:hint="eastAsia" w:ascii="仿宋" w:hAnsi="仿宋" w:eastAsia="仿宋" w:cs="仿宋"/>
          <w:color w:val="auto"/>
          <w:lang w:val="en-US" w:eastAsia="zh-CN"/>
        </w:rPr>
        <w:t>12、监狱企业证明文件</w:t>
      </w:r>
      <w:bookmarkEnd w:id="102"/>
      <w:bookmarkEnd w:id="103"/>
    </w:p>
    <w:p>
      <w:pPr>
        <w:spacing w:after="0" w:line="360" w:lineRule="auto"/>
        <w:ind w:left="420" w:firstLine="420"/>
        <w:rPr>
          <w:rFonts w:hint="eastAsia" w:ascii="仿宋" w:hAnsi="仿宋" w:eastAsia="仿宋" w:cs="仿宋"/>
          <w:color w:val="auto"/>
          <w:sz w:val="24"/>
          <w:szCs w:val="24"/>
        </w:rPr>
      </w:pPr>
    </w:p>
    <w:p>
      <w:pPr>
        <w:spacing w:after="0" w:line="360" w:lineRule="auto"/>
        <w:ind w:left="420" w:firstLine="420"/>
        <w:rPr>
          <w:rFonts w:hint="eastAsia" w:ascii="仿宋" w:hAnsi="仿宋" w:eastAsia="仿宋" w:cs="仿宋"/>
          <w:color w:val="auto"/>
          <w:sz w:val="24"/>
          <w:szCs w:val="24"/>
        </w:rPr>
      </w:pPr>
      <w:r>
        <w:rPr>
          <w:rFonts w:hint="eastAsia" w:ascii="仿宋" w:hAnsi="仿宋" w:eastAsia="仿宋" w:cs="仿宋"/>
          <w:color w:val="auto"/>
          <w:sz w:val="24"/>
          <w:szCs w:val="24"/>
        </w:rPr>
        <w:t>享受政策优惠的监狱企业须提供由省级以上监狱管理局、戒毒管理局（含新疆生产建设兵团）出具的属于监狱企业的证明文件。</w:t>
      </w:r>
    </w:p>
    <w:p>
      <w:pPr>
        <w:pStyle w:val="3"/>
        <w:spacing w:after="240"/>
        <w:rPr>
          <w:rFonts w:hint="eastAsia" w:ascii="仿宋" w:hAnsi="仿宋" w:eastAsia="仿宋" w:cs="仿宋"/>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08"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13:</w:t>
      </w:r>
    </w:p>
    <w:p>
      <w:pPr>
        <w:rPr>
          <w:rFonts w:hint="eastAsia" w:ascii="仿宋" w:hAnsi="仿宋" w:eastAsia="仿宋" w:cs="仿宋"/>
          <w:color w:val="auto"/>
          <w:lang w:val="en-US" w:eastAsia="zh-CN"/>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104" w:name="_Toc19643"/>
      <w:bookmarkStart w:id="105" w:name="_Toc16196"/>
      <w:r>
        <w:rPr>
          <w:rFonts w:hint="eastAsia" w:ascii="仿宋" w:hAnsi="仿宋" w:eastAsia="仿宋" w:cs="仿宋"/>
          <w:color w:val="auto"/>
          <w:lang w:val="en-US" w:eastAsia="zh-CN"/>
        </w:rPr>
        <w:t>13、残疾人福利性单位声明函</w:t>
      </w:r>
      <w:bookmarkEnd w:id="104"/>
      <w:bookmarkEnd w:id="105"/>
    </w:p>
    <w:p>
      <w:pPr>
        <w:spacing w:line="588" w:lineRule="exact"/>
        <w:ind w:firstLine="504" w:firstLineChars="200"/>
        <w:rPr>
          <w:rFonts w:hint="eastAsia" w:ascii="仿宋" w:hAnsi="仿宋" w:eastAsia="仿宋" w:cs="仿宋"/>
          <w:color w:val="auto"/>
          <w:spacing w:val="6"/>
          <w:sz w:val="24"/>
          <w:szCs w:val="24"/>
        </w:rPr>
      </w:pP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本单位郑重声明，根据《财政部 民政部 中国残疾人联合会关于促进残疾人就业政府采购政策的通知》（财库</w:t>
      </w:r>
      <w:r>
        <w:rPr>
          <w:rFonts w:hint="eastAsia" w:ascii="仿宋" w:hAnsi="仿宋" w:eastAsia="仿宋" w:cs="仿宋"/>
          <w:color w:val="auto"/>
          <w:sz w:val="24"/>
          <w:szCs w:val="24"/>
        </w:rPr>
        <w:t>〔2017〕141</w:t>
      </w:r>
      <w:r>
        <w:rPr>
          <w:rFonts w:hint="eastAsia" w:ascii="仿宋" w:hAnsi="仿宋" w:eastAsia="仿宋" w:cs="仿宋"/>
          <w:color w:val="auto"/>
          <w:spacing w:val="6"/>
          <w:sz w:val="24"/>
          <w:szCs w:val="24"/>
        </w:rPr>
        <w:t>号）的规定，本单位为符合条件的残疾人福利性单位，且本单位参加</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单位的</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z w:val="24"/>
          <w:szCs w:val="24"/>
          <w:u w:val="single"/>
          <w:lang w:val="en-US" w:eastAsia="zh-CN"/>
        </w:rPr>
        <w:t xml:space="preserve">  （项目名称+包号）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spacing w:line="588" w:lineRule="exact"/>
        <w:ind w:firstLine="504" w:firstLineChars="200"/>
        <w:rPr>
          <w:rFonts w:hint="eastAsia" w:ascii="仿宋" w:hAnsi="仿宋" w:eastAsia="仿宋" w:cs="仿宋"/>
          <w:color w:val="auto"/>
          <w:spacing w:val="6"/>
          <w:sz w:val="24"/>
          <w:szCs w:val="24"/>
        </w:rPr>
      </w:pPr>
    </w:p>
    <w:p>
      <w:pPr>
        <w:spacing w:line="588" w:lineRule="exact"/>
        <w:ind w:firstLine="504" w:firstLineChars="200"/>
        <w:rPr>
          <w:rFonts w:hint="eastAsia" w:ascii="仿宋" w:hAnsi="仿宋" w:eastAsia="仿宋" w:cs="仿宋"/>
          <w:color w:val="auto"/>
          <w:spacing w:val="6"/>
          <w:sz w:val="24"/>
          <w:szCs w:val="24"/>
        </w:rPr>
      </w:pP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日  期：</w:t>
      </w:r>
    </w:p>
    <w:p>
      <w:pPr>
        <w:pStyle w:val="3"/>
        <w:spacing w:after="240"/>
        <w:rPr>
          <w:rFonts w:hint="eastAsia" w:ascii="仿宋" w:hAnsi="仿宋" w:eastAsia="仿宋" w:cs="仿宋"/>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08" w:num="1"/>
          <w:docGrid w:linePitch="312" w:charSpace="0"/>
        </w:sectPr>
      </w:pPr>
    </w:p>
    <w:bookmarkEnd w:id="90"/>
    <w:bookmarkEnd w:id="91"/>
    <w:bookmarkEnd w:id="92"/>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bookmarkStart w:id="106" w:name="_Toc1531"/>
      <w:r>
        <w:rPr>
          <w:rFonts w:hint="eastAsia" w:ascii="仿宋" w:hAnsi="仿宋" w:eastAsia="仿宋" w:cs="仿宋"/>
          <w:b/>
          <w:color w:val="auto"/>
          <w:kern w:val="0"/>
          <w:sz w:val="44"/>
          <w:szCs w:val="44"/>
          <w:lang w:val="en-US" w:eastAsia="zh-CN"/>
        </w:rPr>
        <w:t>第六章 磋商程序</w:t>
      </w:r>
      <w:bookmarkEnd w:id="106"/>
    </w:p>
    <w:p>
      <w:pPr>
        <w:rPr>
          <w:rFonts w:hint="eastAsia" w:ascii="仿宋" w:hAnsi="仿宋" w:eastAsia="仿宋" w:cs="仿宋"/>
          <w:color w:val="auto"/>
        </w:rPr>
      </w:pPr>
    </w:p>
    <w:p>
      <w:pPr>
        <w:tabs>
          <w:tab w:val="left" w:pos="720"/>
        </w:tabs>
        <w:snapToGrid w:val="0"/>
        <w:spacing w:line="360" w:lineRule="auto"/>
        <w:ind w:right="-105" w:rightChars="-50"/>
        <w:rPr>
          <w:rFonts w:hint="eastAsia" w:ascii="仿宋" w:hAnsi="仿宋" w:eastAsia="仿宋" w:cs="仿宋"/>
          <w:b/>
          <w:color w:val="auto"/>
          <w:sz w:val="32"/>
          <w:szCs w:val="32"/>
        </w:rPr>
      </w:pPr>
      <w:r>
        <w:rPr>
          <w:rFonts w:hint="eastAsia" w:ascii="仿宋" w:hAnsi="仿宋" w:eastAsia="仿宋" w:cs="仿宋"/>
          <w:b/>
          <w:color w:val="auto"/>
          <w:sz w:val="32"/>
          <w:szCs w:val="32"/>
        </w:rPr>
        <w:t>一、评审原则</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本次采购采用竞争性磋商方式进行，评审由依法组成的磋商小组负责完成。评审基本原则：评审工作应依据《中华人民共和国政府采购法》以及国家和地方政府采购的有关规定，遵循“公开、公平、公正、择优、诚实信用”的原则。</w:t>
      </w:r>
    </w:p>
    <w:p>
      <w:pPr>
        <w:tabs>
          <w:tab w:val="left" w:pos="360"/>
        </w:tabs>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2、本次竞争性磋商采购的评审采用综合评分法。</w:t>
      </w:r>
    </w:p>
    <w:p>
      <w:pPr>
        <w:tabs>
          <w:tab w:val="left" w:pos="720"/>
        </w:tabs>
        <w:snapToGrid w:val="0"/>
        <w:spacing w:line="360" w:lineRule="auto"/>
        <w:ind w:right="-105" w:rightChars="-50"/>
        <w:rPr>
          <w:rFonts w:hint="eastAsia" w:ascii="仿宋" w:hAnsi="仿宋" w:eastAsia="仿宋" w:cs="仿宋"/>
          <w:b/>
          <w:color w:val="auto"/>
          <w:sz w:val="32"/>
          <w:szCs w:val="32"/>
        </w:rPr>
      </w:pPr>
      <w:r>
        <w:rPr>
          <w:rFonts w:hint="eastAsia" w:ascii="仿宋" w:hAnsi="仿宋" w:eastAsia="仿宋" w:cs="仿宋"/>
          <w:b/>
          <w:color w:val="auto"/>
          <w:sz w:val="32"/>
          <w:szCs w:val="32"/>
        </w:rPr>
        <w:t>二、磋商程序和评审方法</w:t>
      </w:r>
    </w:p>
    <w:p>
      <w:pPr>
        <w:adjustRightInd w:val="0"/>
        <w:snapToGrid w:val="0"/>
        <w:spacing w:line="360" w:lineRule="auto"/>
        <w:ind w:firstLine="480" w:firstLineChars="200"/>
        <w:rPr>
          <w:rFonts w:hint="eastAsia" w:ascii="仿宋" w:hAnsi="仿宋" w:eastAsia="仿宋" w:cs="仿宋"/>
          <w:bCs/>
          <w:snapToGrid w:val="0"/>
          <w:color w:val="auto"/>
          <w:kern w:val="0"/>
          <w:sz w:val="24"/>
        </w:rPr>
      </w:pPr>
      <w:r>
        <w:rPr>
          <w:rFonts w:hint="eastAsia" w:ascii="仿宋" w:hAnsi="仿宋" w:eastAsia="仿宋" w:cs="仿宋"/>
          <w:bCs/>
          <w:snapToGrid w:val="0"/>
          <w:color w:val="auto"/>
          <w:kern w:val="0"/>
          <w:sz w:val="24"/>
        </w:rPr>
        <w:t>1、磋商小组对响应文件的有效性、完整性和响应程度进行审查，如发现响应文件中含义不明确、同类问题表述不一致或者有明显文字和计算错误的等内容，可以要求</w:t>
      </w:r>
      <w:r>
        <w:rPr>
          <w:rFonts w:hint="eastAsia" w:ascii="仿宋" w:hAnsi="仿宋" w:eastAsia="仿宋" w:cs="仿宋"/>
          <w:bCs/>
          <w:color w:val="auto"/>
          <w:sz w:val="24"/>
        </w:rPr>
        <w:t>供应商</w:t>
      </w:r>
      <w:r>
        <w:rPr>
          <w:rFonts w:hint="eastAsia" w:ascii="仿宋" w:hAnsi="仿宋" w:eastAsia="仿宋" w:cs="仿宋"/>
          <w:bCs/>
          <w:snapToGrid w:val="0"/>
          <w:color w:val="auto"/>
          <w:kern w:val="0"/>
          <w:sz w:val="24"/>
        </w:rPr>
        <w:t>作出必要的澄清、说明或者更正。</w:t>
      </w:r>
      <w:r>
        <w:rPr>
          <w:rFonts w:hint="eastAsia" w:ascii="仿宋" w:hAnsi="仿宋" w:eastAsia="仿宋" w:cs="仿宋"/>
          <w:bCs/>
          <w:color w:val="auto"/>
          <w:sz w:val="24"/>
        </w:rPr>
        <w:t>供应商</w:t>
      </w:r>
      <w:r>
        <w:rPr>
          <w:rFonts w:hint="eastAsia" w:ascii="仿宋" w:hAnsi="仿宋" w:eastAsia="仿宋" w:cs="仿宋"/>
          <w:bCs/>
          <w:snapToGrid w:val="0"/>
          <w:color w:val="auto"/>
          <w:kern w:val="0"/>
          <w:sz w:val="24"/>
        </w:rPr>
        <w:t>的澄清、说明或者更正不得超出响应文件的范围或者改变响应文件的实质性内容。</w:t>
      </w:r>
    </w:p>
    <w:p>
      <w:pPr>
        <w:adjustRightInd w:val="0"/>
        <w:snapToGrid w:val="0"/>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snapToGrid w:val="0"/>
          <w:color w:val="auto"/>
          <w:kern w:val="0"/>
          <w:sz w:val="24"/>
        </w:rPr>
        <w:t>2、</w:t>
      </w:r>
      <w:r>
        <w:rPr>
          <w:rFonts w:hint="eastAsia" w:ascii="仿宋" w:hAnsi="仿宋" w:eastAsia="仿宋" w:cs="仿宋"/>
          <w:bCs/>
          <w:color w:val="auto"/>
          <w:sz w:val="24"/>
        </w:rPr>
        <w:t>磋商小组根据附表1的内容，对响应文件进行初步评审，只有通过初步评审的供应商才能继续进行磋商程序。</w:t>
      </w:r>
    </w:p>
    <w:p>
      <w:pPr>
        <w:adjustRightInd w:val="0"/>
        <w:snapToGrid w:val="0"/>
        <w:spacing w:line="360" w:lineRule="auto"/>
        <w:ind w:firstLine="480" w:firstLineChars="200"/>
        <w:rPr>
          <w:rFonts w:hint="eastAsia" w:ascii="仿宋" w:hAnsi="仿宋" w:eastAsia="仿宋" w:cs="仿宋"/>
          <w:bCs/>
          <w:snapToGrid w:val="0"/>
          <w:color w:val="auto"/>
          <w:kern w:val="0"/>
          <w:sz w:val="24"/>
        </w:rPr>
      </w:pPr>
      <w:r>
        <w:rPr>
          <w:rFonts w:hint="eastAsia" w:ascii="仿宋" w:hAnsi="仿宋" w:eastAsia="仿宋" w:cs="仿宋"/>
          <w:bCs/>
          <w:snapToGrid w:val="0"/>
          <w:color w:val="auto"/>
          <w:kern w:val="0"/>
          <w:sz w:val="24"/>
        </w:rPr>
        <w:t>除符合“政府采购竞争性磋商采购方式管理暂行办法”第三条第四项情形的，通过初步评审的</w:t>
      </w:r>
      <w:r>
        <w:rPr>
          <w:rFonts w:hint="eastAsia" w:ascii="仿宋" w:hAnsi="仿宋" w:eastAsia="仿宋" w:cs="仿宋"/>
          <w:bCs/>
          <w:color w:val="auto"/>
          <w:sz w:val="24"/>
        </w:rPr>
        <w:t>供应商</w:t>
      </w:r>
      <w:r>
        <w:rPr>
          <w:rFonts w:hint="eastAsia" w:ascii="仿宋" w:hAnsi="仿宋" w:eastAsia="仿宋" w:cs="仿宋"/>
          <w:bCs/>
          <w:snapToGrid w:val="0"/>
          <w:color w:val="auto"/>
          <w:kern w:val="0"/>
          <w:sz w:val="24"/>
        </w:rPr>
        <w:t xml:space="preserve">必须不少于2家，否则磋商失败。 </w:t>
      </w:r>
    </w:p>
    <w:p>
      <w:pPr>
        <w:widowControl/>
        <w:snapToGrid w:val="0"/>
        <w:spacing w:line="360" w:lineRule="auto"/>
        <w:ind w:firstLine="480" w:firstLineChars="200"/>
        <w:rPr>
          <w:rFonts w:hint="eastAsia" w:ascii="仿宋" w:hAnsi="仿宋" w:eastAsia="仿宋" w:cs="仿宋"/>
          <w:bCs/>
          <w:snapToGrid w:val="0"/>
          <w:color w:val="auto"/>
          <w:kern w:val="0"/>
          <w:sz w:val="24"/>
        </w:rPr>
      </w:pPr>
      <w:r>
        <w:rPr>
          <w:rFonts w:hint="eastAsia" w:ascii="仿宋" w:hAnsi="仿宋" w:eastAsia="仿宋" w:cs="仿宋"/>
          <w:bCs/>
          <w:snapToGrid w:val="0"/>
          <w:color w:val="auto"/>
          <w:kern w:val="0"/>
          <w:sz w:val="24"/>
        </w:rPr>
        <w:t>3、磋商小组所有成员应当集中与单一</w:t>
      </w:r>
      <w:r>
        <w:rPr>
          <w:rFonts w:hint="eastAsia" w:ascii="仿宋" w:hAnsi="仿宋" w:eastAsia="仿宋" w:cs="仿宋"/>
          <w:bCs/>
          <w:color w:val="auto"/>
          <w:sz w:val="24"/>
        </w:rPr>
        <w:t>供应商</w:t>
      </w:r>
      <w:r>
        <w:rPr>
          <w:rFonts w:hint="eastAsia" w:ascii="仿宋" w:hAnsi="仿宋" w:eastAsia="仿宋" w:cs="仿宋"/>
          <w:bCs/>
          <w:snapToGrid w:val="0"/>
          <w:color w:val="auto"/>
          <w:kern w:val="0"/>
          <w:sz w:val="24"/>
        </w:rPr>
        <w:t>分别进行磋商。</w:t>
      </w:r>
    </w:p>
    <w:p>
      <w:pPr>
        <w:widowControl/>
        <w:snapToGrid w:val="0"/>
        <w:spacing w:line="360" w:lineRule="auto"/>
        <w:ind w:firstLine="48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4、磋商结束后，磋商小组应当要求所有实质性响应的</w:t>
      </w:r>
      <w:r>
        <w:rPr>
          <w:rFonts w:hint="eastAsia" w:ascii="仿宋" w:hAnsi="仿宋" w:eastAsia="仿宋" w:cs="仿宋"/>
          <w:color w:val="auto"/>
          <w:sz w:val="24"/>
        </w:rPr>
        <w:t>供应商</w:t>
      </w:r>
      <w:r>
        <w:rPr>
          <w:rFonts w:hint="eastAsia" w:ascii="仿宋" w:hAnsi="仿宋" w:eastAsia="仿宋" w:cs="仿宋"/>
          <w:snapToGrid w:val="0"/>
          <w:color w:val="auto"/>
          <w:kern w:val="0"/>
          <w:sz w:val="24"/>
        </w:rPr>
        <w:t>在规定时间内提交最后报价。最后报价是</w:t>
      </w:r>
      <w:r>
        <w:rPr>
          <w:rFonts w:hint="eastAsia" w:ascii="仿宋" w:hAnsi="仿宋" w:eastAsia="仿宋" w:cs="仿宋"/>
          <w:color w:val="auto"/>
          <w:sz w:val="24"/>
        </w:rPr>
        <w:t>供应商</w:t>
      </w:r>
      <w:r>
        <w:rPr>
          <w:rFonts w:hint="eastAsia" w:ascii="仿宋" w:hAnsi="仿宋" w:eastAsia="仿宋" w:cs="仿宋"/>
          <w:snapToGrid w:val="0"/>
          <w:color w:val="auto"/>
          <w:kern w:val="0"/>
          <w:sz w:val="24"/>
        </w:rPr>
        <w:t>响应文件的有效组成部分。</w:t>
      </w:r>
    </w:p>
    <w:p>
      <w:pPr>
        <w:widowControl/>
        <w:snapToGrid w:val="0"/>
        <w:spacing w:line="360" w:lineRule="auto"/>
        <w:ind w:firstLine="480" w:firstLineChars="20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已提交响应文件的</w:t>
      </w:r>
      <w:r>
        <w:rPr>
          <w:rFonts w:hint="eastAsia" w:ascii="仿宋" w:hAnsi="仿宋" w:eastAsia="仿宋" w:cs="仿宋"/>
          <w:color w:val="auto"/>
          <w:sz w:val="24"/>
        </w:rPr>
        <w:t>供应商</w:t>
      </w:r>
      <w:r>
        <w:rPr>
          <w:rFonts w:hint="eastAsia" w:ascii="仿宋" w:hAnsi="仿宋" w:eastAsia="仿宋" w:cs="仿宋"/>
          <w:snapToGrid w:val="0"/>
          <w:color w:val="auto"/>
          <w:kern w:val="0"/>
          <w:sz w:val="24"/>
        </w:rPr>
        <w:t xml:space="preserve">，在提交最后报价之前，可以根据磋商情况退出磋商。 </w:t>
      </w:r>
    </w:p>
    <w:p>
      <w:pPr>
        <w:widowControl/>
        <w:snapToGrid w:val="0"/>
        <w:spacing w:line="360" w:lineRule="auto"/>
        <w:ind w:firstLine="480" w:firstLineChars="200"/>
        <w:rPr>
          <w:rFonts w:hint="eastAsia" w:ascii="仿宋" w:hAnsi="仿宋" w:eastAsia="仿宋" w:cs="仿宋"/>
          <w:bCs/>
          <w:snapToGrid w:val="0"/>
          <w:color w:val="auto"/>
          <w:kern w:val="0"/>
          <w:sz w:val="24"/>
        </w:rPr>
      </w:pPr>
      <w:r>
        <w:rPr>
          <w:rFonts w:hint="eastAsia" w:ascii="仿宋" w:hAnsi="仿宋" w:eastAsia="仿宋" w:cs="仿宋"/>
          <w:snapToGrid w:val="0"/>
          <w:color w:val="auto"/>
          <w:kern w:val="0"/>
          <w:sz w:val="24"/>
        </w:rPr>
        <w:t>5、经磋商确定</w:t>
      </w:r>
      <w:r>
        <w:rPr>
          <w:rFonts w:hint="eastAsia" w:ascii="仿宋" w:hAnsi="仿宋" w:eastAsia="仿宋" w:cs="仿宋"/>
          <w:bCs/>
          <w:snapToGrid w:val="0"/>
          <w:color w:val="auto"/>
          <w:kern w:val="0"/>
          <w:sz w:val="24"/>
        </w:rPr>
        <w:t>最终采购需求和提交最后报价的</w:t>
      </w:r>
      <w:r>
        <w:rPr>
          <w:rFonts w:hint="eastAsia" w:ascii="仿宋" w:hAnsi="仿宋" w:eastAsia="仿宋" w:cs="仿宋"/>
          <w:color w:val="auto"/>
          <w:sz w:val="24"/>
        </w:rPr>
        <w:t>供应商</w:t>
      </w:r>
      <w:r>
        <w:rPr>
          <w:rFonts w:hint="eastAsia" w:ascii="仿宋" w:hAnsi="仿宋" w:eastAsia="仿宋" w:cs="仿宋"/>
          <w:bCs/>
          <w:snapToGrid w:val="0"/>
          <w:color w:val="auto"/>
          <w:kern w:val="0"/>
          <w:sz w:val="24"/>
        </w:rPr>
        <w:t>后，由磋商小组采用综合评分法对提交最后报价的</w:t>
      </w:r>
      <w:r>
        <w:rPr>
          <w:rFonts w:hint="eastAsia" w:ascii="仿宋" w:hAnsi="仿宋" w:eastAsia="仿宋" w:cs="仿宋"/>
          <w:color w:val="auto"/>
          <w:sz w:val="24"/>
        </w:rPr>
        <w:t>供应商</w:t>
      </w:r>
      <w:r>
        <w:rPr>
          <w:rFonts w:hint="eastAsia" w:ascii="仿宋" w:hAnsi="仿宋" w:eastAsia="仿宋" w:cs="仿宋"/>
          <w:bCs/>
          <w:snapToGrid w:val="0"/>
          <w:color w:val="auto"/>
          <w:kern w:val="0"/>
          <w:sz w:val="24"/>
        </w:rPr>
        <w:t>的响应文件和最后报价进行综合评分。</w:t>
      </w:r>
    </w:p>
    <w:p>
      <w:pPr>
        <w:shd w:val="clear" w:color="auto" w:fill="FFFFFF"/>
        <w:tabs>
          <w:tab w:val="left" w:pos="720"/>
        </w:tabs>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6、综合评分具体评审的内容</w:t>
      </w:r>
      <w:r>
        <w:rPr>
          <w:rFonts w:hint="eastAsia" w:ascii="仿宋" w:hAnsi="仿宋" w:eastAsia="仿宋" w:cs="仿宋"/>
          <w:color w:val="auto"/>
          <w:sz w:val="24"/>
          <w:lang w:eastAsia="zh-CN"/>
        </w:rPr>
        <w:t>详见</w:t>
      </w:r>
      <w:r>
        <w:rPr>
          <w:rFonts w:hint="eastAsia" w:ascii="仿宋" w:hAnsi="仿宋" w:eastAsia="仿宋" w:cs="仿宋"/>
          <w:color w:val="auto"/>
          <w:sz w:val="24"/>
          <w:lang w:val="en-US" w:eastAsia="zh-CN"/>
        </w:rPr>
        <w:t>技术、商务评分表</w:t>
      </w:r>
      <w:r>
        <w:rPr>
          <w:rFonts w:hint="eastAsia" w:ascii="仿宋" w:hAnsi="仿宋" w:eastAsia="仿宋" w:cs="仿宋"/>
          <w:color w:val="auto"/>
          <w:sz w:val="24"/>
          <w:lang w:eastAsia="zh-CN"/>
        </w:rPr>
        <w:t>。</w:t>
      </w:r>
    </w:p>
    <w:p>
      <w:pPr>
        <w:shd w:val="clear" w:color="auto" w:fill="FFFFFF"/>
        <w:tabs>
          <w:tab w:val="left" w:pos="720"/>
        </w:tabs>
        <w:snapToGrid w:val="0"/>
        <w:spacing w:line="360" w:lineRule="auto"/>
        <w:ind w:right="630" w:firstLine="480" w:firstLineChars="200"/>
        <w:rPr>
          <w:rFonts w:hint="eastAsia" w:ascii="仿宋" w:hAnsi="仿宋" w:eastAsia="仿宋" w:cs="仿宋"/>
          <w:color w:val="auto"/>
          <w:sz w:val="24"/>
        </w:rPr>
      </w:pPr>
      <w:r>
        <w:rPr>
          <w:rFonts w:hint="eastAsia" w:ascii="仿宋" w:hAnsi="仿宋" w:eastAsia="仿宋" w:cs="仿宋"/>
          <w:color w:val="auto"/>
          <w:sz w:val="24"/>
        </w:rPr>
        <w:t>7、价格分计算方法：</w:t>
      </w:r>
    </w:p>
    <w:p>
      <w:pPr>
        <w:shd w:val="clear" w:color="auto" w:fill="FFFFFF"/>
        <w:tabs>
          <w:tab w:val="left" w:pos="720"/>
        </w:tabs>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满足</w:t>
      </w:r>
      <w:r>
        <w:rPr>
          <w:rFonts w:hint="eastAsia" w:ascii="仿宋" w:hAnsi="仿宋" w:eastAsia="仿宋" w:cs="仿宋"/>
          <w:color w:val="auto"/>
          <w:sz w:val="24"/>
          <w:lang w:val="en-US" w:eastAsia="zh-CN"/>
        </w:rPr>
        <w:t>竞争性</w:t>
      </w:r>
      <w:r>
        <w:rPr>
          <w:rFonts w:hint="eastAsia" w:ascii="仿宋" w:hAnsi="仿宋" w:eastAsia="仿宋" w:cs="仿宋"/>
          <w:color w:val="auto"/>
          <w:sz w:val="24"/>
        </w:rPr>
        <w:t>磋商文件要求且最后报价最低的报价为基准价，价格分统一按照下列公式计算：价格分=(基准价／最后磋商报价)×价格权值×100</w:t>
      </w:r>
    </w:p>
    <w:p>
      <w:pPr>
        <w:shd w:val="clear" w:color="auto" w:fill="FFFFFF"/>
        <w:tabs>
          <w:tab w:val="left" w:pos="720"/>
        </w:tabs>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如供应商满足第二章第1</w:t>
      </w:r>
      <w:r>
        <w:rPr>
          <w:rFonts w:hint="eastAsia" w:ascii="仿宋" w:hAnsi="仿宋" w:eastAsia="仿宋" w:cs="仿宋"/>
          <w:color w:val="auto"/>
          <w:sz w:val="24"/>
          <w:lang w:val="en-US" w:eastAsia="zh-CN"/>
        </w:rPr>
        <w:t>9</w:t>
      </w:r>
      <w:r>
        <w:rPr>
          <w:rFonts w:hint="eastAsia" w:ascii="仿宋" w:hAnsi="仿宋" w:eastAsia="仿宋" w:cs="仿宋"/>
          <w:color w:val="auto"/>
          <w:sz w:val="24"/>
        </w:rPr>
        <w:t>条“关于政策性</w:t>
      </w:r>
      <w:r>
        <w:rPr>
          <w:rFonts w:hint="eastAsia" w:ascii="仿宋" w:hAnsi="仿宋" w:eastAsia="仿宋" w:cs="仿宋"/>
          <w:color w:val="auto"/>
          <w:sz w:val="24"/>
          <w:lang w:val="en-US" w:eastAsia="zh-CN"/>
        </w:rPr>
        <w:t>优惠</w:t>
      </w:r>
      <w:r>
        <w:rPr>
          <w:rFonts w:hint="eastAsia" w:ascii="仿宋" w:hAnsi="仿宋" w:eastAsia="仿宋" w:cs="仿宋"/>
          <w:color w:val="auto"/>
          <w:sz w:val="24"/>
        </w:rPr>
        <w:t>”规定的，应按该条规定对供应商的最后报价进行调整。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8、综合评分及其统计：磋商小组成员对各供应商评分的算术平均值为该供应商的综合评分。综合得分最高的供应商为第一成交候选供应商，综合得分次高的供应商为第二成交候选供应商，以此类推。综合得分相同的，按投标报价由低到高顺序排列。综合得分和投标报价均相同的，按技术指标由优至劣顺序排列。</w:t>
      </w:r>
    </w:p>
    <w:p>
      <w:pPr>
        <w:snapToGrid w:val="0"/>
        <w:spacing w:line="360" w:lineRule="auto"/>
        <w:ind w:left="1798" w:right="420" w:rightChars="200" w:hanging="1805" w:hangingChars="562"/>
        <w:rPr>
          <w:rFonts w:hint="eastAsia" w:ascii="仿宋" w:hAnsi="仿宋" w:eastAsia="仿宋" w:cs="仿宋"/>
          <w:color w:val="auto"/>
          <w:sz w:val="32"/>
          <w:szCs w:val="32"/>
        </w:rPr>
      </w:pPr>
      <w:r>
        <w:rPr>
          <w:rFonts w:hint="eastAsia" w:ascii="仿宋" w:hAnsi="仿宋" w:eastAsia="仿宋" w:cs="仿宋"/>
          <w:b/>
          <w:color w:val="auto"/>
          <w:sz w:val="32"/>
          <w:szCs w:val="32"/>
        </w:rPr>
        <w:t>三、磋商、评审过程的保密性</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1、接受报价后，直至成交供应商与采购人签订合同后止，凡与磋商、审查、澄清、评价、比较、确定成交人意见有关的内容，任何人均不得向供应商及与磋商、评审无关的其他人透露。</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从报价递交截止时间起到确定成交供应商日止，供应商不得与参加磋商、评审的有关人员私下接触。在磋商评审过程中，如果供应商试图在响应文件审查、澄清、比较及推荐成交供应商方面向参与磋商、评审的有关人员和采购人施加任何影响，其报价将被拒绝。</w:t>
      </w:r>
    </w:p>
    <w:p>
      <w:pPr>
        <w:snapToGrid w:val="0"/>
        <w:spacing w:line="360" w:lineRule="auto"/>
        <w:ind w:left="1798" w:right="420" w:rightChars="200" w:hanging="1805" w:hangingChars="562"/>
        <w:rPr>
          <w:rFonts w:hint="eastAsia" w:ascii="仿宋" w:hAnsi="仿宋" w:eastAsia="仿宋" w:cs="仿宋"/>
          <w:b/>
          <w:color w:val="auto"/>
          <w:sz w:val="32"/>
          <w:szCs w:val="32"/>
        </w:rPr>
      </w:pPr>
      <w:r>
        <w:rPr>
          <w:rFonts w:hint="eastAsia" w:ascii="仿宋" w:hAnsi="仿宋" w:eastAsia="仿宋" w:cs="仿宋"/>
          <w:b/>
          <w:color w:val="auto"/>
          <w:sz w:val="32"/>
          <w:szCs w:val="32"/>
        </w:rPr>
        <w:t>四、接受和拒绝任何或所有报价的权利</w:t>
      </w:r>
    </w:p>
    <w:p>
      <w:pPr>
        <w:tabs>
          <w:tab w:val="left" w:pos="180"/>
          <w:tab w:val="left" w:pos="360"/>
        </w:tabs>
        <w:snapToGrid w:val="0"/>
        <w:spacing w:line="360" w:lineRule="auto"/>
        <w:ind w:left="-2" w:leftChars="-1" w:right="31" w:rightChars="15" w:firstLine="480" w:firstLineChars="200"/>
        <w:rPr>
          <w:rFonts w:hint="eastAsia" w:ascii="仿宋" w:hAnsi="仿宋" w:eastAsia="仿宋" w:cs="仿宋"/>
          <w:color w:val="auto"/>
          <w:sz w:val="24"/>
        </w:rPr>
      </w:pPr>
      <w:r>
        <w:rPr>
          <w:rFonts w:hint="eastAsia" w:ascii="仿宋" w:hAnsi="仿宋" w:eastAsia="仿宋" w:cs="仿宋"/>
          <w:color w:val="auto"/>
          <w:sz w:val="24"/>
        </w:rPr>
        <w:t>采购代理机构和采购人保留在成交之前任何时候接受或拒绝任何报价，以及宣布竞争性磋商无效或拒绝所有报价的权力，对受影响的供应商不承担任何责任。</w:t>
      </w:r>
    </w:p>
    <w:p>
      <w:pPr>
        <w:snapToGrid w:val="0"/>
        <w:spacing w:line="360" w:lineRule="auto"/>
        <w:ind w:right="420" w:rightChars="200"/>
        <w:rPr>
          <w:rFonts w:hint="eastAsia" w:ascii="仿宋" w:hAnsi="仿宋" w:eastAsia="仿宋" w:cs="仿宋"/>
          <w:b/>
          <w:color w:val="auto"/>
          <w:sz w:val="32"/>
          <w:szCs w:val="32"/>
        </w:rPr>
      </w:pPr>
      <w:r>
        <w:rPr>
          <w:rFonts w:hint="eastAsia" w:ascii="仿宋" w:hAnsi="仿宋" w:eastAsia="仿宋" w:cs="仿宋"/>
          <w:b/>
          <w:color w:val="auto"/>
          <w:sz w:val="32"/>
          <w:szCs w:val="32"/>
        </w:rPr>
        <w:t>五、变更技术方案的权利</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在竞争性磋商过程中，采购人有权变更技术方案或采购数量，如果供应商根据采购人提出的变更要求调整方案或价格后未能获得合同，采购人和采购代理机构不承担任何责任。</w:t>
      </w:r>
    </w:p>
    <w:p>
      <w:pPr>
        <w:pStyle w:val="7"/>
        <w:numPr>
          <w:ilvl w:val="0"/>
          <w:numId w:val="0"/>
        </w:numPr>
        <w:rPr>
          <w:rFonts w:hint="eastAsia" w:ascii="仿宋" w:hAnsi="仿宋" w:eastAsia="仿宋" w:cs="仿宋"/>
          <w:color w:val="auto"/>
        </w:rPr>
        <w:sectPr>
          <w:pgSz w:w="11906" w:h="16838"/>
          <w:pgMar w:top="934" w:right="1134" w:bottom="1134" w:left="1531" w:header="851" w:footer="992" w:gutter="0"/>
          <w:pgBorders w:offsetFrom="page">
            <w:top w:val="none" w:sz="0" w:space="0"/>
            <w:left w:val="none" w:sz="0" w:space="0"/>
            <w:bottom w:val="none" w:sz="0" w:space="0"/>
            <w:right w:val="none" w:sz="0" w:space="0"/>
          </w:pgBorders>
          <w:pgNumType w:fmt="decimal"/>
          <w:cols w:space="708" w:num="1"/>
          <w:docGrid w:linePitch="312" w:charSpace="0"/>
        </w:sectPr>
      </w:pPr>
    </w:p>
    <w:p>
      <w:pPr>
        <w:spacing w:line="360" w:lineRule="auto"/>
        <w:rPr>
          <w:rFonts w:hint="eastAsia" w:ascii="仿宋" w:hAnsi="仿宋" w:eastAsia="仿宋" w:cs="仿宋"/>
          <w:b/>
          <w:color w:val="auto"/>
          <w:sz w:val="36"/>
          <w:szCs w:val="36"/>
        </w:rPr>
      </w:pPr>
      <w:r>
        <w:rPr>
          <w:rFonts w:hint="eastAsia" w:ascii="仿宋" w:hAnsi="仿宋" w:eastAsia="仿宋" w:cs="仿宋"/>
          <w:b/>
          <w:color w:val="auto"/>
          <w:sz w:val="36"/>
          <w:szCs w:val="36"/>
        </w:rPr>
        <w:t>附表1</w:t>
      </w: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bCs/>
          <w:color w:val="auto"/>
        </w:rPr>
      </w:pPr>
      <w:bookmarkStart w:id="107" w:name="_Toc4019"/>
      <w:r>
        <w:rPr>
          <w:rFonts w:hint="eastAsia" w:ascii="仿宋" w:hAnsi="仿宋" w:eastAsia="仿宋" w:cs="仿宋"/>
          <w:b/>
          <w:bCs/>
          <w:color w:val="auto"/>
          <w:lang w:val="en-US" w:eastAsia="zh-CN"/>
        </w:rPr>
        <w:t>1、</w:t>
      </w:r>
      <w:r>
        <w:rPr>
          <w:rFonts w:hint="eastAsia" w:ascii="仿宋" w:hAnsi="仿宋" w:eastAsia="仿宋" w:cs="仿宋"/>
          <w:b/>
          <w:bCs/>
          <w:color w:val="auto"/>
        </w:rPr>
        <w:t>初步审查表</w:t>
      </w:r>
      <w:bookmarkEnd w:id="107"/>
    </w:p>
    <w:p>
      <w:pPr>
        <w:rPr>
          <w:rFonts w:hint="eastAsia" w:ascii="仿宋" w:hAnsi="仿宋" w:eastAsia="仿宋" w:cs="仿宋"/>
          <w:color w:val="auto"/>
        </w:rPr>
      </w:pPr>
    </w:p>
    <w:p>
      <w:pPr>
        <w:spacing w:after="120" w:afterLines="50" w:line="360" w:lineRule="auto"/>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 xml:space="preserve">            </w:t>
      </w:r>
    </w:p>
    <w:p>
      <w:pPr>
        <w:spacing w:after="120" w:afterLines="50" w:line="360" w:lineRule="auto"/>
        <w:rPr>
          <w:rFonts w:hint="eastAsia" w:ascii="仿宋" w:hAnsi="仿宋" w:eastAsia="仿宋" w:cs="仿宋"/>
          <w:color w:val="auto"/>
          <w:sz w:val="24"/>
          <w:u w:val="single"/>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u w:val="single"/>
          <w:lang w:val="en-US" w:eastAsia="zh-CN"/>
        </w:rPr>
        <w:t xml:space="preserve">            </w:t>
      </w:r>
    </w:p>
    <w:p>
      <w:pPr>
        <w:spacing w:after="120" w:afterLines="50" w:line="360" w:lineRule="auto"/>
        <w:rPr>
          <w:rFonts w:hint="default" w:ascii="仿宋" w:hAnsi="仿宋" w:eastAsia="仿宋" w:cs="仿宋"/>
          <w:b w:val="0"/>
          <w:color w:val="auto"/>
          <w:kern w:val="2"/>
          <w:sz w:val="24"/>
          <w:szCs w:val="24"/>
          <w:u w:val="single"/>
          <w:lang w:val="en-US" w:eastAsia="zh-CN" w:bidi="ar-SA"/>
        </w:rPr>
      </w:pPr>
      <w:r>
        <w:rPr>
          <w:rFonts w:hint="eastAsia" w:ascii="仿宋" w:hAnsi="仿宋" w:eastAsia="仿宋" w:cs="仿宋"/>
          <w:b w:val="0"/>
          <w:color w:val="auto"/>
          <w:kern w:val="2"/>
          <w:sz w:val="24"/>
          <w:szCs w:val="24"/>
          <w:lang w:val="en-US" w:eastAsia="zh-CN" w:bidi="ar-SA"/>
        </w:rPr>
        <w:t>包号：</w:t>
      </w:r>
      <w:r>
        <w:rPr>
          <w:rFonts w:hint="eastAsia" w:ascii="仿宋" w:hAnsi="仿宋" w:eastAsia="仿宋" w:cs="仿宋"/>
          <w:b w:val="0"/>
          <w:color w:val="auto"/>
          <w:kern w:val="2"/>
          <w:sz w:val="24"/>
          <w:szCs w:val="24"/>
          <w:u w:val="single"/>
          <w:lang w:val="en-US" w:eastAsia="zh-CN" w:bidi="ar-SA"/>
        </w:rPr>
        <w:t xml:space="preserve">                </w:t>
      </w:r>
    </w:p>
    <w:tbl>
      <w:tblPr>
        <w:tblStyle w:val="30"/>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3600"/>
        <w:gridCol w:w="1021"/>
        <w:gridCol w:w="1021"/>
        <w:gridCol w:w="1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20"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序号</w:t>
            </w:r>
          </w:p>
        </w:tc>
        <w:tc>
          <w:tcPr>
            <w:tcW w:w="1800"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审查项目</w:t>
            </w:r>
          </w:p>
        </w:tc>
        <w:tc>
          <w:tcPr>
            <w:tcW w:w="3600"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评议内容</w:t>
            </w:r>
            <w:r>
              <w:rPr>
                <w:rFonts w:hint="eastAsia" w:ascii="仿宋" w:hAnsi="仿宋" w:eastAsia="仿宋" w:cs="仿宋"/>
                <w:color w:val="auto"/>
              </w:rPr>
              <w:t>（无效报价认定条件）</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供应商1</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供应商2</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1</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供应商的资格</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是否符合供应商资格要求</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2</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响应文件的有效性、完整性</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是否符合</w:t>
            </w:r>
            <w:r>
              <w:rPr>
                <w:rFonts w:hint="eastAsia" w:ascii="仿宋" w:hAnsi="仿宋" w:eastAsia="仿宋" w:cs="仿宋"/>
                <w:color w:val="auto"/>
                <w:lang w:val="en-US" w:eastAsia="zh-CN"/>
              </w:rPr>
              <w:t>竞争性</w:t>
            </w:r>
            <w:r>
              <w:rPr>
                <w:rFonts w:hint="eastAsia" w:ascii="仿宋" w:hAnsi="仿宋" w:eastAsia="仿宋" w:cs="仿宋"/>
                <w:color w:val="auto"/>
              </w:rPr>
              <w:t>磋商文件的式样和签署要求且内容完整无缺漏</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3</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报价项目完整性</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szCs w:val="21"/>
              </w:rPr>
            </w:pPr>
            <w:r>
              <w:rPr>
                <w:rFonts w:hint="eastAsia" w:ascii="仿宋" w:hAnsi="仿宋" w:eastAsia="仿宋" w:cs="仿宋"/>
                <w:color w:val="auto"/>
                <w:kern w:val="28"/>
                <w:szCs w:val="21"/>
              </w:rPr>
              <w:t>是否对本项目内所有的内容进行报价，漏报其报价将被拒绝</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4</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szCs w:val="21"/>
              </w:rPr>
            </w:pPr>
            <w:r>
              <w:rPr>
                <w:rFonts w:hint="eastAsia" w:ascii="仿宋" w:hAnsi="仿宋" w:eastAsia="仿宋" w:cs="仿宋"/>
                <w:color w:val="auto"/>
                <w:szCs w:val="21"/>
              </w:rPr>
              <w:t>磋商保证金</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szCs w:val="21"/>
              </w:rPr>
            </w:pPr>
            <w:r>
              <w:rPr>
                <w:rFonts w:hint="eastAsia" w:ascii="仿宋" w:hAnsi="仿宋" w:eastAsia="仿宋" w:cs="仿宋"/>
                <w:color w:val="auto"/>
                <w:szCs w:val="21"/>
              </w:rPr>
              <w:t>是否提交磋商保证金的</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5</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报价有效期</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是否满足</w:t>
            </w:r>
            <w:r>
              <w:rPr>
                <w:rFonts w:hint="eastAsia" w:ascii="仿宋" w:hAnsi="仿宋" w:eastAsia="仿宋" w:cs="仿宋"/>
                <w:color w:val="auto"/>
                <w:lang w:val="en-US" w:eastAsia="zh-CN"/>
              </w:rPr>
              <w:t>竞争性</w:t>
            </w:r>
            <w:r>
              <w:rPr>
                <w:rFonts w:hint="eastAsia" w:ascii="仿宋" w:hAnsi="仿宋" w:eastAsia="仿宋" w:cs="仿宋"/>
                <w:color w:val="auto"/>
              </w:rPr>
              <w:t>磋商文件要求</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6</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合同履行期限</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szCs w:val="21"/>
              </w:rPr>
            </w:pPr>
            <w:r>
              <w:rPr>
                <w:rFonts w:hint="eastAsia" w:ascii="仿宋" w:hAnsi="仿宋" w:eastAsia="仿宋" w:cs="仿宋"/>
                <w:color w:val="auto"/>
              </w:rPr>
              <w:t>是否满足</w:t>
            </w:r>
            <w:r>
              <w:rPr>
                <w:rFonts w:hint="eastAsia" w:ascii="仿宋" w:hAnsi="仿宋" w:eastAsia="仿宋" w:cs="仿宋"/>
                <w:color w:val="auto"/>
                <w:lang w:val="en-US" w:eastAsia="zh-CN"/>
              </w:rPr>
              <w:t>竞争性</w:t>
            </w:r>
            <w:r>
              <w:rPr>
                <w:rFonts w:hint="eastAsia" w:ascii="仿宋" w:hAnsi="仿宋" w:eastAsia="仿宋" w:cs="仿宋"/>
                <w:color w:val="auto"/>
              </w:rPr>
              <w:t>磋商文件要求</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Cs w:val="21"/>
              </w:rPr>
            </w:pP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7</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lang w:val="en-US" w:eastAsia="zh-CN"/>
              </w:rPr>
            </w:pPr>
            <w:r>
              <w:rPr>
                <w:rFonts w:hint="eastAsia" w:ascii="仿宋" w:hAnsi="仿宋" w:eastAsia="仿宋" w:cs="仿宋"/>
                <w:color w:val="auto"/>
              </w:rPr>
              <w:t>其</w:t>
            </w:r>
            <w:r>
              <w:rPr>
                <w:rFonts w:hint="eastAsia" w:ascii="仿宋" w:hAnsi="仿宋" w:eastAsia="仿宋" w:cs="仿宋"/>
                <w:color w:val="auto"/>
                <w:lang w:val="en-US" w:eastAsia="zh-CN"/>
              </w:rPr>
              <w:t>他</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无其</w:t>
            </w:r>
            <w:r>
              <w:rPr>
                <w:rFonts w:hint="eastAsia" w:ascii="仿宋" w:hAnsi="仿宋" w:eastAsia="仿宋" w:cs="仿宋"/>
                <w:color w:val="auto"/>
                <w:lang w:eastAsia="zh-CN"/>
              </w:rPr>
              <w:t>他</w:t>
            </w:r>
            <w:r>
              <w:rPr>
                <w:rFonts w:hint="eastAsia" w:ascii="仿宋" w:hAnsi="仿宋" w:eastAsia="仿宋" w:cs="仿宋"/>
                <w:color w:val="auto"/>
              </w:rPr>
              <w:t>无效认定条件</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20" w:type="dxa"/>
            <w:gridSpan w:val="3"/>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rPr>
            </w:pPr>
            <w:r>
              <w:rPr>
                <w:rFonts w:hint="eastAsia" w:ascii="仿宋" w:hAnsi="仿宋" w:eastAsia="仿宋" w:cs="仿宋"/>
                <w:color w:val="auto"/>
              </w:rPr>
              <w:t xml:space="preserve">                  </w:t>
            </w:r>
            <w:r>
              <w:rPr>
                <w:rFonts w:hint="eastAsia" w:ascii="仿宋" w:hAnsi="仿宋" w:eastAsia="仿宋" w:cs="仿宋"/>
                <w:b/>
                <w:color w:val="auto"/>
              </w:rPr>
              <w:t>结         论</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bl>
    <w:p>
      <w:pPr>
        <w:spacing w:line="360" w:lineRule="auto"/>
        <w:rPr>
          <w:rFonts w:hint="eastAsia" w:ascii="仿宋" w:hAnsi="仿宋" w:eastAsia="仿宋" w:cs="仿宋"/>
          <w:color w:val="auto"/>
          <w:szCs w:val="21"/>
        </w:rPr>
      </w:pPr>
    </w:p>
    <w:p>
      <w:pPr>
        <w:spacing w:line="360" w:lineRule="auto"/>
        <w:rPr>
          <w:rFonts w:hint="eastAsia" w:ascii="仿宋" w:hAnsi="仿宋" w:eastAsia="仿宋" w:cs="仿宋"/>
          <w:color w:val="auto"/>
          <w:szCs w:val="21"/>
        </w:rPr>
      </w:pPr>
      <w:r>
        <w:rPr>
          <w:rFonts w:hint="eastAsia" w:ascii="仿宋" w:hAnsi="仿宋" w:eastAsia="仿宋" w:cs="仿宋"/>
          <w:color w:val="auto"/>
          <w:szCs w:val="21"/>
        </w:rPr>
        <w:t>1、表中只需填写“√/通过”或“×/不通过”。</w:t>
      </w:r>
    </w:p>
    <w:p>
      <w:pPr>
        <w:spacing w:line="360" w:lineRule="auto"/>
        <w:rPr>
          <w:rFonts w:hint="eastAsia" w:ascii="仿宋" w:hAnsi="仿宋" w:eastAsia="仿宋" w:cs="仿宋"/>
          <w:color w:val="auto"/>
          <w:szCs w:val="21"/>
        </w:rPr>
      </w:pPr>
      <w:r>
        <w:rPr>
          <w:rFonts w:hint="eastAsia" w:ascii="仿宋" w:hAnsi="仿宋" w:eastAsia="仿宋" w:cs="仿宋"/>
          <w:color w:val="auto"/>
          <w:szCs w:val="21"/>
        </w:rPr>
        <w:t>2、在结论中按“一项否决”的原则，只有全部是√/通过的，填写“合格”；只要其中有一项是×/不通过的，填写“不合格”。</w:t>
      </w:r>
    </w:p>
    <w:p>
      <w:pPr>
        <w:spacing w:line="360" w:lineRule="auto"/>
        <w:rPr>
          <w:rFonts w:hint="eastAsia" w:ascii="仿宋" w:hAnsi="仿宋" w:eastAsia="仿宋" w:cs="仿宋"/>
          <w:color w:val="auto"/>
          <w:sz w:val="24"/>
        </w:rPr>
      </w:pPr>
      <w:r>
        <w:rPr>
          <w:rFonts w:hint="eastAsia" w:ascii="仿宋" w:hAnsi="仿宋" w:eastAsia="仿宋" w:cs="仿宋"/>
          <w:color w:val="auto"/>
          <w:szCs w:val="21"/>
        </w:rPr>
        <w:t>3、结论是合格的，才能进入下一轮；不合格的被淘汰。</w:t>
      </w:r>
    </w:p>
    <w:p>
      <w:pPr>
        <w:spacing w:line="480" w:lineRule="exact"/>
        <w:rPr>
          <w:rFonts w:hint="eastAsia" w:ascii="仿宋" w:hAnsi="仿宋" w:eastAsia="仿宋" w:cs="仿宋"/>
          <w:color w:val="auto"/>
          <w:sz w:val="24"/>
        </w:rPr>
      </w:pPr>
      <w:r>
        <w:rPr>
          <w:rFonts w:hint="eastAsia" w:ascii="仿宋" w:hAnsi="仿宋" w:eastAsia="仿宋" w:cs="仿宋"/>
          <w:color w:val="auto"/>
          <w:sz w:val="24"/>
        </w:rPr>
        <w:t>评委：                                              日期：</w:t>
      </w:r>
    </w:p>
    <w:p>
      <w:pPr>
        <w:pStyle w:val="7"/>
        <w:numPr>
          <w:ilvl w:val="0"/>
          <w:numId w:val="0"/>
        </w:numPr>
        <w:rPr>
          <w:rFonts w:hint="eastAsia" w:ascii="仿宋" w:hAnsi="仿宋" w:eastAsia="仿宋" w:cs="仿宋"/>
          <w:color w:val="auto"/>
        </w:rPr>
      </w:pPr>
    </w:p>
    <w:p>
      <w:pPr>
        <w:pStyle w:val="7"/>
        <w:numPr>
          <w:ilvl w:val="0"/>
          <w:numId w:val="0"/>
        </w:numPr>
        <w:rPr>
          <w:rFonts w:hint="eastAsia" w:ascii="仿宋" w:hAnsi="仿宋" w:eastAsia="仿宋" w:cs="仿宋"/>
          <w:color w:val="auto"/>
        </w:rPr>
      </w:pPr>
    </w:p>
    <w:p>
      <w:pPr>
        <w:bidi w:val="0"/>
        <w:rPr>
          <w:rFonts w:hint="eastAsia" w:ascii="仿宋" w:hAnsi="仿宋" w:eastAsia="仿宋" w:cs="仿宋"/>
          <w:b/>
          <w:bCs/>
          <w:color w:val="auto"/>
          <w:sz w:val="32"/>
          <w:szCs w:val="32"/>
          <w:lang w:eastAsia="zh-CN"/>
        </w:rPr>
        <w:sectPr>
          <w:pgSz w:w="11906" w:h="16838"/>
          <w:pgMar w:top="934" w:right="1134" w:bottom="1134" w:left="1531" w:header="851" w:footer="992" w:gutter="0"/>
          <w:pgBorders w:offsetFrom="page">
            <w:top w:val="none" w:sz="0" w:space="0"/>
            <w:left w:val="none" w:sz="0" w:space="0"/>
            <w:bottom w:val="none" w:sz="0" w:space="0"/>
            <w:right w:val="none" w:sz="0" w:space="0"/>
          </w:pgBorders>
          <w:pgNumType w:fmt="decimal"/>
          <w:cols w:space="708" w:num="1"/>
          <w:docGrid w:linePitch="312" w:charSpace="0"/>
        </w:sectPr>
      </w:pPr>
    </w:p>
    <w:p>
      <w:pPr>
        <w:bidi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附表</w:t>
      </w:r>
      <w:bookmarkStart w:id="108" w:name="_Toc491437842"/>
      <w:bookmarkStart w:id="109" w:name="_Toc425425722"/>
      <w:r>
        <w:rPr>
          <w:rFonts w:hint="eastAsia" w:ascii="仿宋" w:hAnsi="仿宋" w:eastAsia="仿宋" w:cs="仿宋"/>
          <w:b/>
          <w:bCs/>
          <w:color w:val="auto"/>
          <w:sz w:val="32"/>
          <w:szCs w:val="32"/>
          <w:lang w:val="en-US" w:eastAsia="zh-CN"/>
        </w:rPr>
        <w:t>2:</w:t>
      </w: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110" w:name="_Toc8147"/>
      <w:bookmarkStart w:id="111" w:name="_Toc16017"/>
      <w:r>
        <w:rPr>
          <w:rFonts w:hint="eastAsia" w:ascii="仿宋" w:hAnsi="仿宋" w:eastAsia="仿宋" w:cs="仿宋"/>
          <w:color w:val="auto"/>
          <w:lang w:val="en-US" w:eastAsia="zh-CN"/>
        </w:rPr>
        <w:t>2、技术、商务评分表</w:t>
      </w:r>
      <w:bookmarkEnd w:id="108"/>
      <w:bookmarkEnd w:id="109"/>
      <w:bookmarkEnd w:id="110"/>
      <w:bookmarkEnd w:id="111"/>
    </w:p>
    <w:p>
      <w:pPr>
        <w:spacing w:line="360" w:lineRule="auto"/>
        <w:jc w:val="both"/>
        <w:rPr>
          <w:rFonts w:hint="eastAsia" w:ascii="仿宋" w:hAnsi="仿宋" w:eastAsia="仿宋" w:cs="仿宋"/>
          <w:color w:val="auto"/>
          <w:sz w:val="24"/>
          <w:szCs w:val="24"/>
        </w:rPr>
      </w:pPr>
    </w:p>
    <w:p>
      <w:pPr>
        <w:pStyle w:val="4"/>
        <w:ind w:left="0" w:leftChars="0" w:right="0" w:rightChars="0" w:firstLine="0" w:firstLineChars="0"/>
        <w:jc w:val="center"/>
        <w:rPr>
          <w:rFonts w:hint="eastAsia"/>
          <w:lang w:val="en-US" w:eastAsia="zh-CN"/>
        </w:rPr>
      </w:pPr>
      <w:r>
        <w:rPr>
          <w:rFonts w:hint="eastAsia" w:ascii="仿宋" w:hAnsi="仿宋" w:eastAsia="仿宋" w:cs="仿宋"/>
          <w:color w:val="auto"/>
          <w:sz w:val="24"/>
          <w:lang w:eastAsia="zh-CN"/>
        </w:rPr>
        <w:t>第四包</w:t>
      </w:r>
    </w:p>
    <w:tbl>
      <w:tblPr>
        <w:tblStyle w:val="30"/>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3"/>
        <w:gridCol w:w="5812"/>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序号</w:t>
            </w:r>
          </w:p>
        </w:tc>
        <w:tc>
          <w:tcPr>
            <w:tcW w:w="162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评分项</w:t>
            </w:r>
          </w:p>
        </w:tc>
        <w:tc>
          <w:tcPr>
            <w:tcW w:w="581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评分标准</w:t>
            </w:r>
          </w:p>
        </w:tc>
        <w:tc>
          <w:tcPr>
            <w:tcW w:w="725" w:type="dxa"/>
            <w:vAlign w:val="center"/>
          </w:tcPr>
          <w:p>
            <w:pPr>
              <w:pStyle w:val="78"/>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投标人CNAS或CMA认可的测评服务能力1</w:t>
            </w:r>
          </w:p>
        </w:tc>
        <w:tc>
          <w:tcPr>
            <w:tcW w:w="5812"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基础能力：具有GB/T 25000.51-2016《软件工程  软件产品质量要求与评价（SQuaRE） 商业现货（COTS）软件产品的质量要求和测试细则》的检测能力认可证书的得4分，否则得0分。（提供证书复印件）</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投标人CNAS或CMA认可的测评服务能力2</w:t>
            </w:r>
          </w:p>
        </w:tc>
        <w:tc>
          <w:tcPr>
            <w:tcW w:w="5812" w:type="dxa"/>
            <w:vAlign w:val="center"/>
          </w:tcPr>
          <w:p>
            <w:pPr>
              <w:keepNext w:val="0"/>
              <w:keepLines w:val="0"/>
              <w:pageBreakBefore w:val="0"/>
              <w:tabs>
                <w:tab w:val="left" w:pos="360"/>
                <w:tab w:val="left" w:pos="900"/>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基础能力：具有GB/T 20984-2007《信息安全技术 信息安全风险评估规范》的检测能力认可证书的得4分，否则得0分。（提供证书复印件）</w:t>
            </w:r>
          </w:p>
        </w:tc>
        <w:tc>
          <w:tcPr>
            <w:tcW w:w="72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3</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投标人CNAS或CMA认可的测评服务能力3</w:t>
            </w:r>
          </w:p>
        </w:tc>
        <w:tc>
          <w:tcPr>
            <w:tcW w:w="5812"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重要能力：具有GB/T 34944-2017《Java语言源代码漏洞测试规范》的检测能力认可证书的得4分，否则得0分。</w:t>
            </w:r>
          </w:p>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（提供证书复印件）</w:t>
            </w:r>
          </w:p>
        </w:tc>
        <w:tc>
          <w:tcPr>
            <w:tcW w:w="72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4</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投标人业绩</w:t>
            </w:r>
          </w:p>
        </w:tc>
        <w:tc>
          <w:tcPr>
            <w:tcW w:w="581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投标人有类似项目（类似项目是指：软件测试类业绩）案例每个得2分。满分10分。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（提供合同复印件）</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5</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投标人其它资质能力</w:t>
            </w:r>
          </w:p>
        </w:tc>
        <w:tc>
          <w:tcPr>
            <w:tcW w:w="581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投标人获得省级以上（包括省级）质量技术监督局的计量认证证书（CMA证书）的，得3分，否则得0分。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（提供证书复印件）</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6</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服务团队能力</w:t>
            </w:r>
          </w:p>
        </w:tc>
        <w:tc>
          <w:tcPr>
            <w:tcW w:w="581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服务支撑团队人员不能少于10人，且具备ISTQB、软件评测师、计算机软件产品检验员、项目管理师、系统分析师等专业认证。每具备一种认证得2分，满分6分。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（提供证书复印件并加盖公章；提供人员202</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年至今任意1个月社保缴纳证明，社保缴纳单位必须与投标单位名称一致，加盖公章</w:t>
            </w:r>
            <w:r>
              <w:rPr>
                <w:rFonts w:hint="eastAsia" w:ascii="仿宋" w:hAnsi="仿宋" w:eastAsia="仿宋" w:cs="仿宋"/>
                <w:b w:val="0"/>
                <w:bCs w:val="0"/>
                <w:color w:val="auto"/>
                <w:sz w:val="21"/>
                <w:szCs w:val="21"/>
                <w:lang w:eastAsia="zh-CN"/>
              </w:rPr>
              <w:t>，拟派现场人员须与投标文件人员一致。</w:t>
            </w:r>
            <w:r>
              <w:rPr>
                <w:rFonts w:hint="eastAsia" w:ascii="仿宋" w:hAnsi="仿宋" w:eastAsia="仿宋" w:cs="仿宋"/>
                <w:b w:val="0"/>
                <w:bCs w:val="0"/>
                <w:color w:val="auto"/>
                <w:sz w:val="21"/>
                <w:szCs w:val="21"/>
              </w:rPr>
              <w:t>）</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7</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项目负责人能力</w:t>
            </w:r>
          </w:p>
        </w:tc>
        <w:tc>
          <w:tcPr>
            <w:tcW w:w="581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项目负责人同时具有CNAS检验检测实验室认可评审员资格及国际软件测试工程师认证（ISTQB）的得4分，仅具有其中一个认证证书的得2分，无的得0分；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（提供证书复印件并加盖公章；提供人员2021年至今任意1个月社保缴纳证明，社保缴纳单位必须与投标单位名称一致，加盖公章</w:t>
            </w:r>
            <w:r>
              <w:rPr>
                <w:rFonts w:hint="eastAsia" w:ascii="仿宋" w:hAnsi="仿宋" w:eastAsia="仿宋" w:cs="仿宋"/>
                <w:b w:val="0"/>
                <w:bCs w:val="0"/>
                <w:color w:val="auto"/>
                <w:sz w:val="21"/>
                <w:szCs w:val="21"/>
                <w:lang w:eastAsia="zh-CN"/>
              </w:rPr>
              <w:t>。拟派现场人员须与投标文件人员一致。</w:t>
            </w:r>
            <w:r>
              <w:rPr>
                <w:rFonts w:hint="eastAsia" w:ascii="仿宋" w:hAnsi="仿宋" w:eastAsia="仿宋" w:cs="仿宋"/>
                <w:b w:val="0"/>
                <w:bCs w:val="0"/>
                <w:color w:val="auto"/>
                <w:sz w:val="21"/>
                <w:szCs w:val="21"/>
              </w:rPr>
              <w:t>）</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8</w:t>
            </w:r>
          </w:p>
        </w:tc>
        <w:tc>
          <w:tcPr>
            <w:tcW w:w="162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测评方案-内容的完整性</w:t>
            </w:r>
          </w:p>
        </w:tc>
        <w:tc>
          <w:tcPr>
            <w:tcW w:w="581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方案内容全面响应招标文件、内容齐全，难点、要点阐述明确且恰当。</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（完全满足）：</w:t>
            </w:r>
            <w:r>
              <w:rPr>
                <w:rFonts w:hint="eastAsia" w:ascii="仿宋" w:hAnsi="仿宋" w:eastAsia="仿宋" w:cs="仿宋"/>
                <w:b w:val="0"/>
                <w:bCs w:val="0"/>
                <w:color w:val="auto"/>
                <w:sz w:val="21"/>
                <w:szCs w:val="21"/>
                <w:lang w:val="en-US" w:eastAsia="zh-CN"/>
              </w:rPr>
              <w:t>6</w:t>
            </w:r>
            <w:r>
              <w:rPr>
                <w:rFonts w:hint="eastAsia" w:ascii="仿宋" w:hAnsi="仿宋" w:eastAsia="仿宋" w:cs="仿宋"/>
                <w:b w:val="0"/>
                <w:bCs w:val="0"/>
                <w:color w:val="auto"/>
                <w:sz w:val="21"/>
                <w:szCs w:val="21"/>
              </w:rPr>
              <w:t>分；（基本满足，部分有缺项）：</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分；一般（不满足）：</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分；无相关内容：0分。</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9</w:t>
            </w:r>
          </w:p>
        </w:tc>
        <w:tc>
          <w:tcPr>
            <w:tcW w:w="162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测评方案-对项目的理解和把握程度</w:t>
            </w:r>
          </w:p>
        </w:tc>
        <w:tc>
          <w:tcPr>
            <w:tcW w:w="5812"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对本次所测评项目内容有深刻理解，有准确的工作定位和工作目标，重点突出，依据明确。</w:t>
            </w:r>
          </w:p>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（完全满足）：</w:t>
            </w:r>
            <w:r>
              <w:rPr>
                <w:rFonts w:hint="eastAsia" w:ascii="仿宋" w:hAnsi="仿宋" w:eastAsia="仿宋" w:cs="仿宋"/>
                <w:b w:val="0"/>
                <w:bCs w:val="0"/>
                <w:color w:val="auto"/>
                <w:sz w:val="21"/>
                <w:szCs w:val="21"/>
                <w:lang w:val="en-US" w:eastAsia="zh-CN"/>
              </w:rPr>
              <w:t>6</w:t>
            </w:r>
            <w:r>
              <w:rPr>
                <w:rFonts w:hint="eastAsia" w:ascii="仿宋" w:hAnsi="仿宋" w:eastAsia="仿宋" w:cs="仿宋"/>
                <w:b w:val="0"/>
                <w:bCs w:val="0"/>
                <w:color w:val="auto"/>
                <w:sz w:val="21"/>
                <w:szCs w:val="21"/>
              </w:rPr>
              <w:t>分；（基本满足，部分有缺项）：</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分；一般（不满足）：</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分；无相关内容：0分。</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10</w:t>
            </w:r>
          </w:p>
        </w:tc>
        <w:tc>
          <w:tcPr>
            <w:tcW w:w="162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测评方案-先进性</w:t>
            </w:r>
          </w:p>
        </w:tc>
        <w:tc>
          <w:tcPr>
            <w:tcW w:w="5812"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对投标人测评方案进行评价：测评方案中应采用标准方法，最大限度地覆盖招投标文件的要求，为保证测试质量和测试结果的准确性，测评方案中应标明需采用的测试工具,测试工具应使用商业工具，且符合本项目技术条款及精度要求。</w:t>
            </w:r>
          </w:p>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（完全满足）：5分；（基本满足，部分有缺项）：</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分；一般（不满足）：</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分；无相关内容：0分。</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11</w:t>
            </w:r>
          </w:p>
        </w:tc>
        <w:tc>
          <w:tcPr>
            <w:tcW w:w="162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应用交付管控设计思路-测评质量保障体系和措施</w:t>
            </w:r>
          </w:p>
        </w:tc>
        <w:tc>
          <w:tcPr>
            <w:tcW w:w="5812"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投标人需有完备的测评体系，包括测评工作目标、重点、依据、内容、方法、流程、质量保证等测评体系，根据体系的可行、先进程度综合评审。</w:t>
            </w:r>
          </w:p>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（完全满足）：5分；（基本满足，部分有缺项）：</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分；一般（不满足）：</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分；无相关内容：0分。</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12</w:t>
            </w:r>
          </w:p>
        </w:tc>
        <w:tc>
          <w:tcPr>
            <w:tcW w:w="162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应用交付管控设计思路-完整性方面</w:t>
            </w:r>
          </w:p>
        </w:tc>
        <w:tc>
          <w:tcPr>
            <w:tcW w:w="5812"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在应用交付过程中，对软件的完整性设计考虑是否充分综合评审。</w:t>
            </w:r>
          </w:p>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（完全满足）：</w:t>
            </w:r>
            <w:r>
              <w:rPr>
                <w:rFonts w:hint="eastAsia" w:ascii="仿宋" w:hAnsi="仿宋" w:eastAsia="仿宋" w:cs="仿宋"/>
                <w:b w:val="0"/>
                <w:bCs w:val="0"/>
                <w:color w:val="auto"/>
                <w:sz w:val="21"/>
                <w:szCs w:val="21"/>
                <w:lang w:val="en-US" w:eastAsia="zh-CN"/>
              </w:rPr>
              <w:t>6</w:t>
            </w:r>
            <w:r>
              <w:rPr>
                <w:rFonts w:hint="eastAsia" w:ascii="仿宋" w:hAnsi="仿宋" w:eastAsia="仿宋" w:cs="仿宋"/>
                <w:b w:val="0"/>
                <w:bCs w:val="0"/>
                <w:color w:val="auto"/>
                <w:sz w:val="21"/>
                <w:szCs w:val="21"/>
              </w:rPr>
              <w:t>分；（基本满足，部分有缺项）：</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分；一般（不满足）：</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分；无相关内容：0分。</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13</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应用交付管控设计思路-一致性方面</w:t>
            </w:r>
          </w:p>
        </w:tc>
        <w:tc>
          <w:tcPr>
            <w:tcW w:w="5812"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在应用交付过程中，对存档的软件资产与实际运行的是否一致判定设计考虑是否充分综合评审。</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（完全满足）：</w:t>
            </w:r>
            <w:r>
              <w:rPr>
                <w:rFonts w:hint="eastAsia" w:ascii="仿宋" w:hAnsi="仿宋" w:eastAsia="仿宋" w:cs="仿宋"/>
                <w:b w:val="0"/>
                <w:bCs w:val="0"/>
                <w:color w:val="auto"/>
                <w:sz w:val="21"/>
                <w:szCs w:val="21"/>
                <w:lang w:val="en-US" w:eastAsia="zh-CN"/>
              </w:rPr>
              <w:t>6</w:t>
            </w:r>
            <w:r>
              <w:rPr>
                <w:rFonts w:hint="eastAsia" w:ascii="仿宋" w:hAnsi="仿宋" w:eastAsia="仿宋" w:cs="仿宋"/>
                <w:b w:val="0"/>
                <w:bCs w:val="0"/>
                <w:color w:val="auto"/>
                <w:sz w:val="21"/>
                <w:szCs w:val="21"/>
              </w:rPr>
              <w:t>分；（基本满足，部分有缺项）：</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分；一般（不满足）：</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分；无相关内容：0分。</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14</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应用交付管控设计思路-安全性方面</w:t>
            </w:r>
          </w:p>
        </w:tc>
        <w:tc>
          <w:tcPr>
            <w:tcW w:w="5812"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在应用交付过程中，对软件的实时安全性方面设计考虑是否充分综合评审。</w:t>
            </w:r>
          </w:p>
          <w:p>
            <w:pPr>
              <w:keepNext w:val="0"/>
              <w:keepLines w:val="0"/>
              <w:pageBreakBefore w:val="0"/>
              <w:tabs>
                <w:tab w:val="left" w:pos="360"/>
                <w:tab w:val="left" w:pos="900"/>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（完全满足）：</w:t>
            </w:r>
            <w:r>
              <w:rPr>
                <w:rFonts w:hint="eastAsia" w:ascii="仿宋" w:hAnsi="仿宋" w:eastAsia="仿宋" w:cs="仿宋"/>
                <w:b w:val="0"/>
                <w:bCs w:val="0"/>
                <w:color w:val="auto"/>
                <w:sz w:val="21"/>
                <w:szCs w:val="21"/>
                <w:lang w:val="en-US" w:eastAsia="zh-CN"/>
              </w:rPr>
              <w:t>6</w:t>
            </w:r>
            <w:r>
              <w:rPr>
                <w:rFonts w:hint="eastAsia" w:ascii="仿宋" w:hAnsi="仿宋" w:eastAsia="仿宋" w:cs="仿宋"/>
                <w:b w:val="0"/>
                <w:bCs w:val="0"/>
                <w:color w:val="auto"/>
                <w:sz w:val="21"/>
                <w:szCs w:val="21"/>
              </w:rPr>
              <w:t>分；（基本满足，部分有缺项）：</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分；一般（不满足）：</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分；无相关内容：0分。</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15</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投标人应用交付管控设计能力</w:t>
            </w:r>
          </w:p>
        </w:tc>
        <w:tc>
          <w:tcPr>
            <w:tcW w:w="581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通过简单原型能展示应用交付管控设计思路，需要涉及应用交付管控中的完整性、一致性和安全性方面。</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需通过原型截图来描述管控设计思路，并对截图中的重要功能进行简单描述。截图及描述内容比较符合要求得</w:t>
            </w:r>
            <w:r>
              <w:rPr>
                <w:rFonts w:hint="eastAsia" w:ascii="仿宋" w:hAnsi="仿宋" w:eastAsia="仿宋" w:cs="仿宋"/>
                <w:b w:val="0"/>
                <w:bCs w:val="0"/>
                <w:color w:val="auto"/>
                <w:sz w:val="21"/>
                <w:szCs w:val="21"/>
                <w:lang w:val="en-US" w:eastAsia="zh-CN"/>
              </w:rPr>
              <w:t>15</w:t>
            </w:r>
            <w:r>
              <w:rPr>
                <w:rFonts w:hint="eastAsia" w:ascii="仿宋" w:hAnsi="仿宋" w:eastAsia="仿宋" w:cs="仿宋"/>
                <w:b w:val="0"/>
                <w:bCs w:val="0"/>
                <w:color w:val="auto"/>
                <w:sz w:val="21"/>
                <w:szCs w:val="21"/>
              </w:rPr>
              <w:t>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截图及描述内容基本符合，略有欠缺得</w:t>
            </w:r>
            <w:r>
              <w:rPr>
                <w:rFonts w:hint="eastAsia" w:ascii="仿宋" w:hAnsi="仿宋" w:eastAsia="仿宋" w:cs="仿宋"/>
                <w:b w:val="0"/>
                <w:bCs w:val="0"/>
                <w:color w:val="auto"/>
                <w:sz w:val="21"/>
                <w:szCs w:val="21"/>
                <w:lang w:val="en-US" w:eastAsia="zh-CN"/>
              </w:rPr>
              <w:t>10</w:t>
            </w:r>
            <w:r>
              <w:rPr>
                <w:rFonts w:hint="eastAsia" w:ascii="仿宋" w:hAnsi="仿宋" w:eastAsia="仿宋" w:cs="仿宋"/>
                <w:b w:val="0"/>
                <w:bCs w:val="0"/>
                <w:color w:val="auto"/>
                <w:sz w:val="21"/>
                <w:szCs w:val="21"/>
              </w:rPr>
              <w:t>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截图及描述内容与要求只小部分符合，</w:t>
            </w: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rPr>
              <w:t>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未提供截图或不符合要求的得0分。</w:t>
            </w: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16</w:t>
            </w:r>
          </w:p>
        </w:tc>
        <w:tc>
          <w:tcPr>
            <w:tcW w:w="162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投标报价 </w:t>
            </w:r>
          </w:p>
        </w:tc>
        <w:tc>
          <w:tcPr>
            <w:tcW w:w="581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满足招标文件要求且投标价格最低的投标报价为评标基准价，其报价得分为满分。其他服务商的报价得分统一按照下列公式计算：投标报价得分=（评标基准价/投标报价）×价格权重</w:t>
            </w:r>
          </w:p>
        </w:tc>
        <w:tc>
          <w:tcPr>
            <w:tcW w:w="725"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8"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17</w:t>
            </w:r>
          </w:p>
        </w:tc>
        <w:tc>
          <w:tcPr>
            <w:tcW w:w="1623"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合计</w:t>
            </w:r>
          </w:p>
        </w:tc>
        <w:tc>
          <w:tcPr>
            <w:tcW w:w="581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p>
        </w:tc>
        <w:tc>
          <w:tcPr>
            <w:tcW w:w="725" w:type="dxa"/>
            <w:vAlign w:val="center"/>
          </w:tcPr>
          <w:p>
            <w:pPr>
              <w:keepNext w:val="0"/>
              <w:keepLines w:val="0"/>
              <w:pageBreakBefore w:val="0"/>
              <w:tabs>
                <w:tab w:val="left" w:pos="1988"/>
              </w:tabs>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100</w:t>
            </w:r>
          </w:p>
        </w:tc>
      </w:tr>
    </w:tbl>
    <w:p>
      <w:pPr>
        <w:pStyle w:val="4"/>
        <w:rPr>
          <w:rFonts w:hint="default"/>
          <w:color w:val="auto"/>
          <w:lang w:val="en-US" w:eastAsia="zh-CN"/>
        </w:rPr>
      </w:pPr>
    </w:p>
    <w:sectPr>
      <w:pgSz w:w="11906" w:h="16838"/>
      <w:pgMar w:top="934" w:right="1134" w:bottom="1134" w:left="1531" w:header="851" w:footer="992" w:gutter="0"/>
      <w:pgBorders w:offsetFrom="page">
        <w:top w:val="none" w:sz="0" w:space="0"/>
        <w:left w:val="none" w:sz="0" w:space="0"/>
        <w:bottom w:val="none" w:sz="0" w:space="0"/>
        <w:right w:val="none" w:sz="0" w:space="0"/>
      </w:pgBorders>
      <w:pgNumType w:fmt="decimal"/>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PMingLiU">
    <w:altName w:val="Microsoft JhengHei"/>
    <w:panose1 w:val="02020500000000000000"/>
    <w:charset w:val="88"/>
    <w:family w:val="auto"/>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FangSong_GB2312">
    <w:altName w:val="仿宋"/>
    <w:panose1 w:val="02010609060101010101"/>
    <w:charset w:val="00"/>
    <w:family w:val="roman"/>
    <w:pitch w:val="default"/>
    <w:sig w:usb0="00000000" w:usb1="00000000" w:usb2="00000000"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PW1xeyQEAAJoDAAAOAAAAAAAAAAEAIAAAAB4BAABkcnMvZTJvRG9j&#10;LnhtbFBLBQYAAAAABgAGAFkBAABZ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WKIAy5gEA&#10;AMkDAAAOAAAAAAAAAAEAIAAAACIBAABkcnMvZTJvRG9jLnhtbFBLBQYAAAAABgAGAFkBAAB6BQAA&#10;AAA=&#10;">
              <v:fill on="f" focussize="0,0"/>
              <v:stroke on="f" weight="1.25pt"/>
              <v:imagedata o:title=""/>
              <o:lock v:ext="edit" aspectratio="f"/>
              <v:textbox inset="0mm,0mm,0mm,0mm" style="mso-fit-shape-to-text:t;">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jc w:val="left"/>
      <w:rPr>
        <w:rFonts w:ascii="Times New Roman" w:hAnsi="Times New Roman" w:eastAsia="仿宋" w:cs="Times New Roman"/>
        <w:kern w:val="0"/>
        <w:sz w:val="18"/>
        <w:szCs w:val="24"/>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left"/>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left"/>
      <w:rPr>
        <w:rFonts w:hint="eastAsia" w:ascii="宋体" w:hAnsi="宋体" w:cs="宋体"/>
        <w:b/>
        <w:bCs/>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宋体" w:cs="Times New Roma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8CFED"/>
    <w:multiLevelType w:val="singleLevel"/>
    <w:tmpl w:val="89E8CFED"/>
    <w:lvl w:ilvl="0" w:tentative="0">
      <w:start w:val="3"/>
      <w:numFmt w:val="chineseCounting"/>
      <w:suff w:val="space"/>
      <w:lvlText w:val="第%1章"/>
      <w:lvlJc w:val="left"/>
      <w:rPr>
        <w:rFonts w:hint="eastAsia"/>
      </w:rPr>
    </w:lvl>
  </w:abstractNum>
  <w:abstractNum w:abstractNumId="1">
    <w:nsid w:val="917BA76F"/>
    <w:multiLevelType w:val="singleLevel"/>
    <w:tmpl w:val="917BA76F"/>
    <w:lvl w:ilvl="0" w:tentative="0">
      <w:start w:val="1"/>
      <w:numFmt w:val="chineseCounting"/>
      <w:suff w:val="nothing"/>
      <w:lvlText w:val="（%1）"/>
      <w:lvlJc w:val="left"/>
      <w:rPr>
        <w:rFonts w:hint="eastAsia"/>
        <w:color w:val="auto"/>
      </w:rPr>
    </w:lvl>
  </w:abstractNum>
  <w:abstractNum w:abstractNumId="2">
    <w:nsid w:val="B2C2E46E"/>
    <w:multiLevelType w:val="singleLevel"/>
    <w:tmpl w:val="B2C2E46E"/>
    <w:lvl w:ilvl="0" w:tentative="0">
      <w:start w:val="2"/>
      <w:numFmt w:val="decimal"/>
      <w:suff w:val="nothing"/>
      <w:lvlText w:val="%1、"/>
      <w:lvlJc w:val="left"/>
    </w:lvl>
  </w:abstractNum>
  <w:abstractNum w:abstractNumId="3">
    <w:nsid w:val="DD8549C2"/>
    <w:multiLevelType w:val="singleLevel"/>
    <w:tmpl w:val="DD8549C2"/>
    <w:lvl w:ilvl="0" w:tentative="0">
      <w:start w:val="2"/>
      <w:numFmt w:val="decimal"/>
      <w:suff w:val="nothing"/>
      <w:lvlText w:val="%1、"/>
      <w:lvlJc w:val="left"/>
    </w:lvl>
  </w:abstractNum>
  <w:abstractNum w:abstractNumId="4">
    <w:nsid w:val="E5ACF051"/>
    <w:multiLevelType w:val="multilevel"/>
    <w:tmpl w:val="E5ACF051"/>
    <w:lvl w:ilvl="0" w:tentative="0">
      <w:start w:val="1"/>
      <w:numFmt w:val="decimal"/>
      <w:lvlText w:val="第%1章"/>
      <w:lvlJc w:val="left"/>
      <w:pPr>
        <w:tabs>
          <w:tab w:val="left" w:pos="425"/>
        </w:tabs>
        <w:ind w:left="0" w:firstLine="0"/>
      </w:pPr>
      <w:rPr>
        <w:rFonts w:hint="eastAsia"/>
        <w:b w:val="0"/>
        <w:i w:val="0"/>
        <w:caps w:val="0"/>
        <w:smallCaps w:val="0"/>
        <w:strike w:val="0"/>
        <w:dstrike w:val="0"/>
        <w:vanish w:val="0"/>
        <w:spacing w:val="0"/>
        <w:position w:val="0"/>
        <w:sz w:val="44"/>
        <w:u w:val="none"/>
        <w:vertAlign w:val="baseline"/>
      </w:rPr>
    </w:lvl>
    <w:lvl w:ilvl="1" w:tentative="0">
      <w:start w:val="1"/>
      <w:numFmt w:val="decimal"/>
      <w:isLgl/>
      <w:lvlText w:val="%1.%2"/>
      <w:lvlJc w:val="left"/>
      <w:pPr>
        <w:tabs>
          <w:tab w:val="left" w:pos="851"/>
        </w:tabs>
        <w:ind w:left="426" w:hanging="426"/>
      </w:pPr>
      <w:rPr>
        <w:rFonts w:hint="eastAsia"/>
        <w:b w:val="0"/>
        <w:i w:val="0"/>
        <w:color w:val="000000"/>
      </w:rPr>
    </w:lvl>
    <w:lvl w:ilvl="2" w:tentative="0">
      <w:start w:val="1"/>
      <w:numFmt w:val="decimal"/>
      <w:isLgl/>
      <w:lvlText w:val="%1.%2.%3"/>
      <w:lvlJc w:val="left"/>
      <w:pPr>
        <w:tabs>
          <w:tab w:val="left" w:pos="425"/>
        </w:tabs>
        <w:ind w:left="0" w:firstLine="0"/>
      </w:pPr>
      <w:rPr>
        <w:rFonts w:hint="eastAsia"/>
      </w:rPr>
    </w:lvl>
    <w:lvl w:ilvl="3" w:tentative="0">
      <w:start w:val="1"/>
      <w:numFmt w:val="decimal"/>
      <w:pStyle w:val="2"/>
      <w:isLgl/>
      <w:lvlText w:val="%1.%2.%3.%4"/>
      <w:lvlJc w:val="left"/>
      <w:pPr>
        <w:tabs>
          <w:tab w:val="left" w:pos="425"/>
        </w:tabs>
        <w:ind w:left="0" w:firstLine="0"/>
      </w:pPr>
      <w:rPr>
        <w:rFonts w:hint="eastAsia"/>
      </w:rPr>
    </w:lvl>
    <w:lvl w:ilvl="4" w:tentative="0">
      <w:start w:val="1"/>
      <w:numFmt w:val="decimal"/>
      <w:pStyle w:val="6"/>
      <w:isLgl/>
      <w:lvlText w:val="%1.%2.%3.%4.%5"/>
      <w:lvlJc w:val="left"/>
      <w:pPr>
        <w:ind w:left="0" w:firstLine="0"/>
      </w:pPr>
      <w:rPr>
        <w:rFonts w:hint="eastAsia"/>
        <w:b w:val="0"/>
      </w:rPr>
    </w:lvl>
    <w:lvl w:ilvl="5" w:tentative="0">
      <w:start w:val="1"/>
      <w:numFmt w:val="decimal"/>
      <w:pStyle w:val="8"/>
      <w:isLgl/>
      <w:lvlText w:val="%1.%2.%3.%4.%5.%6"/>
      <w:lvlJc w:val="left"/>
      <w:pPr>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5">
    <w:nsid w:val="00000010"/>
    <w:multiLevelType w:val="multilevel"/>
    <w:tmpl w:val="00000010"/>
    <w:lvl w:ilvl="0" w:tentative="0">
      <w:start w:val="1"/>
      <w:numFmt w:val="chineseCountingThousand"/>
      <w:suff w:val="nothing"/>
      <w:lvlText w:val="第%1章"/>
      <w:lvlJc w:val="left"/>
      <w:pPr>
        <w:ind w:left="0" w:firstLine="0"/>
      </w:pPr>
      <w:rPr>
        <w:rFonts w:hint="eastAsia" w:ascii="FangSong_GB2312" w:eastAsia="FangSong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07921566"/>
    <w:multiLevelType w:val="multilevel"/>
    <w:tmpl w:val="07921566"/>
    <w:lvl w:ilvl="0" w:tentative="0">
      <w:start w:val="1"/>
      <w:numFmt w:val="chineseCountingThousand"/>
      <w:pStyle w:val="54"/>
      <w:lvlText w:val="%1、"/>
      <w:lvlJc w:val="left"/>
      <w:pPr>
        <w:ind w:left="420" w:hanging="420"/>
      </w:pPr>
      <w:rPr>
        <w:rFonts w:hint="eastAsia" w:eastAsia="仿宋"/>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ocumentProtection w:enforcement="0"/>
  <w:defaultTabStop w:val="420"/>
  <w:drawingGridHorizontalSpacing w:val="21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OWYzYjczMmU3MGMzYWVjZDg0NGQwNTUyOWI5MDcifQ=="/>
  </w:docVars>
  <w:rsids>
    <w:rsidRoot w:val="00172A27"/>
    <w:rsid w:val="00001562"/>
    <w:rsid w:val="00011632"/>
    <w:rsid w:val="0001253C"/>
    <w:rsid w:val="000146A3"/>
    <w:rsid w:val="00017570"/>
    <w:rsid w:val="00024BD3"/>
    <w:rsid w:val="0004612B"/>
    <w:rsid w:val="00064EA5"/>
    <w:rsid w:val="00067A5F"/>
    <w:rsid w:val="00067C61"/>
    <w:rsid w:val="00072D2D"/>
    <w:rsid w:val="00074D05"/>
    <w:rsid w:val="00082314"/>
    <w:rsid w:val="0008503D"/>
    <w:rsid w:val="000862C6"/>
    <w:rsid w:val="000863A5"/>
    <w:rsid w:val="00086D92"/>
    <w:rsid w:val="0009373F"/>
    <w:rsid w:val="00097AB2"/>
    <w:rsid w:val="000A6769"/>
    <w:rsid w:val="000B285C"/>
    <w:rsid w:val="000B28E1"/>
    <w:rsid w:val="000D1710"/>
    <w:rsid w:val="000E3A58"/>
    <w:rsid w:val="000F1EAB"/>
    <w:rsid w:val="000F5C22"/>
    <w:rsid w:val="00101337"/>
    <w:rsid w:val="00120BF5"/>
    <w:rsid w:val="001222B8"/>
    <w:rsid w:val="001233AC"/>
    <w:rsid w:val="001267E4"/>
    <w:rsid w:val="0013381E"/>
    <w:rsid w:val="001344A5"/>
    <w:rsid w:val="00134E00"/>
    <w:rsid w:val="0014261F"/>
    <w:rsid w:val="001444DE"/>
    <w:rsid w:val="00144B8B"/>
    <w:rsid w:val="001474A5"/>
    <w:rsid w:val="001477AF"/>
    <w:rsid w:val="00147CD2"/>
    <w:rsid w:val="00176500"/>
    <w:rsid w:val="00177A1A"/>
    <w:rsid w:val="001843E0"/>
    <w:rsid w:val="0018496A"/>
    <w:rsid w:val="0018744A"/>
    <w:rsid w:val="001875D7"/>
    <w:rsid w:val="001956F4"/>
    <w:rsid w:val="00195E04"/>
    <w:rsid w:val="00195EC7"/>
    <w:rsid w:val="001A0602"/>
    <w:rsid w:val="001A6E01"/>
    <w:rsid w:val="001A726A"/>
    <w:rsid w:val="001A780C"/>
    <w:rsid w:val="001B6ECF"/>
    <w:rsid w:val="001C41FD"/>
    <w:rsid w:val="001D4CC7"/>
    <w:rsid w:val="001D4DB1"/>
    <w:rsid w:val="001D4FB5"/>
    <w:rsid w:val="001E2343"/>
    <w:rsid w:val="001E2DCC"/>
    <w:rsid w:val="001F30AD"/>
    <w:rsid w:val="001F70BE"/>
    <w:rsid w:val="002016D2"/>
    <w:rsid w:val="002026DB"/>
    <w:rsid w:val="002106EB"/>
    <w:rsid w:val="00213FF2"/>
    <w:rsid w:val="00233916"/>
    <w:rsid w:val="002352E0"/>
    <w:rsid w:val="00240227"/>
    <w:rsid w:val="002470AB"/>
    <w:rsid w:val="002471E6"/>
    <w:rsid w:val="00250897"/>
    <w:rsid w:val="00256BA4"/>
    <w:rsid w:val="00261CB6"/>
    <w:rsid w:val="002713B0"/>
    <w:rsid w:val="00273702"/>
    <w:rsid w:val="0027642F"/>
    <w:rsid w:val="00281AC5"/>
    <w:rsid w:val="00282626"/>
    <w:rsid w:val="00282E8A"/>
    <w:rsid w:val="002B304E"/>
    <w:rsid w:val="002B3EFD"/>
    <w:rsid w:val="002B7941"/>
    <w:rsid w:val="002B7C2A"/>
    <w:rsid w:val="002C6EAC"/>
    <w:rsid w:val="002D265A"/>
    <w:rsid w:val="002D4B9D"/>
    <w:rsid w:val="002E490E"/>
    <w:rsid w:val="002E59FD"/>
    <w:rsid w:val="002F35F6"/>
    <w:rsid w:val="002F3813"/>
    <w:rsid w:val="002F6858"/>
    <w:rsid w:val="003114AC"/>
    <w:rsid w:val="003153B8"/>
    <w:rsid w:val="00320497"/>
    <w:rsid w:val="003218A8"/>
    <w:rsid w:val="00330793"/>
    <w:rsid w:val="0033394C"/>
    <w:rsid w:val="003443A7"/>
    <w:rsid w:val="00346FDA"/>
    <w:rsid w:val="00350244"/>
    <w:rsid w:val="00351B6F"/>
    <w:rsid w:val="00354B48"/>
    <w:rsid w:val="00357B2A"/>
    <w:rsid w:val="00360BAE"/>
    <w:rsid w:val="00363833"/>
    <w:rsid w:val="003656A1"/>
    <w:rsid w:val="003708ED"/>
    <w:rsid w:val="003772BF"/>
    <w:rsid w:val="00382FA7"/>
    <w:rsid w:val="003942C7"/>
    <w:rsid w:val="00394588"/>
    <w:rsid w:val="003A0ECA"/>
    <w:rsid w:val="003B3F62"/>
    <w:rsid w:val="003B5095"/>
    <w:rsid w:val="003C0525"/>
    <w:rsid w:val="003C1D1D"/>
    <w:rsid w:val="003C2C39"/>
    <w:rsid w:val="003C3463"/>
    <w:rsid w:val="003D3430"/>
    <w:rsid w:val="003D7984"/>
    <w:rsid w:val="003E1049"/>
    <w:rsid w:val="003F6120"/>
    <w:rsid w:val="00400B6F"/>
    <w:rsid w:val="00401083"/>
    <w:rsid w:val="00406703"/>
    <w:rsid w:val="0042192D"/>
    <w:rsid w:val="00421A02"/>
    <w:rsid w:val="00425EB0"/>
    <w:rsid w:val="004266B2"/>
    <w:rsid w:val="004268CB"/>
    <w:rsid w:val="00434380"/>
    <w:rsid w:val="0044215A"/>
    <w:rsid w:val="00442450"/>
    <w:rsid w:val="004449A8"/>
    <w:rsid w:val="00446088"/>
    <w:rsid w:val="004460AC"/>
    <w:rsid w:val="00450A90"/>
    <w:rsid w:val="00454278"/>
    <w:rsid w:val="00456907"/>
    <w:rsid w:val="00464F2E"/>
    <w:rsid w:val="004703C8"/>
    <w:rsid w:val="00470CBF"/>
    <w:rsid w:val="00477BAF"/>
    <w:rsid w:val="00486A52"/>
    <w:rsid w:val="00487B9A"/>
    <w:rsid w:val="00494CEB"/>
    <w:rsid w:val="00496271"/>
    <w:rsid w:val="00496516"/>
    <w:rsid w:val="004A5D49"/>
    <w:rsid w:val="004A6BE6"/>
    <w:rsid w:val="004B550C"/>
    <w:rsid w:val="004B5D43"/>
    <w:rsid w:val="004C145F"/>
    <w:rsid w:val="004C22CE"/>
    <w:rsid w:val="004C2F13"/>
    <w:rsid w:val="004C4005"/>
    <w:rsid w:val="004C5A4E"/>
    <w:rsid w:val="004C78B1"/>
    <w:rsid w:val="004D3C5A"/>
    <w:rsid w:val="004D70E8"/>
    <w:rsid w:val="004E011E"/>
    <w:rsid w:val="004E2841"/>
    <w:rsid w:val="004E4381"/>
    <w:rsid w:val="004F04C3"/>
    <w:rsid w:val="004F1B64"/>
    <w:rsid w:val="00505A52"/>
    <w:rsid w:val="0051540C"/>
    <w:rsid w:val="00522ACB"/>
    <w:rsid w:val="00527A85"/>
    <w:rsid w:val="005307FD"/>
    <w:rsid w:val="00536FBB"/>
    <w:rsid w:val="005406AD"/>
    <w:rsid w:val="00542C02"/>
    <w:rsid w:val="00543D36"/>
    <w:rsid w:val="00544116"/>
    <w:rsid w:val="005652E4"/>
    <w:rsid w:val="00572B32"/>
    <w:rsid w:val="00572C41"/>
    <w:rsid w:val="00572E3D"/>
    <w:rsid w:val="00576729"/>
    <w:rsid w:val="00584946"/>
    <w:rsid w:val="00585684"/>
    <w:rsid w:val="00586DA3"/>
    <w:rsid w:val="0059213C"/>
    <w:rsid w:val="005A0D51"/>
    <w:rsid w:val="005B6167"/>
    <w:rsid w:val="005B65BF"/>
    <w:rsid w:val="005C19BC"/>
    <w:rsid w:val="005C39F3"/>
    <w:rsid w:val="005D1B25"/>
    <w:rsid w:val="005D4495"/>
    <w:rsid w:val="005D4498"/>
    <w:rsid w:val="005D53CF"/>
    <w:rsid w:val="005D64D1"/>
    <w:rsid w:val="005E2AEB"/>
    <w:rsid w:val="005E3709"/>
    <w:rsid w:val="005E4423"/>
    <w:rsid w:val="005E5C25"/>
    <w:rsid w:val="005F1D26"/>
    <w:rsid w:val="005F311F"/>
    <w:rsid w:val="00606645"/>
    <w:rsid w:val="00607B1F"/>
    <w:rsid w:val="006135CC"/>
    <w:rsid w:val="00615C57"/>
    <w:rsid w:val="00617190"/>
    <w:rsid w:val="00622EC6"/>
    <w:rsid w:val="00623165"/>
    <w:rsid w:val="00625849"/>
    <w:rsid w:val="006333FB"/>
    <w:rsid w:val="00634AF9"/>
    <w:rsid w:val="0064084D"/>
    <w:rsid w:val="00640897"/>
    <w:rsid w:val="006438E2"/>
    <w:rsid w:val="0065512F"/>
    <w:rsid w:val="0066654D"/>
    <w:rsid w:val="00672FF6"/>
    <w:rsid w:val="00682C95"/>
    <w:rsid w:val="006853DD"/>
    <w:rsid w:val="00693740"/>
    <w:rsid w:val="00694E02"/>
    <w:rsid w:val="00697C0D"/>
    <w:rsid w:val="006A1126"/>
    <w:rsid w:val="006A6737"/>
    <w:rsid w:val="006B49A7"/>
    <w:rsid w:val="006B7846"/>
    <w:rsid w:val="006C15C7"/>
    <w:rsid w:val="006C2E0A"/>
    <w:rsid w:val="006D6976"/>
    <w:rsid w:val="006E1DB8"/>
    <w:rsid w:val="007146DF"/>
    <w:rsid w:val="00715232"/>
    <w:rsid w:val="007158F2"/>
    <w:rsid w:val="00715EC5"/>
    <w:rsid w:val="0072006D"/>
    <w:rsid w:val="00721D5A"/>
    <w:rsid w:val="0072254A"/>
    <w:rsid w:val="00726208"/>
    <w:rsid w:val="00730B46"/>
    <w:rsid w:val="00733C99"/>
    <w:rsid w:val="00736D21"/>
    <w:rsid w:val="0074109D"/>
    <w:rsid w:val="0074160D"/>
    <w:rsid w:val="0074345A"/>
    <w:rsid w:val="0074578D"/>
    <w:rsid w:val="00754ED1"/>
    <w:rsid w:val="00754FD6"/>
    <w:rsid w:val="007566D6"/>
    <w:rsid w:val="00762514"/>
    <w:rsid w:val="00766E22"/>
    <w:rsid w:val="007726BD"/>
    <w:rsid w:val="0077301E"/>
    <w:rsid w:val="00773E69"/>
    <w:rsid w:val="007819F7"/>
    <w:rsid w:val="0079164E"/>
    <w:rsid w:val="00795BF4"/>
    <w:rsid w:val="007A104F"/>
    <w:rsid w:val="007A6295"/>
    <w:rsid w:val="007A7FC3"/>
    <w:rsid w:val="007B5CF5"/>
    <w:rsid w:val="007C603E"/>
    <w:rsid w:val="007C68CF"/>
    <w:rsid w:val="007C6AED"/>
    <w:rsid w:val="007D0650"/>
    <w:rsid w:val="007D5690"/>
    <w:rsid w:val="007D7D82"/>
    <w:rsid w:val="007E3317"/>
    <w:rsid w:val="007E785A"/>
    <w:rsid w:val="00801286"/>
    <w:rsid w:val="0080220F"/>
    <w:rsid w:val="00807281"/>
    <w:rsid w:val="00813BA5"/>
    <w:rsid w:val="00814CC6"/>
    <w:rsid w:val="008163CC"/>
    <w:rsid w:val="0081798F"/>
    <w:rsid w:val="00825DAE"/>
    <w:rsid w:val="008268C8"/>
    <w:rsid w:val="00827822"/>
    <w:rsid w:val="008319FF"/>
    <w:rsid w:val="0083351A"/>
    <w:rsid w:val="00833957"/>
    <w:rsid w:val="008369BE"/>
    <w:rsid w:val="00841FB4"/>
    <w:rsid w:val="00846677"/>
    <w:rsid w:val="008512E1"/>
    <w:rsid w:val="00852C3E"/>
    <w:rsid w:val="00853B63"/>
    <w:rsid w:val="00853E3D"/>
    <w:rsid w:val="00857F3D"/>
    <w:rsid w:val="00863422"/>
    <w:rsid w:val="0086385B"/>
    <w:rsid w:val="008651B1"/>
    <w:rsid w:val="008722A8"/>
    <w:rsid w:val="008725AE"/>
    <w:rsid w:val="00873408"/>
    <w:rsid w:val="00876FFC"/>
    <w:rsid w:val="008824F3"/>
    <w:rsid w:val="008910EA"/>
    <w:rsid w:val="0089728F"/>
    <w:rsid w:val="008A00EF"/>
    <w:rsid w:val="008A22D0"/>
    <w:rsid w:val="008A22F1"/>
    <w:rsid w:val="008C006A"/>
    <w:rsid w:val="008C0E71"/>
    <w:rsid w:val="008C387B"/>
    <w:rsid w:val="008D74D2"/>
    <w:rsid w:val="008E327D"/>
    <w:rsid w:val="008E3E65"/>
    <w:rsid w:val="008E4060"/>
    <w:rsid w:val="008F0F8E"/>
    <w:rsid w:val="008F64AF"/>
    <w:rsid w:val="008F697B"/>
    <w:rsid w:val="00902B2A"/>
    <w:rsid w:val="0090753C"/>
    <w:rsid w:val="009127A6"/>
    <w:rsid w:val="00913FCC"/>
    <w:rsid w:val="00920A0A"/>
    <w:rsid w:val="0092383B"/>
    <w:rsid w:val="00924E7C"/>
    <w:rsid w:val="009256E5"/>
    <w:rsid w:val="009318C2"/>
    <w:rsid w:val="00931F2D"/>
    <w:rsid w:val="00937A3D"/>
    <w:rsid w:val="00941EE7"/>
    <w:rsid w:val="009452BD"/>
    <w:rsid w:val="00945E4F"/>
    <w:rsid w:val="00951548"/>
    <w:rsid w:val="00953162"/>
    <w:rsid w:val="00961F37"/>
    <w:rsid w:val="00980CE6"/>
    <w:rsid w:val="00982BE4"/>
    <w:rsid w:val="00983D6D"/>
    <w:rsid w:val="0099022B"/>
    <w:rsid w:val="00995974"/>
    <w:rsid w:val="00995AD7"/>
    <w:rsid w:val="00996A39"/>
    <w:rsid w:val="009A05C8"/>
    <w:rsid w:val="009A434E"/>
    <w:rsid w:val="009A6A08"/>
    <w:rsid w:val="009A7BD3"/>
    <w:rsid w:val="009B2A7D"/>
    <w:rsid w:val="009B4215"/>
    <w:rsid w:val="009B4D40"/>
    <w:rsid w:val="009C0858"/>
    <w:rsid w:val="009C441A"/>
    <w:rsid w:val="009D31E8"/>
    <w:rsid w:val="009E3DF4"/>
    <w:rsid w:val="009E3FE9"/>
    <w:rsid w:val="009F60EA"/>
    <w:rsid w:val="009F6CEC"/>
    <w:rsid w:val="00A00332"/>
    <w:rsid w:val="00A01990"/>
    <w:rsid w:val="00A01A2B"/>
    <w:rsid w:val="00A12765"/>
    <w:rsid w:val="00A13617"/>
    <w:rsid w:val="00A14E3D"/>
    <w:rsid w:val="00A15D23"/>
    <w:rsid w:val="00A20E22"/>
    <w:rsid w:val="00A2270E"/>
    <w:rsid w:val="00A2272F"/>
    <w:rsid w:val="00A22D6E"/>
    <w:rsid w:val="00A264D9"/>
    <w:rsid w:val="00A301DE"/>
    <w:rsid w:val="00A32782"/>
    <w:rsid w:val="00A33222"/>
    <w:rsid w:val="00A357A1"/>
    <w:rsid w:val="00A411B0"/>
    <w:rsid w:val="00A43644"/>
    <w:rsid w:val="00A44900"/>
    <w:rsid w:val="00A45872"/>
    <w:rsid w:val="00A47675"/>
    <w:rsid w:val="00A51F5D"/>
    <w:rsid w:val="00A564B2"/>
    <w:rsid w:val="00A62DF5"/>
    <w:rsid w:val="00A63583"/>
    <w:rsid w:val="00A8036D"/>
    <w:rsid w:val="00A85512"/>
    <w:rsid w:val="00A913A5"/>
    <w:rsid w:val="00A917D8"/>
    <w:rsid w:val="00A93879"/>
    <w:rsid w:val="00A94108"/>
    <w:rsid w:val="00A96641"/>
    <w:rsid w:val="00AA0060"/>
    <w:rsid w:val="00AA32E2"/>
    <w:rsid w:val="00AA7434"/>
    <w:rsid w:val="00AB19AC"/>
    <w:rsid w:val="00AB34A3"/>
    <w:rsid w:val="00AB4064"/>
    <w:rsid w:val="00AB7E33"/>
    <w:rsid w:val="00AC20A8"/>
    <w:rsid w:val="00AC4B34"/>
    <w:rsid w:val="00AC6549"/>
    <w:rsid w:val="00AC6A60"/>
    <w:rsid w:val="00AC6E53"/>
    <w:rsid w:val="00AD14F3"/>
    <w:rsid w:val="00AD15BE"/>
    <w:rsid w:val="00AD26E9"/>
    <w:rsid w:val="00AD759D"/>
    <w:rsid w:val="00AE2B00"/>
    <w:rsid w:val="00AE6E6E"/>
    <w:rsid w:val="00AF26E8"/>
    <w:rsid w:val="00AF7A4E"/>
    <w:rsid w:val="00B047D7"/>
    <w:rsid w:val="00B0511A"/>
    <w:rsid w:val="00B05232"/>
    <w:rsid w:val="00B1442B"/>
    <w:rsid w:val="00B161B6"/>
    <w:rsid w:val="00B1782E"/>
    <w:rsid w:val="00B20517"/>
    <w:rsid w:val="00B21F6F"/>
    <w:rsid w:val="00B25A7F"/>
    <w:rsid w:val="00B30F7C"/>
    <w:rsid w:val="00B33E06"/>
    <w:rsid w:val="00B37B30"/>
    <w:rsid w:val="00B432BC"/>
    <w:rsid w:val="00B46CEC"/>
    <w:rsid w:val="00B54151"/>
    <w:rsid w:val="00B64F40"/>
    <w:rsid w:val="00B74719"/>
    <w:rsid w:val="00B74DF7"/>
    <w:rsid w:val="00B758B3"/>
    <w:rsid w:val="00B83083"/>
    <w:rsid w:val="00B8311A"/>
    <w:rsid w:val="00B94B5C"/>
    <w:rsid w:val="00B95381"/>
    <w:rsid w:val="00B96424"/>
    <w:rsid w:val="00BA305B"/>
    <w:rsid w:val="00BB2438"/>
    <w:rsid w:val="00BB5514"/>
    <w:rsid w:val="00BB7792"/>
    <w:rsid w:val="00BC0F95"/>
    <w:rsid w:val="00BC1517"/>
    <w:rsid w:val="00BC2F1A"/>
    <w:rsid w:val="00BC3508"/>
    <w:rsid w:val="00BD1067"/>
    <w:rsid w:val="00BD2FDC"/>
    <w:rsid w:val="00BD779F"/>
    <w:rsid w:val="00BE1C0A"/>
    <w:rsid w:val="00BE373F"/>
    <w:rsid w:val="00BF0DF8"/>
    <w:rsid w:val="00BF159D"/>
    <w:rsid w:val="00BF3F9F"/>
    <w:rsid w:val="00C008AD"/>
    <w:rsid w:val="00C04F63"/>
    <w:rsid w:val="00C073C2"/>
    <w:rsid w:val="00C11B83"/>
    <w:rsid w:val="00C13E0B"/>
    <w:rsid w:val="00C16F3D"/>
    <w:rsid w:val="00C1730E"/>
    <w:rsid w:val="00C23327"/>
    <w:rsid w:val="00C300E5"/>
    <w:rsid w:val="00C30A20"/>
    <w:rsid w:val="00C3447B"/>
    <w:rsid w:val="00C34BBE"/>
    <w:rsid w:val="00C3786D"/>
    <w:rsid w:val="00C43183"/>
    <w:rsid w:val="00C51E30"/>
    <w:rsid w:val="00C573EC"/>
    <w:rsid w:val="00C5784A"/>
    <w:rsid w:val="00C57DA2"/>
    <w:rsid w:val="00C70838"/>
    <w:rsid w:val="00C71607"/>
    <w:rsid w:val="00C731B1"/>
    <w:rsid w:val="00C74837"/>
    <w:rsid w:val="00C77A80"/>
    <w:rsid w:val="00C81ED8"/>
    <w:rsid w:val="00C825F8"/>
    <w:rsid w:val="00C82BA7"/>
    <w:rsid w:val="00C8742C"/>
    <w:rsid w:val="00C906B0"/>
    <w:rsid w:val="00C968B1"/>
    <w:rsid w:val="00C9724D"/>
    <w:rsid w:val="00CA7EC7"/>
    <w:rsid w:val="00CC2817"/>
    <w:rsid w:val="00CD1393"/>
    <w:rsid w:val="00CE1273"/>
    <w:rsid w:val="00CE3773"/>
    <w:rsid w:val="00CE56A6"/>
    <w:rsid w:val="00CE614B"/>
    <w:rsid w:val="00CF0BA2"/>
    <w:rsid w:val="00CF2F3F"/>
    <w:rsid w:val="00CF3B83"/>
    <w:rsid w:val="00CF4883"/>
    <w:rsid w:val="00CF5DE8"/>
    <w:rsid w:val="00D013D4"/>
    <w:rsid w:val="00D02493"/>
    <w:rsid w:val="00D04AA8"/>
    <w:rsid w:val="00D1272B"/>
    <w:rsid w:val="00D15895"/>
    <w:rsid w:val="00D175BD"/>
    <w:rsid w:val="00D239D9"/>
    <w:rsid w:val="00D26761"/>
    <w:rsid w:val="00D37860"/>
    <w:rsid w:val="00D4014B"/>
    <w:rsid w:val="00D407F0"/>
    <w:rsid w:val="00D4182F"/>
    <w:rsid w:val="00D533E3"/>
    <w:rsid w:val="00D600F6"/>
    <w:rsid w:val="00D61125"/>
    <w:rsid w:val="00D63734"/>
    <w:rsid w:val="00D637CE"/>
    <w:rsid w:val="00D746A2"/>
    <w:rsid w:val="00D92CF5"/>
    <w:rsid w:val="00DA0E64"/>
    <w:rsid w:val="00DA789F"/>
    <w:rsid w:val="00DB1D73"/>
    <w:rsid w:val="00DB76BE"/>
    <w:rsid w:val="00DC1AE3"/>
    <w:rsid w:val="00DD214F"/>
    <w:rsid w:val="00DD61E7"/>
    <w:rsid w:val="00DD7C8A"/>
    <w:rsid w:val="00DE3B1F"/>
    <w:rsid w:val="00DE614E"/>
    <w:rsid w:val="00DF2CAE"/>
    <w:rsid w:val="00DF43D2"/>
    <w:rsid w:val="00E04548"/>
    <w:rsid w:val="00E04A9E"/>
    <w:rsid w:val="00E114F4"/>
    <w:rsid w:val="00E11CD2"/>
    <w:rsid w:val="00E12B2A"/>
    <w:rsid w:val="00E13740"/>
    <w:rsid w:val="00E235CC"/>
    <w:rsid w:val="00E251EC"/>
    <w:rsid w:val="00E277F9"/>
    <w:rsid w:val="00E27B47"/>
    <w:rsid w:val="00E304D2"/>
    <w:rsid w:val="00E30B4A"/>
    <w:rsid w:val="00E359E8"/>
    <w:rsid w:val="00E437B8"/>
    <w:rsid w:val="00E438F6"/>
    <w:rsid w:val="00E43F0D"/>
    <w:rsid w:val="00E47B3C"/>
    <w:rsid w:val="00E565D9"/>
    <w:rsid w:val="00E60A99"/>
    <w:rsid w:val="00E628D1"/>
    <w:rsid w:val="00E70550"/>
    <w:rsid w:val="00E7108B"/>
    <w:rsid w:val="00E741B1"/>
    <w:rsid w:val="00E77CD5"/>
    <w:rsid w:val="00E85D46"/>
    <w:rsid w:val="00E9579B"/>
    <w:rsid w:val="00E968B1"/>
    <w:rsid w:val="00EA1F5F"/>
    <w:rsid w:val="00EA2D98"/>
    <w:rsid w:val="00EA4E78"/>
    <w:rsid w:val="00EA734E"/>
    <w:rsid w:val="00EB5AC1"/>
    <w:rsid w:val="00EC4031"/>
    <w:rsid w:val="00EC7367"/>
    <w:rsid w:val="00EE02E4"/>
    <w:rsid w:val="00EE0F3B"/>
    <w:rsid w:val="00EE3105"/>
    <w:rsid w:val="00EE4CEE"/>
    <w:rsid w:val="00EF3568"/>
    <w:rsid w:val="00EF4171"/>
    <w:rsid w:val="00EF4E1D"/>
    <w:rsid w:val="00F0027B"/>
    <w:rsid w:val="00F05DA4"/>
    <w:rsid w:val="00F06FCC"/>
    <w:rsid w:val="00F15F42"/>
    <w:rsid w:val="00F2047E"/>
    <w:rsid w:val="00F20663"/>
    <w:rsid w:val="00F223CE"/>
    <w:rsid w:val="00F251E4"/>
    <w:rsid w:val="00F32F30"/>
    <w:rsid w:val="00F34EE9"/>
    <w:rsid w:val="00F4069B"/>
    <w:rsid w:val="00F41C14"/>
    <w:rsid w:val="00F42B5F"/>
    <w:rsid w:val="00F45748"/>
    <w:rsid w:val="00F45E43"/>
    <w:rsid w:val="00F5008A"/>
    <w:rsid w:val="00F5083C"/>
    <w:rsid w:val="00F55398"/>
    <w:rsid w:val="00F56C3F"/>
    <w:rsid w:val="00F60DBF"/>
    <w:rsid w:val="00F6512D"/>
    <w:rsid w:val="00F65767"/>
    <w:rsid w:val="00F70730"/>
    <w:rsid w:val="00F73BC9"/>
    <w:rsid w:val="00F76C14"/>
    <w:rsid w:val="00F7725D"/>
    <w:rsid w:val="00F85F17"/>
    <w:rsid w:val="00F964F4"/>
    <w:rsid w:val="00FA60CE"/>
    <w:rsid w:val="00FB118F"/>
    <w:rsid w:val="00FB37D1"/>
    <w:rsid w:val="00FB433B"/>
    <w:rsid w:val="00FB645A"/>
    <w:rsid w:val="00FC0215"/>
    <w:rsid w:val="00FC05EA"/>
    <w:rsid w:val="00FD4758"/>
    <w:rsid w:val="00FD6587"/>
    <w:rsid w:val="00FE0535"/>
    <w:rsid w:val="00FE2A8F"/>
    <w:rsid w:val="00FE47C2"/>
    <w:rsid w:val="00FF2E65"/>
    <w:rsid w:val="00FF660D"/>
    <w:rsid w:val="00FF690A"/>
    <w:rsid w:val="011E303E"/>
    <w:rsid w:val="01BD2DF8"/>
    <w:rsid w:val="01C869DE"/>
    <w:rsid w:val="01DE1145"/>
    <w:rsid w:val="020B7E7E"/>
    <w:rsid w:val="023A748F"/>
    <w:rsid w:val="02440A3B"/>
    <w:rsid w:val="027F1674"/>
    <w:rsid w:val="02B8719D"/>
    <w:rsid w:val="02BB4104"/>
    <w:rsid w:val="02FA032C"/>
    <w:rsid w:val="037C38B2"/>
    <w:rsid w:val="03F95503"/>
    <w:rsid w:val="03FA1AFD"/>
    <w:rsid w:val="04E463C9"/>
    <w:rsid w:val="051178D4"/>
    <w:rsid w:val="0617059C"/>
    <w:rsid w:val="0702237F"/>
    <w:rsid w:val="074B34BD"/>
    <w:rsid w:val="075640F0"/>
    <w:rsid w:val="07793715"/>
    <w:rsid w:val="07B92C92"/>
    <w:rsid w:val="07ED6E20"/>
    <w:rsid w:val="08852A73"/>
    <w:rsid w:val="08B876AA"/>
    <w:rsid w:val="08D24A5C"/>
    <w:rsid w:val="097D5FC0"/>
    <w:rsid w:val="09964C43"/>
    <w:rsid w:val="09C01CF9"/>
    <w:rsid w:val="09FC60FC"/>
    <w:rsid w:val="0A0C784E"/>
    <w:rsid w:val="0A1902B8"/>
    <w:rsid w:val="0A9F2179"/>
    <w:rsid w:val="0AC6621E"/>
    <w:rsid w:val="0ACC6769"/>
    <w:rsid w:val="0C02282E"/>
    <w:rsid w:val="0C8E56E7"/>
    <w:rsid w:val="0D081EFB"/>
    <w:rsid w:val="0D592017"/>
    <w:rsid w:val="0D6354F9"/>
    <w:rsid w:val="0D881B8B"/>
    <w:rsid w:val="0D8A45A9"/>
    <w:rsid w:val="0DD15B2D"/>
    <w:rsid w:val="0DD71A57"/>
    <w:rsid w:val="0E6C0BED"/>
    <w:rsid w:val="0EAF38F4"/>
    <w:rsid w:val="0ED2435E"/>
    <w:rsid w:val="0F366CAE"/>
    <w:rsid w:val="0F5D4F78"/>
    <w:rsid w:val="0FA82B87"/>
    <w:rsid w:val="0FDA34AF"/>
    <w:rsid w:val="0FDE4D1D"/>
    <w:rsid w:val="10705C71"/>
    <w:rsid w:val="10AF1E7E"/>
    <w:rsid w:val="10FC0EB6"/>
    <w:rsid w:val="11147E38"/>
    <w:rsid w:val="11BD02B5"/>
    <w:rsid w:val="129C6A34"/>
    <w:rsid w:val="13873FFF"/>
    <w:rsid w:val="138D4070"/>
    <w:rsid w:val="14485073"/>
    <w:rsid w:val="147C1535"/>
    <w:rsid w:val="14FE6E50"/>
    <w:rsid w:val="155A26B9"/>
    <w:rsid w:val="165717C8"/>
    <w:rsid w:val="176B0707"/>
    <w:rsid w:val="179455A2"/>
    <w:rsid w:val="17AA68CA"/>
    <w:rsid w:val="17DD7B31"/>
    <w:rsid w:val="17E644A6"/>
    <w:rsid w:val="17FB4CC6"/>
    <w:rsid w:val="180470B1"/>
    <w:rsid w:val="18C7278F"/>
    <w:rsid w:val="18C87A94"/>
    <w:rsid w:val="18EC6B05"/>
    <w:rsid w:val="195D0EC1"/>
    <w:rsid w:val="19902E43"/>
    <w:rsid w:val="19A90A40"/>
    <w:rsid w:val="19EB0270"/>
    <w:rsid w:val="1A285CF8"/>
    <w:rsid w:val="1A415231"/>
    <w:rsid w:val="1A7724B9"/>
    <w:rsid w:val="1BCB546D"/>
    <w:rsid w:val="1C146144"/>
    <w:rsid w:val="1C2716D5"/>
    <w:rsid w:val="1C2926E7"/>
    <w:rsid w:val="1C3C62AC"/>
    <w:rsid w:val="1CAB71FB"/>
    <w:rsid w:val="1D050728"/>
    <w:rsid w:val="1D227BE3"/>
    <w:rsid w:val="1DD74AC9"/>
    <w:rsid w:val="1DE9363F"/>
    <w:rsid w:val="1E1467D1"/>
    <w:rsid w:val="1E7C6C6E"/>
    <w:rsid w:val="1ED37021"/>
    <w:rsid w:val="1F483DFA"/>
    <w:rsid w:val="1F893F34"/>
    <w:rsid w:val="1F9E2CAC"/>
    <w:rsid w:val="1FA74BFD"/>
    <w:rsid w:val="1FC57BA2"/>
    <w:rsid w:val="1FCC1B36"/>
    <w:rsid w:val="200D0481"/>
    <w:rsid w:val="20302543"/>
    <w:rsid w:val="203C3899"/>
    <w:rsid w:val="20472A98"/>
    <w:rsid w:val="22A60343"/>
    <w:rsid w:val="22BD4E21"/>
    <w:rsid w:val="22CE2D4A"/>
    <w:rsid w:val="232141A1"/>
    <w:rsid w:val="24714ECD"/>
    <w:rsid w:val="259602D1"/>
    <w:rsid w:val="25EE61CF"/>
    <w:rsid w:val="2621532B"/>
    <w:rsid w:val="26D646AF"/>
    <w:rsid w:val="2740608F"/>
    <w:rsid w:val="27576C25"/>
    <w:rsid w:val="27712389"/>
    <w:rsid w:val="27B47BDC"/>
    <w:rsid w:val="286D32AB"/>
    <w:rsid w:val="289E05D0"/>
    <w:rsid w:val="28B14E1A"/>
    <w:rsid w:val="28C93568"/>
    <w:rsid w:val="2921410C"/>
    <w:rsid w:val="296C7CCA"/>
    <w:rsid w:val="2994681B"/>
    <w:rsid w:val="29A335A7"/>
    <w:rsid w:val="2A001052"/>
    <w:rsid w:val="2A167E8D"/>
    <w:rsid w:val="2A253540"/>
    <w:rsid w:val="2A5F6B1D"/>
    <w:rsid w:val="2AB365FE"/>
    <w:rsid w:val="2AE04844"/>
    <w:rsid w:val="2AEB5088"/>
    <w:rsid w:val="2B0D3FC1"/>
    <w:rsid w:val="2B513CEA"/>
    <w:rsid w:val="2B83652C"/>
    <w:rsid w:val="2BB102A5"/>
    <w:rsid w:val="2BF3297B"/>
    <w:rsid w:val="2C121FF6"/>
    <w:rsid w:val="2C242D87"/>
    <w:rsid w:val="2C6344C5"/>
    <w:rsid w:val="2CDE52E9"/>
    <w:rsid w:val="2D436947"/>
    <w:rsid w:val="2D653DEA"/>
    <w:rsid w:val="2D8461BF"/>
    <w:rsid w:val="2DBF3F0E"/>
    <w:rsid w:val="2DD84447"/>
    <w:rsid w:val="2DDA08D1"/>
    <w:rsid w:val="2E882962"/>
    <w:rsid w:val="2E984598"/>
    <w:rsid w:val="2EA40E89"/>
    <w:rsid w:val="2F010360"/>
    <w:rsid w:val="2F993BF8"/>
    <w:rsid w:val="2F9E3934"/>
    <w:rsid w:val="2FFB174A"/>
    <w:rsid w:val="30033430"/>
    <w:rsid w:val="301E3DC7"/>
    <w:rsid w:val="30204ECF"/>
    <w:rsid w:val="302D0E04"/>
    <w:rsid w:val="302E1BB4"/>
    <w:rsid w:val="312B5097"/>
    <w:rsid w:val="31584A73"/>
    <w:rsid w:val="318070DA"/>
    <w:rsid w:val="32AB2D92"/>
    <w:rsid w:val="32B92BDD"/>
    <w:rsid w:val="32FC4667"/>
    <w:rsid w:val="330E6C2E"/>
    <w:rsid w:val="33217509"/>
    <w:rsid w:val="33526F84"/>
    <w:rsid w:val="338E486E"/>
    <w:rsid w:val="3390472F"/>
    <w:rsid w:val="3412518B"/>
    <w:rsid w:val="34665C81"/>
    <w:rsid w:val="34CE482B"/>
    <w:rsid w:val="354E7A75"/>
    <w:rsid w:val="35A90361"/>
    <w:rsid w:val="365F0BDF"/>
    <w:rsid w:val="369C0B7F"/>
    <w:rsid w:val="36BE4E31"/>
    <w:rsid w:val="36C90EDF"/>
    <w:rsid w:val="3716031A"/>
    <w:rsid w:val="3769285D"/>
    <w:rsid w:val="378D7FA7"/>
    <w:rsid w:val="37984251"/>
    <w:rsid w:val="38041E73"/>
    <w:rsid w:val="38445ACF"/>
    <w:rsid w:val="38592DAB"/>
    <w:rsid w:val="38A31986"/>
    <w:rsid w:val="38C35F90"/>
    <w:rsid w:val="39082DC1"/>
    <w:rsid w:val="394B1EF2"/>
    <w:rsid w:val="39A322D6"/>
    <w:rsid w:val="39AC7639"/>
    <w:rsid w:val="39AE44B0"/>
    <w:rsid w:val="39AF5C1C"/>
    <w:rsid w:val="39CA7E63"/>
    <w:rsid w:val="39F02F9F"/>
    <w:rsid w:val="3B704BB5"/>
    <w:rsid w:val="3BC10B6D"/>
    <w:rsid w:val="3C0C5FDC"/>
    <w:rsid w:val="3C1216D2"/>
    <w:rsid w:val="3C2E72F1"/>
    <w:rsid w:val="3C6038D5"/>
    <w:rsid w:val="3C660A28"/>
    <w:rsid w:val="3CBD50EE"/>
    <w:rsid w:val="3CDF25E7"/>
    <w:rsid w:val="3CE633A5"/>
    <w:rsid w:val="3D1E09AC"/>
    <w:rsid w:val="3D3868B6"/>
    <w:rsid w:val="3D6C59BB"/>
    <w:rsid w:val="3DE05632"/>
    <w:rsid w:val="3E095C44"/>
    <w:rsid w:val="3E4932F3"/>
    <w:rsid w:val="3E9625F6"/>
    <w:rsid w:val="3F6A183E"/>
    <w:rsid w:val="3F6E68F8"/>
    <w:rsid w:val="3F7C2E82"/>
    <w:rsid w:val="3FCE2DD7"/>
    <w:rsid w:val="3FE27137"/>
    <w:rsid w:val="401F24A7"/>
    <w:rsid w:val="403C0D10"/>
    <w:rsid w:val="40504A21"/>
    <w:rsid w:val="40BB3961"/>
    <w:rsid w:val="4121045B"/>
    <w:rsid w:val="4149740F"/>
    <w:rsid w:val="41545B3E"/>
    <w:rsid w:val="41862B91"/>
    <w:rsid w:val="41AB1B31"/>
    <w:rsid w:val="42421D42"/>
    <w:rsid w:val="429E790F"/>
    <w:rsid w:val="431D38D3"/>
    <w:rsid w:val="432F29EF"/>
    <w:rsid w:val="435A41B7"/>
    <w:rsid w:val="43B00785"/>
    <w:rsid w:val="43C05C37"/>
    <w:rsid w:val="44200FBC"/>
    <w:rsid w:val="44220E2D"/>
    <w:rsid w:val="447244FF"/>
    <w:rsid w:val="44AC5151"/>
    <w:rsid w:val="44BD55A2"/>
    <w:rsid w:val="44C543AE"/>
    <w:rsid w:val="44CD61E2"/>
    <w:rsid w:val="44FC0351"/>
    <w:rsid w:val="454B70FE"/>
    <w:rsid w:val="45620446"/>
    <w:rsid w:val="45723239"/>
    <w:rsid w:val="45A5398B"/>
    <w:rsid w:val="45B44C50"/>
    <w:rsid w:val="45B500C8"/>
    <w:rsid w:val="46595EFF"/>
    <w:rsid w:val="46AE6378"/>
    <w:rsid w:val="46B939BD"/>
    <w:rsid w:val="46BE685D"/>
    <w:rsid w:val="46E6324A"/>
    <w:rsid w:val="46F13151"/>
    <w:rsid w:val="46F53C41"/>
    <w:rsid w:val="471F5313"/>
    <w:rsid w:val="4744555E"/>
    <w:rsid w:val="474A0E93"/>
    <w:rsid w:val="47643C24"/>
    <w:rsid w:val="476B62FB"/>
    <w:rsid w:val="47AA4615"/>
    <w:rsid w:val="47E77431"/>
    <w:rsid w:val="488440F7"/>
    <w:rsid w:val="48AB604B"/>
    <w:rsid w:val="49084D16"/>
    <w:rsid w:val="49431B5E"/>
    <w:rsid w:val="49542240"/>
    <w:rsid w:val="49B9156D"/>
    <w:rsid w:val="4A494A91"/>
    <w:rsid w:val="4AB33959"/>
    <w:rsid w:val="4AD60162"/>
    <w:rsid w:val="4B340F16"/>
    <w:rsid w:val="4B3C5EA8"/>
    <w:rsid w:val="4B476F87"/>
    <w:rsid w:val="4C04408E"/>
    <w:rsid w:val="4C965505"/>
    <w:rsid w:val="4CB14546"/>
    <w:rsid w:val="4CBC48D4"/>
    <w:rsid w:val="4D170F4B"/>
    <w:rsid w:val="4E126D1D"/>
    <w:rsid w:val="4EA415F4"/>
    <w:rsid w:val="4EAF456E"/>
    <w:rsid w:val="4F101271"/>
    <w:rsid w:val="4F591749"/>
    <w:rsid w:val="4FC97630"/>
    <w:rsid w:val="4FE600C8"/>
    <w:rsid w:val="4FFF7FF5"/>
    <w:rsid w:val="502317C3"/>
    <w:rsid w:val="50632098"/>
    <w:rsid w:val="50896DC6"/>
    <w:rsid w:val="50DA418E"/>
    <w:rsid w:val="50F3044C"/>
    <w:rsid w:val="51BA21A5"/>
    <w:rsid w:val="51DB3DE3"/>
    <w:rsid w:val="51E420F6"/>
    <w:rsid w:val="520A3CE9"/>
    <w:rsid w:val="521A3362"/>
    <w:rsid w:val="524F031C"/>
    <w:rsid w:val="529A6116"/>
    <w:rsid w:val="52B93C3A"/>
    <w:rsid w:val="52D37C62"/>
    <w:rsid w:val="52E97399"/>
    <w:rsid w:val="53F56FDE"/>
    <w:rsid w:val="54170DAE"/>
    <w:rsid w:val="54EA7EA8"/>
    <w:rsid w:val="54F90C8E"/>
    <w:rsid w:val="54FD2FCE"/>
    <w:rsid w:val="55516029"/>
    <w:rsid w:val="55917F68"/>
    <w:rsid w:val="55946B95"/>
    <w:rsid w:val="56391291"/>
    <w:rsid w:val="566B17A7"/>
    <w:rsid w:val="570E1C52"/>
    <w:rsid w:val="574C493C"/>
    <w:rsid w:val="5886745B"/>
    <w:rsid w:val="58E0104F"/>
    <w:rsid w:val="58E300E2"/>
    <w:rsid w:val="59383831"/>
    <w:rsid w:val="59930E2B"/>
    <w:rsid w:val="59FA15EA"/>
    <w:rsid w:val="5A0B29EC"/>
    <w:rsid w:val="5A3B2A5B"/>
    <w:rsid w:val="5A742A94"/>
    <w:rsid w:val="5AF902EA"/>
    <w:rsid w:val="5B1A4C4F"/>
    <w:rsid w:val="5B5C5CAA"/>
    <w:rsid w:val="5B5D0F98"/>
    <w:rsid w:val="5B8B1BF7"/>
    <w:rsid w:val="5C1C0DC2"/>
    <w:rsid w:val="5C5C1460"/>
    <w:rsid w:val="5CD27517"/>
    <w:rsid w:val="5CE72710"/>
    <w:rsid w:val="5CE974FB"/>
    <w:rsid w:val="5D347F50"/>
    <w:rsid w:val="5D7430C1"/>
    <w:rsid w:val="5DFC7D2A"/>
    <w:rsid w:val="5E3E7F51"/>
    <w:rsid w:val="5EA104C1"/>
    <w:rsid w:val="5F5459AD"/>
    <w:rsid w:val="5F694F6F"/>
    <w:rsid w:val="5FAD0584"/>
    <w:rsid w:val="5FC3180F"/>
    <w:rsid w:val="5FC86911"/>
    <w:rsid w:val="5FD508D8"/>
    <w:rsid w:val="60191EF1"/>
    <w:rsid w:val="608D7E38"/>
    <w:rsid w:val="609458C7"/>
    <w:rsid w:val="60F9752E"/>
    <w:rsid w:val="62535B09"/>
    <w:rsid w:val="628C4192"/>
    <w:rsid w:val="62A512D3"/>
    <w:rsid w:val="62D40BE4"/>
    <w:rsid w:val="62F12B24"/>
    <w:rsid w:val="633955F2"/>
    <w:rsid w:val="6361583C"/>
    <w:rsid w:val="63862171"/>
    <w:rsid w:val="63964A7D"/>
    <w:rsid w:val="640A7244"/>
    <w:rsid w:val="64132107"/>
    <w:rsid w:val="64EA4301"/>
    <w:rsid w:val="650F0FBE"/>
    <w:rsid w:val="65673998"/>
    <w:rsid w:val="65AA0EBC"/>
    <w:rsid w:val="664A7648"/>
    <w:rsid w:val="66881957"/>
    <w:rsid w:val="66CA2B88"/>
    <w:rsid w:val="67851923"/>
    <w:rsid w:val="67BD112B"/>
    <w:rsid w:val="67FC525D"/>
    <w:rsid w:val="68B129FB"/>
    <w:rsid w:val="68B61C24"/>
    <w:rsid w:val="69B24401"/>
    <w:rsid w:val="69B851DD"/>
    <w:rsid w:val="69C35F80"/>
    <w:rsid w:val="69F0700A"/>
    <w:rsid w:val="6A5743EE"/>
    <w:rsid w:val="6A6A369E"/>
    <w:rsid w:val="6AD92F69"/>
    <w:rsid w:val="6B377026"/>
    <w:rsid w:val="6B5269DE"/>
    <w:rsid w:val="6B980C66"/>
    <w:rsid w:val="6C7B6C6B"/>
    <w:rsid w:val="6CD53C52"/>
    <w:rsid w:val="6D2A3C4E"/>
    <w:rsid w:val="6D3325F7"/>
    <w:rsid w:val="6DBC5A1C"/>
    <w:rsid w:val="6DCA4DEE"/>
    <w:rsid w:val="6DDF0023"/>
    <w:rsid w:val="6E3A52B4"/>
    <w:rsid w:val="6F142EFA"/>
    <w:rsid w:val="6F2F5280"/>
    <w:rsid w:val="6F626EAF"/>
    <w:rsid w:val="6FD97DB2"/>
    <w:rsid w:val="71EE0E62"/>
    <w:rsid w:val="720975C2"/>
    <w:rsid w:val="72952B4D"/>
    <w:rsid w:val="72F51A2C"/>
    <w:rsid w:val="735E4160"/>
    <w:rsid w:val="736A028C"/>
    <w:rsid w:val="73CB2029"/>
    <w:rsid w:val="73F8755B"/>
    <w:rsid w:val="74BE51F5"/>
    <w:rsid w:val="75232137"/>
    <w:rsid w:val="754847A1"/>
    <w:rsid w:val="756915BB"/>
    <w:rsid w:val="75842440"/>
    <w:rsid w:val="75854D2C"/>
    <w:rsid w:val="759A1FB5"/>
    <w:rsid w:val="75EB4DEB"/>
    <w:rsid w:val="760D4E00"/>
    <w:rsid w:val="76F46BCA"/>
    <w:rsid w:val="76F86476"/>
    <w:rsid w:val="77102706"/>
    <w:rsid w:val="776C2094"/>
    <w:rsid w:val="77D645A9"/>
    <w:rsid w:val="7858429B"/>
    <w:rsid w:val="78644635"/>
    <w:rsid w:val="786A7BF4"/>
    <w:rsid w:val="78995035"/>
    <w:rsid w:val="78C1123C"/>
    <w:rsid w:val="78C131AD"/>
    <w:rsid w:val="78E71995"/>
    <w:rsid w:val="795F0F0D"/>
    <w:rsid w:val="79901B69"/>
    <w:rsid w:val="79C64401"/>
    <w:rsid w:val="7A043733"/>
    <w:rsid w:val="7A044535"/>
    <w:rsid w:val="7A38360E"/>
    <w:rsid w:val="7A500107"/>
    <w:rsid w:val="7A571D7B"/>
    <w:rsid w:val="7AAC3D0D"/>
    <w:rsid w:val="7B353F3F"/>
    <w:rsid w:val="7B630A84"/>
    <w:rsid w:val="7BA573A2"/>
    <w:rsid w:val="7BC54517"/>
    <w:rsid w:val="7C704D38"/>
    <w:rsid w:val="7C8C12A6"/>
    <w:rsid w:val="7C981DBC"/>
    <w:rsid w:val="7D4F30DC"/>
    <w:rsid w:val="7D697134"/>
    <w:rsid w:val="7E0A5992"/>
    <w:rsid w:val="7E660F03"/>
    <w:rsid w:val="7E9360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7"/>
    <w:qFormat/>
    <w:uiPriority w:val="0"/>
    <w:pPr>
      <w:keepNext/>
      <w:keepLines/>
      <w:spacing w:before="340" w:after="330" w:line="578" w:lineRule="auto"/>
      <w:outlineLvl w:val="0"/>
    </w:pPr>
    <w:rPr>
      <w:rFonts w:ascii="Verdana" w:hAnsi="Verdana"/>
      <w:b/>
      <w:bCs/>
      <w:kern w:val="44"/>
      <w:sz w:val="44"/>
      <w:szCs w:val="44"/>
      <w:lang w:eastAsia="en-US"/>
    </w:rPr>
  </w:style>
  <w:style w:type="paragraph" w:styleId="4">
    <w:name w:val="heading 2"/>
    <w:basedOn w:val="1"/>
    <w:next w:val="1"/>
    <w:link w:val="36"/>
    <w:qFormat/>
    <w:uiPriority w:val="9"/>
    <w:pPr>
      <w:keepNext/>
      <w:keepLines/>
      <w:spacing w:before="260" w:after="260" w:line="416" w:lineRule="auto"/>
      <w:outlineLvl w:val="1"/>
    </w:pPr>
    <w:rPr>
      <w:rFonts w:ascii="Cambria" w:hAnsi="Cambria"/>
      <w:b/>
      <w:bCs/>
      <w:sz w:val="32"/>
      <w:szCs w:val="32"/>
      <w:lang w:eastAsia="en-US"/>
    </w:rPr>
  </w:style>
  <w:style w:type="paragraph" w:styleId="5">
    <w:name w:val="heading 3"/>
    <w:basedOn w:val="1"/>
    <w:next w:val="1"/>
    <w:link w:val="38"/>
    <w:qFormat/>
    <w:uiPriority w:val="9"/>
    <w:pPr>
      <w:keepNext/>
      <w:keepLines/>
      <w:spacing w:before="260" w:after="260" w:line="416" w:lineRule="auto"/>
      <w:outlineLvl w:val="2"/>
    </w:pPr>
    <w:rPr>
      <w:rFonts w:ascii="Verdana" w:hAnsi="Verdana"/>
      <w:b/>
      <w:bCs/>
      <w:sz w:val="32"/>
      <w:szCs w:val="32"/>
      <w:lang w:eastAsia="en-US"/>
    </w:rPr>
  </w:style>
  <w:style w:type="paragraph" w:styleId="2">
    <w:name w:val="heading 4"/>
    <w:basedOn w:val="1"/>
    <w:next w:val="1"/>
    <w:qFormat/>
    <w:uiPriority w:val="9"/>
    <w:pPr>
      <w:keepNext/>
      <w:keepLines/>
      <w:numPr>
        <w:ilvl w:val="3"/>
        <w:numId w:val="1"/>
      </w:numPr>
      <w:tabs>
        <w:tab w:val="left" w:pos="560"/>
      </w:tabs>
      <w:spacing w:before="240" w:after="120" w:line="240" w:lineRule="auto"/>
      <w:outlineLvl w:val="3"/>
    </w:pPr>
    <w:rPr>
      <w:rFonts w:ascii="Cambria" w:hAnsi="Cambria"/>
      <w:b/>
      <w:kern w:val="0"/>
      <w:sz w:val="28"/>
    </w:rPr>
  </w:style>
  <w:style w:type="paragraph" w:styleId="6">
    <w:name w:val="heading 5"/>
    <w:basedOn w:val="1"/>
    <w:next w:val="7"/>
    <w:qFormat/>
    <w:uiPriority w:val="9"/>
    <w:pPr>
      <w:keepNext/>
      <w:keepLines/>
      <w:numPr>
        <w:ilvl w:val="4"/>
        <w:numId w:val="1"/>
      </w:numPr>
      <w:tabs>
        <w:tab w:val="left" w:pos="425"/>
        <w:tab w:val="left" w:pos="560"/>
      </w:tabs>
      <w:spacing w:before="240" w:after="120"/>
      <w:jc w:val="left"/>
      <w:outlineLvl w:val="4"/>
    </w:pPr>
    <w:rPr>
      <w:rFonts w:ascii="Times New Roman" w:hAnsi="Times New Roman"/>
      <w:b/>
      <w:kern w:val="0"/>
    </w:rPr>
  </w:style>
  <w:style w:type="paragraph" w:styleId="8">
    <w:name w:val="heading 6"/>
    <w:basedOn w:val="1"/>
    <w:next w:val="1"/>
    <w:qFormat/>
    <w:uiPriority w:val="9"/>
    <w:pPr>
      <w:keepNext/>
      <w:keepLines/>
      <w:numPr>
        <w:ilvl w:val="5"/>
        <w:numId w:val="1"/>
      </w:numPr>
      <w:tabs>
        <w:tab w:val="left" w:pos="425"/>
      </w:tabs>
      <w:spacing w:before="240" w:after="64" w:line="317" w:lineRule="auto"/>
      <w:outlineLvl w:val="5"/>
    </w:pPr>
    <w:rPr>
      <w:rFonts w:ascii="Cambria" w:hAnsi="Cambria"/>
      <w:b/>
      <w:kern w:val="0"/>
    </w:rPr>
  </w:style>
  <w:style w:type="character" w:default="1" w:styleId="32">
    <w:name w:val="Default Paragraph Font"/>
    <w:semiHidden/>
    <w:qFormat/>
    <w:uiPriority w:val="0"/>
    <w:rPr>
      <w:rFonts w:ascii="Verdana" w:hAnsi="Verdana"/>
      <w:kern w:val="0"/>
      <w:szCs w:val="20"/>
      <w:lang w:eastAsia="en-US"/>
    </w:rPr>
  </w:style>
  <w:style w:type="table" w:default="1" w:styleId="30">
    <w:name w:val="Normal Table"/>
    <w:semiHidden/>
    <w:qFormat/>
    <w:uiPriority w:val="0"/>
    <w:tblPr>
      <w:tblCellMar>
        <w:top w:w="0" w:type="dxa"/>
        <w:left w:w="108" w:type="dxa"/>
        <w:bottom w:w="0" w:type="dxa"/>
        <w:right w:w="108" w:type="dxa"/>
      </w:tblCellMar>
    </w:tblPr>
  </w:style>
  <w:style w:type="paragraph" w:styleId="7">
    <w:name w:val="Normal Indent"/>
    <w:basedOn w:val="1"/>
    <w:next w:val="1"/>
    <w:link w:val="39"/>
    <w:qFormat/>
    <w:uiPriority w:val="0"/>
    <w:pPr>
      <w:widowControl/>
      <w:ind w:firstLine="420"/>
      <w:jc w:val="left"/>
    </w:pPr>
    <w:rPr>
      <w:rFonts w:ascii="Verdana" w:hAnsi="Verdana"/>
      <w:kern w:val="0"/>
      <w:szCs w:val="20"/>
      <w:lang w:eastAsia="en-US"/>
    </w:rPr>
  </w:style>
  <w:style w:type="paragraph" w:styleId="9">
    <w:name w:val="caption"/>
    <w:basedOn w:val="1"/>
    <w:next w:val="1"/>
    <w:qFormat/>
    <w:uiPriority w:val="0"/>
    <w:rPr>
      <w:rFonts w:ascii="Arial" w:hAnsi="Arial" w:eastAsia="黑体" w:cs="Arial"/>
      <w:sz w:val="20"/>
      <w:szCs w:val="20"/>
    </w:rPr>
  </w:style>
  <w:style w:type="paragraph" w:styleId="10">
    <w:name w:val="Document Map"/>
    <w:basedOn w:val="1"/>
    <w:semiHidden/>
    <w:qFormat/>
    <w:uiPriority w:val="0"/>
    <w:pPr>
      <w:shd w:val="clear" w:color="auto" w:fill="000080"/>
    </w:pPr>
  </w:style>
  <w:style w:type="paragraph" w:styleId="11">
    <w:name w:val="annotation text"/>
    <w:basedOn w:val="1"/>
    <w:qFormat/>
    <w:uiPriority w:val="0"/>
    <w:pPr>
      <w:jc w:val="left"/>
    </w:pPr>
  </w:style>
  <w:style w:type="paragraph" w:styleId="12">
    <w:name w:val="Body Text"/>
    <w:basedOn w:val="1"/>
    <w:next w:val="1"/>
    <w:qFormat/>
    <w:uiPriority w:val="0"/>
    <w:pPr>
      <w:spacing w:after="120"/>
    </w:pPr>
  </w:style>
  <w:style w:type="paragraph" w:styleId="13">
    <w:name w:val="Body Text Indent"/>
    <w:basedOn w:val="1"/>
    <w:next w:val="14"/>
    <w:link w:val="40"/>
    <w:qFormat/>
    <w:uiPriority w:val="0"/>
    <w:pPr>
      <w:spacing w:after="120"/>
      <w:ind w:left="420" w:leftChars="200"/>
    </w:pPr>
    <w:rPr>
      <w:rFonts w:ascii="Verdana" w:hAnsi="Verdana"/>
      <w:szCs w:val="20"/>
      <w:lang w:eastAsia="en-US"/>
    </w:rPr>
  </w:style>
  <w:style w:type="paragraph" w:styleId="1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15">
    <w:name w:val="toc 3"/>
    <w:basedOn w:val="1"/>
    <w:next w:val="1"/>
    <w:qFormat/>
    <w:uiPriority w:val="39"/>
    <w:pPr>
      <w:ind w:left="840" w:leftChars="400"/>
    </w:pPr>
  </w:style>
  <w:style w:type="paragraph" w:styleId="16">
    <w:name w:val="Plain Text"/>
    <w:basedOn w:val="1"/>
    <w:link w:val="41"/>
    <w:qFormat/>
    <w:uiPriority w:val="0"/>
    <w:pPr>
      <w:spacing w:line="360" w:lineRule="auto"/>
    </w:pPr>
    <w:rPr>
      <w:rFonts w:ascii="宋体" w:hAnsi="Courier New"/>
      <w:spacing w:val="-8"/>
      <w:sz w:val="24"/>
      <w:szCs w:val="20"/>
      <w:lang w:eastAsia="en-US"/>
    </w:rPr>
  </w:style>
  <w:style w:type="paragraph" w:styleId="17">
    <w:name w:val="Date"/>
    <w:basedOn w:val="1"/>
    <w:next w:val="1"/>
    <w:qFormat/>
    <w:uiPriority w:val="0"/>
    <w:pPr>
      <w:widowControl w:val="0"/>
      <w:jc w:val="both"/>
    </w:pPr>
    <w:rPr>
      <w:rFonts w:eastAsia="仿宋_GB2312"/>
      <w:kern w:val="2"/>
      <w:sz w:val="32"/>
    </w:rPr>
  </w:style>
  <w:style w:type="paragraph" w:styleId="18">
    <w:name w:val="Body Text Indent 2"/>
    <w:basedOn w:val="1"/>
    <w:link w:val="42"/>
    <w:qFormat/>
    <w:uiPriority w:val="0"/>
    <w:pPr>
      <w:spacing w:after="120" w:line="480" w:lineRule="auto"/>
      <w:ind w:left="420" w:leftChars="200"/>
    </w:pPr>
    <w:rPr>
      <w:rFonts w:ascii="Verdana" w:hAnsi="Verdana"/>
      <w:lang w:eastAsia="en-US"/>
    </w:rPr>
  </w:style>
  <w:style w:type="paragraph" w:styleId="19">
    <w:name w:val="Balloon Text"/>
    <w:basedOn w:val="1"/>
    <w:link w:val="43"/>
    <w:qFormat/>
    <w:uiPriority w:val="0"/>
    <w:rPr>
      <w:rFonts w:ascii="Verdana" w:hAnsi="Verdana"/>
      <w:sz w:val="18"/>
      <w:szCs w:val="18"/>
      <w:lang w:eastAsia="en-US"/>
    </w:rPr>
  </w:style>
  <w:style w:type="paragraph" w:styleId="20">
    <w:name w:val="footer"/>
    <w:basedOn w:val="1"/>
    <w:link w:val="44"/>
    <w:qFormat/>
    <w:uiPriority w:val="0"/>
    <w:pPr>
      <w:tabs>
        <w:tab w:val="center" w:pos="4153"/>
        <w:tab w:val="right" w:pos="8306"/>
      </w:tabs>
      <w:snapToGrid w:val="0"/>
      <w:jc w:val="left"/>
    </w:pPr>
    <w:rPr>
      <w:rFonts w:ascii="Verdana" w:hAnsi="Verdana"/>
      <w:sz w:val="18"/>
      <w:szCs w:val="18"/>
      <w:lang w:eastAsia="en-US"/>
    </w:rPr>
  </w:style>
  <w:style w:type="paragraph" w:styleId="21">
    <w:name w:val="header"/>
    <w:basedOn w:val="1"/>
    <w:next w:val="9"/>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b/>
      <w:bCs/>
      <w:caps/>
      <w:sz w:val="20"/>
      <w:szCs w:val="20"/>
    </w:rPr>
  </w:style>
  <w:style w:type="paragraph" w:styleId="23">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24">
    <w:name w:val="footnote text"/>
    <w:basedOn w:val="1"/>
    <w:unhideWhenUsed/>
    <w:qFormat/>
    <w:uiPriority w:val="99"/>
    <w:pPr>
      <w:snapToGrid w:val="0"/>
      <w:jc w:val="left"/>
    </w:pPr>
    <w:rPr>
      <w:sz w:val="18"/>
      <w:szCs w:val="18"/>
    </w:rPr>
  </w:style>
  <w:style w:type="paragraph" w:styleId="25">
    <w:name w:val="toc 2"/>
    <w:basedOn w:val="1"/>
    <w:next w:val="1"/>
    <w:qFormat/>
    <w:uiPriority w:val="39"/>
    <w:pPr>
      <w:ind w:left="210"/>
      <w:jc w:val="left"/>
    </w:pPr>
    <w:rPr>
      <w:smallCaps/>
      <w:sz w:val="20"/>
      <w:szCs w:val="20"/>
    </w:rPr>
  </w:style>
  <w:style w:type="paragraph" w:styleId="26">
    <w:name w:val="Body Text 2"/>
    <w:basedOn w:val="1"/>
    <w:link w:val="45"/>
    <w:qFormat/>
    <w:uiPriority w:val="0"/>
    <w:pPr>
      <w:spacing w:after="120" w:line="480" w:lineRule="auto"/>
    </w:pPr>
    <w:rPr>
      <w:rFonts w:ascii="Verdana" w:hAnsi="Verdana"/>
      <w:lang w:eastAsia="en-US"/>
    </w:rPr>
  </w:style>
  <w:style w:type="paragraph" w:styleId="27">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28">
    <w:name w:val="Title"/>
    <w:basedOn w:val="1"/>
    <w:next w:val="1"/>
    <w:link w:val="46"/>
    <w:qFormat/>
    <w:uiPriority w:val="0"/>
    <w:pPr>
      <w:spacing w:before="240" w:after="60"/>
      <w:jc w:val="center"/>
      <w:outlineLvl w:val="0"/>
    </w:pPr>
    <w:rPr>
      <w:rFonts w:ascii="Cambria" w:hAnsi="Cambria"/>
      <w:b/>
      <w:bCs/>
      <w:sz w:val="32"/>
      <w:szCs w:val="32"/>
      <w:lang w:eastAsia="en-US"/>
    </w:rPr>
  </w:style>
  <w:style w:type="paragraph" w:styleId="29">
    <w:name w:val="Body Text First Indent 2"/>
    <w:basedOn w:val="13"/>
    <w:semiHidden/>
    <w:qFormat/>
    <w:uiPriority w:val="99"/>
    <w:pPr>
      <w:autoSpaceDE/>
      <w:autoSpaceDN/>
      <w:spacing w:after="120" w:line="240" w:lineRule="auto"/>
      <w:ind w:left="420" w:leftChars="200" w:firstLine="420" w:firstLineChars="200"/>
    </w:pPr>
    <w:rPr>
      <w:rFonts w:ascii="Times New Roman" w:hAnsi="Times New Roman"/>
      <w:sz w:val="21"/>
    </w:rPr>
  </w:style>
  <w:style w:type="table" w:styleId="31">
    <w:name w:val="Table Grid"/>
    <w:basedOn w:val="3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qFormat/>
    <w:uiPriority w:val="99"/>
    <w:rPr>
      <w:b/>
      <w:bCs/>
    </w:rPr>
  </w:style>
  <w:style w:type="character" w:styleId="34">
    <w:name w:val="page number"/>
    <w:basedOn w:val="32"/>
    <w:qFormat/>
    <w:uiPriority w:val="0"/>
  </w:style>
  <w:style w:type="character" w:styleId="35">
    <w:name w:val="Hyperlink"/>
    <w:qFormat/>
    <w:uiPriority w:val="99"/>
    <w:rPr>
      <w:rFonts w:ascii="Verdana" w:hAnsi="Verdana"/>
      <w:color w:val="0000FF"/>
      <w:kern w:val="0"/>
      <w:szCs w:val="20"/>
      <w:u w:val="single"/>
      <w:lang w:eastAsia="en-US"/>
    </w:rPr>
  </w:style>
  <w:style w:type="character" w:customStyle="1" w:styleId="36">
    <w:name w:val="标题 2 字符"/>
    <w:link w:val="4"/>
    <w:qFormat/>
    <w:uiPriority w:val="9"/>
    <w:rPr>
      <w:rFonts w:ascii="Cambria" w:hAnsi="Cambria"/>
      <w:b/>
      <w:bCs/>
      <w:kern w:val="2"/>
      <w:sz w:val="32"/>
      <w:szCs w:val="32"/>
      <w:lang w:eastAsia="en-US"/>
    </w:rPr>
  </w:style>
  <w:style w:type="character" w:customStyle="1" w:styleId="37">
    <w:name w:val="标题 1 字符"/>
    <w:link w:val="3"/>
    <w:qFormat/>
    <w:uiPriority w:val="0"/>
    <w:rPr>
      <w:rFonts w:ascii="Verdana" w:hAnsi="Verdana"/>
      <w:b/>
      <w:bCs/>
      <w:kern w:val="44"/>
      <w:sz w:val="44"/>
      <w:szCs w:val="44"/>
      <w:lang w:eastAsia="en-US"/>
    </w:rPr>
  </w:style>
  <w:style w:type="character" w:customStyle="1" w:styleId="38">
    <w:name w:val="标题 3 字符"/>
    <w:link w:val="5"/>
    <w:qFormat/>
    <w:uiPriority w:val="9"/>
    <w:rPr>
      <w:rFonts w:ascii="Verdana" w:hAnsi="Verdana"/>
      <w:b/>
      <w:bCs/>
      <w:kern w:val="2"/>
      <w:sz w:val="32"/>
      <w:szCs w:val="32"/>
      <w:lang w:eastAsia="en-US"/>
    </w:rPr>
  </w:style>
  <w:style w:type="character" w:customStyle="1" w:styleId="39">
    <w:name w:val="正文缩进 字符"/>
    <w:link w:val="7"/>
    <w:qFormat/>
    <w:uiPriority w:val="0"/>
    <w:rPr>
      <w:rFonts w:ascii="Verdana" w:hAnsi="Verdana"/>
      <w:kern w:val="0"/>
      <w:sz w:val="21"/>
      <w:szCs w:val="20"/>
      <w:lang w:eastAsia="en-US"/>
    </w:rPr>
  </w:style>
  <w:style w:type="character" w:customStyle="1" w:styleId="40">
    <w:name w:val="正文文本缩进 字符"/>
    <w:link w:val="13"/>
    <w:qFormat/>
    <w:uiPriority w:val="0"/>
    <w:rPr>
      <w:rFonts w:ascii="Verdana" w:hAnsi="Verdana"/>
      <w:kern w:val="2"/>
      <w:sz w:val="21"/>
      <w:szCs w:val="20"/>
      <w:lang w:eastAsia="en-US"/>
    </w:rPr>
  </w:style>
  <w:style w:type="character" w:customStyle="1" w:styleId="41">
    <w:name w:val="纯文本 字符"/>
    <w:link w:val="16"/>
    <w:qFormat/>
    <w:uiPriority w:val="0"/>
    <w:rPr>
      <w:rFonts w:ascii="宋体" w:hAnsi="Courier New" w:eastAsia="宋体" w:cs="Times New Roman"/>
      <w:spacing w:val="-8"/>
      <w:kern w:val="2"/>
      <w:sz w:val="24"/>
      <w:szCs w:val="20"/>
      <w:lang w:eastAsia="en-US"/>
    </w:rPr>
  </w:style>
  <w:style w:type="character" w:customStyle="1" w:styleId="42">
    <w:name w:val="正文文本缩进 2 字符"/>
    <w:link w:val="18"/>
    <w:qFormat/>
    <w:uiPriority w:val="0"/>
    <w:rPr>
      <w:rFonts w:ascii="Verdana" w:hAnsi="Verdana"/>
      <w:kern w:val="2"/>
      <w:sz w:val="21"/>
      <w:szCs w:val="24"/>
      <w:lang w:eastAsia="en-US"/>
    </w:rPr>
  </w:style>
  <w:style w:type="character" w:customStyle="1" w:styleId="43">
    <w:name w:val="批注框文本 字符"/>
    <w:link w:val="19"/>
    <w:qFormat/>
    <w:uiPriority w:val="0"/>
    <w:rPr>
      <w:rFonts w:ascii="Verdana" w:hAnsi="Verdana"/>
      <w:kern w:val="2"/>
      <w:sz w:val="18"/>
      <w:szCs w:val="18"/>
      <w:lang w:eastAsia="en-US"/>
    </w:rPr>
  </w:style>
  <w:style w:type="character" w:customStyle="1" w:styleId="44">
    <w:name w:val="页脚 字符"/>
    <w:link w:val="20"/>
    <w:qFormat/>
    <w:uiPriority w:val="0"/>
    <w:rPr>
      <w:rFonts w:ascii="Verdana" w:hAnsi="Verdana"/>
      <w:kern w:val="2"/>
      <w:sz w:val="18"/>
      <w:szCs w:val="18"/>
      <w:lang w:eastAsia="en-US"/>
    </w:rPr>
  </w:style>
  <w:style w:type="character" w:customStyle="1" w:styleId="45">
    <w:name w:val="正文文本 2 字符"/>
    <w:link w:val="26"/>
    <w:qFormat/>
    <w:uiPriority w:val="0"/>
    <w:rPr>
      <w:rFonts w:ascii="Verdana" w:hAnsi="Verdana"/>
      <w:kern w:val="2"/>
      <w:sz w:val="21"/>
      <w:szCs w:val="24"/>
      <w:lang w:eastAsia="en-US"/>
    </w:rPr>
  </w:style>
  <w:style w:type="character" w:customStyle="1" w:styleId="46">
    <w:name w:val="标题 字符"/>
    <w:link w:val="28"/>
    <w:qFormat/>
    <w:uiPriority w:val="0"/>
    <w:rPr>
      <w:rFonts w:ascii="Cambria" w:hAnsi="Cambria" w:cs="Times New Roman"/>
      <w:b/>
      <w:bCs/>
      <w:kern w:val="2"/>
      <w:sz w:val="32"/>
      <w:szCs w:val="32"/>
      <w:lang w:eastAsia="en-US"/>
    </w:rPr>
  </w:style>
  <w:style w:type="character" w:customStyle="1" w:styleId="47">
    <w:name w:val="font11"/>
    <w:qFormat/>
    <w:uiPriority w:val="0"/>
    <w:rPr>
      <w:rFonts w:hint="eastAsia" w:ascii="宋体" w:hAnsi="宋体" w:eastAsia="宋体"/>
      <w:color w:val="000000"/>
      <w:kern w:val="0"/>
      <w:sz w:val="24"/>
      <w:szCs w:val="24"/>
      <w:u w:val="none"/>
      <w:lang w:eastAsia="en-US"/>
    </w:rPr>
  </w:style>
  <w:style w:type="character" w:customStyle="1" w:styleId="48">
    <w:name w:val="bord"/>
    <w:basedOn w:val="32"/>
    <w:qFormat/>
    <w:uiPriority w:val="0"/>
  </w:style>
  <w:style w:type="character" w:customStyle="1" w:styleId="49">
    <w:name w:val="font21"/>
    <w:qFormat/>
    <w:uiPriority w:val="0"/>
    <w:rPr>
      <w:rFonts w:hint="eastAsia" w:ascii="宋体" w:hAnsi="宋体" w:eastAsia="宋体" w:cs="宋体"/>
      <w:color w:val="000000"/>
      <w:kern w:val="0"/>
      <w:sz w:val="21"/>
      <w:szCs w:val="21"/>
      <w:u w:val="none"/>
      <w:lang w:eastAsia="en-US"/>
    </w:rPr>
  </w:style>
  <w:style w:type="character" w:customStyle="1" w:styleId="50">
    <w:name w:val="main_tdbg_760"/>
    <w:basedOn w:val="32"/>
    <w:qFormat/>
    <w:uiPriority w:val="0"/>
  </w:style>
  <w:style w:type="character" w:customStyle="1" w:styleId="51">
    <w:name w:val="font01"/>
    <w:qFormat/>
    <w:uiPriority w:val="0"/>
    <w:rPr>
      <w:rFonts w:hint="eastAsia" w:ascii="宋体" w:hAnsi="宋体" w:eastAsia="宋体" w:cs="宋体"/>
      <w:color w:val="000000"/>
      <w:kern w:val="0"/>
      <w:sz w:val="20"/>
      <w:szCs w:val="20"/>
      <w:u w:val="none"/>
      <w:lang w:eastAsia="en-US"/>
    </w:rPr>
  </w:style>
  <w:style w:type="paragraph" w:customStyle="1" w:styleId="52">
    <w:name w:val="_Style 3"/>
    <w:basedOn w:val="3"/>
    <w:next w:val="1"/>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53">
    <w:name w:val="Table Paragraph"/>
    <w:basedOn w:val="1"/>
    <w:qFormat/>
    <w:uiPriority w:val="1"/>
    <w:pPr>
      <w:spacing w:line="360" w:lineRule="auto"/>
    </w:pPr>
    <w:rPr>
      <w:rFonts w:ascii="PMingLiU" w:hAnsi="PMingLiU" w:eastAsia="PMingLiU" w:cs="PMingLiU"/>
      <w:sz w:val="24"/>
    </w:rPr>
  </w:style>
  <w:style w:type="paragraph" w:customStyle="1" w:styleId="54">
    <w:name w:val="333"/>
    <w:basedOn w:val="4"/>
    <w:next w:val="4"/>
    <w:qFormat/>
    <w:uiPriority w:val="0"/>
    <w:pPr>
      <w:numPr>
        <w:ilvl w:val="0"/>
        <w:numId w:val="2"/>
      </w:numPr>
      <w:tabs>
        <w:tab w:val="left" w:pos="360"/>
      </w:tabs>
      <w:spacing w:before="140" w:after="140" w:line="240" w:lineRule="auto"/>
      <w:ind w:left="0" w:firstLine="0"/>
      <w:outlineLvl w:val="2"/>
    </w:pPr>
    <w:rPr>
      <w:rFonts w:ascii="仿宋" w:hAnsi="仿宋" w:eastAsia="仿宋" w:cs="Times New Roman"/>
      <w:bCs w:val="0"/>
      <w:sz w:val="21"/>
      <w:szCs w:val="28"/>
    </w:rPr>
  </w:style>
  <w:style w:type="paragraph" w:customStyle="1" w:styleId="55">
    <w:name w:val="图例"/>
    <w:basedOn w:val="1"/>
    <w:qFormat/>
    <w:uiPriority w:val="0"/>
    <w:pPr>
      <w:spacing w:before="120" w:after="120" w:line="360" w:lineRule="auto"/>
      <w:jc w:val="center"/>
    </w:pPr>
    <w:rPr>
      <w:rFonts w:ascii="Times New Roman" w:hAnsi="Times New Roman" w:eastAsia="仿宋_GB2312"/>
      <w:b/>
      <w:szCs w:val="20"/>
    </w:rPr>
  </w:style>
  <w:style w:type="paragraph" w:customStyle="1" w:styleId="56">
    <w:name w:val="Body text|1"/>
    <w:basedOn w:val="1"/>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paragraph" w:styleId="57">
    <w:name w:val="List Paragraph"/>
    <w:basedOn w:val="1"/>
    <w:qFormat/>
    <w:uiPriority w:val="34"/>
    <w:pPr>
      <w:widowControl/>
      <w:ind w:firstLine="420" w:firstLineChars="200"/>
      <w:jc w:val="left"/>
    </w:pPr>
    <w:rPr>
      <w:kern w:val="0"/>
      <w:szCs w:val="20"/>
    </w:rPr>
  </w:style>
  <w:style w:type="paragraph" w:customStyle="1" w:styleId="58">
    <w:name w:val="Plain Text"/>
    <w:basedOn w:val="59"/>
    <w:qFormat/>
    <w:uiPriority w:val="0"/>
    <w:pPr>
      <w:adjustRightInd w:val="0"/>
      <w:textAlignment w:val="baseline"/>
    </w:pPr>
    <w:rPr>
      <w:rFonts w:ascii="宋体" w:hAnsi="Courier New" w:eastAsia="楷体_GB2312"/>
      <w:sz w:val="28"/>
      <w:szCs w:val="20"/>
    </w:rPr>
  </w:style>
  <w:style w:type="paragraph" w:customStyle="1" w:styleId="59">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_Style 1"/>
    <w:basedOn w:val="1"/>
    <w:next w:val="1"/>
    <w:qFormat/>
    <w:uiPriority w:val="34"/>
    <w:pPr>
      <w:ind w:firstLine="420" w:firstLineChars="200"/>
    </w:pPr>
    <w:rPr>
      <w:rFonts w:ascii="Times New Roman" w:hAnsi="Times New Roman"/>
      <w:szCs w:val="24"/>
    </w:rPr>
  </w:style>
  <w:style w:type="paragraph" w:customStyle="1" w:styleId="61">
    <w:name w:val="列出段落1"/>
    <w:basedOn w:val="1"/>
    <w:qFormat/>
    <w:uiPriority w:val="34"/>
    <w:pPr>
      <w:ind w:firstLine="420" w:firstLineChars="200"/>
    </w:pPr>
  </w:style>
  <w:style w:type="paragraph" w:customStyle="1" w:styleId="62">
    <w:name w:val="newstyle16"/>
    <w:basedOn w:val="1"/>
    <w:qFormat/>
    <w:uiPriority w:val="0"/>
    <w:pPr>
      <w:widowControl/>
      <w:jc w:val="left"/>
    </w:pPr>
    <w:rPr>
      <w:rFonts w:ascii="宋体" w:hAnsi="宋体" w:cs="宋体"/>
      <w:kern w:val="0"/>
      <w:sz w:val="24"/>
    </w:rPr>
  </w:style>
  <w:style w:type="paragraph" w:customStyle="1" w:styleId="63">
    <w:name w:val="*正文"/>
    <w:basedOn w:val="1"/>
    <w:qFormat/>
    <w:uiPriority w:val="0"/>
    <w:pPr>
      <w:widowControl w:val="0"/>
      <w:spacing w:line="360" w:lineRule="auto"/>
      <w:ind w:firstLine="200" w:firstLineChars="200"/>
      <w:jc w:val="both"/>
    </w:pPr>
    <w:rPr>
      <w:rFonts w:ascii="宋体" w:hAnsi="宋体"/>
      <w:sz w:val="24"/>
      <w:szCs w:val="24"/>
    </w:rPr>
  </w:style>
  <w:style w:type="paragraph" w:customStyle="1" w:styleId="64">
    <w:name w:val="基准标题"/>
    <w:basedOn w:val="1"/>
    <w:next w:val="12"/>
    <w:qFormat/>
    <w:uiPriority w:val="0"/>
    <w:pPr>
      <w:keepNext/>
      <w:keepLines/>
      <w:spacing w:before="140" w:line="220" w:lineRule="atLeast"/>
    </w:pPr>
    <w:rPr>
      <w:rFonts w:ascii="Arial" w:hAnsi="Arial"/>
      <w:spacing w:val="-4"/>
      <w:kern w:val="28"/>
      <w:sz w:val="22"/>
    </w:rPr>
  </w:style>
  <w:style w:type="paragraph" w:customStyle="1" w:styleId="65">
    <w:name w:val="xl32"/>
    <w:basedOn w:val="1"/>
    <w:qFormat/>
    <w:uiPriority w:val="0"/>
    <w:pPr>
      <w:pBdr>
        <w:bottom w:val="single" w:color="auto" w:sz="4" w:space="0"/>
        <w:right w:val="single" w:color="auto" w:sz="4" w:space="0"/>
      </w:pBdr>
      <w:adjustRightInd/>
      <w:snapToGrid/>
      <w:spacing w:before="100" w:beforeAutospacing="1" w:after="100" w:afterAutospacing="1"/>
      <w:jc w:val="center"/>
      <w:textAlignment w:val="center"/>
    </w:pPr>
    <w:rPr>
      <w:rFonts w:hint="eastAsia" w:ascii="楷体_GB2312" w:hAnsi="Arial Unicode MS" w:eastAsia="楷体_GB2312" w:cs="Arial Unicode MS"/>
      <w:sz w:val="21"/>
      <w:szCs w:val="21"/>
    </w:rPr>
  </w:style>
  <w:style w:type="paragraph" w:customStyle="1" w:styleId="66">
    <w:name w:val="List Paragraph1"/>
    <w:basedOn w:val="1"/>
    <w:qFormat/>
    <w:uiPriority w:val="0"/>
    <w:pPr>
      <w:ind w:firstLine="420" w:firstLineChars="200"/>
    </w:pPr>
    <w:rPr>
      <w:rFonts w:ascii="Calibri" w:hAnsi="Calibri"/>
      <w:szCs w:val="22"/>
    </w:rPr>
  </w:style>
  <w:style w:type="paragraph" w:customStyle="1" w:styleId="67">
    <w:name w:val="￥正文"/>
    <w:basedOn w:val="1"/>
    <w:qFormat/>
    <w:uiPriority w:val="0"/>
    <w:pPr>
      <w:widowControl w:val="0"/>
      <w:spacing w:line="360" w:lineRule="auto"/>
      <w:ind w:firstLine="200" w:firstLineChars="200"/>
      <w:textAlignment w:val="auto"/>
    </w:pPr>
    <w:rPr>
      <w:rFonts w:ascii="Calibri" w:hAnsi="Calibri"/>
      <w:color w:val="auto"/>
      <w:sz w:val="24"/>
      <w:u w:val="none" w:color="auto"/>
    </w:rPr>
  </w:style>
  <w:style w:type="paragraph" w:customStyle="1" w:styleId="68">
    <w:name w:val="正文首行缩进两字符"/>
    <w:basedOn w:val="1"/>
    <w:qFormat/>
    <w:uiPriority w:val="0"/>
    <w:pPr>
      <w:spacing w:line="360" w:lineRule="auto"/>
      <w:ind w:firstLine="200" w:firstLineChars="200"/>
    </w:pPr>
  </w:style>
  <w:style w:type="paragraph" w:customStyle="1" w:styleId="69">
    <w:name w:val="p0"/>
    <w:basedOn w:val="1"/>
    <w:qFormat/>
    <w:uiPriority w:val="0"/>
    <w:pPr>
      <w:widowControl/>
    </w:pPr>
    <w:rPr>
      <w:rFonts w:ascii="Calibri" w:hAnsi="Calibri" w:eastAsia="宋体" w:cs="Times New Roman"/>
      <w:kern w:val="0"/>
      <w:szCs w:val="21"/>
    </w:rPr>
  </w:style>
  <w:style w:type="paragraph" w:customStyle="1" w:styleId="70">
    <w:name w:val="TOC Heading"/>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71">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73">
    <w:name w:val="表格文字"/>
    <w:basedOn w:val="1"/>
    <w:qFormat/>
    <w:uiPriority w:val="99"/>
    <w:pPr>
      <w:spacing w:before="25" w:beforeLines="0" w:after="25" w:afterLines="0"/>
      <w:jc w:val="left"/>
    </w:pPr>
    <w:rPr>
      <w:bCs/>
      <w:spacing w:val="10"/>
      <w:kern w:val="0"/>
      <w:sz w:val="24"/>
      <w:szCs w:val="20"/>
    </w:rPr>
  </w:style>
  <w:style w:type="paragraph" w:customStyle="1" w:styleId="74">
    <w:name w:val=" Char Char Char"/>
    <w:basedOn w:val="1"/>
    <w:qFormat/>
    <w:uiPriority w:val="0"/>
    <w:pPr>
      <w:widowControl/>
      <w:spacing w:after="160" w:line="240" w:lineRule="exact"/>
      <w:jc w:val="left"/>
    </w:pPr>
  </w:style>
  <w:style w:type="paragraph" w:customStyle="1" w:styleId="75">
    <w:name w:val="章节题目"/>
    <w:basedOn w:val="64"/>
    <w:next w:val="1"/>
    <w:qFormat/>
    <w:uiPriority w:val="0"/>
    <w:pPr>
      <w:spacing w:before="720" w:after="400" w:line="540" w:lineRule="atLeast"/>
      <w:ind w:right="2160"/>
    </w:pPr>
    <w:rPr>
      <w:rFonts w:ascii="Times New Roman" w:hAnsi="Times New Roman"/>
      <w:spacing w:val="-40"/>
      <w:sz w:val="60"/>
    </w:rPr>
  </w:style>
  <w:style w:type="paragraph" w:customStyle="1" w:styleId="76">
    <w:name w:val="图片居中"/>
    <w:basedOn w:val="1"/>
    <w:qFormat/>
    <w:uiPriority w:val="0"/>
    <w:pPr>
      <w:jc w:val="center"/>
    </w:pPr>
    <w:rPr>
      <w:rFonts w:ascii="Times New Roman" w:hAnsi="Times New Roman"/>
      <w:szCs w:val="22"/>
    </w:rPr>
  </w:style>
  <w:style w:type="paragraph" w:customStyle="1" w:styleId="77">
    <w:name w:val="表格样式"/>
    <w:basedOn w:val="1"/>
    <w:qFormat/>
    <w:uiPriority w:val="0"/>
    <w:pPr>
      <w:widowControl/>
      <w:spacing w:line="240" w:lineRule="auto"/>
      <w:jc w:val="center"/>
    </w:pPr>
    <w:rPr>
      <w:rFonts w:ascii="宋体" w:hAnsi="宋体" w:cs="宋体"/>
      <w:bCs/>
      <w:kern w:val="0"/>
      <w:szCs w:val="24"/>
    </w:rPr>
  </w:style>
  <w:style w:type="paragraph" w:customStyle="1" w:styleId="78">
    <w:name w:val="列出段落11"/>
    <w:basedOn w:val="1"/>
    <w:qFormat/>
    <w:uiPriority w:val="0"/>
    <w:pPr>
      <w:spacing w:line="360" w:lineRule="auto"/>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44</Pages>
  <Words>21419</Words>
  <Characters>22460</Characters>
  <Lines>113</Lines>
  <Paragraphs>32</Paragraphs>
  <TotalTime>4</TotalTime>
  <ScaleCrop>false</ScaleCrop>
  <LinksUpToDate>false</LinksUpToDate>
  <CharactersWithSpaces>25252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2020-07-06T09:12:00Z</dcterms:created>
  <dc:creator>微软用户</dc:creator>
  <cp:lastModifiedBy>...</cp:lastModifiedBy>
  <cp:lastPrinted>2018-05-21T07:20:00Z</cp:lastPrinted>
  <dcterms:modified xsi:type="dcterms:W3CDTF">2023-05-09T06:49:17Z</dcterms:modified>
  <dc:title>海南省森林公安局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0E31CF1128644D988089AFFAC418F4C3_13</vt:lpwstr>
  </property>
  <property fmtid="{D5CDD505-2E9C-101B-9397-08002B2CF9AE}" pid="3" name="KSOProductBuildVer">
    <vt:lpwstr>2052-11.1.0.14036</vt:lpwstr>
  </property>
</Properties>
</file>