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56" w:line="276" w:lineRule="auto"/>
        <w:ind w:right="-34" w:rightChars="-16" w:firstLine="2008" w:firstLineChars="500"/>
        <w:jc w:val="both"/>
        <w:rPr>
          <w:rFonts w:hint="eastAsia" w:ascii="宋体" w:hAnsi="宋体"/>
          <w:b/>
          <w:kern w:val="0"/>
          <w:sz w:val="40"/>
          <w:szCs w:val="40"/>
        </w:rPr>
      </w:pPr>
      <w:bookmarkStart w:id="0" w:name="_Toc246996898"/>
      <w:bookmarkStart w:id="1" w:name="_Toc296602400"/>
      <w:bookmarkStart w:id="2" w:name="_Toc425177113"/>
      <w:bookmarkStart w:id="3" w:name="_Toc247085669"/>
    </w:p>
    <w:p>
      <w:pPr>
        <w:snapToGrid w:val="0"/>
        <w:spacing w:before="156" w:line="276" w:lineRule="auto"/>
        <w:ind w:right="-34" w:rightChars="-16"/>
        <w:jc w:val="center"/>
        <w:outlineLvl w:val="0"/>
        <w:rPr>
          <w:rFonts w:hint="eastAsia" w:ascii="宋体" w:hAnsi="宋体" w:eastAsia="宋体"/>
          <w:b/>
          <w:kern w:val="0"/>
          <w:sz w:val="40"/>
          <w:szCs w:val="40"/>
          <w:lang w:eastAsia="zh-CN"/>
        </w:rPr>
      </w:pPr>
      <w:r>
        <w:rPr>
          <w:rFonts w:hint="eastAsia" w:ascii="宋体" w:hAnsi="宋体"/>
          <w:b/>
          <w:kern w:val="0"/>
          <w:sz w:val="48"/>
          <w:szCs w:val="48"/>
          <w:lang w:eastAsia="zh-CN"/>
        </w:rPr>
        <w:t>烹饪、面点实训基地改造项目</w:t>
      </w:r>
    </w:p>
    <w:p>
      <w:pPr>
        <w:pStyle w:val="38"/>
        <w:rPr>
          <w:rFonts w:hint="eastAsia" w:ascii="宋体" w:hAnsi="宋体"/>
          <w:b/>
          <w:kern w:val="0"/>
          <w:sz w:val="40"/>
          <w:szCs w:val="40"/>
        </w:rPr>
      </w:pPr>
    </w:p>
    <w:p>
      <w:pPr>
        <w:pStyle w:val="38"/>
        <w:rPr>
          <w:rFonts w:hint="eastAsia" w:ascii="宋体" w:hAnsi="宋体"/>
          <w:b/>
          <w:kern w:val="0"/>
          <w:sz w:val="40"/>
          <w:szCs w:val="40"/>
        </w:rPr>
      </w:pPr>
    </w:p>
    <w:p>
      <w:pPr>
        <w:pStyle w:val="38"/>
        <w:rPr>
          <w:rFonts w:hint="eastAsia" w:ascii="宋体" w:hAnsi="宋体"/>
          <w:b/>
          <w:kern w:val="0"/>
          <w:sz w:val="40"/>
          <w:szCs w:val="40"/>
        </w:rPr>
      </w:pPr>
    </w:p>
    <w:p>
      <w:pPr>
        <w:pStyle w:val="38"/>
        <w:rPr>
          <w:rFonts w:hint="eastAsia" w:ascii="宋体" w:hAnsi="宋体" w:eastAsia="宋体"/>
          <w:b/>
          <w:kern w:val="0"/>
          <w:sz w:val="40"/>
          <w:szCs w:val="40"/>
          <w:lang w:eastAsia="zh-CN"/>
        </w:rPr>
      </w:pPr>
    </w:p>
    <w:p>
      <w:pPr>
        <w:pStyle w:val="38"/>
        <w:rPr>
          <w:rFonts w:hint="eastAsia" w:ascii="宋体" w:hAnsi="宋体" w:eastAsia="宋体"/>
          <w:b/>
          <w:kern w:val="0"/>
          <w:sz w:val="40"/>
          <w:szCs w:val="40"/>
          <w:lang w:eastAsia="zh-CN"/>
        </w:rPr>
      </w:pPr>
    </w:p>
    <w:p>
      <w:pPr>
        <w:pStyle w:val="38"/>
        <w:ind w:left="0" w:leftChars="0" w:firstLine="0" w:firstLineChars="0"/>
        <w:jc w:val="center"/>
        <w:outlineLvl w:val="0"/>
        <w:rPr>
          <w:rFonts w:hint="eastAsia" w:ascii="宋体" w:hAnsi="宋体"/>
          <w:b/>
          <w:kern w:val="0"/>
          <w:sz w:val="84"/>
          <w:szCs w:val="84"/>
          <w:lang w:val="en-US" w:eastAsia="zh-CN"/>
        </w:rPr>
      </w:pPr>
      <w:bookmarkStart w:id="4" w:name="_Toc1465"/>
      <w:r>
        <w:rPr>
          <w:rFonts w:hint="eastAsia" w:ascii="宋体" w:hAnsi="宋体"/>
          <w:b/>
          <w:kern w:val="0"/>
          <w:sz w:val="84"/>
          <w:szCs w:val="84"/>
          <w:lang w:val="en-US" w:eastAsia="zh-CN"/>
        </w:rPr>
        <w:t>竞争性磋商文件</w:t>
      </w:r>
      <w:bookmarkEnd w:id="4"/>
    </w:p>
    <w:p>
      <w:pPr>
        <w:pStyle w:val="38"/>
        <w:jc w:val="center"/>
        <w:rPr>
          <w:rFonts w:hint="eastAsia" w:ascii="宋体" w:hAnsi="宋体"/>
          <w:b/>
          <w:kern w:val="0"/>
          <w:sz w:val="40"/>
          <w:szCs w:val="40"/>
          <w:lang w:val="en-US" w:eastAsia="zh-CN"/>
        </w:rPr>
      </w:pPr>
    </w:p>
    <w:p>
      <w:pPr>
        <w:pStyle w:val="38"/>
        <w:jc w:val="center"/>
        <w:rPr>
          <w:rFonts w:hint="eastAsia" w:ascii="宋体" w:hAnsi="宋体"/>
          <w:b/>
          <w:kern w:val="0"/>
          <w:sz w:val="40"/>
          <w:szCs w:val="40"/>
          <w:lang w:val="en-US" w:eastAsia="zh-CN"/>
        </w:rPr>
      </w:pPr>
    </w:p>
    <w:p>
      <w:pPr>
        <w:pStyle w:val="38"/>
        <w:jc w:val="center"/>
        <w:rPr>
          <w:rFonts w:hint="eastAsia" w:ascii="宋体" w:hAnsi="宋体"/>
          <w:b/>
          <w:kern w:val="0"/>
          <w:sz w:val="40"/>
          <w:szCs w:val="40"/>
          <w:lang w:val="en-US" w:eastAsia="zh-CN"/>
        </w:rPr>
      </w:pPr>
    </w:p>
    <w:p>
      <w:pPr>
        <w:pStyle w:val="38"/>
        <w:jc w:val="center"/>
        <w:rPr>
          <w:rFonts w:hint="eastAsia" w:ascii="宋体" w:hAnsi="宋体"/>
          <w:b/>
          <w:kern w:val="0"/>
          <w:sz w:val="40"/>
          <w:szCs w:val="40"/>
          <w:lang w:val="en-US" w:eastAsia="zh-CN"/>
        </w:rPr>
      </w:pPr>
    </w:p>
    <w:p>
      <w:pPr>
        <w:pStyle w:val="38"/>
        <w:jc w:val="center"/>
        <w:rPr>
          <w:rFonts w:hint="eastAsia" w:ascii="宋体" w:hAnsi="宋体"/>
          <w:b/>
          <w:kern w:val="0"/>
          <w:sz w:val="40"/>
          <w:szCs w:val="40"/>
          <w:lang w:val="en-US" w:eastAsia="zh-CN"/>
        </w:rPr>
      </w:pPr>
    </w:p>
    <w:p>
      <w:pPr>
        <w:pStyle w:val="38"/>
        <w:jc w:val="center"/>
        <w:rPr>
          <w:rFonts w:hint="eastAsia" w:ascii="宋体" w:hAnsi="宋体"/>
          <w:b/>
          <w:kern w:val="0"/>
          <w:sz w:val="40"/>
          <w:szCs w:val="40"/>
          <w:lang w:val="en-US" w:eastAsia="zh-CN"/>
        </w:rPr>
      </w:pPr>
    </w:p>
    <w:p>
      <w:pPr>
        <w:pStyle w:val="38"/>
        <w:ind w:firstLine="1807" w:firstLineChars="500"/>
        <w:jc w:val="both"/>
        <w:outlineLvl w:val="0"/>
        <w:rPr>
          <w:rFonts w:hint="eastAsia" w:ascii="宋体" w:hAnsi="宋体"/>
          <w:b/>
          <w:kern w:val="0"/>
          <w:sz w:val="36"/>
          <w:szCs w:val="36"/>
          <w:lang w:val="en-US" w:eastAsia="zh-CN"/>
        </w:rPr>
      </w:pPr>
      <w:bookmarkStart w:id="5" w:name="_Toc22092"/>
      <w:r>
        <w:rPr>
          <w:rFonts w:hint="eastAsia" w:ascii="宋体" w:hAnsi="宋体"/>
          <w:b/>
          <w:kern w:val="0"/>
          <w:sz w:val="36"/>
          <w:szCs w:val="36"/>
          <w:lang w:val="en-US" w:eastAsia="zh-CN"/>
        </w:rPr>
        <w:t>建设单位：儋州市中等职业技术学校</w:t>
      </w:r>
      <w:bookmarkEnd w:id="5"/>
    </w:p>
    <w:p>
      <w:pPr>
        <w:pStyle w:val="38"/>
        <w:jc w:val="center"/>
        <w:outlineLvl w:val="0"/>
        <w:rPr>
          <w:rFonts w:hint="eastAsia" w:ascii="宋体" w:hAnsi="宋体"/>
          <w:b/>
          <w:kern w:val="0"/>
          <w:sz w:val="36"/>
          <w:szCs w:val="36"/>
          <w:lang w:val="en-US" w:eastAsia="zh-CN"/>
        </w:rPr>
      </w:pPr>
      <w:r>
        <w:rPr>
          <w:rFonts w:hint="eastAsia" w:ascii="宋体" w:hAnsi="宋体"/>
          <w:b/>
          <w:kern w:val="0"/>
          <w:sz w:val="36"/>
          <w:szCs w:val="36"/>
          <w:lang w:val="en-US" w:eastAsia="zh-CN"/>
        </w:rPr>
        <w:t xml:space="preserve">  </w:t>
      </w:r>
      <w:bookmarkStart w:id="6" w:name="_Toc29077"/>
      <w:r>
        <w:rPr>
          <w:rFonts w:hint="eastAsia" w:ascii="宋体" w:hAnsi="宋体"/>
          <w:b/>
          <w:kern w:val="0"/>
          <w:sz w:val="36"/>
          <w:szCs w:val="36"/>
          <w:lang w:val="en-US" w:eastAsia="zh-CN"/>
        </w:rPr>
        <w:t>代理机构：海南卓泰工程项目管理有限公司</w:t>
      </w:r>
      <w:bookmarkEnd w:id="6"/>
    </w:p>
    <w:p>
      <w:pPr>
        <w:pStyle w:val="38"/>
        <w:jc w:val="center"/>
        <w:rPr>
          <w:rFonts w:hint="default" w:ascii="宋体" w:hAnsi="宋体"/>
          <w:b/>
          <w:kern w:val="0"/>
          <w:sz w:val="36"/>
          <w:szCs w:val="36"/>
          <w:lang w:val="en-US" w:eastAsia="zh-CN"/>
        </w:rPr>
      </w:pPr>
      <w:r>
        <w:rPr>
          <w:rFonts w:hint="eastAsia" w:ascii="宋体" w:hAnsi="宋体"/>
          <w:b/>
          <w:kern w:val="0"/>
          <w:sz w:val="36"/>
          <w:szCs w:val="36"/>
          <w:lang w:val="en-US" w:eastAsia="zh-CN"/>
        </w:rPr>
        <w:t>2023年4月</w:t>
      </w:r>
    </w:p>
    <w:p>
      <w:pPr>
        <w:jc w:val="center"/>
        <w:rPr>
          <w:sz w:val="36"/>
          <w:szCs w:val="36"/>
        </w:rPr>
      </w:pPr>
      <w:bookmarkStart w:id="7" w:name="_Toc74256182"/>
      <w:r>
        <w:rPr>
          <w:rFonts w:hint="eastAsia"/>
          <w:sz w:val="36"/>
          <w:szCs w:val="36"/>
        </w:rPr>
        <w:t>目   录</w:t>
      </w:r>
      <w:bookmarkEnd w:id="0"/>
      <w:bookmarkEnd w:id="1"/>
      <w:bookmarkEnd w:id="2"/>
      <w:bookmarkEnd w:id="3"/>
      <w:bookmarkEnd w:id="7"/>
    </w:p>
    <w:p>
      <w:pPr>
        <w:pStyle w:val="26"/>
        <w:tabs>
          <w:tab w:val="right" w:leader="dot" w:pos="9736"/>
        </w:tabs>
        <w:spacing w:line="360" w:lineRule="auto"/>
        <w:rPr>
          <w:rFonts w:hint="eastAsia" w:ascii="宋体" w:hAnsi="宋体" w:cs="宋体"/>
          <w:b w:val="0"/>
          <w:bCs w:val="0"/>
          <w:iCs/>
          <w:caps w:val="0"/>
          <w:sz w:val="28"/>
          <w:szCs w:val="28"/>
        </w:rPr>
      </w:pPr>
      <w:bookmarkStart w:id="8" w:name="_Toc246996899"/>
      <w:bookmarkStart w:id="9" w:name="_Toc247085670"/>
      <w:bookmarkStart w:id="10" w:name="_Toc246996156"/>
      <w:r>
        <w:rPr>
          <w:rFonts w:hint="eastAsia" w:ascii="宋体" w:hAnsi="宋体" w:cs="宋体"/>
          <w:b w:val="0"/>
          <w:bCs w:val="0"/>
          <w:iCs/>
          <w:caps w:val="0"/>
          <w:sz w:val="28"/>
          <w:szCs w:val="28"/>
        </w:rPr>
        <w:fldChar w:fldCharType="begin"/>
      </w:r>
      <w:r>
        <w:rPr>
          <w:rFonts w:hint="eastAsia" w:ascii="宋体" w:hAnsi="宋体" w:cs="宋体"/>
          <w:b w:val="0"/>
          <w:bCs w:val="0"/>
          <w:iCs/>
          <w:caps w:val="0"/>
          <w:sz w:val="28"/>
          <w:szCs w:val="28"/>
        </w:rPr>
        <w:instrText xml:space="preserve"> TOC \o \h \z \u </w:instrText>
      </w:r>
      <w:r>
        <w:rPr>
          <w:rFonts w:hint="eastAsia" w:ascii="宋体" w:hAnsi="宋体" w:cs="宋体"/>
          <w:b w:val="0"/>
          <w:bCs w:val="0"/>
          <w:iCs/>
          <w:caps w:val="0"/>
          <w:sz w:val="28"/>
          <w:szCs w:val="28"/>
        </w:rPr>
        <w:fldChar w:fldCharType="separate"/>
      </w:r>
    </w:p>
    <w:sdt>
      <w:sdtPr>
        <w:rPr>
          <w:rFonts w:ascii="宋体" w:hAnsi="宋体" w:eastAsia="宋体" w:cs="Times New Roman"/>
          <w:kern w:val="2"/>
          <w:sz w:val="21"/>
          <w:szCs w:val="24"/>
          <w:lang w:val="en-US" w:eastAsia="zh-CN" w:bidi="ar-SA"/>
        </w:rPr>
        <w:id w:val="147464301"/>
        <w15:color w:val="DBDBDB"/>
        <w:docPartObj>
          <w:docPartGallery w:val="Table of Contents"/>
          <w:docPartUnique/>
        </w:docPartObj>
      </w:sdtPr>
      <w:sdtEndPr>
        <w:rPr>
          <w:rFonts w:ascii="Times New Roman" w:hAnsi="Times New Roman"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r>
            <w:fldChar w:fldCharType="begin"/>
          </w:r>
          <w:r>
            <w:instrText xml:space="preserve">TOC \o "1-1" \h \u </w:instrText>
          </w:r>
          <w:r>
            <w:fldChar w:fldCharType="separate"/>
          </w:r>
        </w:p>
        <w:p>
          <w:pPr>
            <w:pStyle w:val="138"/>
            <w:tabs>
              <w:tab w:val="right" w:leader="dot" w:pos="9746"/>
            </w:tabs>
          </w:pPr>
          <w:r>
            <w:fldChar w:fldCharType="begin"/>
          </w:r>
          <w:r>
            <w:instrText xml:space="preserve"> HYPERLINK \l _Toc29604 </w:instrText>
          </w:r>
          <w:r>
            <w:fldChar w:fldCharType="separate"/>
          </w:r>
          <w:r>
            <w:rPr>
              <w:rFonts w:hint="eastAsia"/>
            </w:rPr>
            <w:t>第一章 竞争性磋商公告</w:t>
          </w:r>
          <w:r>
            <w:tab/>
          </w:r>
          <w:r>
            <w:fldChar w:fldCharType="begin"/>
          </w:r>
          <w:r>
            <w:instrText xml:space="preserve"> PAGEREF _Toc29604 \h </w:instrText>
          </w:r>
          <w:r>
            <w:fldChar w:fldCharType="separate"/>
          </w:r>
          <w:r>
            <w:t>1</w:t>
          </w:r>
          <w:r>
            <w:fldChar w:fldCharType="end"/>
          </w:r>
          <w:r>
            <w:fldChar w:fldCharType="end"/>
          </w:r>
        </w:p>
        <w:p>
          <w:pPr>
            <w:pStyle w:val="138"/>
            <w:tabs>
              <w:tab w:val="right" w:leader="dot" w:pos="9746"/>
            </w:tabs>
          </w:pPr>
          <w:r>
            <w:fldChar w:fldCharType="begin"/>
          </w:r>
          <w:r>
            <w:instrText xml:space="preserve"> HYPERLINK \l _Toc16616 </w:instrText>
          </w:r>
          <w:r>
            <w:fldChar w:fldCharType="separate"/>
          </w:r>
          <w:r>
            <w:rPr>
              <w:rFonts w:hint="eastAsia"/>
            </w:rPr>
            <w:t>第二章 供应商须知</w:t>
          </w:r>
          <w:r>
            <w:tab/>
          </w:r>
          <w:r>
            <w:fldChar w:fldCharType="begin"/>
          </w:r>
          <w:r>
            <w:instrText xml:space="preserve"> PAGEREF _Toc16616 \h </w:instrText>
          </w:r>
          <w:r>
            <w:fldChar w:fldCharType="separate"/>
          </w:r>
          <w:r>
            <w:t>6</w:t>
          </w:r>
          <w:r>
            <w:fldChar w:fldCharType="end"/>
          </w:r>
          <w:r>
            <w:fldChar w:fldCharType="end"/>
          </w:r>
        </w:p>
        <w:p>
          <w:pPr>
            <w:pStyle w:val="138"/>
            <w:tabs>
              <w:tab w:val="right" w:leader="dot" w:pos="9746"/>
            </w:tabs>
          </w:pPr>
          <w:r>
            <w:fldChar w:fldCharType="begin"/>
          </w:r>
          <w:r>
            <w:instrText xml:space="preserve"> HYPERLINK \l _Toc12597 </w:instrText>
          </w:r>
          <w:r>
            <w:fldChar w:fldCharType="separate"/>
          </w:r>
          <w:r>
            <w:rPr>
              <w:rFonts w:hint="eastAsia" w:ascii="宋体" w:hAnsi="宋体" w:cs="宋体"/>
            </w:rPr>
            <w:t>第三章 评审办法</w:t>
          </w:r>
          <w:r>
            <w:tab/>
          </w:r>
          <w:r>
            <w:fldChar w:fldCharType="begin"/>
          </w:r>
          <w:r>
            <w:instrText xml:space="preserve"> PAGEREF _Toc12597 \h </w:instrText>
          </w:r>
          <w:r>
            <w:fldChar w:fldCharType="separate"/>
          </w:r>
          <w:r>
            <w:t>20</w:t>
          </w:r>
          <w:r>
            <w:fldChar w:fldCharType="end"/>
          </w:r>
          <w:r>
            <w:fldChar w:fldCharType="end"/>
          </w:r>
        </w:p>
        <w:p>
          <w:pPr>
            <w:pStyle w:val="138"/>
            <w:tabs>
              <w:tab w:val="right" w:leader="dot" w:pos="9746"/>
            </w:tabs>
          </w:pPr>
          <w:r>
            <w:fldChar w:fldCharType="begin"/>
          </w:r>
          <w:r>
            <w:instrText xml:space="preserve"> HYPERLINK \l _Toc8367 </w:instrText>
          </w:r>
          <w:r>
            <w:fldChar w:fldCharType="separate"/>
          </w:r>
          <w:r>
            <w:rPr>
              <w:rFonts w:hint="eastAsia"/>
            </w:rPr>
            <w:t>第四章 合同条款及格式</w:t>
          </w:r>
          <w:r>
            <w:tab/>
          </w:r>
          <w:r>
            <w:fldChar w:fldCharType="begin"/>
          </w:r>
          <w:r>
            <w:instrText xml:space="preserve"> PAGEREF _Toc8367 \h </w:instrText>
          </w:r>
          <w:r>
            <w:fldChar w:fldCharType="separate"/>
          </w:r>
          <w:r>
            <w:t>29</w:t>
          </w:r>
          <w:r>
            <w:fldChar w:fldCharType="end"/>
          </w:r>
          <w:r>
            <w:fldChar w:fldCharType="end"/>
          </w:r>
        </w:p>
        <w:p>
          <w:pPr>
            <w:pStyle w:val="138"/>
            <w:tabs>
              <w:tab w:val="right" w:leader="dot" w:pos="9746"/>
            </w:tabs>
          </w:pPr>
          <w:r>
            <w:fldChar w:fldCharType="begin"/>
          </w:r>
          <w:r>
            <w:instrText xml:space="preserve"> HYPERLINK \l _Toc14868 </w:instrText>
          </w:r>
          <w:r>
            <w:fldChar w:fldCharType="separate"/>
          </w:r>
          <w:r>
            <w:rPr>
              <w:rFonts w:hint="eastAsia"/>
            </w:rPr>
            <w:t>第</w:t>
          </w:r>
          <w:r>
            <w:rPr>
              <w:rFonts w:hint="eastAsia"/>
              <w:lang w:val="en-US" w:eastAsia="zh-CN"/>
            </w:rPr>
            <w:t>五</w:t>
          </w:r>
          <w:r>
            <w:rPr>
              <w:rFonts w:hint="eastAsia"/>
            </w:rPr>
            <w:t xml:space="preserve">章  </w:t>
          </w:r>
          <w:r>
            <w:rPr>
              <w:rFonts w:hint="eastAsia"/>
              <w:lang w:val="en-US" w:eastAsia="zh-CN"/>
            </w:rPr>
            <w:t>工程量清单</w:t>
          </w:r>
          <w:r>
            <w:tab/>
          </w:r>
          <w:r>
            <w:fldChar w:fldCharType="begin"/>
          </w:r>
          <w:r>
            <w:instrText xml:space="preserve"> PAGEREF _Toc14868 \h </w:instrText>
          </w:r>
          <w:r>
            <w:fldChar w:fldCharType="separate"/>
          </w:r>
          <w:r>
            <w:t>116</w:t>
          </w:r>
          <w:r>
            <w:fldChar w:fldCharType="end"/>
          </w:r>
          <w:r>
            <w:fldChar w:fldCharType="end"/>
          </w:r>
        </w:p>
        <w:p>
          <w:pPr>
            <w:pStyle w:val="138"/>
            <w:tabs>
              <w:tab w:val="right" w:leader="dot" w:pos="9746"/>
            </w:tabs>
          </w:pPr>
          <w:r>
            <w:fldChar w:fldCharType="begin"/>
          </w:r>
          <w:r>
            <w:instrText xml:space="preserve"> HYPERLINK \l _Toc32642 </w:instrText>
          </w:r>
          <w:r>
            <w:fldChar w:fldCharType="separate"/>
          </w:r>
          <w:r>
            <w:rPr>
              <w:rFonts w:hint="eastAsia"/>
            </w:rPr>
            <w:t>第六章  技术标准和要求</w:t>
          </w:r>
          <w:r>
            <w:tab/>
          </w:r>
          <w:r>
            <w:fldChar w:fldCharType="begin"/>
          </w:r>
          <w:r>
            <w:instrText xml:space="preserve"> PAGEREF _Toc32642 \h </w:instrText>
          </w:r>
          <w:r>
            <w:fldChar w:fldCharType="separate"/>
          </w:r>
          <w:r>
            <w:t>152</w:t>
          </w:r>
          <w:r>
            <w:fldChar w:fldCharType="end"/>
          </w:r>
          <w:r>
            <w:fldChar w:fldCharType="end"/>
          </w:r>
        </w:p>
        <w:p>
          <w:pPr>
            <w:pStyle w:val="138"/>
            <w:tabs>
              <w:tab w:val="right" w:leader="dot" w:pos="9746"/>
            </w:tabs>
          </w:pPr>
          <w:r>
            <w:fldChar w:fldCharType="begin"/>
          </w:r>
          <w:r>
            <w:instrText xml:space="preserve"> HYPERLINK \l _Toc7133 </w:instrText>
          </w:r>
          <w:r>
            <w:fldChar w:fldCharType="separate"/>
          </w:r>
          <w:r>
            <w:rPr>
              <w:rFonts w:hint="eastAsia"/>
            </w:rPr>
            <w:t>第七章  响应文件格式</w:t>
          </w:r>
          <w:r>
            <w:tab/>
          </w:r>
          <w:r>
            <w:fldChar w:fldCharType="begin"/>
          </w:r>
          <w:r>
            <w:instrText xml:space="preserve"> PAGEREF _Toc7133 \h </w:instrText>
          </w:r>
          <w:r>
            <w:fldChar w:fldCharType="separate"/>
          </w:r>
          <w:r>
            <w:t>153</w:t>
          </w:r>
          <w:r>
            <w:fldChar w:fldCharType="end"/>
          </w:r>
          <w:r>
            <w:fldChar w:fldCharType="end"/>
          </w:r>
        </w:p>
        <w:p>
          <w:r>
            <w:fldChar w:fldCharType="end"/>
          </w:r>
        </w:p>
      </w:sdtContent>
    </w:sdt>
    <w:p>
      <w:pPr>
        <w:spacing w:line="360" w:lineRule="auto"/>
        <w:rPr>
          <w:rFonts w:hint="eastAsia"/>
          <w:sz w:val="28"/>
          <w:szCs w:val="28"/>
        </w:rPr>
      </w:pPr>
      <w:r>
        <w:rPr>
          <w:rFonts w:hint="eastAsia"/>
          <w:sz w:val="28"/>
          <w:szCs w:val="28"/>
        </w:rPr>
        <w:fldChar w:fldCharType="end"/>
      </w:r>
      <w:bookmarkEnd w:id="8"/>
      <w:bookmarkEnd w:id="9"/>
      <w:bookmarkEnd w:id="10"/>
      <w:bookmarkStart w:id="11" w:name="_Toc152045511"/>
      <w:bookmarkStart w:id="12" w:name="_Toc144974479"/>
      <w:bookmarkStart w:id="13" w:name="_Toc179632527"/>
      <w:bookmarkStart w:id="14" w:name="_Toc152042287"/>
    </w:p>
    <w:p>
      <w:pPr>
        <w:bidi w:val="0"/>
        <w:rPr>
          <w:rFonts w:ascii="Times New Roman" w:hAnsi="Times New Roman" w:eastAsia="宋体" w:cs="Times New Roman"/>
          <w:kern w:val="2"/>
          <w:sz w:val="21"/>
          <w:szCs w:val="24"/>
          <w:lang w:val="en-US" w:eastAsia="zh-CN" w:bidi="ar-SA"/>
        </w:rPr>
      </w:pPr>
    </w:p>
    <w:p>
      <w:pPr>
        <w:bidi w:val="0"/>
        <w:rPr>
          <w:lang w:val="en-US" w:eastAsia="zh-CN"/>
        </w:rPr>
      </w:pPr>
    </w:p>
    <w:p>
      <w:pPr>
        <w:bidi w:val="0"/>
        <w:rPr>
          <w:lang w:val="en-US" w:eastAsia="zh-CN"/>
        </w:rPr>
      </w:pPr>
    </w:p>
    <w:p>
      <w:pPr>
        <w:tabs>
          <w:tab w:val="left" w:pos="6090"/>
        </w:tabs>
        <w:bidi w:val="0"/>
        <w:jc w:val="left"/>
        <w:rPr>
          <w:lang w:val="en-US" w:eastAsia="zh-CN"/>
        </w:rPr>
        <w:sectPr>
          <w:headerReference r:id="rId3" w:type="default"/>
          <w:pgSz w:w="11906" w:h="16838"/>
          <w:pgMar w:top="1440" w:right="1080" w:bottom="1440" w:left="1080" w:header="737" w:footer="737" w:gutter="0"/>
          <w:pgNumType w:fmt="upperRoman" w:start="1"/>
          <w:cols w:space="720" w:num="1"/>
          <w:docGrid w:type="lines" w:linePitch="312" w:charSpace="0"/>
        </w:sectPr>
      </w:pPr>
      <w:r>
        <w:rPr>
          <w:rFonts w:hint="eastAsia"/>
          <w:lang w:val="en-US" w:eastAsia="zh-CN"/>
        </w:rPr>
        <w:tab/>
      </w:r>
    </w:p>
    <w:p>
      <w:pPr>
        <w:pStyle w:val="4"/>
        <w:bidi w:val="0"/>
      </w:pPr>
      <w:bookmarkStart w:id="15" w:name="_Toc247085671"/>
      <w:bookmarkStart w:id="16" w:name="_Toc246996900"/>
      <w:bookmarkStart w:id="17" w:name="_Toc247096243"/>
      <w:bookmarkStart w:id="18" w:name="_Toc246996157"/>
      <w:bookmarkStart w:id="19" w:name="_Toc29604"/>
      <w:bookmarkStart w:id="20" w:name="_Toc87865794"/>
      <w:r>
        <w:rPr>
          <w:rFonts w:hint="eastAsia"/>
        </w:rPr>
        <w:t>第一章 竞争性磋商</w:t>
      </w:r>
      <w:bookmarkEnd w:id="11"/>
      <w:bookmarkEnd w:id="12"/>
      <w:bookmarkEnd w:id="13"/>
      <w:bookmarkEnd w:id="14"/>
      <w:bookmarkEnd w:id="15"/>
      <w:bookmarkEnd w:id="16"/>
      <w:bookmarkEnd w:id="17"/>
      <w:bookmarkEnd w:id="18"/>
      <w:r>
        <w:rPr>
          <w:rFonts w:hint="eastAsia"/>
        </w:rPr>
        <w:t>公告</w:t>
      </w:r>
      <w:bookmarkEnd w:id="19"/>
      <w:bookmarkEnd w:id="20"/>
    </w:p>
    <w:p>
      <w:pPr>
        <w:pStyle w:val="34"/>
        <w:keepNext w:val="0"/>
        <w:keepLines w:val="0"/>
        <w:widowControl/>
        <w:suppressLineNumbers w:val="0"/>
        <w:bidi w:val="0"/>
        <w:spacing w:before="75" w:beforeAutospacing="0" w:after="75" w:afterAutospacing="0"/>
        <w:ind w:left="0" w:right="0"/>
        <w:jc w:val="left"/>
        <w:rPr>
          <w:rFonts w:hint="eastAsia" w:ascii="仿宋" w:hAnsi="仿宋" w:eastAsia="仿宋" w:cs="仿宋"/>
          <w:sz w:val="30"/>
          <w:szCs w:val="30"/>
        </w:rPr>
      </w:pPr>
      <w:bookmarkStart w:id="21" w:name="_Toc179632544"/>
      <w:bookmarkStart w:id="22" w:name="_Toc152045527"/>
      <w:bookmarkStart w:id="23" w:name="_Toc246996173"/>
      <w:bookmarkStart w:id="24" w:name="_Toc247085687"/>
      <w:bookmarkStart w:id="25" w:name="_Toc144974495"/>
      <w:bookmarkStart w:id="26" w:name="_Toc246996916"/>
      <w:bookmarkStart w:id="27" w:name="_Toc152042303"/>
      <w:r>
        <w:rPr>
          <w:rStyle w:val="42"/>
          <w:rFonts w:hint="eastAsia" w:ascii="仿宋" w:hAnsi="仿宋" w:eastAsia="仿宋" w:cs="仿宋"/>
          <w:sz w:val="30"/>
          <w:szCs w:val="30"/>
        </w:rPr>
        <w:t>项目概况：</w:t>
      </w:r>
    </w:p>
    <w:p>
      <w:pPr>
        <w:pStyle w:val="34"/>
        <w:keepNext w:val="0"/>
        <w:keepLines w:val="0"/>
        <w:widowControl/>
        <w:suppressLineNumbers w:val="0"/>
        <w:spacing w:before="75" w:beforeAutospacing="0" w:after="75" w:afterAutospacing="0"/>
        <w:ind w:left="0" w:right="0" w:firstLine="560"/>
        <w:rPr>
          <w:rFonts w:hint="eastAsia" w:ascii="仿宋" w:hAnsi="仿宋" w:eastAsia="仿宋" w:cs="仿宋"/>
          <w:sz w:val="30"/>
          <w:szCs w:val="30"/>
        </w:rPr>
      </w:pPr>
      <w:r>
        <w:rPr>
          <w:rFonts w:hint="eastAsia" w:ascii="仿宋" w:hAnsi="仿宋" w:eastAsia="仿宋" w:cs="仿宋"/>
          <w:sz w:val="30"/>
          <w:szCs w:val="30"/>
          <w:u w:val="single"/>
          <w:lang w:eastAsia="zh-CN"/>
        </w:rPr>
        <w:t>烹饪、面点实训基地改造项目</w:t>
      </w:r>
      <w:r>
        <w:rPr>
          <w:rFonts w:hint="eastAsia" w:ascii="仿宋" w:hAnsi="仿宋" w:eastAsia="仿宋" w:cs="仿宋"/>
          <w:sz w:val="30"/>
          <w:szCs w:val="30"/>
        </w:rPr>
        <w:t>采购项目的潜在投标人应在海南政府采购网(www.ccgp-hainan.gov.cn)-海南省政府采购电子化交易管理系统(新)获取采购文件，并于</w:t>
      </w:r>
      <w:r>
        <w:rPr>
          <w:rFonts w:hint="eastAsia" w:ascii="仿宋" w:hAnsi="仿宋" w:eastAsia="仿宋" w:cs="仿宋"/>
          <w:sz w:val="30"/>
          <w:szCs w:val="30"/>
          <w:u w:val="single"/>
          <w:lang w:eastAsia="zh-CN"/>
        </w:rPr>
        <w:t>2023-04-21 15:00:00</w:t>
      </w:r>
      <w:r>
        <w:rPr>
          <w:rFonts w:hint="eastAsia" w:ascii="仿宋" w:hAnsi="仿宋" w:eastAsia="仿宋" w:cs="仿宋"/>
          <w:sz w:val="30"/>
          <w:szCs w:val="30"/>
        </w:rPr>
        <w:t>（北京时间）前递交投标文件。</w:t>
      </w:r>
    </w:p>
    <w:p>
      <w:pPr>
        <w:pStyle w:val="34"/>
        <w:keepNext w:val="0"/>
        <w:keepLines w:val="0"/>
        <w:widowControl/>
        <w:suppressLineNumbers w:val="0"/>
        <w:bidi w:val="0"/>
        <w:spacing w:before="75" w:beforeAutospacing="0" w:after="75" w:afterAutospacing="0"/>
        <w:ind w:left="0" w:right="0"/>
        <w:rPr>
          <w:rFonts w:hint="eastAsia" w:ascii="仿宋" w:hAnsi="仿宋" w:eastAsia="仿宋" w:cs="仿宋"/>
          <w:sz w:val="30"/>
          <w:szCs w:val="30"/>
        </w:rPr>
      </w:pPr>
      <w:r>
        <w:rPr>
          <w:rStyle w:val="42"/>
          <w:rFonts w:hint="eastAsia" w:ascii="仿宋" w:hAnsi="仿宋" w:eastAsia="仿宋" w:cs="仿宋"/>
          <w:sz w:val="30"/>
          <w:szCs w:val="30"/>
        </w:rPr>
        <w:t>一、项目基本情况</w:t>
      </w:r>
      <w:bookmarkStart w:id="823" w:name="_GoBack"/>
      <w:bookmarkEnd w:id="823"/>
    </w:p>
    <w:p>
      <w:pPr>
        <w:pStyle w:val="34"/>
        <w:keepNext w:val="0"/>
        <w:keepLines w:val="0"/>
        <w:widowControl/>
        <w:suppressLineNumbers w:val="0"/>
        <w:spacing w:before="75" w:beforeAutospacing="0" w:after="75" w:afterAutospacing="0"/>
        <w:ind w:right="720" w:firstLine="600" w:firstLineChars="200"/>
        <w:rPr>
          <w:rFonts w:hint="eastAsia" w:ascii="仿宋" w:hAnsi="仿宋" w:eastAsia="仿宋" w:cs="仿宋"/>
          <w:sz w:val="30"/>
          <w:szCs w:val="30"/>
          <w:lang w:eastAsia="zh-CN"/>
        </w:rPr>
      </w:pPr>
      <w:r>
        <w:rPr>
          <w:rFonts w:hint="eastAsia" w:ascii="仿宋" w:hAnsi="仿宋" w:eastAsia="仿宋" w:cs="仿宋"/>
          <w:sz w:val="30"/>
          <w:szCs w:val="30"/>
        </w:rPr>
        <w:t>项目编号：</w:t>
      </w:r>
      <w:r>
        <w:rPr>
          <w:rFonts w:hint="eastAsia" w:ascii="仿宋" w:hAnsi="仿宋" w:eastAsia="仿宋" w:cs="仿宋"/>
          <w:sz w:val="30"/>
          <w:szCs w:val="30"/>
          <w:lang w:eastAsia="zh-CN"/>
        </w:rPr>
        <w:t>HNZT-(2023)–GC-018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720" w:firstLine="600" w:firstLineChars="200"/>
        <w:jc w:val="left"/>
        <w:rPr>
          <w:rFonts w:hint="eastAsia" w:ascii="仿宋" w:hAnsi="仿宋" w:eastAsia="仿宋" w:cs="仿宋"/>
          <w:sz w:val="30"/>
          <w:szCs w:val="30"/>
        </w:rPr>
      </w:pPr>
      <w:r>
        <w:rPr>
          <w:rFonts w:hint="eastAsia" w:ascii="仿宋" w:hAnsi="仿宋" w:eastAsia="仿宋" w:cs="仿宋"/>
          <w:kern w:val="0"/>
          <w:sz w:val="30"/>
          <w:szCs w:val="30"/>
          <w:lang w:val="en-US" w:eastAsia="zh-CN" w:bidi="ar"/>
        </w:rPr>
        <w:t>项目名称：烹饪、面点实训基地改造项目</w:t>
      </w:r>
    </w:p>
    <w:p>
      <w:pPr>
        <w:pStyle w:val="34"/>
        <w:keepNext w:val="0"/>
        <w:keepLines w:val="0"/>
        <w:widowControl/>
        <w:suppressLineNumbers w:val="0"/>
        <w:spacing w:before="75" w:beforeAutospacing="0" w:after="75" w:afterAutospacing="0"/>
        <w:ind w:right="720"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rPr>
        <w:t>预算金额：</w:t>
      </w:r>
      <w:r>
        <w:rPr>
          <w:rFonts w:hint="eastAsia" w:ascii="仿宋" w:hAnsi="仿宋" w:eastAsia="仿宋" w:cs="仿宋"/>
          <w:kern w:val="0"/>
          <w:sz w:val="30"/>
          <w:szCs w:val="30"/>
          <w:lang w:val="en-US" w:eastAsia="zh-CN" w:bidi="ar"/>
        </w:rPr>
        <w:t>2547040.49</w:t>
      </w:r>
      <w:r>
        <w:rPr>
          <w:rFonts w:hint="eastAsia" w:ascii="仿宋" w:hAnsi="仿宋" w:eastAsia="仿宋" w:cs="仿宋"/>
          <w:sz w:val="30"/>
          <w:szCs w:val="30"/>
          <w:lang w:val="en-US" w:eastAsia="zh-CN"/>
        </w:rPr>
        <w:t>元</w:t>
      </w:r>
    </w:p>
    <w:tbl>
      <w:tblPr>
        <w:tblStyle w:val="39"/>
        <w:tblW w:w="4914" w:type="pct"/>
        <w:tblInd w:w="123"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autofit"/>
        <w:tblCellMar>
          <w:top w:w="30" w:type="dxa"/>
          <w:left w:w="30" w:type="dxa"/>
          <w:bottom w:w="30" w:type="dxa"/>
          <w:right w:w="30" w:type="dxa"/>
        </w:tblCellMar>
      </w:tblPr>
      <w:tblGrid>
        <w:gridCol w:w="872"/>
        <w:gridCol w:w="1985"/>
        <w:gridCol w:w="3390"/>
        <w:gridCol w:w="3390"/>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tblHeader/>
        </w:trPr>
        <w:tc>
          <w:tcPr>
            <w:tcW w:w="452" w:type="pct"/>
            <w:shd w:val="clear" w:color="auto" w:fill="auto"/>
            <w:vAlign w:val="center"/>
          </w:tcPr>
          <w:p>
            <w:pPr>
              <w:keepNext w:val="0"/>
              <w:keepLines w:val="0"/>
              <w:widowControl/>
              <w:suppressLineNumbers w:val="0"/>
              <w:spacing w:line="23" w:lineRule="atLeast"/>
              <w:jc w:val="center"/>
              <w:rPr>
                <w:rFonts w:hint="eastAsia" w:ascii="仿宋" w:hAnsi="仿宋" w:eastAsia="仿宋" w:cs="仿宋"/>
                <w:b/>
                <w:bCs/>
                <w:sz w:val="30"/>
                <w:szCs w:val="30"/>
              </w:rPr>
            </w:pPr>
            <w:r>
              <w:rPr>
                <w:rFonts w:hint="eastAsia" w:ascii="仿宋" w:hAnsi="仿宋" w:eastAsia="仿宋" w:cs="仿宋"/>
                <w:b/>
                <w:bCs/>
                <w:kern w:val="0"/>
                <w:sz w:val="30"/>
                <w:szCs w:val="30"/>
                <w:lang w:val="en-US" w:eastAsia="zh-CN" w:bidi="ar"/>
              </w:rPr>
              <w:t>序号</w:t>
            </w:r>
          </w:p>
        </w:tc>
        <w:tc>
          <w:tcPr>
            <w:tcW w:w="1029" w:type="pct"/>
            <w:shd w:val="clear" w:color="auto" w:fill="auto"/>
            <w:vAlign w:val="center"/>
          </w:tcPr>
          <w:p>
            <w:pPr>
              <w:keepNext w:val="0"/>
              <w:keepLines w:val="0"/>
              <w:widowControl/>
              <w:suppressLineNumbers w:val="0"/>
              <w:spacing w:line="23" w:lineRule="atLeast"/>
              <w:jc w:val="center"/>
              <w:rPr>
                <w:rFonts w:hint="eastAsia" w:ascii="仿宋" w:hAnsi="仿宋" w:eastAsia="仿宋" w:cs="仿宋"/>
                <w:b/>
                <w:bCs/>
                <w:sz w:val="30"/>
                <w:szCs w:val="30"/>
              </w:rPr>
            </w:pPr>
            <w:r>
              <w:rPr>
                <w:rFonts w:hint="eastAsia" w:ascii="仿宋" w:hAnsi="仿宋" w:eastAsia="仿宋" w:cs="仿宋"/>
                <w:b/>
                <w:bCs/>
                <w:kern w:val="0"/>
                <w:sz w:val="30"/>
                <w:szCs w:val="30"/>
                <w:lang w:val="en-US" w:eastAsia="zh-CN" w:bidi="ar"/>
              </w:rPr>
              <w:t>标包名称</w:t>
            </w:r>
          </w:p>
        </w:tc>
        <w:tc>
          <w:tcPr>
            <w:tcW w:w="1758" w:type="pct"/>
            <w:shd w:val="clear" w:color="auto" w:fill="auto"/>
            <w:vAlign w:val="center"/>
          </w:tcPr>
          <w:p>
            <w:pPr>
              <w:keepNext w:val="0"/>
              <w:keepLines w:val="0"/>
              <w:widowControl/>
              <w:suppressLineNumbers w:val="0"/>
              <w:spacing w:line="23" w:lineRule="atLeast"/>
              <w:jc w:val="center"/>
              <w:rPr>
                <w:rFonts w:hint="eastAsia" w:ascii="仿宋" w:hAnsi="仿宋" w:eastAsia="仿宋" w:cs="仿宋"/>
                <w:b/>
                <w:bCs/>
                <w:sz w:val="30"/>
                <w:szCs w:val="30"/>
              </w:rPr>
            </w:pPr>
            <w:r>
              <w:rPr>
                <w:rFonts w:hint="eastAsia" w:ascii="仿宋" w:hAnsi="仿宋" w:eastAsia="仿宋" w:cs="仿宋"/>
                <w:b/>
                <w:bCs/>
                <w:kern w:val="0"/>
                <w:sz w:val="30"/>
                <w:szCs w:val="30"/>
                <w:lang w:val="en-US" w:eastAsia="zh-CN" w:bidi="ar"/>
              </w:rPr>
              <w:t>预算金额(元)</w:t>
            </w:r>
          </w:p>
        </w:tc>
        <w:tc>
          <w:tcPr>
            <w:tcW w:w="1758" w:type="pct"/>
            <w:shd w:val="clear" w:color="auto" w:fill="auto"/>
            <w:vAlign w:val="center"/>
          </w:tcPr>
          <w:p>
            <w:pPr>
              <w:keepNext w:val="0"/>
              <w:keepLines w:val="0"/>
              <w:widowControl/>
              <w:suppressLineNumbers w:val="0"/>
              <w:spacing w:line="23" w:lineRule="atLeast"/>
              <w:jc w:val="center"/>
              <w:rPr>
                <w:rFonts w:hint="eastAsia" w:ascii="仿宋" w:hAnsi="仿宋" w:eastAsia="仿宋" w:cs="仿宋"/>
                <w:b/>
                <w:bCs/>
                <w:sz w:val="30"/>
                <w:szCs w:val="30"/>
              </w:rPr>
            </w:pPr>
            <w:r>
              <w:rPr>
                <w:rFonts w:hint="eastAsia" w:ascii="仿宋" w:hAnsi="仿宋" w:eastAsia="仿宋" w:cs="仿宋"/>
                <w:b/>
                <w:bCs/>
                <w:kern w:val="0"/>
                <w:sz w:val="30"/>
                <w:szCs w:val="30"/>
                <w:lang w:val="en-US" w:eastAsia="zh-CN" w:bidi="ar"/>
              </w:rPr>
              <w:t>最高限价(元)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452" w:type="pct"/>
            <w:shd w:val="clear" w:color="auto" w:fill="auto"/>
            <w:vAlign w:val="center"/>
          </w:tcPr>
          <w:p>
            <w:pPr>
              <w:keepNext w:val="0"/>
              <w:keepLines w:val="0"/>
              <w:widowControl/>
              <w:suppressLineNumbers w:val="0"/>
              <w:spacing w:line="23" w:lineRule="atLeast"/>
              <w:ind w:firstLine="300" w:firstLineChars="100"/>
              <w:jc w:val="left"/>
              <w:rPr>
                <w:rFonts w:hint="eastAsia" w:ascii="仿宋" w:hAnsi="仿宋" w:eastAsia="仿宋" w:cs="仿宋"/>
                <w:sz w:val="30"/>
                <w:szCs w:val="30"/>
              </w:rPr>
            </w:pPr>
            <w:r>
              <w:rPr>
                <w:rFonts w:hint="eastAsia" w:ascii="仿宋" w:hAnsi="仿宋" w:eastAsia="仿宋" w:cs="仿宋"/>
                <w:kern w:val="0"/>
                <w:sz w:val="30"/>
                <w:szCs w:val="30"/>
                <w:lang w:val="en-US" w:eastAsia="zh-CN" w:bidi="ar"/>
              </w:rPr>
              <w:t>1</w:t>
            </w:r>
          </w:p>
        </w:tc>
        <w:tc>
          <w:tcPr>
            <w:tcW w:w="1029" w:type="pct"/>
            <w:shd w:val="clear" w:color="auto" w:fill="auto"/>
            <w:vAlign w:val="center"/>
          </w:tcPr>
          <w:p>
            <w:pPr>
              <w:keepNext w:val="0"/>
              <w:keepLines w:val="0"/>
              <w:widowControl/>
              <w:suppressLineNumbers w:val="0"/>
              <w:spacing w:line="23" w:lineRule="atLeast"/>
              <w:jc w:val="center"/>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项目本身</w:t>
            </w:r>
          </w:p>
        </w:tc>
        <w:tc>
          <w:tcPr>
            <w:tcW w:w="1758" w:type="pct"/>
            <w:shd w:val="clear" w:color="auto" w:fill="auto"/>
            <w:vAlign w:val="center"/>
          </w:tcPr>
          <w:p>
            <w:pPr>
              <w:keepNext w:val="0"/>
              <w:keepLines w:val="0"/>
              <w:widowControl/>
              <w:suppressLineNumbers w:val="0"/>
              <w:spacing w:line="23" w:lineRule="atLeast"/>
              <w:jc w:val="center"/>
              <w:rPr>
                <w:rFonts w:hint="eastAsia" w:ascii="仿宋" w:hAnsi="仿宋" w:eastAsia="仿宋" w:cs="仿宋"/>
                <w:sz w:val="30"/>
                <w:szCs w:val="30"/>
              </w:rPr>
            </w:pPr>
            <w:r>
              <w:rPr>
                <w:rFonts w:hint="eastAsia" w:ascii="仿宋" w:hAnsi="仿宋" w:eastAsia="仿宋" w:cs="仿宋"/>
                <w:kern w:val="0"/>
                <w:sz w:val="30"/>
                <w:szCs w:val="30"/>
                <w:lang w:val="en-US" w:eastAsia="zh-CN" w:bidi="ar"/>
              </w:rPr>
              <w:t>￥2547040.49</w:t>
            </w:r>
          </w:p>
        </w:tc>
        <w:tc>
          <w:tcPr>
            <w:tcW w:w="1758" w:type="pct"/>
            <w:shd w:val="clear" w:color="auto" w:fill="auto"/>
            <w:vAlign w:val="center"/>
          </w:tcPr>
          <w:p>
            <w:pPr>
              <w:keepNext w:val="0"/>
              <w:keepLines w:val="0"/>
              <w:widowControl/>
              <w:suppressLineNumbers w:val="0"/>
              <w:spacing w:line="23" w:lineRule="atLeast"/>
              <w:jc w:val="center"/>
              <w:rPr>
                <w:rFonts w:hint="eastAsia" w:ascii="仿宋" w:hAnsi="仿宋" w:eastAsia="仿宋" w:cs="仿宋"/>
                <w:sz w:val="30"/>
                <w:szCs w:val="30"/>
              </w:rPr>
            </w:pPr>
            <w:r>
              <w:rPr>
                <w:rFonts w:hint="eastAsia" w:ascii="仿宋" w:hAnsi="仿宋" w:eastAsia="仿宋" w:cs="仿宋"/>
                <w:kern w:val="0"/>
                <w:sz w:val="30"/>
                <w:szCs w:val="30"/>
                <w:lang w:val="en-US" w:eastAsia="zh-CN" w:bidi="ar"/>
              </w:rPr>
              <w:t>￥2547040.49</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720" w:firstLine="600" w:firstLineChars="200"/>
        <w:jc w:val="left"/>
        <w:rPr>
          <w:rFonts w:hint="default" w:ascii="仿宋" w:hAnsi="仿宋" w:eastAsia="仿宋" w:cs="仿宋"/>
          <w:sz w:val="30"/>
          <w:szCs w:val="30"/>
          <w:lang w:val="en-US"/>
        </w:rPr>
      </w:pPr>
      <w:r>
        <w:rPr>
          <w:rFonts w:hint="eastAsia" w:ascii="仿宋" w:hAnsi="仿宋" w:eastAsia="仿宋" w:cs="仿宋"/>
          <w:kern w:val="0"/>
          <w:sz w:val="30"/>
          <w:szCs w:val="30"/>
          <w:lang w:val="en-US" w:eastAsia="zh-CN" w:bidi="ar"/>
        </w:rPr>
        <w:t>采购需求：施工总承包（具体以工程量清单为准）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720" w:firstLine="600" w:firstLineChars="200"/>
        <w:jc w:val="left"/>
        <w:rPr>
          <w:rFonts w:hint="eastAsia" w:ascii="仿宋" w:hAnsi="仿宋" w:eastAsia="仿宋" w:cs="仿宋"/>
          <w:sz w:val="30"/>
          <w:szCs w:val="30"/>
        </w:rPr>
      </w:pPr>
      <w:r>
        <w:rPr>
          <w:rFonts w:hint="eastAsia" w:ascii="仿宋" w:hAnsi="仿宋" w:eastAsia="仿宋" w:cs="仿宋"/>
          <w:kern w:val="0"/>
          <w:sz w:val="30"/>
          <w:szCs w:val="30"/>
          <w:lang w:val="en-US" w:eastAsia="zh-CN" w:bidi="ar"/>
        </w:rPr>
        <w:t>合同履行期限：120日历天</w:t>
      </w:r>
    </w:p>
    <w:p>
      <w:pPr>
        <w:pStyle w:val="34"/>
        <w:keepNext w:val="0"/>
        <w:keepLines w:val="0"/>
        <w:widowControl/>
        <w:suppressLineNumbers w:val="0"/>
        <w:spacing w:before="75" w:beforeAutospacing="0" w:after="75" w:afterAutospacing="0"/>
        <w:ind w:right="720" w:firstLine="600" w:firstLineChars="200"/>
        <w:rPr>
          <w:rFonts w:hint="eastAsia" w:ascii="仿宋" w:hAnsi="仿宋" w:eastAsia="仿宋" w:cs="仿宋"/>
          <w:sz w:val="30"/>
          <w:szCs w:val="30"/>
        </w:rPr>
      </w:pPr>
      <w:r>
        <w:rPr>
          <w:rFonts w:hint="eastAsia" w:ascii="仿宋" w:hAnsi="仿宋" w:eastAsia="仿宋" w:cs="仿宋"/>
          <w:sz w:val="30"/>
          <w:szCs w:val="30"/>
        </w:rPr>
        <w:t>本项目（是/否）接受联合体投标：否</w:t>
      </w:r>
    </w:p>
    <w:p>
      <w:pPr>
        <w:pStyle w:val="2"/>
        <w:keepNext w:val="0"/>
        <w:keepLines w:val="0"/>
        <w:widowControl/>
        <w:suppressLineNumbers w:val="0"/>
        <w:rPr>
          <w:rFonts w:hint="eastAsia" w:ascii="仿宋" w:hAnsi="仿宋" w:eastAsia="仿宋" w:cs="仿宋"/>
          <w:sz w:val="30"/>
          <w:szCs w:val="30"/>
        </w:rPr>
      </w:pPr>
      <w:r>
        <w:rPr>
          <w:rStyle w:val="42"/>
          <w:rFonts w:hint="eastAsia" w:ascii="仿宋" w:hAnsi="仿宋" w:eastAsia="仿宋" w:cs="仿宋"/>
          <w:b/>
          <w:sz w:val="30"/>
          <w:szCs w:val="30"/>
        </w:rPr>
        <w:t>二、申请人的资格要求：</w:t>
      </w:r>
    </w:p>
    <w:p>
      <w:pPr>
        <w:pStyle w:val="34"/>
        <w:keepNext w:val="0"/>
        <w:keepLines w:val="0"/>
        <w:widowControl/>
        <w:suppressLineNumbers w:val="0"/>
        <w:spacing w:before="75" w:beforeAutospacing="0" w:after="75" w:afterAutospacing="0"/>
        <w:ind w:left="0" w:right="0" w:firstLine="560"/>
        <w:rPr>
          <w:rFonts w:hint="eastAsia" w:ascii="仿宋" w:hAnsi="仿宋" w:eastAsia="仿宋" w:cs="仿宋"/>
          <w:sz w:val="30"/>
          <w:szCs w:val="30"/>
        </w:rPr>
      </w:pPr>
      <w:r>
        <w:rPr>
          <w:rFonts w:hint="eastAsia" w:ascii="仿宋" w:hAnsi="仿宋" w:eastAsia="仿宋" w:cs="仿宋"/>
          <w:sz w:val="30"/>
          <w:szCs w:val="30"/>
          <w:lang w:val="en-US" w:eastAsia="zh-CN"/>
        </w:rPr>
        <w:t>1</w:t>
      </w:r>
      <w:r>
        <w:rPr>
          <w:rFonts w:hint="eastAsia" w:ascii="仿宋" w:hAnsi="仿宋" w:eastAsia="仿宋" w:cs="仿宋"/>
          <w:sz w:val="30"/>
          <w:szCs w:val="30"/>
        </w:rPr>
        <w:t>.落实政府采购政策需满足的资格要求：落实政府采购政策需满足的资格要求：（如属于专门面向中小企业采购的项目,供应商应为中小微企业、监狱企业、残疾人福利性单位)。</w:t>
      </w:r>
    </w:p>
    <w:p>
      <w:pPr>
        <w:pStyle w:val="34"/>
        <w:keepNext w:val="0"/>
        <w:keepLines w:val="0"/>
        <w:widowControl/>
        <w:suppressLineNumbers w:val="0"/>
        <w:spacing w:before="75" w:beforeAutospacing="0" w:after="75" w:afterAutospacing="0"/>
        <w:ind w:left="0" w:right="0" w:firstLine="560"/>
        <w:rPr>
          <w:rFonts w:hint="eastAsia" w:ascii="仿宋" w:hAnsi="仿宋" w:eastAsia="仿宋" w:cs="仿宋"/>
          <w:b/>
          <w:bCs/>
          <w:sz w:val="30"/>
          <w:szCs w:val="30"/>
        </w:rPr>
      </w:pPr>
      <w:r>
        <w:rPr>
          <w:rFonts w:hint="eastAsia" w:ascii="仿宋" w:hAnsi="仿宋" w:eastAsia="仿宋" w:cs="仿宋"/>
          <w:b/>
          <w:bCs/>
          <w:sz w:val="30"/>
          <w:szCs w:val="30"/>
          <w:lang w:val="en-US" w:eastAsia="zh-CN"/>
        </w:rPr>
        <w:t>2</w:t>
      </w:r>
      <w:r>
        <w:rPr>
          <w:rFonts w:hint="eastAsia" w:ascii="仿宋" w:hAnsi="仿宋" w:eastAsia="仿宋" w:cs="仿宋"/>
          <w:b/>
          <w:bCs/>
          <w:sz w:val="30"/>
          <w:szCs w:val="30"/>
        </w:rPr>
        <w:t>.本项目的特定资格要求：</w:t>
      </w:r>
    </w:p>
    <w:p>
      <w:pPr>
        <w:pStyle w:val="34"/>
        <w:keepNext w:val="0"/>
        <w:keepLines w:val="0"/>
        <w:widowControl/>
        <w:suppressLineNumbers w:val="0"/>
        <w:spacing w:before="75" w:beforeAutospacing="0" w:after="75" w:afterAutospacing="0"/>
        <w:ind w:left="0" w:right="0" w:firstLine="560"/>
        <w:rPr>
          <w:rFonts w:hint="eastAsia" w:ascii="仿宋" w:hAnsi="仿宋" w:eastAsia="仿宋" w:cs="仿宋"/>
          <w:sz w:val="30"/>
          <w:szCs w:val="30"/>
        </w:rPr>
      </w:pPr>
      <w:r>
        <w:rPr>
          <w:rFonts w:hint="eastAsia" w:ascii="仿宋" w:hAnsi="仿宋" w:eastAsia="仿宋" w:cs="仿宋"/>
          <w:sz w:val="30"/>
          <w:szCs w:val="30"/>
        </w:rPr>
        <w:t>（一）满足《中华人民共和国政府采购法》第二十二条规定的条件，提供以下证明材料：</w:t>
      </w:r>
    </w:p>
    <w:p>
      <w:pPr>
        <w:pStyle w:val="34"/>
        <w:keepNext w:val="0"/>
        <w:keepLines w:val="0"/>
        <w:widowControl/>
        <w:suppressLineNumbers w:val="0"/>
        <w:spacing w:before="75" w:beforeAutospacing="0" w:after="75" w:afterAutospacing="0"/>
        <w:ind w:left="0" w:right="0" w:firstLine="560"/>
        <w:rPr>
          <w:rFonts w:hint="eastAsia" w:ascii="仿宋" w:hAnsi="仿宋" w:eastAsia="仿宋" w:cs="仿宋"/>
          <w:sz w:val="30"/>
          <w:szCs w:val="30"/>
        </w:rPr>
      </w:pPr>
      <w:r>
        <w:rPr>
          <w:rFonts w:hint="eastAsia" w:ascii="仿宋" w:hAnsi="仿宋" w:eastAsia="仿宋" w:cs="仿宋"/>
          <w:sz w:val="30"/>
          <w:szCs w:val="30"/>
        </w:rPr>
        <w:t>1.在中华人民共和国注册，具有独立承担民事责任能力的法人；（提供营业执照副本复印件加盖公章）</w:t>
      </w:r>
    </w:p>
    <w:p>
      <w:pPr>
        <w:pStyle w:val="34"/>
        <w:keepNext w:val="0"/>
        <w:keepLines w:val="0"/>
        <w:widowControl/>
        <w:suppressLineNumbers w:val="0"/>
        <w:spacing w:before="75" w:beforeAutospacing="0" w:after="75" w:afterAutospacing="0"/>
        <w:ind w:left="0" w:right="0" w:firstLine="560"/>
        <w:rPr>
          <w:rFonts w:hint="eastAsia" w:ascii="仿宋" w:hAnsi="仿宋" w:eastAsia="仿宋" w:cs="仿宋"/>
          <w:sz w:val="30"/>
          <w:szCs w:val="30"/>
        </w:rPr>
      </w:pPr>
      <w:r>
        <w:rPr>
          <w:rFonts w:hint="eastAsia" w:ascii="仿宋" w:hAnsi="仿宋" w:eastAsia="仿宋" w:cs="仿宋"/>
          <w:sz w:val="30"/>
          <w:szCs w:val="30"/>
        </w:rPr>
        <w:t xml:space="preserve"> 2.具有良好的商业信誉和健全的财务会计制度；（提供</w:t>
      </w:r>
      <w:r>
        <w:rPr>
          <w:rFonts w:hint="eastAsia" w:ascii="仿宋" w:hAnsi="仿宋" w:eastAsia="仿宋" w:cs="仿宋"/>
          <w:sz w:val="30"/>
          <w:szCs w:val="30"/>
          <w:lang w:eastAsia="zh-CN"/>
        </w:rPr>
        <w:t>2022年度</w:t>
      </w:r>
      <w:r>
        <w:rPr>
          <w:rFonts w:hint="eastAsia" w:ascii="仿宋" w:hAnsi="仿宋" w:eastAsia="仿宋" w:cs="仿宋"/>
          <w:sz w:val="30"/>
          <w:szCs w:val="30"/>
        </w:rPr>
        <w:t>的财务审计报告或2022年至今任意1个季度的企业财务会计报表，包括资产负债表、现金流量表、利润表复印件并加盖单位公章）</w:t>
      </w:r>
    </w:p>
    <w:p>
      <w:pPr>
        <w:pStyle w:val="34"/>
        <w:keepNext w:val="0"/>
        <w:keepLines w:val="0"/>
        <w:widowControl/>
        <w:suppressLineNumbers w:val="0"/>
        <w:spacing w:before="75" w:beforeAutospacing="0" w:after="75" w:afterAutospacing="0"/>
        <w:ind w:left="0" w:right="0" w:firstLine="560"/>
        <w:rPr>
          <w:rFonts w:hint="eastAsia" w:ascii="仿宋" w:hAnsi="仿宋" w:eastAsia="仿宋" w:cs="仿宋"/>
          <w:sz w:val="30"/>
          <w:szCs w:val="30"/>
        </w:rPr>
      </w:pPr>
      <w:r>
        <w:rPr>
          <w:rFonts w:hint="eastAsia" w:ascii="仿宋" w:hAnsi="仿宋" w:eastAsia="仿宋" w:cs="仿宋"/>
          <w:sz w:val="30"/>
          <w:szCs w:val="30"/>
        </w:rPr>
        <w:t>3.具有依法缴纳税收证明和社会保障资金的良好记录；（提供2022年至今任意</w:t>
      </w:r>
      <w:r>
        <w:rPr>
          <w:rFonts w:hint="eastAsia" w:ascii="仿宋" w:hAnsi="仿宋" w:eastAsia="仿宋" w:cs="仿宋"/>
          <w:sz w:val="30"/>
          <w:szCs w:val="30"/>
          <w:lang w:eastAsia="zh-CN"/>
        </w:rPr>
        <w:t>三个月</w:t>
      </w:r>
      <w:r>
        <w:rPr>
          <w:rFonts w:hint="eastAsia" w:ascii="仿宋" w:hAnsi="仿宋" w:eastAsia="仿宋" w:cs="仿宋"/>
          <w:sz w:val="30"/>
          <w:szCs w:val="30"/>
        </w:rPr>
        <w:t>的依法纳税证明和社会保障缴费记录复印件加盖公章）</w:t>
      </w:r>
    </w:p>
    <w:p>
      <w:pPr>
        <w:pStyle w:val="34"/>
        <w:keepNext w:val="0"/>
        <w:keepLines w:val="0"/>
        <w:widowControl/>
        <w:suppressLineNumbers w:val="0"/>
        <w:spacing w:before="75" w:beforeAutospacing="0" w:after="75" w:afterAutospacing="0"/>
        <w:ind w:left="298" w:leftChars="142" w:right="0" w:firstLine="498" w:firstLineChars="166"/>
        <w:rPr>
          <w:rFonts w:hint="eastAsia" w:ascii="仿宋" w:hAnsi="仿宋" w:eastAsia="仿宋" w:cs="仿宋"/>
          <w:sz w:val="30"/>
          <w:szCs w:val="30"/>
        </w:rPr>
      </w:pPr>
      <w:r>
        <w:rPr>
          <w:rFonts w:hint="eastAsia" w:ascii="仿宋" w:hAnsi="仿宋" w:eastAsia="仿宋" w:cs="仿宋"/>
          <w:sz w:val="30"/>
          <w:szCs w:val="30"/>
        </w:rPr>
        <w:t>4.具有履行合同所必需的设备和专业技术能力（提供承诺书加盖公章）。</w:t>
      </w:r>
    </w:p>
    <w:p>
      <w:pPr>
        <w:pStyle w:val="34"/>
        <w:keepNext w:val="0"/>
        <w:keepLines w:val="0"/>
        <w:widowControl/>
        <w:suppressLineNumbers w:val="0"/>
        <w:spacing w:before="75" w:beforeAutospacing="0" w:after="75" w:afterAutospacing="0"/>
        <w:ind w:left="298" w:leftChars="142" w:right="0" w:firstLine="498" w:firstLineChars="166"/>
        <w:rPr>
          <w:rFonts w:hint="eastAsia" w:ascii="仿宋" w:hAnsi="仿宋" w:eastAsia="仿宋" w:cs="仿宋"/>
          <w:sz w:val="30"/>
          <w:szCs w:val="30"/>
        </w:rPr>
      </w:pPr>
      <w:r>
        <w:rPr>
          <w:rFonts w:hint="eastAsia" w:ascii="仿宋" w:hAnsi="仿宋" w:eastAsia="仿宋" w:cs="仿宋"/>
          <w:sz w:val="30"/>
          <w:szCs w:val="30"/>
        </w:rPr>
        <w:t>5.参加政府采购活动前三年内（成立不足三年的从成立之日起算），在经营活动中没有重大违法记录；（提供声明函加盖公章）。</w:t>
      </w:r>
    </w:p>
    <w:p>
      <w:pPr>
        <w:pStyle w:val="34"/>
        <w:keepNext w:val="0"/>
        <w:keepLines w:val="0"/>
        <w:widowControl/>
        <w:suppressLineNumbers w:val="0"/>
        <w:spacing w:before="75" w:beforeAutospacing="0" w:after="75" w:afterAutospacing="0"/>
        <w:ind w:left="298" w:leftChars="142" w:right="0" w:firstLine="498" w:firstLineChars="166"/>
        <w:rPr>
          <w:rFonts w:hint="eastAsia" w:ascii="仿宋" w:hAnsi="仿宋" w:eastAsia="仿宋" w:cs="仿宋"/>
          <w:sz w:val="30"/>
          <w:szCs w:val="30"/>
        </w:rPr>
      </w:pPr>
      <w:r>
        <w:rPr>
          <w:rFonts w:hint="eastAsia" w:ascii="仿宋" w:hAnsi="仿宋" w:eastAsia="仿宋" w:cs="仿宋"/>
          <w:sz w:val="30"/>
          <w:szCs w:val="30"/>
        </w:rPr>
        <w:t>6.投标资格没有被取消、暂停；没有处于被责令停业、财产被接管、冻结、破产状态；没有骗取中标行为或严重违约事件。（提供声明函加盖公章）</w:t>
      </w:r>
    </w:p>
    <w:p>
      <w:pPr>
        <w:pStyle w:val="34"/>
        <w:keepNext w:val="0"/>
        <w:keepLines w:val="0"/>
        <w:widowControl/>
        <w:suppressLineNumbers w:val="0"/>
        <w:spacing w:before="75" w:beforeAutospacing="0" w:after="75" w:afterAutospacing="0"/>
        <w:ind w:left="298" w:leftChars="142" w:right="0" w:firstLine="500" w:firstLineChars="166"/>
        <w:rPr>
          <w:rFonts w:hint="eastAsia" w:ascii="仿宋" w:hAnsi="仿宋" w:eastAsia="仿宋" w:cs="仿宋"/>
          <w:b/>
          <w:bCs/>
          <w:sz w:val="30"/>
          <w:szCs w:val="30"/>
        </w:rPr>
      </w:pPr>
      <w:r>
        <w:rPr>
          <w:rFonts w:hint="eastAsia" w:ascii="仿宋" w:hAnsi="仿宋" w:eastAsia="仿宋" w:cs="仿宋"/>
          <w:b/>
          <w:bCs/>
          <w:sz w:val="30"/>
          <w:szCs w:val="30"/>
        </w:rPr>
        <w:t xml:space="preserve">（二）本项目的特定资格要求 </w:t>
      </w:r>
    </w:p>
    <w:p>
      <w:pPr>
        <w:pStyle w:val="34"/>
        <w:keepNext w:val="0"/>
        <w:keepLines w:val="0"/>
        <w:widowControl/>
        <w:suppressLineNumbers w:val="0"/>
        <w:spacing w:before="75" w:beforeAutospacing="0" w:after="75" w:afterAutospacing="0"/>
        <w:ind w:left="298" w:leftChars="142" w:right="0" w:firstLine="498" w:firstLineChars="166"/>
        <w:rPr>
          <w:rFonts w:hint="eastAsia" w:ascii="仿宋" w:hAnsi="仿宋" w:eastAsia="仿宋" w:cs="仿宋"/>
          <w:sz w:val="30"/>
          <w:szCs w:val="30"/>
        </w:rPr>
      </w:pPr>
      <w:r>
        <w:rPr>
          <w:rFonts w:hint="eastAsia" w:ascii="仿宋" w:hAnsi="仿宋" w:eastAsia="仿宋" w:cs="仿宋"/>
          <w:sz w:val="30"/>
          <w:szCs w:val="30"/>
        </w:rPr>
        <w:t>1.供应商须具有建设行政主管部门颁发的</w:t>
      </w:r>
      <w:r>
        <w:rPr>
          <w:rFonts w:hint="eastAsia" w:ascii="仿宋" w:hAnsi="仿宋" w:eastAsia="仿宋" w:cs="仿宋"/>
          <w:sz w:val="30"/>
          <w:szCs w:val="30"/>
          <w:lang w:eastAsia="zh-CN"/>
        </w:rPr>
        <w:t>市政公用工程施工总承包叁级（或以上）资质或根据《住房和城乡建设部关于印发建设工程企业资质管理制度改革方案的通知》【建市〔2020〕94号】的规定已换发新证取得相应的资质</w:t>
      </w:r>
      <w:r>
        <w:rPr>
          <w:rFonts w:hint="eastAsia" w:ascii="仿宋" w:hAnsi="仿宋" w:eastAsia="仿宋" w:cs="仿宋"/>
          <w:sz w:val="30"/>
          <w:szCs w:val="30"/>
        </w:rPr>
        <w:t>，具备有效的安全生产许可证；（提供资质证书、安全生产许可证复印件加盖公章）</w:t>
      </w:r>
    </w:p>
    <w:p>
      <w:pPr>
        <w:pStyle w:val="34"/>
        <w:keepNext w:val="0"/>
        <w:keepLines w:val="0"/>
        <w:widowControl/>
        <w:suppressLineNumbers w:val="0"/>
        <w:spacing w:before="75" w:beforeAutospacing="0" w:after="75" w:afterAutospacing="0"/>
        <w:ind w:left="298" w:leftChars="142" w:right="0" w:firstLine="498" w:firstLineChars="166"/>
        <w:rPr>
          <w:rFonts w:hint="eastAsia" w:ascii="仿宋" w:hAnsi="仿宋" w:eastAsia="仿宋" w:cs="仿宋"/>
          <w:sz w:val="30"/>
          <w:szCs w:val="30"/>
        </w:rPr>
      </w:pPr>
      <w:r>
        <w:rPr>
          <w:rFonts w:hint="eastAsia" w:ascii="仿宋" w:hAnsi="仿宋" w:eastAsia="仿宋" w:cs="仿宋"/>
          <w:sz w:val="30"/>
          <w:szCs w:val="30"/>
        </w:rPr>
        <w:t>2.供应商拟派的项目经理须具有市政公用</w:t>
      </w:r>
      <w:r>
        <w:rPr>
          <w:rFonts w:hint="eastAsia" w:ascii="仿宋" w:hAnsi="仿宋" w:eastAsia="仿宋" w:cs="仿宋"/>
          <w:sz w:val="30"/>
          <w:szCs w:val="30"/>
          <w:lang w:eastAsia="zh-CN"/>
        </w:rPr>
        <w:t>工程</w:t>
      </w:r>
      <w:r>
        <w:rPr>
          <w:rFonts w:hint="eastAsia" w:ascii="仿宋" w:hAnsi="仿宋" w:eastAsia="仿宋" w:cs="仿宋"/>
          <w:sz w:val="30"/>
          <w:szCs w:val="30"/>
        </w:rPr>
        <w:t>专业二级或以上建造师注册证书，且未担任其他在施建设工程项目的项目经理；（提供证书复印件、承诺书加盖公章）</w:t>
      </w:r>
    </w:p>
    <w:p>
      <w:pPr>
        <w:pStyle w:val="34"/>
        <w:keepNext w:val="0"/>
        <w:keepLines w:val="0"/>
        <w:widowControl/>
        <w:suppressLineNumbers w:val="0"/>
        <w:spacing w:before="75" w:beforeAutospacing="0" w:after="75" w:afterAutospacing="0"/>
        <w:ind w:left="298" w:leftChars="142" w:right="0" w:firstLine="498" w:firstLineChars="166"/>
        <w:rPr>
          <w:rFonts w:hint="eastAsia" w:ascii="仿宋" w:hAnsi="仿宋" w:eastAsia="仿宋" w:cs="仿宋"/>
          <w:sz w:val="30"/>
          <w:szCs w:val="30"/>
        </w:rPr>
      </w:pPr>
      <w:r>
        <w:rPr>
          <w:rFonts w:hint="eastAsia" w:ascii="仿宋" w:hAnsi="仿宋" w:eastAsia="仿宋" w:cs="仿宋"/>
          <w:sz w:val="30"/>
          <w:szCs w:val="30"/>
        </w:rPr>
        <w:t>3.“信用中国”网（www.creditchina.gov.cn）、中国政府采购网（www.ccgp.gov.cn）没有列入失信被执行人、重大税收违法失信主体、政府采购严重违法失信行为记录名单的投标人。（提供磋商公告发布后在信用中国网站下载信用信息及失信被执行人、</w:t>
      </w:r>
      <w:r>
        <w:rPr>
          <w:rFonts w:hint="eastAsia" w:ascii="仿宋" w:hAnsi="仿宋" w:eastAsia="仿宋" w:cs="仿宋"/>
          <w:color w:val="000000" w:themeColor="text1"/>
          <w:sz w:val="30"/>
          <w:szCs w:val="30"/>
          <w14:textFill>
            <w14:solidFill>
              <w14:schemeClr w14:val="tx1"/>
            </w14:solidFill>
          </w14:textFill>
        </w:rPr>
        <w:t>重大税收违法失信主体</w:t>
      </w:r>
      <w:r>
        <w:rPr>
          <w:rFonts w:hint="eastAsia" w:ascii="仿宋" w:hAnsi="仿宋" w:eastAsia="仿宋" w:cs="仿宋"/>
          <w:sz w:val="30"/>
          <w:szCs w:val="30"/>
        </w:rPr>
        <w:t xml:space="preserve">、政府采购严重违法失信行为记录名单查询结果截图并加盖单位公章）。 </w:t>
      </w:r>
    </w:p>
    <w:p>
      <w:pPr>
        <w:keepNext w:val="0"/>
        <w:keepLines w:val="0"/>
        <w:widowControl/>
        <w:suppressLineNumbers w:val="0"/>
        <w:jc w:val="left"/>
        <w:rPr>
          <w:rFonts w:hint="eastAsia" w:ascii="仿宋" w:hAnsi="仿宋" w:eastAsia="仿宋" w:cs="仿宋"/>
          <w:sz w:val="30"/>
          <w:szCs w:val="30"/>
        </w:rPr>
      </w:pPr>
      <w:r>
        <w:rPr>
          <w:rStyle w:val="42"/>
          <w:rFonts w:hint="eastAsia" w:ascii="仿宋" w:hAnsi="仿宋" w:eastAsia="仿宋" w:cs="仿宋"/>
          <w:kern w:val="0"/>
          <w:sz w:val="30"/>
          <w:szCs w:val="30"/>
          <w:lang w:val="en-US" w:eastAsia="zh-CN" w:bidi="ar"/>
        </w:rPr>
        <w:t>三、获取采购文件</w:t>
      </w:r>
      <w:r>
        <w:rPr>
          <w:rFonts w:hint="eastAsia" w:ascii="仿宋" w:hAnsi="仿宋" w:eastAsia="仿宋" w:cs="仿宋"/>
          <w:kern w:val="0"/>
          <w:sz w:val="30"/>
          <w:szCs w:val="30"/>
          <w:lang w:val="en-US" w:eastAsia="zh-CN" w:bidi="ar"/>
        </w:rPr>
        <w:t xml:space="preserve"> </w:t>
      </w:r>
    </w:p>
    <w:p>
      <w:pPr>
        <w:pStyle w:val="34"/>
        <w:keepNext w:val="0"/>
        <w:keepLines w:val="0"/>
        <w:widowControl/>
        <w:suppressLineNumbers w:val="0"/>
        <w:spacing w:before="75" w:beforeAutospacing="0" w:after="75" w:afterAutospacing="0"/>
        <w:ind w:left="0" w:right="0" w:firstLine="540"/>
        <w:rPr>
          <w:rFonts w:hint="eastAsia" w:ascii="仿宋" w:hAnsi="仿宋" w:eastAsia="仿宋" w:cs="仿宋"/>
          <w:sz w:val="30"/>
          <w:szCs w:val="30"/>
        </w:rPr>
      </w:pPr>
      <w:r>
        <w:rPr>
          <w:rFonts w:hint="eastAsia" w:ascii="仿宋" w:hAnsi="仿宋" w:eastAsia="仿宋" w:cs="仿宋"/>
          <w:sz w:val="30"/>
          <w:szCs w:val="30"/>
        </w:rPr>
        <w:t>时间：</w:t>
      </w:r>
      <w:r>
        <w:rPr>
          <w:rFonts w:hint="eastAsia" w:ascii="仿宋" w:hAnsi="仿宋" w:eastAsia="仿宋" w:cs="仿宋"/>
          <w:sz w:val="30"/>
          <w:szCs w:val="30"/>
          <w:u w:val="single"/>
        </w:rPr>
        <w:t>202</w:t>
      </w:r>
      <w:r>
        <w:rPr>
          <w:rFonts w:hint="eastAsia" w:ascii="仿宋" w:hAnsi="仿宋" w:eastAsia="仿宋" w:cs="仿宋"/>
          <w:sz w:val="30"/>
          <w:szCs w:val="30"/>
          <w:u w:val="single"/>
          <w:lang w:val="en-US" w:eastAsia="zh-CN"/>
        </w:rPr>
        <w:t>3</w:t>
      </w:r>
      <w:r>
        <w:rPr>
          <w:rFonts w:hint="eastAsia" w:ascii="仿宋" w:hAnsi="仿宋" w:eastAsia="仿宋" w:cs="仿宋"/>
          <w:sz w:val="30"/>
          <w:szCs w:val="30"/>
          <w:u w:val="single"/>
        </w:rPr>
        <w:t>-</w:t>
      </w:r>
      <w:r>
        <w:rPr>
          <w:rFonts w:hint="eastAsia" w:ascii="仿宋" w:hAnsi="仿宋" w:eastAsia="仿宋" w:cs="仿宋"/>
          <w:sz w:val="30"/>
          <w:szCs w:val="30"/>
          <w:u w:val="single"/>
          <w:lang w:val="en-US" w:eastAsia="zh-CN"/>
        </w:rPr>
        <w:t>04</w:t>
      </w:r>
      <w:r>
        <w:rPr>
          <w:rFonts w:hint="eastAsia" w:ascii="仿宋" w:hAnsi="仿宋" w:eastAsia="仿宋" w:cs="仿宋"/>
          <w:sz w:val="30"/>
          <w:szCs w:val="30"/>
          <w:u w:val="single"/>
        </w:rPr>
        <w:t>-</w:t>
      </w:r>
      <w:r>
        <w:rPr>
          <w:rFonts w:hint="eastAsia" w:ascii="仿宋" w:hAnsi="仿宋" w:eastAsia="仿宋" w:cs="仿宋"/>
          <w:sz w:val="30"/>
          <w:szCs w:val="30"/>
          <w:u w:val="single"/>
          <w:lang w:val="en-US" w:eastAsia="zh-CN"/>
        </w:rPr>
        <w:t xml:space="preserve">12 </w:t>
      </w:r>
      <w:r>
        <w:rPr>
          <w:rFonts w:hint="eastAsia" w:ascii="仿宋" w:hAnsi="仿宋" w:eastAsia="仿宋" w:cs="仿宋"/>
          <w:sz w:val="30"/>
          <w:szCs w:val="30"/>
          <w:u w:val="single"/>
        </w:rPr>
        <w:t>0</w:t>
      </w:r>
      <w:r>
        <w:rPr>
          <w:rFonts w:hint="eastAsia" w:ascii="仿宋" w:hAnsi="仿宋" w:eastAsia="仿宋" w:cs="仿宋"/>
          <w:sz w:val="30"/>
          <w:szCs w:val="30"/>
          <w:u w:val="single"/>
          <w:lang w:val="en-US" w:eastAsia="zh-CN"/>
        </w:rPr>
        <w:t>0</w:t>
      </w:r>
      <w:r>
        <w:rPr>
          <w:rFonts w:hint="eastAsia" w:ascii="仿宋" w:hAnsi="仿宋" w:eastAsia="仿宋" w:cs="仿宋"/>
          <w:sz w:val="30"/>
          <w:szCs w:val="30"/>
          <w:u w:val="single"/>
        </w:rPr>
        <w:t>:</w:t>
      </w:r>
      <w:r>
        <w:rPr>
          <w:rFonts w:hint="eastAsia" w:ascii="仿宋" w:hAnsi="仿宋" w:eastAsia="仿宋" w:cs="仿宋"/>
          <w:sz w:val="30"/>
          <w:szCs w:val="30"/>
          <w:u w:val="single"/>
          <w:lang w:val="en-US" w:eastAsia="zh-CN"/>
        </w:rPr>
        <w:t>0</w:t>
      </w:r>
      <w:r>
        <w:rPr>
          <w:rFonts w:hint="eastAsia" w:ascii="仿宋" w:hAnsi="仿宋" w:eastAsia="仿宋" w:cs="仿宋"/>
          <w:sz w:val="30"/>
          <w:szCs w:val="30"/>
          <w:u w:val="single"/>
        </w:rPr>
        <w:t>0:00</w:t>
      </w:r>
      <w:r>
        <w:rPr>
          <w:rFonts w:hint="eastAsia" w:ascii="仿宋" w:hAnsi="仿宋" w:eastAsia="仿宋" w:cs="仿宋"/>
          <w:sz w:val="30"/>
          <w:szCs w:val="30"/>
        </w:rPr>
        <w:t>至</w:t>
      </w:r>
      <w:r>
        <w:rPr>
          <w:rFonts w:hint="eastAsia" w:ascii="仿宋" w:hAnsi="仿宋" w:eastAsia="仿宋" w:cs="仿宋"/>
          <w:sz w:val="30"/>
          <w:szCs w:val="30"/>
          <w:u w:val="single"/>
        </w:rPr>
        <w:t>202</w:t>
      </w:r>
      <w:r>
        <w:rPr>
          <w:rFonts w:hint="eastAsia" w:ascii="仿宋" w:hAnsi="仿宋" w:eastAsia="仿宋" w:cs="仿宋"/>
          <w:sz w:val="30"/>
          <w:szCs w:val="30"/>
          <w:u w:val="single"/>
          <w:lang w:val="en-US" w:eastAsia="zh-CN"/>
        </w:rPr>
        <w:t>3</w:t>
      </w:r>
      <w:r>
        <w:rPr>
          <w:rFonts w:hint="eastAsia" w:ascii="仿宋" w:hAnsi="仿宋" w:eastAsia="仿宋" w:cs="仿宋"/>
          <w:sz w:val="30"/>
          <w:szCs w:val="30"/>
          <w:u w:val="single"/>
        </w:rPr>
        <w:t>-</w:t>
      </w:r>
      <w:r>
        <w:rPr>
          <w:rFonts w:hint="eastAsia" w:ascii="仿宋" w:hAnsi="仿宋" w:eastAsia="仿宋" w:cs="仿宋"/>
          <w:sz w:val="30"/>
          <w:szCs w:val="30"/>
          <w:u w:val="single"/>
          <w:lang w:val="en-US" w:eastAsia="zh-CN"/>
        </w:rPr>
        <w:t>04</w:t>
      </w:r>
      <w:r>
        <w:rPr>
          <w:rFonts w:hint="eastAsia" w:ascii="仿宋" w:hAnsi="仿宋" w:eastAsia="仿宋" w:cs="仿宋"/>
          <w:sz w:val="30"/>
          <w:szCs w:val="30"/>
          <w:u w:val="single"/>
        </w:rPr>
        <w:t>-</w:t>
      </w:r>
      <w:r>
        <w:rPr>
          <w:rFonts w:hint="eastAsia" w:ascii="仿宋" w:hAnsi="仿宋" w:eastAsia="仿宋" w:cs="仿宋"/>
          <w:sz w:val="30"/>
          <w:szCs w:val="30"/>
          <w:u w:val="single"/>
          <w:lang w:val="en-US" w:eastAsia="zh-CN"/>
        </w:rPr>
        <w:t>18 24</w:t>
      </w:r>
      <w:r>
        <w:rPr>
          <w:rFonts w:hint="eastAsia" w:ascii="仿宋" w:hAnsi="仿宋" w:eastAsia="仿宋" w:cs="仿宋"/>
          <w:sz w:val="30"/>
          <w:szCs w:val="30"/>
          <w:u w:val="single"/>
        </w:rPr>
        <w:t>:</w:t>
      </w:r>
      <w:r>
        <w:rPr>
          <w:rFonts w:hint="eastAsia" w:ascii="仿宋" w:hAnsi="仿宋" w:eastAsia="仿宋" w:cs="仿宋"/>
          <w:sz w:val="30"/>
          <w:szCs w:val="30"/>
          <w:u w:val="single"/>
          <w:lang w:val="en-US" w:eastAsia="zh-CN"/>
        </w:rPr>
        <w:t>0</w:t>
      </w:r>
      <w:r>
        <w:rPr>
          <w:rFonts w:hint="eastAsia" w:ascii="仿宋" w:hAnsi="仿宋" w:eastAsia="仿宋" w:cs="仿宋"/>
          <w:sz w:val="30"/>
          <w:szCs w:val="30"/>
          <w:u w:val="single"/>
        </w:rPr>
        <w:t>0:00</w:t>
      </w:r>
      <w:r>
        <w:rPr>
          <w:rFonts w:hint="eastAsia" w:ascii="仿宋" w:hAnsi="仿宋" w:eastAsia="仿宋" w:cs="仿宋"/>
          <w:sz w:val="30"/>
          <w:szCs w:val="30"/>
        </w:rPr>
        <w:t>，每天上午00:00至12:00，下午12:00至24:00（北京时间，法定节假日除外）</w:t>
      </w:r>
    </w:p>
    <w:p>
      <w:pPr>
        <w:pStyle w:val="34"/>
        <w:keepNext w:val="0"/>
        <w:keepLines w:val="0"/>
        <w:widowControl/>
        <w:suppressLineNumbers w:val="0"/>
        <w:spacing w:before="75" w:beforeAutospacing="0" w:after="75" w:afterAutospacing="0"/>
        <w:ind w:left="0" w:right="0" w:firstLine="540"/>
        <w:rPr>
          <w:rFonts w:hint="eastAsia" w:ascii="仿宋" w:hAnsi="仿宋" w:eastAsia="仿宋" w:cs="仿宋"/>
          <w:sz w:val="30"/>
          <w:szCs w:val="30"/>
        </w:rPr>
      </w:pPr>
      <w:r>
        <w:rPr>
          <w:rFonts w:hint="eastAsia" w:ascii="仿宋" w:hAnsi="仿宋" w:eastAsia="仿宋" w:cs="仿宋"/>
          <w:sz w:val="30"/>
          <w:szCs w:val="30"/>
        </w:rPr>
        <w:t>地点：海南政府采购网(www.ccgp-hainan.gov.cn)-海南省政府采购电子化交易管理系统(新)</w:t>
      </w:r>
    </w:p>
    <w:p>
      <w:pPr>
        <w:pStyle w:val="34"/>
        <w:keepNext w:val="0"/>
        <w:keepLines w:val="0"/>
        <w:widowControl/>
        <w:suppressLineNumbers w:val="0"/>
        <w:spacing w:before="75" w:beforeAutospacing="0" w:after="75" w:afterAutospacing="0"/>
        <w:ind w:left="0" w:right="0" w:firstLine="540"/>
        <w:rPr>
          <w:rFonts w:hint="eastAsia" w:ascii="仿宋" w:hAnsi="仿宋" w:eastAsia="仿宋" w:cs="仿宋"/>
          <w:sz w:val="30"/>
          <w:szCs w:val="30"/>
        </w:rPr>
      </w:pPr>
      <w:r>
        <w:rPr>
          <w:rFonts w:hint="eastAsia" w:ascii="仿宋" w:hAnsi="仿宋" w:eastAsia="仿宋" w:cs="仿宋"/>
          <w:sz w:val="30"/>
          <w:szCs w:val="30"/>
        </w:rPr>
        <w:t>方式：网上下载</w:t>
      </w:r>
    </w:p>
    <w:p>
      <w:pPr>
        <w:pStyle w:val="34"/>
        <w:keepNext w:val="0"/>
        <w:keepLines w:val="0"/>
        <w:widowControl/>
        <w:suppressLineNumbers w:val="0"/>
        <w:spacing w:before="75" w:beforeAutospacing="0" w:after="75" w:afterAutospacing="0"/>
        <w:ind w:left="0" w:right="0" w:firstLine="540"/>
        <w:rPr>
          <w:rFonts w:hint="eastAsia" w:ascii="仿宋" w:hAnsi="仿宋" w:eastAsia="仿宋" w:cs="仿宋"/>
          <w:sz w:val="30"/>
          <w:szCs w:val="30"/>
        </w:rPr>
      </w:pPr>
      <w:r>
        <w:rPr>
          <w:rFonts w:hint="eastAsia" w:ascii="仿宋" w:hAnsi="仿宋" w:eastAsia="仿宋" w:cs="仿宋"/>
          <w:sz w:val="30"/>
          <w:szCs w:val="30"/>
        </w:rPr>
        <w:t>售价：0元。</w:t>
      </w:r>
    </w:p>
    <w:p>
      <w:pPr>
        <w:keepNext w:val="0"/>
        <w:keepLines w:val="0"/>
        <w:widowControl/>
        <w:suppressLineNumbers w:val="0"/>
        <w:jc w:val="left"/>
        <w:rPr>
          <w:rFonts w:hint="eastAsia" w:ascii="仿宋" w:hAnsi="仿宋" w:eastAsia="仿宋" w:cs="仿宋"/>
          <w:sz w:val="30"/>
          <w:szCs w:val="30"/>
        </w:rPr>
      </w:pPr>
      <w:r>
        <w:rPr>
          <w:rStyle w:val="42"/>
          <w:rFonts w:hint="eastAsia" w:ascii="仿宋" w:hAnsi="仿宋" w:eastAsia="仿宋" w:cs="仿宋"/>
          <w:kern w:val="0"/>
          <w:sz w:val="30"/>
          <w:szCs w:val="30"/>
          <w:lang w:val="en-US" w:eastAsia="zh-CN" w:bidi="ar"/>
        </w:rPr>
        <w:t>四、响应文件提交</w:t>
      </w:r>
    </w:p>
    <w:p>
      <w:pPr>
        <w:pStyle w:val="34"/>
        <w:keepNext w:val="0"/>
        <w:keepLines w:val="0"/>
        <w:widowControl/>
        <w:suppressLineNumbers w:val="0"/>
        <w:spacing w:before="75" w:beforeAutospacing="0" w:after="75" w:afterAutospacing="0"/>
        <w:ind w:left="0" w:right="0" w:firstLine="560"/>
        <w:rPr>
          <w:rFonts w:hint="eastAsia" w:ascii="仿宋" w:hAnsi="仿宋" w:eastAsia="仿宋" w:cs="仿宋"/>
          <w:sz w:val="30"/>
          <w:szCs w:val="30"/>
        </w:rPr>
      </w:pPr>
      <w:r>
        <w:rPr>
          <w:rFonts w:hint="eastAsia" w:ascii="仿宋" w:hAnsi="仿宋" w:eastAsia="仿宋" w:cs="仿宋"/>
          <w:sz w:val="30"/>
          <w:szCs w:val="30"/>
        </w:rPr>
        <w:t>截止时间：</w:t>
      </w:r>
      <w:r>
        <w:rPr>
          <w:rFonts w:hint="eastAsia" w:ascii="仿宋" w:hAnsi="仿宋" w:eastAsia="仿宋" w:cs="仿宋"/>
          <w:sz w:val="30"/>
          <w:szCs w:val="30"/>
          <w:u w:val="single"/>
          <w:lang w:eastAsia="zh-CN"/>
        </w:rPr>
        <w:t>2023-04-21 15:00:00</w:t>
      </w:r>
      <w:r>
        <w:rPr>
          <w:rFonts w:hint="eastAsia" w:ascii="仿宋" w:hAnsi="仿宋" w:eastAsia="仿宋" w:cs="仿宋"/>
          <w:sz w:val="30"/>
          <w:szCs w:val="30"/>
        </w:rPr>
        <w:t xml:space="preserve">（北京时间） </w:t>
      </w:r>
    </w:p>
    <w:p>
      <w:pPr>
        <w:pStyle w:val="34"/>
        <w:keepNext w:val="0"/>
        <w:keepLines w:val="0"/>
        <w:widowControl/>
        <w:suppressLineNumbers w:val="0"/>
        <w:spacing w:before="75" w:beforeAutospacing="0" w:after="75" w:afterAutospacing="0"/>
        <w:ind w:left="0" w:right="0" w:firstLine="560"/>
        <w:rPr>
          <w:rFonts w:hint="eastAsia" w:ascii="仿宋" w:hAnsi="仿宋" w:eastAsia="仿宋" w:cs="仿宋"/>
          <w:sz w:val="30"/>
          <w:szCs w:val="30"/>
        </w:rPr>
      </w:pPr>
      <w:r>
        <w:rPr>
          <w:rFonts w:hint="eastAsia" w:ascii="仿宋" w:hAnsi="仿宋" w:eastAsia="仿宋" w:cs="仿宋"/>
          <w:sz w:val="30"/>
          <w:szCs w:val="30"/>
          <w:lang w:val="en-US" w:eastAsia="zh-CN"/>
        </w:rPr>
        <w:t>递交</w:t>
      </w:r>
      <w:r>
        <w:rPr>
          <w:rFonts w:hint="eastAsia" w:ascii="仿宋" w:hAnsi="仿宋" w:eastAsia="仿宋" w:cs="仿宋"/>
          <w:sz w:val="30"/>
          <w:szCs w:val="30"/>
        </w:rPr>
        <w:t>地点：</w:t>
      </w:r>
      <w:r>
        <w:rPr>
          <w:rFonts w:hint="eastAsia" w:ascii="仿宋" w:hAnsi="仿宋" w:eastAsia="仿宋" w:cs="仿宋"/>
          <w:sz w:val="30"/>
          <w:szCs w:val="30"/>
          <w:u w:val="single"/>
        </w:rPr>
        <w:t>海南省儋州市那大镇</w:t>
      </w:r>
      <w:r>
        <w:rPr>
          <w:rFonts w:hint="eastAsia" w:ascii="仿宋" w:hAnsi="仿宋" w:eastAsia="仿宋" w:cs="仿宋"/>
          <w:sz w:val="30"/>
          <w:szCs w:val="30"/>
          <w:u w:val="single"/>
          <w:lang w:val="en-US" w:eastAsia="zh-CN"/>
        </w:rPr>
        <w:t>中兴大道新世界花园小区B9号会议室</w:t>
      </w:r>
      <w:r>
        <w:rPr>
          <w:rFonts w:hint="eastAsia" w:ascii="仿宋" w:hAnsi="仿宋" w:eastAsia="仿宋" w:cs="仿宋"/>
          <w:sz w:val="30"/>
          <w:szCs w:val="30"/>
          <w:u w:val="single"/>
        </w:rPr>
        <w:t>，如有变动另行通知（适用于现场递交）。</w:t>
      </w:r>
    </w:p>
    <w:p>
      <w:pPr>
        <w:keepNext w:val="0"/>
        <w:keepLines w:val="0"/>
        <w:widowControl/>
        <w:suppressLineNumbers w:val="0"/>
        <w:jc w:val="left"/>
        <w:rPr>
          <w:rFonts w:hint="eastAsia" w:ascii="仿宋" w:hAnsi="仿宋" w:eastAsia="仿宋" w:cs="仿宋"/>
          <w:sz w:val="30"/>
          <w:szCs w:val="30"/>
        </w:rPr>
      </w:pPr>
      <w:r>
        <w:rPr>
          <w:rStyle w:val="42"/>
          <w:rFonts w:hint="eastAsia" w:ascii="仿宋" w:hAnsi="仿宋" w:eastAsia="仿宋" w:cs="仿宋"/>
          <w:kern w:val="0"/>
          <w:sz w:val="30"/>
          <w:szCs w:val="30"/>
          <w:lang w:val="en-US" w:eastAsia="zh-CN" w:bidi="ar"/>
        </w:rPr>
        <w:t>五、开启</w:t>
      </w:r>
    </w:p>
    <w:p>
      <w:pPr>
        <w:pStyle w:val="34"/>
        <w:keepNext w:val="0"/>
        <w:keepLines w:val="0"/>
        <w:widowControl/>
        <w:suppressLineNumbers w:val="0"/>
        <w:spacing w:before="75" w:beforeAutospacing="0" w:after="75" w:afterAutospacing="0"/>
        <w:ind w:right="0" w:firstLine="600" w:firstLineChars="200"/>
        <w:rPr>
          <w:rFonts w:hint="eastAsia" w:ascii="仿宋" w:hAnsi="仿宋" w:eastAsia="仿宋" w:cs="仿宋"/>
          <w:sz w:val="30"/>
          <w:szCs w:val="30"/>
        </w:rPr>
      </w:pPr>
      <w:r>
        <w:rPr>
          <w:rFonts w:hint="eastAsia" w:ascii="仿宋" w:hAnsi="仿宋" w:eastAsia="仿宋" w:cs="仿宋"/>
          <w:sz w:val="30"/>
          <w:szCs w:val="30"/>
        </w:rPr>
        <w:t>时间：</w:t>
      </w:r>
      <w:r>
        <w:rPr>
          <w:rFonts w:hint="eastAsia" w:ascii="仿宋" w:hAnsi="仿宋" w:eastAsia="仿宋" w:cs="仿宋"/>
          <w:sz w:val="30"/>
          <w:szCs w:val="30"/>
          <w:u w:val="single"/>
          <w:lang w:eastAsia="zh-CN"/>
        </w:rPr>
        <w:t>2023-04-21 15:00:00</w:t>
      </w:r>
      <w:r>
        <w:rPr>
          <w:rFonts w:hint="eastAsia" w:ascii="仿宋" w:hAnsi="仿宋" w:eastAsia="仿宋" w:cs="仿宋"/>
          <w:sz w:val="30"/>
          <w:szCs w:val="30"/>
        </w:rPr>
        <w:t xml:space="preserve">（北京时间） </w:t>
      </w:r>
    </w:p>
    <w:p>
      <w:pPr>
        <w:pStyle w:val="34"/>
        <w:keepNext w:val="0"/>
        <w:keepLines w:val="0"/>
        <w:widowControl/>
        <w:suppressLineNumbers w:val="0"/>
        <w:spacing w:before="75" w:beforeAutospacing="0" w:after="75" w:afterAutospacing="0"/>
        <w:ind w:right="0" w:firstLine="600" w:firstLineChars="200"/>
        <w:rPr>
          <w:rFonts w:hint="eastAsia" w:ascii="仿宋" w:hAnsi="仿宋" w:eastAsia="仿宋" w:cs="仿宋"/>
          <w:sz w:val="30"/>
          <w:szCs w:val="30"/>
        </w:rPr>
      </w:pPr>
      <w:r>
        <w:rPr>
          <w:rFonts w:hint="eastAsia" w:ascii="仿宋" w:hAnsi="仿宋" w:eastAsia="仿宋" w:cs="仿宋"/>
          <w:sz w:val="30"/>
          <w:szCs w:val="30"/>
        </w:rPr>
        <w:t>开标地点：</w:t>
      </w:r>
      <w:r>
        <w:rPr>
          <w:rFonts w:hint="eastAsia" w:ascii="仿宋" w:hAnsi="仿宋" w:eastAsia="仿宋" w:cs="仿宋"/>
          <w:sz w:val="30"/>
          <w:szCs w:val="30"/>
          <w:u w:val="single"/>
        </w:rPr>
        <w:t>海南省儋州市那大镇</w:t>
      </w:r>
      <w:r>
        <w:rPr>
          <w:rFonts w:hint="eastAsia" w:ascii="仿宋" w:hAnsi="仿宋" w:eastAsia="仿宋" w:cs="仿宋"/>
          <w:sz w:val="30"/>
          <w:szCs w:val="30"/>
          <w:u w:val="single"/>
          <w:lang w:val="en-US" w:eastAsia="zh-CN"/>
        </w:rPr>
        <w:t>中兴大道新世界花园小区B9号会议室</w:t>
      </w:r>
      <w:r>
        <w:rPr>
          <w:rFonts w:hint="eastAsia" w:ascii="仿宋" w:hAnsi="仿宋" w:eastAsia="仿宋" w:cs="仿宋"/>
          <w:sz w:val="30"/>
          <w:szCs w:val="30"/>
          <w:u w:val="single"/>
        </w:rPr>
        <w:t>，如有变动另行通知（适用于现场递交）</w:t>
      </w:r>
      <w:r>
        <w:rPr>
          <w:rFonts w:hint="eastAsia" w:ascii="仿宋" w:hAnsi="仿宋" w:eastAsia="仿宋" w:cs="仿宋"/>
          <w:sz w:val="30"/>
          <w:szCs w:val="30"/>
          <w:u w:val="none"/>
        </w:rPr>
        <w:t>。</w:t>
      </w:r>
    </w:p>
    <w:p>
      <w:pPr>
        <w:pStyle w:val="34"/>
        <w:keepNext w:val="0"/>
        <w:keepLines w:val="0"/>
        <w:widowControl/>
        <w:suppressLineNumbers w:val="0"/>
        <w:spacing w:before="75" w:beforeAutospacing="0" w:after="75" w:afterAutospacing="0"/>
        <w:ind w:left="0" w:right="0"/>
        <w:rPr>
          <w:rFonts w:hint="eastAsia" w:ascii="仿宋" w:hAnsi="仿宋" w:eastAsia="仿宋" w:cs="仿宋"/>
          <w:sz w:val="30"/>
          <w:szCs w:val="30"/>
        </w:rPr>
      </w:pPr>
      <w:r>
        <w:rPr>
          <w:rStyle w:val="42"/>
          <w:rFonts w:hint="eastAsia" w:ascii="仿宋" w:hAnsi="仿宋" w:eastAsia="仿宋" w:cs="仿宋"/>
          <w:sz w:val="30"/>
          <w:szCs w:val="30"/>
        </w:rPr>
        <w:t>六、公告期限</w:t>
      </w:r>
      <w:r>
        <w:rPr>
          <w:rFonts w:hint="eastAsia" w:ascii="仿宋" w:hAnsi="仿宋" w:eastAsia="仿宋" w:cs="仿宋"/>
          <w:sz w:val="30"/>
          <w:szCs w:val="30"/>
        </w:rPr>
        <w:t xml:space="preserve"> </w:t>
      </w:r>
    </w:p>
    <w:p>
      <w:pPr>
        <w:pStyle w:val="34"/>
        <w:keepNext w:val="0"/>
        <w:keepLines w:val="0"/>
        <w:widowControl/>
        <w:suppressLineNumbers w:val="0"/>
        <w:spacing w:before="75" w:beforeAutospacing="0" w:after="75" w:afterAutospacing="0"/>
        <w:ind w:left="720" w:right="720"/>
        <w:rPr>
          <w:rFonts w:hint="eastAsia" w:ascii="仿宋" w:hAnsi="仿宋" w:eastAsia="仿宋" w:cs="仿宋"/>
          <w:sz w:val="30"/>
          <w:szCs w:val="30"/>
        </w:rPr>
      </w:pPr>
      <w:r>
        <w:rPr>
          <w:rFonts w:hint="eastAsia" w:ascii="仿宋" w:hAnsi="仿宋" w:eastAsia="仿宋" w:cs="仿宋"/>
          <w:sz w:val="30"/>
          <w:szCs w:val="30"/>
        </w:rPr>
        <w:t>自本公告发布之日起</w:t>
      </w:r>
      <w:r>
        <w:rPr>
          <w:rFonts w:hint="eastAsia" w:ascii="仿宋" w:hAnsi="仿宋" w:eastAsia="仿宋" w:cs="仿宋"/>
          <w:sz w:val="30"/>
          <w:szCs w:val="30"/>
          <w:lang w:val="en-US" w:eastAsia="zh-CN"/>
        </w:rPr>
        <w:t>5</w:t>
      </w:r>
      <w:r>
        <w:rPr>
          <w:rFonts w:hint="eastAsia" w:ascii="仿宋" w:hAnsi="仿宋" w:eastAsia="仿宋" w:cs="仿宋"/>
          <w:sz w:val="30"/>
          <w:szCs w:val="30"/>
        </w:rPr>
        <w:t>个工作日。</w:t>
      </w:r>
    </w:p>
    <w:p>
      <w:pPr>
        <w:pStyle w:val="2"/>
        <w:keepNext w:val="0"/>
        <w:keepLines w:val="0"/>
        <w:widowControl/>
        <w:suppressLineNumbers w:val="0"/>
        <w:bidi w:val="0"/>
        <w:rPr>
          <w:rFonts w:hint="eastAsia" w:ascii="仿宋" w:hAnsi="仿宋" w:eastAsia="仿宋" w:cs="仿宋"/>
          <w:sz w:val="30"/>
          <w:szCs w:val="30"/>
        </w:rPr>
      </w:pPr>
      <w:r>
        <w:rPr>
          <w:rStyle w:val="42"/>
          <w:rFonts w:hint="eastAsia" w:ascii="仿宋" w:hAnsi="仿宋" w:eastAsia="仿宋" w:cs="仿宋"/>
          <w:b/>
          <w:sz w:val="30"/>
          <w:szCs w:val="30"/>
        </w:rPr>
        <w:t>七、其他补充事宜</w:t>
      </w:r>
      <w:r>
        <w:rPr>
          <w:rFonts w:hint="eastAsia" w:ascii="仿宋" w:hAnsi="仿宋" w:eastAsia="仿宋" w:cs="仿宋"/>
          <w:sz w:val="30"/>
          <w:szCs w:val="30"/>
        </w:rPr>
        <w:t xml:space="preserve"> </w:t>
      </w:r>
    </w:p>
    <w:p>
      <w:pPr>
        <w:pStyle w:val="34"/>
        <w:keepNext w:val="0"/>
        <w:keepLines w:val="0"/>
        <w:widowControl/>
        <w:suppressLineNumbers w:val="0"/>
        <w:spacing w:before="75" w:beforeAutospacing="0" w:after="75" w:afterAutospacing="0"/>
        <w:ind w:right="720" w:firstLine="600" w:firstLineChars="200"/>
        <w:rPr>
          <w:rFonts w:hint="eastAsia" w:ascii="仿宋" w:hAnsi="仿宋" w:eastAsia="仿宋" w:cs="仿宋"/>
          <w:sz w:val="30"/>
          <w:szCs w:val="30"/>
        </w:rPr>
      </w:pPr>
      <w:r>
        <w:rPr>
          <w:rFonts w:hint="eastAsia" w:ascii="仿宋" w:hAnsi="仿宋" w:eastAsia="仿宋" w:cs="仿宋"/>
          <w:sz w:val="30"/>
          <w:szCs w:val="30"/>
        </w:rPr>
        <w:t>潜在供应商按以下步骤进行报名并获取采购文件：（1）网上注册：投标人须在海南省政府采购网(www.ccgp-hainan.gov.cn)中的海南省政府采购电子化交易管理系统(新)平台进行注册。 注意事项：本项目采用电子辅助操作，供应商应详细阅读海南省政府采购网的通知《海南省财政厅关于政府采购电子化交易管理系统全省推广应用的通知》，下载查看操作手册，在使用交易系统遇到问题可致电技术支持：0898-68546705。</w:t>
      </w:r>
    </w:p>
    <w:p>
      <w:pPr>
        <w:pStyle w:val="34"/>
        <w:keepNext w:val="0"/>
        <w:keepLines w:val="0"/>
        <w:widowControl/>
        <w:suppressLineNumbers w:val="0"/>
        <w:spacing w:before="75" w:beforeAutospacing="0" w:after="75" w:afterAutospacing="0"/>
        <w:ind w:right="720" w:firstLine="600" w:firstLineChars="200"/>
        <w:rPr>
          <w:rFonts w:hint="eastAsia" w:ascii="仿宋" w:hAnsi="仿宋" w:eastAsia="仿宋" w:cs="仿宋"/>
          <w:sz w:val="30"/>
          <w:szCs w:val="30"/>
        </w:rPr>
      </w:pPr>
      <w:r>
        <w:rPr>
          <w:rFonts w:hint="eastAsia" w:ascii="仿宋" w:hAnsi="仿宋" w:eastAsia="仿宋" w:cs="仿宋"/>
          <w:sz w:val="30"/>
          <w:szCs w:val="30"/>
        </w:rPr>
        <w:t>注意事项：本项目采用电子辅助操作，供应商应详细阅读海南省政府采购网的通知《海南省财政厅关于政府采购电子化交易管理系统全省推广应用的通知》，下载查看操作手册，在使用交易系统遇到问题可致电技术支持：0898-68546705。；</w:t>
      </w:r>
    </w:p>
    <w:p>
      <w:pPr>
        <w:keepNext w:val="0"/>
        <w:keepLines w:val="0"/>
        <w:widowControl/>
        <w:suppressLineNumbers w:val="0"/>
        <w:jc w:val="left"/>
        <w:rPr>
          <w:rFonts w:hint="eastAsia" w:ascii="仿宋" w:hAnsi="仿宋" w:eastAsia="仿宋" w:cs="仿宋"/>
          <w:sz w:val="30"/>
          <w:szCs w:val="30"/>
        </w:rPr>
      </w:pPr>
      <w:r>
        <w:rPr>
          <w:rStyle w:val="42"/>
          <w:rFonts w:hint="eastAsia" w:ascii="仿宋" w:hAnsi="仿宋" w:eastAsia="仿宋" w:cs="仿宋"/>
          <w:kern w:val="0"/>
          <w:sz w:val="30"/>
          <w:szCs w:val="30"/>
          <w:lang w:val="en-US" w:eastAsia="zh-CN" w:bidi="ar"/>
        </w:rPr>
        <w:t>八、凡对本次采购提出询问，请按以下方式联系</w:t>
      </w:r>
      <w:r>
        <w:rPr>
          <w:rFonts w:hint="eastAsia" w:ascii="仿宋" w:hAnsi="仿宋" w:eastAsia="仿宋" w:cs="仿宋"/>
          <w:kern w:val="0"/>
          <w:sz w:val="30"/>
          <w:szCs w:val="3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right="720"/>
        <w:jc w:val="left"/>
        <w:rPr>
          <w:rFonts w:hint="eastAsia" w:ascii="仿宋" w:hAnsi="仿宋" w:eastAsia="仿宋" w:cs="仿宋"/>
          <w:sz w:val="30"/>
          <w:szCs w:val="30"/>
        </w:rPr>
      </w:pPr>
      <w:r>
        <w:rPr>
          <w:rFonts w:hint="eastAsia" w:ascii="仿宋" w:hAnsi="仿宋" w:eastAsia="仿宋" w:cs="仿宋"/>
          <w:kern w:val="0"/>
          <w:sz w:val="30"/>
          <w:szCs w:val="30"/>
          <w:lang w:val="en-US" w:eastAsia="zh-CN" w:bidi="ar"/>
        </w:rPr>
        <w:t>1.采购人信息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720" w:firstLine="600" w:firstLineChars="200"/>
        <w:jc w:val="left"/>
        <w:rPr>
          <w:rFonts w:hint="eastAsia" w:ascii="仿宋" w:hAnsi="仿宋" w:eastAsia="仿宋" w:cs="仿宋"/>
          <w:sz w:val="30"/>
          <w:szCs w:val="30"/>
        </w:rPr>
      </w:pPr>
      <w:r>
        <w:rPr>
          <w:rFonts w:hint="eastAsia" w:ascii="仿宋" w:hAnsi="仿宋" w:eastAsia="仿宋" w:cs="仿宋"/>
          <w:kern w:val="0"/>
          <w:sz w:val="30"/>
          <w:szCs w:val="30"/>
          <w:lang w:val="en-US" w:eastAsia="zh-CN" w:bidi="ar"/>
        </w:rPr>
        <w:t>名 称：</w:t>
      </w:r>
      <w:r>
        <w:rPr>
          <w:rFonts w:hint="eastAsia" w:ascii="仿宋" w:hAnsi="仿宋" w:eastAsia="仿宋" w:cs="仿宋"/>
          <w:kern w:val="0"/>
          <w:sz w:val="30"/>
          <w:szCs w:val="30"/>
          <w:u w:val="single"/>
          <w:lang w:val="en-US" w:eastAsia="zh-CN" w:bidi="ar"/>
        </w:rPr>
        <w:t>儋州市中等职业技术学校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720" w:firstLine="600" w:firstLineChars="200"/>
        <w:jc w:val="left"/>
        <w:rPr>
          <w:rFonts w:hint="default" w:ascii="仿宋" w:hAnsi="仿宋" w:eastAsia="仿宋" w:cs="仿宋"/>
          <w:sz w:val="30"/>
          <w:szCs w:val="30"/>
          <w:u w:val="single"/>
          <w:lang w:val="en-US"/>
        </w:rPr>
      </w:pPr>
      <w:r>
        <w:rPr>
          <w:rFonts w:hint="eastAsia" w:ascii="仿宋" w:hAnsi="仿宋" w:eastAsia="仿宋" w:cs="仿宋"/>
          <w:kern w:val="0"/>
          <w:sz w:val="30"/>
          <w:szCs w:val="30"/>
          <w:lang w:val="en-US" w:eastAsia="zh-CN" w:bidi="ar"/>
        </w:rPr>
        <w:t>地 址：</w:t>
      </w:r>
      <w:r>
        <w:rPr>
          <w:rFonts w:hint="eastAsia" w:ascii="仿宋" w:hAnsi="仿宋" w:eastAsia="仿宋" w:cs="仿宋"/>
          <w:kern w:val="0"/>
          <w:sz w:val="30"/>
          <w:szCs w:val="30"/>
          <w:u w:val="single"/>
          <w:lang w:val="en-US" w:eastAsia="zh-CN" w:bidi="ar"/>
        </w:rPr>
        <w:t>儋州市那大大通路1号</w:t>
      </w:r>
    </w:p>
    <w:p>
      <w:pPr>
        <w:pStyle w:val="34"/>
        <w:keepNext w:val="0"/>
        <w:keepLines w:val="0"/>
        <w:widowControl/>
        <w:suppressLineNumbers w:val="0"/>
        <w:spacing w:before="75" w:beforeAutospacing="0" w:after="75" w:afterAutospacing="0"/>
        <w:ind w:right="720"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rPr>
        <w:t>联系方式：</w:t>
      </w:r>
      <w:r>
        <w:rPr>
          <w:rFonts w:hint="eastAsia" w:ascii="仿宋" w:hAnsi="仿宋" w:eastAsia="仿宋" w:cs="仿宋"/>
          <w:sz w:val="30"/>
          <w:szCs w:val="30"/>
          <w:lang w:val="en-US" w:eastAsia="zh-CN"/>
        </w:rPr>
        <w:t>魏老师0898-23381281</w:t>
      </w:r>
    </w:p>
    <w:p>
      <w:pPr>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right="720"/>
        <w:jc w:val="left"/>
        <w:rPr>
          <w:rFonts w:hint="eastAsia" w:ascii="仿宋" w:hAnsi="仿宋" w:eastAsia="仿宋" w:cs="仿宋"/>
          <w:sz w:val="30"/>
          <w:szCs w:val="30"/>
        </w:rPr>
      </w:pPr>
      <w:r>
        <w:rPr>
          <w:rFonts w:hint="eastAsia" w:ascii="仿宋" w:hAnsi="仿宋" w:eastAsia="仿宋" w:cs="仿宋"/>
          <w:kern w:val="0"/>
          <w:sz w:val="30"/>
          <w:szCs w:val="30"/>
          <w:lang w:val="en-US" w:eastAsia="zh-CN" w:bidi="ar"/>
        </w:rPr>
        <w:t>2.采购代理机构信息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720" w:firstLine="600" w:firstLineChars="200"/>
        <w:jc w:val="left"/>
        <w:rPr>
          <w:rFonts w:hint="eastAsia" w:ascii="仿宋" w:hAnsi="仿宋" w:eastAsia="仿宋" w:cs="仿宋"/>
          <w:sz w:val="30"/>
          <w:szCs w:val="30"/>
        </w:rPr>
      </w:pPr>
      <w:r>
        <w:rPr>
          <w:rFonts w:hint="eastAsia" w:ascii="仿宋" w:hAnsi="仿宋" w:eastAsia="仿宋" w:cs="仿宋"/>
          <w:kern w:val="0"/>
          <w:sz w:val="30"/>
          <w:szCs w:val="30"/>
          <w:lang w:val="en-US" w:eastAsia="zh-CN" w:bidi="ar"/>
        </w:rPr>
        <w:t>名 称：</w:t>
      </w:r>
      <w:r>
        <w:rPr>
          <w:rFonts w:hint="eastAsia" w:ascii="仿宋" w:hAnsi="仿宋" w:eastAsia="仿宋" w:cs="仿宋"/>
          <w:kern w:val="0"/>
          <w:sz w:val="30"/>
          <w:szCs w:val="30"/>
          <w:u w:val="single"/>
          <w:lang w:val="en-US" w:eastAsia="zh-CN" w:bidi="ar"/>
        </w:rPr>
        <w:t>海南卓泰工程项目管理有限公司</w:t>
      </w:r>
      <w:r>
        <w:rPr>
          <w:rFonts w:hint="eastAsia" w:ascii="仿宋" w:hAnsi="仿宋" w:eastAsia="仿宋" w:cs="仿宋"/>
          <w:kern w:val="0"/>
          <w:sz w:val="30"/>
          <w:szCs w:val="3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720" w:firstLine="600" w:firstLineChars="200"/>
        <w:jc w:val="left"/>
        <w:rPr>
          <w:rFonts w:hint="eastAsia" w:ascii="仿宋" w:hAnsi="仿宋" w:eastAsia="仿宋" w:cs="仿宋"/>
          <w:sz w:val="30"/>
          <w:szCs w:val="30"/>
          <w:u w:val="single"/>
          <w:lang w:val="en-US" w:eastAsia="zh-CN"/>
        </w:rPr>
      </w:pPr>
      <w:r>
        <w:rPr>
          <w:rFonts w:hint="eastAsia" w:ascii="仿宋" w:hAnsi="仿宋" w:eastAsia="仿宋" w:cs="仿宋"/>
          <w:kern w:val="0"/>
          <w:sz w:val="30"/>
          <w:szCs w:val="30"/>
          <w:lang w:val="en-US" w:eastAsia="zh-CN" w:bidi="ar"/>
        </w:rPr>
        <w:t>地 址：</w:t>
      </w:r>
      <w:r>
        <w:rPr>
          <w:rFonts w:hint="eastAsia" w:ascii="仿宋" w:hAnsi="仿宋" w:eastAsia="仿宋" w:cs="仿宋"/>
          <w:sz w:val="30"/>
          <w:szCs w:val="30"/>
          <w:u w:val="single"/>
        </w:rPr>
        <w:t>海南省儋州市那大镇</w:t>
      </w:r>
      <w:r>
        <w:rPr>
          <w:rFonts w:hint="eastAsia" w:ascii="仿宋" w:hAnsi="仿宋" w:eastAsia="仿宋" w:cs="仿宋"/>
          <w:sz w:val="30"/>
          <w:szCs w:val="30"/>
          <w:u w:val="single"/>
          <w:lang w:val="en-US" w:eastAsia="zh-CN"/>
        </w:rPr>
        <w:t>中兴大道新世界花园小区B9号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720" w:firstLine="600" w:firstLineChars="200"/>
        <w:jc w:val="left"/>
        <w:rPr>
          <w:rFonts w:hint="default" w:ascii="仿宋" w:hAnsi="仿宋" w:eastAsia="仿宋" w:cs="仿宋"/>
          <w:sz w:val="30"/>
          <w:szCs w:val="30"/>
          <w:lang w:val="en-US"/>
        </w:rPr>
      </w:pPr>
      <w:r>
        <w:rPr>
          <w:rFonts w:hint="eastAsia" w:ascii="仿宋" w:hAnsi="仿宋" w:eastAsia="仿宋" w:cs="仿宋"/>
          <w:kern w:val="0"/>
          <w:sz w:val="30"/>
          <w:szCs w:val="30"/>
          <w:lang w:val="en-US" w:eastAsia="zh-CN" w:bidi="ar"/>
        </w:rPr>
        <w:t>联系方式：</w:t>
      </w:r>
      <w:r>
        <w:rPr>
          <w:rFonts w:hint="eastAsia" w:ascii="仿宋" w:hAnsi="仿宋" w:eastAsia="仿宋" w:cs="仿宋"/>
          <w:kern w:val="0"/>
          <w:sz w:val="30"/>
          <w:szCs w:val="30"/>
          <w:u w:val="single"/>
          <w:lang w:val="en-US" w:eastAsia="zh-CN" w:bidi="ar"/>
        </w:rPr>
        <w:t>0989-23589679</w:t>
      </w:r>
    </w:p>
    <w:p>
      <w:pPr>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right="720"/>
        <w:jc w:val="left"/>
        <w:rPr>
          <w:rFonts w:hint="eastAsia" w:ascii="仿宋" w:hAnsi="仿宋" w:eastAsia="仿宋" w:cs="仿宋"/>
          <w:sz w:val="30"/>
          <w:szCs w:val="30"/>
        </w:rPr>
      </w:pPr>
      <w:r>
        <w:rPr>
          <w:rFonts w:hint="eastAsia" w:ascii="仿宋" w:hAnsi="仿宋" w:eastAsia="仿宋" w:cs="仿宋"/>
          <w:kern w:val="0"/>
          <w:sz w:val="30"/>
          <w:szCs w:val="30"/>
          <w:lang w:val="en-US" w:eastAsia="zh-CN" w:bidi="ar"/>
        </w:rPr>
        <w:t>3.项目联系方式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720" w:firstLine="600" w:firstLineChars="200"/>
        <w:jc w:val="left"/>
        <w:rPr>
          <w:rFonts w:hint="eastAsia" w:ascii="仿宋" w:hAnsi="仿宋" w:eastAsia="仿宋" w:cs="仿宋"/>
          <w:sz w:val="30"/>
          <w:szCs w:val="30"/>
        </w:rPr>
      </w:pPr>
      <w:r>
        <w:rPr>
          <w:rFonts w:hint="eastAsia" w:ascii="仿宋" w:hAnsi="仿宋" w:eastAsia="仿宋" w:cs="仿宋"/>
          <w:kern w:val="0"/>
          <w:sz w:val="30"/>
          <w:szCs w:val="30"/>
          <w:lang w:val="en-US" w:eastAsia="zh-CN" w:bidi="ar"/>
        </w:rPr>
        <w:t>项目联系人：</w:t>
      </w:r>
      <w:r>
        <w:rPr>
          <w:rFonts w:hint="eastAsia" w:ascii="仿宋" w:hAnsi="仿宋" w:eastAsia="仿宋" w:cs="仿宋"/>
          <w:kern w:val="0"/>
          <w:sz w:val="30"/>
          <w:szCs w:val="30"/>
          <w:u w:val="single"/>
          <w:lang w:val="en-US" w:eastAsia="zh-CN" w:bidi="ar"/>
        </w:rPr>
        <w:t>王工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720" w:firstLine="600" w:firstLineChars="200"/>
        <w:jc w:val="left"/>
        <w:rPr>
          <w:rFonts w:hint="eastAsia" w:ascii="仿宋" w:hAnsi="仿宋" w:eastAsia="仿宋" w:cs="仿宋"/>
          <w:sz w:val="30"/>
          <w:szCs w:val="30"/>
        </w:rPr>
      </w:pPr>
      <w:r>
        <w:rPr>
          <w:rFonts w:hint="eastAsia" w:ascii="仿宋" w:hAnsi="仿宋" w:eastAsia="仿宋" w:cs="仿宋"/>
          <w:kern w:val="0"/>
          <w:sz w:val="30"/>
          <w:szCs w:val="30"/>
          <w:lang w:val="en-US" w:eastAsia="zh-CN" w:bidi="ar"/>
        </w:rPr>
        <w:t>电 话：</w:t>
      </w:r>
      <w:r>
        <w:rPr>
          <w:rFonts w:hint="eastAsia" w:ascii="仿宋" w:hAnsi="仿宋" w:eastAsia="仿宋" w:cs="仿宋"/>
          <w:kern w:val="0"/>
          <w:sz w:val="30"/>
          <w:szCs w:val="30"/>
          <w:u w:val="single"/>
          <w:lang w:val="en-US" w:eastAsia="zh-CN" w:bidi="ar"/>
        </w:rPr>
        <w:t>0989-23589679</w:t>
      </w:r>
    </w:p>
    <w:p>
      <w:pPr>
        <w:pStyle w:val="2"/>
        <w:pageBreakBefore w:val="0"/>
        <w:kinsoku/>
        <w:overflowPunct/>
        <w:bidi w:val="0"/>
        <w:spacing w:line="360" w:lineRule="auto"/>
        <w:outlineLvl w:val="9"/>
      </w:pPr>
      <w:r>
        <w:br w:type="page"/>
      </w:r>
    </w:p>
    <w:p>
      <w:pPr>
        <w:pStyle w:val="4"/>
        <w:bidi w:val="0"/>
      </w:pPr>
      <w:bookmarkStart w:id="28" w:name="_Toc16616"/>
      <w:bookmarkStart w:id="29" w:name="_Toc87865795"/>
      <w:r>
        <w:rPr>
          <w:rFonts w:hint="eastAsia"/>
        </w:rPr>
        <w:t>第二章 供应商须知</w:t>
      </w:r>
      <w:bookmarkEnd w:id="21"/>
      <w:bookmarkEnd w:id="22"/>
      <w:bookmarkEnd w:id="23"/>
      <w:bookmarkEnd w:id="24"/>
      <w:bookmarkEnd w:id="25"/>
      <w:bookmarkEnd w:id="26"/>
      <w:bookmarkEnd w:id="27"/>
      <w:bookmarkEnd w:id="28"/>
      <w:bookmarkEnd w:id="29"/>
    </w:p>
    <w:p>
      <w:pPr>
        <w:pageBreakBefore w:val="0"/>
        <w:kinsoku/>
        <w:wordWrap w:val="0"/>
        <w:overflowPunct/>
        <w:bidi w:val="0"/>
        <w:snapToGrid w:val="0"/>
        <w:spacing w:line="360" w:lineRule="auto"/>
        <w:jc w:val="center"/>
        <w:rPr>
          <w:rFonts w:ascii="宋体" w:hAnsi="宋体" w:cs="宋体"/>
          <w:b/>
          <w:sz w:val="28"/>
          <w:szCs w:val="28"/>
        </w:rPr>
      </w:pPr>
      <w:bookmarkStart w:id="30" w:name="_Toc247085688"/>
      <w:bookmarkStart w:id="31" w:name="_Toc425177119"/>
      <w:bookmarkStart w:id="32" w:name="_Toc144974496"/>
      <w:bookmarkStart w:id="33" w:name="_Toc179632545"/>
      <w:bookmarkStart w:id="34" w:name="_Toc246996174"/>
      <w:bookmarkStart w:id="35" w:name="_Toc152042304"/>
      <w:bookmarkStart w:id="36" w:name="_Toc246996917"/>
      <w:bookmarkStart w:id="37" w:name="_Toc152045528"/>
      <w:r>
        <w:rPr>
          <w:rFonts w:hint="eastAsia" w:ascii="宋体" w:hAnsi="宋体" w:cs="宋体"/>
          <w:b/>
          <w:sz w:val="28"/>
          <w:szCs w:val="28"/>
        </w:rPr>
        <w:t>供应商须知前附表</w:t>
      </w:r>
      <w:bookmarkEnd w:id="30"/>
      <w:bookmarkEnd w:id="31"/>
      <w:bookmarkEnd w:id="32"/>
      <w:bookmarkEnd w:id="33"/>
      <w:bookmarkEnd w:id="34"/>
      <w:bookmarkEnd w:id="35"/>
      <w:bookmarkEnd w:id="36"/>
      <w:bookmarkEnd w:id="37"/>
    </w:p>
    <w:p>
      <w:pPr>
        <w:pageBreakBefore w:val="0"/>
        <w:kinsoku/>
        <w:wordWrap w:val="0"/>
        <w:overflowPunct/>
        <w:bidi w:val="0"/>
        <w:spacing w:line="360" w:lineRule="auto"/>
        <w:jc w:val="center"/>
        <w:rPr>
          <w:rFonts w:ascii="宋体" w:hAnsi="宋体" w:cs="宋体"/>
          <w:sz w:val="24"/>
          <w:szCs w:val="24"/>
        </w:rPr>
      </w:pPr>
      <w:r>
        <w:rPr>
          <w:rFonts w:hint="eastAsia" w:ascii="宋体" w:hAnsi="宋体" w:cs="宋体"/>
          <w:sz w:val="24"/>
          <w:szCs w:val="24"/>
        </w:rPr>
        <w:t>“供应商须知前附表”用于进一步明确正文中的未尽事宜，如有与本章正文内容不一致的，以本表的内容为准。</w:t>
      </w:r>
    </w:p>
    <w:tbl>
      <w:tblPr>
        <w:tblStyle w:val="39"/>
        <w:tblW w:w="0" w:type="auto"/>
        <w:jc w:val="center"/>
        <w:tblLayout w:type="fixed"/>
        <w:tblCellMar>
          <w:top w:w="0" w:type="dxa"/>
          <w:left w:w="108" w:type="dxa"/>
          <w:bottom w:w="0" w:type="dxa"/>
          <w:right w:w="108" w:type="dxa"/>
        </w:tblCellMar>
      </w:tblPr>
      <w:tblGrid>
        <w:gridCol w:w="1008"/>
        <w:gridCol w:w="2175"/>
        <w:gridCol w:w="6520"/>
      </w:tblGrid>
      <w:tr>
        <w:tblPrEx>
          <w:tblCellMar>
            <w:top w:w="0" w:type="dxa"/>
            <w:left w:w="108" w:type="dxa"/>
            <w:bottom w:w="0" w:type="dxa"/>
            <w:right w:w="108" w:type="dxa"/>
          </w:tblCellMar>
        </w:tblPrEx>
        <w:trPr>
          <w:trHeight w:val="127"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b/>
                <w:sz w:val="24"/>
              </w:rPr>
            </w:pPr>
            <w:r>
              <w:rPr>
                <w:rFonts w:hint="eastAsia" w:ascii="宋体" w:hAnsi="宋体" w:cs="宋体"/>
                <w:b/>
                <w:sz w:val="24"/>
              </w:rPr>
              <w:t>条款号</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b/>
                <w:sz w:val="24"/>
              </w:rPr>
            </w:pPr>
            <w:r>
              <w:rPr>
                <w:rFonts w:hint="eastAsia" w:ascii="宋体" w:hAnsi="宋体" w:cs="宋体"/>
                <w:b/>
                <w:sz w:val="24"/>
              </w:rPr>
              <w:t>条  款  名  称</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b/>
                <w:sz w:val="24"/>
              </w:rPr>
            </w:pPr>
            <w:r>
              <w:rPr>
                <w:rFonts w:hint="eastAsia" w:ascii="宋体" w:hAnsi="宋体" w:cs="宋体"/>
                <w:b/>
                <w:sz w:val="24"/>
              </w:rPr>
              <w:t>编  列  内  容</w:t>
            </w:r>
          </w:p>
        </w:tc>
      </w:tr>
      <w:tr>
        <w:tblPrEx>
          <w:tblCellMar>
            <w:top w:w="0" w:type="dxa"/>
            <w:left w:w="108" w:type="dxa"/>
            <w:bottom w:w="0" w:type="dxa"/>
            <w:right w:w="108" w:type="dxa"/>
          </w:tblCellMar>
        </w:tblPrEx>
        <w:trPr>
          <w:trHeight w:val="231"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eastAsia" w:ascii="宋体" w:hAnsi="宋体" w:eastAsia="宋体" w:cs="宋体"/>
                <w:sz w:val="24"/>
                <w:lang w:eastAsia="zh-CN"/>
              </w:rPr>
            </w:pPr>
            <w:r>
              <w:rPr>
                <w:rFonts w:hint="eastAsia" w:ascii="宋体" w:hAnsi="宋体" w:cs="宋体"/>
                <w:sz w:val="24"/>
              </w:rPr>
              <w:t>1.1</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采购人</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hint="eastAsia" w:ascii="宋体" w:hAnsi="宋体" w:eastAsia="宋体" w:cs="宋体"/>
                <w:sz w:val="24"/>
                <w:lang w:eastAsia="zh-CN"/>
              </w:rPr>
            </w:pPr>
            <w:r>
              <w:rPr>
                <w:rFonts w:hint="eastAsia" w:ascii="宋体" w:hAnsi="宋体" w:cs="宋体"/>
                <w:sz w:val="24"/>
                <w:lang w:eastAsia="zh-CN"/>
              </w:rPr>
              <w:t>儋州市中等职业技术学校</w:t>
            </w:r>
          </w:p>
        </w:tc>
      </w:tr>
      <w:tr>
        <w:tblPrEx>
          <w:tblCellMar>
            <w:top w:w="0" w:type="dxa"/>
            <w:left w:w="108" w:type="dxa"/>
            <w:bottom w:w="0" w:type="dxa"/>
            <w:right w:w="108" w:type="dxa"/>
          </w:tblCellMar>
        </w:tblPrEx>
        <w:trPr>
          <w:trHeight w:val="193"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eastAsia" w:ascii="宋体" w:hAnsi="宋体" w:eastAsia="宋体" w:cs="宋体"/>
                <w:sz w:val="24"/>
                <w:lang w:eastAsia="zh-CN"/>
              </w:rPr>
            </w:pPr>
            <w:r>
              <w:rPr>
                <w:rFonts w:hint="eastAsia" w:ascii="宋体" w:hAnsi="宋体" w:cs="宋体"/>
                <w:sz w:val="24"/>
              </w:rPr>
              <w:t>1.</w:t>
            </w:r>
            <w:r>
              <w:rPr>
                <w:rFonts w:hint="eastAsia" w:ascii="宋体" w:hAnsi="宋体" w:cs="宋体"/>
                <w:sz w:val="24"/>
                <w:lang w:val="en-US" w:eastAsia="zh-CN"/>
              </w:rPr>
              <w:t>2</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代理机构</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hint="eastAsia" w:ascii="宋体" w:hAnsi="宋体" w:eastAsia="宋体" w:cs="宋体"/>
                <w:sz w:val="24"/>
                <w:lang w:eastAsia="zh-CN"/>
              </w:rPr>
            </w:pPr>
            <w:r>
              <w:rPr>
                <w:rFonts w:hint="eastAsia" w:ascii="宋体" w:hAnsi="宋体" w:cs="宋体"/>
                <w:sz w:val="24"/>
                <w:lang w:eastAsia="zh-CN"/>
              </w:rPr>
              <w:t>海南卓泰工程项目管理有限公司</w:t>
            </w:r>
          </w:p>
        </w:tc>
      </w:tr>
      <w:tr>
        <w:tblPrEx>
          <w:tblCellMar>
            <w:top w:w="0" w:type="dxa"/>
            <w:left w:w="108" w:type="dxa"/>
            <w:bottom w:w="0" w:type="dxa"/>
            <w:right w:w="108" w:type="dxa"/>
          </w:tblCellMar>
        </w:tblPrEx>
        <w:trPr>
          <w:trHeight w:val="269"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eastAsia" w:ascii="宋体" w:hAnsi="宋体" w:eastAsia="宋体" w:cs="宋体"/>
                <w:sz w:val="24"/>
                <w:lang w:eastAsia="zh-CN"/>
              </w:rPr>
            </w:pPr>
            <w:r>
              <w:rPr>
                <w:rFonts w:hint="eastAsia" w:ascii="宋体" w:hAnsi="宋体" w:cs="宋体"/>
                <w:sz w:val="24"/>
              </w:rPr>
              <w:t>1.</w:t>
            </w:r>
            <w:r>
              <w:rPr>
                <w:rFonts w:hint="eastAsia" w:ascii="宋体" w:hAnsi="宋体" w:cs="宋体"/>
                <w:sz w:val="24"/>
                <w:lang w:val="en-US" w:eastAsia="zh-CN"/>
              </w:rPr>
              <w:t>3</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项目名称</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b/>
                <w:sz w:val="24"/>
              </w:rPr>
            </w:pPr>
            <w:r>
              <w:rPr>
                <w:rFonts w:hint="eastAsia" w:ascii="宋体" w:hAnsi="宋体" w:cs="宋体"/>
                <w:sz w:val="24"/>
                <w:lang w:eastAsia="zh-CN"/>
              </w:rPr>
              <w:t>烹饪、面点实训基地改造项目</w:t>
            </w:r>
          </w:p>
        </w:tc>
      </w:tr>
      <w:tr>
        <w:tblPrEx>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eastAsia" w:ascii="宋体" w:hAnsi="宋体" w:eastAsia="宋体" w:cs="宋体"/>
                <w:sz w:val="24"/>
                <w:lang w:eastAsia="zh-CN"/>
              </w:rPr>
            </w:pPr>
            <w:r>
              <w:rPr>
                <w:rFonts w:hint="eastAsia" w:ascii="宋体" w:hAnsi="宋体" w:cs="宋体"/>
                <w:sz w:val="24"/>
              </w:rPr>
              <w:t>1.</w:t>
            </w:r>
            <w:r>
              <w:rPr>
                <w:rFonts w:hint="eastAsia" w:ascii="宋体" w:hAnsi="宋体" w:cs="宋体"/>
                <w:sz w:val="24"/>
                <w:lang w:val="en-US" w:eastAsia="zh-CN"/>
              </w:rPr>
              <w:t>4</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项目地点</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 w:val="24"/>
              </w:rPr>
            </w:pPr>
            <w:r>
              <w:rPr>
                <w:rFonts w:hint="eastAsia" w:ascii="宋体" w:hAnsi="宋体" w:cs="宋体"/>
                <w:sz w:val="24"/>
                <w:lang w:eastAsia="zh-CN"/>
              </w:rPr>
              <w:t>儋州市中等职业技术学校</w:t>
            </w:r>
          </w:p>
        </w:tc>
      </w:tr>
      <w:tr>
        <w:tblPrEx>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2.1</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资金来源</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 w:val="24"/>
              </w:rPr>
            </w:pPr>
            <w:r>
              <w:rPr>
                <w:rFonts w:hint="eastAsia" w:ascii="宋体" w:hAnsi="宋体" w:cs="宋体"/>
                <w:sz w:val="24"/>
                <w:lang w:val="en-US" w:eastAsia="zh-CN"/>
              </w:rPr>
              <w:t>政府</w:t>
            </w:r>
            <w:r>
              <w:rPr>
                <w:rFonts w:hint="eastAsia" w:ascii="宋体" w:hAnsi="宋体" w:cs="宋体"/>
                <w:sz w:val="24"/>
              </w:rPr>
              <w:t>资金</w:t>
            </w:r>
          </w:p>
        </w:tc>
      </w:tr>
      <w:tr>
        <w:tblPrEx>
          <w:tblCellMar>
            <w:top w:w="0" w:type="dxa"/>
            <w:left w:w="108" w:type="dxa"/>
            <w:bottom w:w="0" w:type="dxa"/>
            <w:right w:w="108" w:type="dxa"/>
          </w:tblCellMar>
        </w:tblPrEx>
        <w:trPr>
          <w:trHeight w:val="117"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eastAsia" w:ascii="宋体" w:hAnsi="宋体" w:eastAsia="宋体" w:cs="宋体"/>
                <w:sz w:val="24"/>
                <w:lang w:eastAsia="zh-CN"/>
              </w:rPr>
            </w:pPr>
            <w:r>
              <w:rPr>
                <w:rFonts w:hint="eastAsia" w:ascii="宋体" w:hAnsi="宋体" w:cs="宋体"/>
                <w:sz w:val="24"/>
              </w:rPr>
              <w:t>2.</w:t>
            </w:r>
            <w:r>
              <w:rPr>
                <w:rFonts w:hint="eastAsia" w:ascii="宋体" w:hAnsi="宋体" w:cs="宋体"/>
                <w:sz w:val="24"/>
                <w:lang w:val="en-US" w:eastAsia="zh-CN"/>
              </w:rPr>
              <w:t>2</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出资比例</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 w:val="24"/>
              </w:rPr>
            </w:pPr>
            <w:r>
              <w:rPr>
                <w:rFonts w:hint="eastAsia" w:ascii="宋体" w:hAnsi="宋体" w:cs="宋体"/>
                <w:sz w:val="24"/>
              </w:rPr>
              <w:t>100%</w:t>
            </w:r>
          </w:p>
        </w:tc>
      </w:tr>
      <w:tr>
        <w:tblPrEx>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eastAsia" w:ascii="宋体" w:hAnsi="宋体" w:eastAsia="宋体" w:cs="宋体"/>
                <w:sz w:val="24"/>
                <w:lang w:eastAsia="zh-CN"/>
              </w:rPr>
            </w:pPr>
            <w:r>
              <w:rPr>
                <w:rFonts w:hint="eastAsia" w:ascii="宋体" w:hAnsi="宋体" w:cs="宋体"/>
                <w:sz w:val="24"/>
              </w:rPr>
              <w:t>2.</w:t>
            </w:r>
            <w:r>
              <w:rPr>
                <w:rFonts w:hint="eastAsia" w:ascii="宋体" w:hAnsi="宋体" w:cs="宋体"/>
                <w:sz w:val="24"/>
                <w:lang w:val="en-US" w:eastAsia="zh-CN"/>
              </w:rPr>
              <w:t>3</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资金落实情况</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 w:val="24"/>
              </w:rPr>
            </w:pPr>
            <w:r>
              <w:rPr>
                <w:rFonts w:hint="eastAsia" w:ascii="宋体" w:hAnsi="宋体" w:cs="宋体"/>
                <w:sz w:val="24"/>
              </w:rPr>
              <w:t>已落实</w:t>
            </w:r>
          </w:p>
        </w:tc>
      </w:tr>
      <w:tr>
        <w:tblPrEx>
          <w:tblCellMar>
            <w:top w:w="0" w:type="dxa"/>
            <w:left w:w="108" w:type="dxa"/>
            <w:bottom w:w="0" w:type="dxa"/>
            <w:right w:w="108" w:type="dxa"/>
          </w:tblCellMar>
        </w:tblPrEx>
        <w:trPr>
          <w:trHeight w:val="325"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eastAsia" w:ascii="宋体" w:hAnsi="宋体" w:eastAsia="宋体" w:cs="宋体"/>
                <w:sz w:val="24"/>
                <w:lang w:eastAsia="zh-CN"/>
              </w:rPr>
            </w:pPr>
            <w:r>
              <w:rPr>
                <w:rFonts w:hint="eastAsia" w:ascii="宋体" w:hAnsi="宋体" w:cs="宋体"/>
                <w:sz w:val="24"/>
              </w:rPr>
              <w:t>3.</w:t>
            </w:r>
            <w:r>
              <w:rPr>
                <w:rFonts w:hint="eastAsia" w:ascii="宋体" w:hAnsi="宋体" w:cs="宋体"/>
                <w:sz w:val="24"/>
                <w:lang w:val="en-US" w:eastAsia="zh-CN"/>
              </w:rPr>
              <w:t>1</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eastAsia" w:ascii="宋体" w:hAnsi="宋体" w:cs="宋体"/>
                <w:sz w:val="24"/>
              </w:rPr>
            </w:pPr>
            <w:r>
              <w:rPr>
                <w:rFonts w:hint="eastAsia" w:ascii="宋体" w:hAnsi="宋体" w:cs="宋体"/>
                <w:sz w:val="24"/>
              </w:rPr>
              <w:t>合同履行期限</w:t>
            </w:r>
          </w:p>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（工期）</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 w:val="24"/>
              </w:rPr>
            </w:pPr>
            <w:r>
              <w:rPr>
                <w:rFonts w:hint="eastAsia" w:ascii="宋体" w:hAnsi="宋体" w:cs="Arial"/>
                <w:sz w:val="24"/>
                <w:lang w:val="en-US" w:eastAsia="zh-CN"/>
              </w:rPr>
              <w:t>120</w:t>
            </w:r>
            <w:r>
              <w:rPr>
                <w:rFonts w:hint="eastAsia" w:ascii="宋体" w:hAnsi="宋体" w:cs="Arial"/>
                <w:sz w:val="24"/>
              </w:rPr>
              <w:t>日历天</w:t>
            </w:r>
          </w:p>
        </w:tc>
      </w:tr>
      <w:tr>
        <w:tblPrEx>
          <w:tblCellMar>
            <w:top w:w="0" w:type="dxa"/>
            <w:left w:w="108" w:type="dxa"/>
            <w:bottom w:w="0" w:type="dxa"/>
            <w:right w:w="108" w:type="dxa"/>
          </w:tblCellMar>
        </w:tblPrEx>
        <w:trPr>
          <w:trHeight w:val="245"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eastAsia" w:ascii="宋体" w:hAnsi="宋体" w:eastAsia="宋体" w:cs="宋体"/>
                <w:sz w:val="24"/>
                <w:lang w:eastAsia="zh-CN"/>
              </w:rPr>
            </w:pPr>
            <w:r>
              <w:rPr>
                <w:rFonts w:hint="eastAsia" w:ascii="宋体" w:hAnsi="宋体" w:cs="宋体"/>
                <w:sz w:val="24"/>
              </w:rPr>
              <w:t>3.</w:t>
            </w:r>
            <w:r>
              <w:rPr>
                <w:rFonts w:hint="eastAsia" w:ascii="宋体" w:hAnsi="宋体" w:cs="宋体"/>
                <w:sz w:val="24"/>
                <w:lang w:val="en-US" w:eastAsia="zh-CN"/>
              </w:rPr>
              <w:t>2</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质量要求</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hint="eastAsia" w:ascii="宋体" w:hAnsi="宋体" w:eastAsia="宋体" w:cs="宋体"/>
                <w:sz w:val="24"/>
                <w:lang w:eastAsia="zh-CN"/>
              </w:rPr>
            </w:pPr>
            <w:r>
              <w:rPr>
                <w:rFonts w:hint="eastAsia" w:ascii="宋体" w:hAnsi="宋体" w:cs="Arial"/>
                <w:sz w:val="24"/>
              </w:rPr>
              <w:t>符合国家现行有关规范标准合格</w:t>
            </w:r>
          </w:p>
        </w:tc>
      </w:tr>
      <w:tr>
        <w:tblPrEx>
          <w:tblCellMar>
            <w:top w:w="0" w:type="dxa"/>
            <w:left w:w="108" w:type="dxa"/>
            <w:bottom w:w="0" w:type="dxa"/>
            <w:right w:w="108" w:type="dxa"/>
          </w:tblCellMar>
        </w:tblPrEx>
        <w:trPr>
          <w:trHeight w:val="54"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lang w:val="en-US" w:eastAsia="zh-CN"/>
              </w:rPr>
              <w:t>4</w:t>
            </w:r>
            <w:r>
              <w:rPr>
                <w:rFonts w:hint="eastAsia" w:ascii="宋体" w:hAnsi="宋体" w:cs="宋体"/>
                <w:sz w:val="24"/>
              </w:rPr>
              <w:t>.1</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shd w:val="solid" w:color="FFFFFF" w:fill="auto"/>
              <w:kinsoku/>
              <w:wordWrap w:val="0"/>
              <w:overflowPunct/>
              <w:autoSpaceDN w:val="0"/>
              <w:bidi w:val="0"/>
              <w:spacing w:line="360" w:lineRule="auto"/>
              <w:ind w:right="199" w:rightChars="95"/>
              <w:jc w:val="center"/>
              <w:rPr>
                <w:rFonts w:ascii="宋体" w:hAnsi="宋体" w:cs="宋体"/>
                <w:kern w:val="0"/>
                <w:sz w:val="24"/>
              </w:rPr>
            </w:pPr>
            <w:r>
              <w:rPr>
                <w:rFonts w:hint="eastAsia" w:ascii="宋体" w:hAnsi="宋体" w:cs="宋体"/>
                <w:kern w:val="0"/>
                <w:sz w:val="24"/>
              </w:rPr>
              <w:t>踏勘现场</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shd w:val="solid" w:color="FFFFFF" w:fill="auto"/>
              <w:kinsoku/>
              <w:wordWrap w:val="0"/>
              <w:overflowPunct/>
              <w:autoSpaceDN w:val="0"/>
              <w:bidi w:val="0"/>
              <w:spacing w:line="360" w:lineRule="auto"/>
              <w:ind w:right="199" w:rightChars="95"/>
              <w:rPr>
                <w:rFonts w:ascii="宋体" w:hAnsi="宋体" w:cs="宋体"/>
                <w:kern w:val="0"/>
                <w:sz w:val="24"/>
              </w:rPr>
            </w:pPr>
            <w:r>
              <w:rPr>
                <w:rFonts w:hint="eastAsia" w:ascii="宋体" w:hAnsi="宋体" w:cs="宋体"/>
                <w:kern w:val="0"/>
                <w:sz w:val="24"/>
              </w:rPr>
              <w:t>√不组织,自行踏勘</w:t>
            </w:r>
          </w:p>
        </w:tc>
      </w:tr>
      <w:tr>
        <w:tblPrEx>
          <w:tblCellMar>
            <w:top w:w="0" w:type="dxa"/>
            <w:left w:w="108" w:type="dxa"/>
            <w:bottom w:w="0" w:type="dxa"/>
            <w:right w:w="108" w:type="dxa"/>
          </w:tblCellMar>
        </w:tblPrEx>
        <w:trPr>
          <w:trHeight w:val="54"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lang w:val="en-US" w:eastAsia="zh-CN"/>
              </w:rPr>
              <w:t>5</w:t>
            </w:r>
            <w:r>
              <w:rPr>
                <w:rFonts w:hint="eastAsia" w:ascii="宋体" w:hAnsi="宋体" w:cs="宋体"/>
                <w:sz w:val="24"/>
              </w:rPr>
              <w:t>.1</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磋商前答疑会</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shd w:val="solid" w:color="FFFFFF" w:fill="auto"/>
              <w:kinsoku/>
              <w:wordWrap w:val="0"/>
              <w:overflowPunct/>
              <w:autoSpaceDN w:val="0"/>
              <w:bidi w:val="0"/>
              <w:spacing w:line="360" w:lineRule="auto"/>
              <w:ind w:right="199" w:rightChars="95"/>
              <w:rPr>
                <w:rFonts w:ascii="宋体" w:hAnsi="宋体" w:cs="宋体"/>
                <w:sz w:val="24"/>
              </w:rPr>
            </w:pPr>
            <w:r>
              <w:rPr>
                <w:rFonts w:hint="eastAsia" w:ascii="宋体" w:hAnsi="宋体" w:cs="宋体"/>
                <w:kern w:val="0"/>
                <w:sz w:val="24"/>
              </w:rPr>
              <w:t>√不召开</w:t>
            </w:r>
          </w:p>
        </w:tc>
      </w:tr>
      <w:tr>
        <w:tblPrEx>
          <w:tblCellMar>
            <w:top w:w="0" w:type="dxa"/>
            <w:left w:w="108" w:type="dxa"/>
            <w:bottom w:w="0" w:type="dxa"/>
            <w:right w:w="108" w:type="dxa"/>
          </w:tblCellMar>
        </w:tblPrEx>
        <w:trPr>
          <w:trHeight w:val="212"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6.1</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偏离</w:t>
            </w:r>
          </w:p>
        </w:tc>
        <w:tc>
          <w:tcPr>
            <w:tcW w:w="6520" w:type="dxa"/>
            <w:tcBorders>
              <w:top w:val="single" w:color="auto" w:sz="4" w:space="0"/>
              <w:left w:val="single" w:color="auto" w:sz="4" w:space="0"/>
              <w:bottom w:val="single" w:color="auto" w:sz="4" w:space="0"/>
              <w:right w:val="single" w:color="auto" w:sz="4" w:space="0"/>
            </w:tcBorders>
            <w:vAlign w:val="center"/>
          </w:tcPr>
          <w:p>
            <w:pPr>
              <w:pStyle w:val="14"/>
              <w:pageBreakBefore w:val="0"/>
              <w:kinsoku/>
              <w:wordWrap w:val="0"/>
              <w:overflowPunct/>
              <w:topLinePunct/>
              <w:bidi w:val="0"/>
              <w:spacing w:line="360" w:lineRule="auto"/>
              <w:rPr>
                <w:rFonts w:hAnsi="宋体" w:cs="宋体"/>
                <w:szCs w:val="24"/>
              </w:rPr>
            </w:pPr>
            <w:r>
              <w:rPr>
                <w:rFonts w:hint="eastAsia" w:hAnsi="宋体" w:cs="宋体"/>
                <w:szCs w:val="24"/>
              </w:rPr>
              <w:t>不允许</w:t>
            </w:r>
          </w:p>
        </w:tc>
      </w:tr>
      <w:tr>
        <w:tblPrEx>
          <w:tblCellMar>
            <w:top w:w="0" w:type="dxa"/>
            <w:left w:w="108" w:type="dxa"/>
            <w:bottom w:w="0" w:type="dxa"/>
            <w:right w:w="108" w:type="dxa"/>
          </w:tblCellMar>
        </w:tblPrEx>
        <w:trPr>
          <w:trHeight w:val="377"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7.1</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构成磋商文件的其他材料</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 w:val="24"/>
              </w:rPr>
            </w:pPr>
            <w:r>
              <w:rPr>
                <w:rFonts w:hint="eastAsia" w:ascii="宋体" w:hAnsi="宋体" w:cs="宋体"/>
                <w:sz w:val="24"/>
              </w:rPr>
              <w:t>磋商文件的澄清、修改</w:t>
            </w:r>
          </w:p>
        </w:tc>
      </w:tr>
      <w:tr>
        <w:tblPrEx>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7.2</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供应商要求澄清磋商文件的截止时间</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 w:val="24"/>
              </w:rPr>
            </w:pPr>
            <w:r>
              <w:rPr>
                <w:rFonts w:hint="eastAsia" w:ascii="宋体" w:hAnsi="宋体" w:cs="宋体"/>
                <w:sz w:val="24"/>
              </w:rPr>
              <w:t>递交响应文件截止日期前一个工作日以书面形式向采购人或代理人提出澄清要求</w:t>
            </w:r>
          </w:p>
        </w:tc>
      </w:tr>
      <w:tr>
        <w:tblPrEx>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7.3</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供应商确认收到磋商文件澄清的时间</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 w:val="24"/>
              </w:rPr>
            </w:pPr>
            <w:r>
              <w:rPr>
                <w:rFonts w:hint="eastAsia" w:ascii="宋体" w:hAnsi="宋体" w:cs="宋体"/>
                <w:sz w:val="24"/>
              </w:rPr>
              <w:t>收到澄清文件后应于24小时内，以书面形式给予确认。</w:t>
            </w:r>
          </w:p>
        </w:tc>
      </w:tr>
      <w:tr>
        <w:tblPrEx>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7.4</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供应商确认收到磋商文件修改的时间</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 w:val="24"/>
              </w:rPr>
            </w:pPr>
            <w:r>
              <w:rPr>
                <w:rFonts w:hint="eastAsia" w:ascii="宋体" w:hAnsi="宋体" w:cs="宋体"/>
                <w:sz w:val="24"/>
              </w:rPr>
              <w:t>收到修改文件后应于24小时内，以书面形式给予确认。</w:t>
            </w:r>
          </w:p>
        </w:tc>
      </w:tr>
      <w:tr>
        <w:tblPrEx>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7.5</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构成响应文件的其他材料</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 w:val="24"/>
              </w:rPr>
            </w:pPr>
            <w:r>
              <w:rPr>
                <w:rFonts w:hint="eastAsia" w:ascii="宋体" w:hAnsi="宋体" w:cs="宋体"/>
                <w:sz w:val="24"/>
              </w:rPr>
              <w:t>磋商文件要求的其他材料（含最后报价、承诺等）</w:t>
            </w:r>
          </w:p>
        </w:tc>
      </w:tr>
      <w:tr>
        <w:tblPrEx>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8.1</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采购预算金额（最高限价）</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b/>
                <w:sz w:val="24"/>
              </w:rPr>
            </w:pPr>
            <w:r>
              <w:rPr>
                <w:rFonts w:hint="eastAsia" w:ascii="宋体" w:hAnsi="宋体" w:cs="宋体"/>
                <w:b/>
                <w:bCs/>
                <w:sz w:val="24"/>
              </w:rPr>
              <w:t>本项目采购预算金额</w:t>
            </w:r>
            <w:r>
              <w:rPr>
                <w:rFonts w:hint="eastAsia" w:ascii="宋体" w:hAnsi="宋体" w:cs="宋体"/>
                <w:b/>
                <w:bCs/>
                <w:sz w:val="24"/>
                <w:lang w:eastAsia="zh-CN"/>
              </w:rPr>
              <w:t>2547040.49</w:t>
            </w:r>
            <w:r>
              <w:rPr>
                <w:rFonts w:hint="eastAsia" w:ascii="宋体" w:hAnsi="宋体" w:cs="宋体"/>
                <w:b/>
                <w:bCs/>
                <w:sz w:val="24"/>
              </w:rPr>
              <w:t>元。供应商报价超出采购预算金额的做无效标处理。</w:t>
            </w:r>
          </w:p>
        </w:tc>
      </w:tr>
      <w:tr>
        <w:tblPrEx>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8.2</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磋商保证金</w:t>
            </w:r>
          </w:p>
        </w:tc>
        <w:tc>
          <w:tcPr>
            <w:tcW w:w="6520" w:type="dxa"/>
            <w:tcBorders>
              <w:top w:val="single" w:color="auto" w:sz="4" w:space="0"/>
              <w:left w:val="single" w:color="auto" w:sz="4" w:space="0"/>
              <w:bottom w:val="single" w:color="auto" w:sz="4" w:space="0"/>
              <w:right w:val="single" w:color="auto" w:sz="4" w:space="0"/>
            </w:tcBorders>
            <w:vAlign w:val="center"/>
          </w:tcPr>
          <w:p>
            <w:pPr>
              <w:pStyle w:val="14"/>
              <w:pageBreakBefore w:val="0"/>
              <w:kinsoku/>
              <w:overflowPunct/>
              <w:topLinePunct/>
              <w:bidi w:val="0"/>
              <w:spacing w:line="360" w:lineRule="auto"/>
              <w:rPr>
                <w:rFonts w:hAnsi="宋体" w:cs="宋体"/>
                <w:szCs w:val="24"/>
              </w:rPr>
            </w:pPr>
            <w:r>
              <w:rPr>
                <w:rFonts w:hint="eastAsia" w:hAnsi="宋体" w:cs="宋体"/>
                <w:szCs w:val="24"/>
              </w:rPr>
              <w:t>磋商保证金的金额：</w:t>
            </w:r>
            <w:r>
              <w:rPr>
                <w:rFonts w:hint="eastAsia" w:hAnsi="宋体" w:cs="宋体"/>
                <w:szCs w:val="24"/>
                <w:u w:val="none"/>
              </w:rPr>
              <w:t>人民币</w:t>
            </w:r>
            <w:r>
              <w:rPr>
                <w:rFonts w:hint="eastAsia" w:hAnsi="宋体" w:cs="宋体"/>
                <w:szCs w:val="24"/>
                <w:u w:val="none"/>
                <w:lang w:val="en-US" w:eastAsia="zh-CN"/>
              </w:rPr>
              <w:t>5</w:t>
            </w:r>
            <w:r>
              <w:rPr>
                <w:rFonts w:hint="eastAsia" w:hAnsi="宋体" w:cs="宋体"/>
                <w:szCs w:val="24"/>
                <w:u w:val="none"/>
              </w:rPr>
              <w:t>000.00元。</w:t>
            </w:r>
          </w:p>
          <w:p>
            <w:pPr>
              <w:pageBreakBefore w:val="0"/>
              <w:kinsoku/>
              <w:overflowPunct/>
              <w:topLinePunct/>
              <w:bidi w:val="0"/>
              <w:spacing w:line="360" w:lineRule="auto"/>
              <w:rPr>
                <w:rFonts w:ascii="宋体" w:hAnsi="宋体" w:cs="宋体"/>
                <w:sz w:val="24"/>
                <w:u w:val="single"/>
              </w:rPr>
            </w:pPr>
            <w:r>
              <w:rPr>
                <w:rFonts w:hint="eastAsia" w:ascii="宋体" w:hAnsi="宋体" w:cs="宋体"/>
                <w:sz w:val="24"/>
              </w:rPr>
              <w:t>磋商保证金可采用的形式：</w:t>
            </w:r>
            <w:r>
              <w:rPr>
                <w:rFonts w:hint="eastAsia" w:ascii="宋体" w:hAnsi="宋体" w:cs="宋体"/>
                <w:sz w:val="24"/>
                <w:u w:val="single"/>
              </w:rPr>
              <w:t>银行转账或银行保函</w:t>
            </w:r>
            <w:r>
              <w:rPr>
                <w:rFonts w:hint="eastAsia" w:ascii="宋体" w:hAnsi="宋体" w:cs="宋体"/>
                <w:sz w:val="24"/>
                <w:u w:val="single"/>
                <w:lang w:eastAsia="zh-CN"/>
              </w:rPr>
              <w:t>，</w:t>
            </w:r>
            <w:r>
              <w:rPr>
                <w:rFonts w:hint="eastAsia" w:ascii="宋体" w:hAnsi="宋体" w:cs="宋体"/>
                <w:sz w:val="24"/>
                <w:u w:val="single"/>
              </w:rPr>
              <w:t>投标保证保险（银行转账需从基本账户转出）。</w:t>
            </w:r>
          </w:p>
          <w:p>
            <w:pPr>
              <w:pageBreakBefore w:val="0"/>
              <w:kinsoku/>
              <w:overflowPunct/>
              <w:topLinePunct/>
              <w:bidi w:val="0"/>
              <w:spacing w:line="360" w:lineRule="auto"/>
              <w:rPr>
                <w:rFonts w:ascii="宋体" w:hAnsi="宋体" w:cs="宋体"/>
                <w:sz w:val="24"/>
              </w:rPr>
            </w:pPr>
            <w:r>
              <w:rPr>
                <w:rFonts w:hint="eastAsia" w:ascii="宋体" w:hAnsi="宋体" w:cs="宋体"/>
                <w:sz w:val="24"/>
              </w:rPr>
              <w:t>递交保证金截止时间：响应文件递交截止时间前（若转账的，以指定银行账户到账时间为准）；</w:t>
            </w:r>
          </w:p>
          <w:p>
            <w:pPr>
              <w:pageBreakBefore w:val="0"/>
              <w:kinsoku/>
              <w:overflowPunct/>
              <w:topLinePunct/>
              <w:bidi w:val="0"/>
              <w:spacing w:line="360" w:lineRule="auto"/>
              <w:rPr>
                <w:rFonts w:ascii="宋体" w:hAnsi="宋体" w:cs="宋体"/>
                <w:b/>
                <w:sz w:val="24"/>
              </w:rPr>
            </w:pPr>
            <w:r>
              <w:rPr>
                <w:rFonts w:hint="eastAsia" w:ascii="宋体" w:hAnsi="宋体" w:cs="宋体"/>
                <w:b/>
                <w:sz w:val="24"/>
              </w:rPr>
              <w:t>指定银行账户：</w:t>
            </w:r>
          </w:p>
          <w:p>
            <w:pPr>
              <w:pageBreakBefore w:val="0"/>
              <w:kinsoku/>
              <w:overflowPunct/>
              <w:topLinePunct/>
              <w:bidi w:val="0"/>
              <w:spacing w:line="360" w:lineRule="auto"/>
              <w:rPr>
                <w:rFonts w:hint="default" w:ascii="宋体" w:hAnsi="宋体" w:eastAsia="宋体" w:cs="宋体"/>
                <w:b/>
                <w:sz w:val="24"/>
                <w:lang w:val="en-US" w:eastAsia="zh-CN"/>
              </w:rPr>
            </w:pPr>
            <w:r>
              <w:rPr>
                <w:rFonts w:hint="default" w:ascii="宋体" w:hAnsi="宋体" w:eastAsia="宋体" w:cs="宋体"/>
                <w:b/>
                <w:sz w:val="24"/>
                <w:lang w:val="en-US" w:eastAsia="zh-CN"/>
              </w:rPr>
              <w:t>公司名称：</w:t>
            </w:r>
            <w:r>
              <w:fldChar w:fldCharType="begin"/>
            </w:r>
            <w:r>
              <w:instrText xml:space="preserve"> HYPERLINK "http://218.77.183.48/htms%E9%94%9B" </w:instrText>
            </w:r>
            <w:r>
              <w:fldChar w:fldCharType="separate"/>
            </w:r>
            <w:r>
              <w:rPr>
                <w:rFonts w:hint="default" w:ascii="宋体" w:hAnsi="宋体" w:eastAsia="宋体" w:cs="宋体"/>
                <w:b/>
                <w:sz w:val="24"/>
                <w:lang w:val="en-US" w:eastAsia="zh-CN"/>
              </w:rPr>
              <w:t>海南卓泰工程项目管理有限公司</w:t>
            </w:r>
            <w:r>
              <w:rPr>
                <w:rFonts w:hint="default" w:ascii="宋体" w:hAnsi="宋体" w:eastAsia="宋体" w:cs="宋体"/>
                <w:b/>
                <w:sz w:val="24"/>
                <w:lang w:val="en-US" w:eastAsia="zh-CN"/>
              </w:rPr>
              <w:fldChar w:fldCharType="end"/>
            </w:r>
          </w:p>
          <w:p>
            <w:pPr>
              <w:pageBreakBefore w:val="0"/>
              <w:kinsoku/>
              <w:overflowPunct/>
              <w:topLinePunct/>
              <w:bidi w:val="0"/>
              <w:spacing w:line="360" w:lineRule="auto"/>
              <w:rPr>
                <w:rFonts w:hint="default" w:ascii="宋体" w:hAnsi="宋体" w:eastAsia="宋体" w:cs="宋体"/>
                <w:b/>
                <w:sz w:val="24"/>
                <w:lang w:val="en-US" w:eastAsia="zh-CN"/>
              </w:rPr>
            </w:pPr>
            <w:r>
              <w:rPr>
                <w:rFonts w:hint="default" w:ascii="宋体" w:hAnsi="宋体" w:eastAsia="宋体" w:cs="宋体"/>
                <w:b/>
                <w:sz w:val="24"/>
                <w:lang w:val="en-US" w:eastAsia="zh-CN"/>
              </w:rPr>
              <w:t>账</w:t>
            </w:r>
            <w:r>
              <w:rPr>
                <w:rFonts w:hint="eastAsia" w:ascii="宋体" w:hAnsi="宋体" w:eastAsia="宋体" w:cs="宋体"/>
                <w:b/>
                <w:sz w:val="24"/>
                <w:lang w:val="en-US" w:eastAsia="zh-CN"/>
              </w:rPr>
              <w:t xml:space="preserve">    </w:t>
            </w:r>
            <w:r>
              <w:rPr>
                <w:rFonts w:hint="default" w:ascii="宋体" w:hAnsi="宋体" w:eastAsia="宋体" w:cs="宋体"/>
                <w:b/>
                <w:sz w:val="24"/>
                <w:lang w:val="en-US" w:eastAsia="zh-CN"/>
              </w:rPr>
              <w:t>号：6003</w:t>
            </w:r>
            <w:r>
              <w:rPr>
                <w:rFonts w:hint="eastAsia" w:ascii="宋体" w:hAnsi="宋体" w:eastAsia="宋体" w:cs="宋体"/>
                <w:b/>
                <w:sz w:val="24"/>
                <w:lang w:val="en-US" w:eastAsia="zh-CN"/>
              </w:rPr>
              <w:t xml:space="preserve"> </w:t>
            </w:r>
            <w:r>
              <w:rPr>
                <w:rFonts w:hint="default" w:ascii="宋体" w:hAnsi="宋体" w:eastAsia="宋体" w:cs="宋体"/>
                <w:b/>
                <w:sz w:val="24"/>
                <w:lang w:val="en-US" w:eastAsia="zh-CN"/>
              </w:rPr>
              <w:t>2027</w:t>
            </w:r>
            <w:r>
              <w:rPr>
                <w:rFonts w:hint="eastAsia" w:ascii="宋体" w:hAnsi="宋体" w:eastAsia="宋体" w:cs="宋体"/>
                <w:b/>
                <w:sz w:val="24"/>
                <w:lang w:val="en-US" w:eastAsia="zh-CN"/>
              </w:rPr>
              <w:t xml:space="preserve"> </w:t>
            </w:r>
            <w:r>
              <w:rPr>
                <w:rFonts w:hint="default" w:ascii="宋体" w:hAnsi="宋体" w:eastAsia="宋体" w:cs="宋体"/>
                <w:b/>
                <w:sz w:val="24"/>
                <w:lang w:val="en-US" w:eastAsia="zh-CN"/>
              </w:rPr>
              <w:t>0001</w:t>
            </w:r>
            <w:r>
              <w:rPr>
                <w:rFonts w:hint="eastAsia" w:ascii="宋体" w:hAnsi="宋体" w:eastAsia="宋体" w:cs="宋体"/>
                <w:b/>
                <w:sz w:val="24"/>
                <w:lang w:val="en-US" w:eastAsia="zh-CN"/>
              </w:rPr>
              <w:t xml:space="preserve"> </w:t>
            </w:r>
            <w:r>
              <w:rPr>
                <w:rFonts w:hint="default" w:ascii="宋体" w:hAnsi="宋体" w:eastAsia="宋体" w:cs="宋体"/>
                <w:b/>
                <w:sz w:val="24"/>
                <w:lang w:val="en-US" w:eastAsia="zh-CN"/>
              </w:rPr>
              <w:t>7</w:t>
            </w:r>
          </w:p>
          <w:p>
            <w:pPr>
              <w:pageBreakBefore w:val="0"/>
              <w:kinsoku/>
              <w:overflowPunct/>
              <w:topLinePunct/>
              <w:bidi w:val="0"/>
              <w:spacing w:line="360" w:lineRule="auto"/>
              <w:rPr>
                <w:rFonts w:hint="default" w:ascii="宋体" w:hAnsi="宋体" w:eastAsia="宋体" w:cs="宋体"/>
                <w:b/>
                <w:sz w:val="24"/>
                <w:lang w:val="en-US" w:eastAsia="zh-CN"/>
              </w:rPr>
            </w:pPr>
            <w:r>
              <w:rPr>
                <w:rFonts w:hint="default" w:ascii="宋体" w:hAnsi="宋体" w:eastAsia="宋体" w:cs="宋体"/>
                <w:b/>
                <w:sz w:val="24"/>
                <w:lang w:val="en-US" w:eastAsia="zh-CN"/>
              </w:rPr>
              <w:t>开户银行：海南银行股份有限公司儋州分行</w:t>
            </w:r>
          </w:p>
          <w:p>
            <w:pPr>
              <w:pStyle w:val="37"/>
              <w:ind w:left="0" w:leftChars="0" w:firstLine="0" w:firstLineChars="0"/>
              <w:rPr>
                <w:rFonts w:hint="default" w:eastAsia="宋体"/>
                <w:lang w:val="en-US" w:eastAsia="zh-CN"/>
              </w:rPr>
            </w:pPr>
            <w:r>
              <w:rPr>
                <w:rFonts w:hint="eastAsia" w:ascii="宋体" w:hAnsi="宋体" w:cs="宋体"/>
                <w:b/>
                <w:sz w:val="24"/>
                <w:lang w:val="en-US" w:eastAsia="zh-CN"/>
              </w:rPr>
              <w:t>备注：烹饪、面点实训基地改造项目投标保证金</w:t>
            </w:r>
          </w:p>
          <w:p>
            <w:pPr>
              <w:pageBreakBefore w:val="0"/>
              <w:kinsoku/>
              <w:overflowPunct/>
              <w:topLinePunct/>
              <w:bidi w:val="0"/>
              <w:spacing w:line="360" w:lineRule="auto"/>
              <w:rPr>
                <w:rFonts w:ascii="宋体" w:hAnsi="宋体" w:cs="宋体"/>
                <w:sz w:val="24"/>
              </w:rPr>
            </w:pPr>
            <w:r>
              <w:rPr>
                <w:rFonts w:hint="eastAsia" w:ascii="宋体" w:hAnsi="宋体" w:cs="宋体"/>
                <w:sz w:val="24"/>
                <w:u w:val="single"/>
              </w:rPr>
              <w:t>注：1、磋商保证金若提供银行转账的，响应文件中须附银行转账凭证加盖公章复印件；2、磋商保证金若提供银行保函，响应文件中须附银行保函加盖单位公章复印件，原件于开标现场提交，磋商小组评审时对银行保函进行核验，评标完成后成交候选人的银行保函交给采购人保管；3、未按规定递交磋商保证金的响应文件按废标处理。</w:t>
            </w:r>
          </w:p>
        </w:tc>
      </w:tr>
      <w:tr>
        <w:tblPrEx>
          <w:tblCellMar>
            <w:top w:w="0" w:type="dxa"/>
            <w:left w:w="108" w:type="dxa"/>
            <w:bottom w:w="0" w:type="dxa"/>
            <w:right w:w="108" w:type="dxa"/>
          </w:tblCellMar>
        </w:tblPrEx>
        <w:trPr>
          <w:trHeight w:val="796"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9.1</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签字或盖章要求</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 w:val="24"/>
              </w:rPr>
            </w:pPr>
            <w:r>
              <w:rPr>
                <w:rFonts w:hint="eastAsia" w:ascii="宋体" w:hAnsi="宋体" w:cs="宋体"/>
                <w:sz w:val="24"/>
              </w:rPr>
              <w:t>响应文件应用不褪色的墨水书写或打印，字迹应易于辨认并应由供应商的法定代表人或其委托代理人签字或盖单位</w:t>
            </w:r>
            <w:r>
              <w:rPr>
                <w:rFonts w:hint="eastAsia" w:ascii="宋体" w:hAnsi="宋体" w:cs="宋体"/>
                <w:sz w:val="24"/>
                <w:lang w:val="en-US" w:eastAsia="zh-CN"/>
              </w:rPr>
              <w:t>公</w:t>
            </w:r>
            <w:r>
              <w:rPr>
                <w:rFonts w:hint="eastAsia" w:ascii="宋体" w:hAnsi="宋体" w:cs="宋体"/>
                <w:sz w:val="24"/>
              </w:rPr>
              <w:t>章。由委托代理人签字的，响应文件中应附有法定代表人授权书。正本</w:t>
            </w:r>
            <w:r>
              <w:rPr>
                <w:rFonts w:hint="eastAsia" w:ascii="宋体" w:hAnsi="宋体" w:cs="宋体"/>
                <w:sz w:val="24"/>
                <w:lang w:val="en-US" w:eastAsia="zh-CN"/>
              </w:rPr>
              <w:t>逐页盖章，副本可采用正本复印件</w:t>
            </w:r>
            <w:r>
              <w:rPr>
                <w:rFonts w:hint="eastAsia" w:ascii="宋体" w:hAnsi="宋体" w:cs="宋体"/>
                <w:sz w:val="24"/>
              </w:rPr>
              <w:t>，响应文件加盖骑缝章。</w:t>
            </w:r>
          </w:p>
        </w:tc>
      </w:tr>
      <w:tr>
        <w:tblPrEx>
          <w:tblCellMar>
            <w:top w:w="0" w:type="dxa"/>
            <w:left w:w="108" w:type="dxa"/>
            <w:bottom w:w="0" w:type="dxa"/>
            <w:right w:w="108" w:type="dxa"/>
          </w:tblCellMar>
        </w:tblPrEx>
        <w:trPr>
          <w:trHeight w:val="106"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9.2</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响应文件份数</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ind w:left="240" w:hanging="240" w:hangingChars="100"/>
              <w:jc w:val="left"/>
              <w:rPr>
                <w:rFonts w:ascii="宋体" w:hAnsi="宋体" w:cs="宋体"/>
                <w:sz w:val="24"/>
              </w:rPr>
            </w:pPr>
            <w:r>
              <w:rPr>
                <w:rFonts w:hint="eastAsia" w:ascii="宋体" w:hAnsi="宋体" w:cs="宋体"/>
                <w:sz w:val="24"/>
              </w:rPr>
              <w:t>正本壹份、副本</w:t>
            </w:r>
            <w:r>
              <w:rPr>
                <w:rFonts w:hint="eastAsia" w:ascii="宋体" w:hAnsi="宋体" w:cs="宋体"/>
                <w:sz w:val="24"/>
                <w:lang w:val="en-US" w:eastAsia="zh-CN"/>
              </w:rPr>
              <w:t>贰</w:t>
            </w:r>
            <w:r>
              <w:rPr>
                <w:rFonts w:hint="eastAsia" w:ascii="宋体" w:hAnsi="宋体" w:cs="宋体"/>
                <w:sz w:val="24"/>
              </w:rPr>
              <w:t>份、电子版响应文件（</w:t>
            </w:r>
            <w:r>
              <w:rPr>
                <w:rFonts w:hint="eastAsia" w:ascii="宋体" w:hAnsi="宋体" w:cs="宋体"/>
                <w:sz w:val="24"/>
                <w:lang w:val="en-US" w:eastAsia="zh-CN"/>
              </w:rPr>
              <w:t>U</w:t>
            </w:r>
            <w:r>
              <w:rPr>
                <w:rFonts w:hint="eastAsia" w:ascii="宋体" w:hAnsi="宋体" w:cs="宋体"/>
                <w:sz w:val="24"/>
              </w:rPr>
              <w:t>盘，PDF格式）壹份</w:t>
            </w:r>
            <w:r>
              <w:rPr>
                <w:rFonts w:hint="eastAsia" w:ascii="宋体" w:hAnsi="宋体" w:cs="宋体"/>
                <w:sz w:val="24"/>
                <w:lang w:eastAsia="zh-CN"/>
              </w:rPr>
              <w:t>，</w:t>
            </w:r>
            <w:r>
              <w:rPr>
                <w:rFonts w:hint="eastAsia" w:ascii="宋体" w:hAnsi="宋体" w:cs="宋体"/>
                <w:sz w:val="24"/>
              </w:rPr>
              <w:t>电子版响应文件</w:t>
            </w:r>
            <w:r>
              <w:rPr>
                <w:rFonts w:hint="eastAsia" w:ascii="宋体" w:hAnsi="宋体" w:cs="宋体"/>
                <w:sz w:val="24"/>
                <w:lang w:val="en-US" w:eastAsia="zh-CN"/>
              </w:rPr>
              <w:t>与</w:t>
            </w:r>
            <w:r>
              <w:rPr>
                <w:rFonts w:hint="eastAsia" w:ascii="宋体" w:hAnsi="宋体" w:cs="宋体"/>
                <w:sz w:val="24"/>
              </w:rPr>
              <w:t>正本内容必须一致。</w:t>
            </w:r>
          </w:p>
        </w:tc>
      </w:tr>
      <w:tr>
        <w:tblPrEx>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9.3</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装订要求</w:t>
            </w:r>
          </w:p>
        </w:tc>
        <w:tc>
          <w:tcPr>
            <w:tcW w:w="65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left"/>
              <w:rPr>
                <w:rFonts w:ascii="宋体" w:hAnsi="宋体" w:cs="宋体"/>
                <w:sz w:val="24"/>
              </w:rPr>
            </w:pPr>
            <w:r>
              <w:rPr>
                <w:rFonts w:hint="eastAsia" w:ascii="宋体" w:hAnsi="宋体" w:cs="宋体"/>
                <w:sz w:val="24"/>
              </w:rPr>
              <w:t>响应文件应按以下要求装订：按A4规格竖胶装，正本与副本分别装订，封面注明正本或副本字样，并编制目录、页码，页码齐全，不得用活页装订。</w:t>
            </w:r>
            <w:r>
              <w:rPr>
                <w:rFonts w:hint="eastAsia" w:ascii="宋体" w:hAnsi="宋体" w:cs="宋体"/>
                <w:sz w:val="24"/>
                <w:lang w:val="en-US" w:eastAsia="zh-CN"/>
              </w:rPr>
              <w:t>为了节约能源保护环境，打印标书时请双面打印</w:t>
            </w:r>
          </w:p>
        </w:tc>
      </w:tr>
      <w:tr>
        <w:tblPrEx>
          <w:tblCellMar>
            <w:top w:w="0" w:type="dxa"/>
            <w:left w:w="108" w:type="dxa"/>
            <w:bottom w:w="0" w:type="dxa"/>
            <w:right w:w="108" w:type="dxa"/>
          </w:tblCellMar>
        </w:tblPrEx>
        <w:trPr>
          <w:trHeight w:val="1503"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9.4</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封套正面应载明的信息</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 w:val="24"/>
              </w:rPr>
            </w:pPr>
            <w:r>
              <w:rPr>
                <w:rFonts w:hint="eastAsia" w:ascii="宋体" w:hAnsi="宋体" w:cs="宋体"/>
                <w:sz w:val="24"/>
              </w:rPr>
              <w:t>响应文件：正本/副本/电子版响应文件</w:t>
            </w:r>
          </w:p>
          <w:p>
            <w:pPr>
              <w:pageBreakBefore w:val="0"/>
              <w:kinsoku/>
              <w:wordWrap w:val="0"/>
              <w:overflowPunct/>
              <w:bidi w:val="0"/>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lang w:eastAsia="zh-CN"/>
              </w:rPr>
              <w:t>儋州市中等职业技术学校</w:t>
            </w:r>
          </w:p>
          <w:p>
            <w:pPr>
              <w:pageBreakBefore w:val="0"/>
              <w:kinsoku/>
              <w:wordWrap w:val="0"/>
              <w:overflowPunct/>
              <w:bidi w:val="0"/>
              <w:spacing w:line="360" w:lineRule="auto"/>
              <w:rPr>
                <w:rFonts w:ascii="宋体" w:hAnsi="宋体" w:cs="宋体"/>
                <w:sz w:val="24"/>
              </w:rPr>
            </w:pPr>
            <w:r>
              <w:rPr>
                <w:rFonts w:hint="eastAsia" w:ascii="宋体" w:hAnsi="宋体" w:cs="宋体"/>
                <w:sz w:val="24"/>
                <w:lang w:eastAsia="zh-CN"/>
              </w:rPr>
              <w:t>烹饪、面点实训基地改造项目</w:t>
            </w:r>
            <w:r>
              <w:rPr>
                <w:rFonts w:hint="eastAsia" w:ascii="宋体" w:hAnsi="宋体" w:cs="宋体"/>
                <w:sz w:val="24"/>
              </w:rPr>
              <w:t>（项目名称）响应文件</w:t>
            </w:r>
          </w:p>
          <w:p>
            <w:pPr>
              <w:pageBreakBefore w:val="0"/>
              <w:kinsoku/>
              <w:wordWrap w:val="0"/>
              <w:overflowPunct/>
              <w:bidi w:val="0"/>
              <w:spacing w:line="360" w:lineRule="auto"/>
              <w:rPr>
                <w:rFonts w:ascii="宋体" w:hAnsi="宋体" w:cs="宋体"/>
                <w:sz w:val="24"/>
              </w:rPr>
            </w:pPr>
            <w:r>
              <w:rPr>
                <w:rFonts w:hint="eastAsia" w:ascii="宋体" w:hAnsi="宋体" w:cs="宋体"/>
                <w:sz w:val="24"/>
              </w:rPr>
              <w:t xml:space="preserve">在递交响应文件截止时间前不得开启 </w:t>
            </w:r>
          </w:p>
        </w:tc>
      </w:tr>
      <w:tr>
        <w:tblPrEx>
          <w:tblCellMar>
            <w:top w:w="0" w:type="dxa"/>
            <w:left w:w="108" w:type="dxa"/>
            <w:bottom w:w="0" w:type="dxa"/>
            <w:right w:w="108" w:type="dxa"/>
          </w:tblCellMar>
        </w:tblPrEx>
        <w:trPr>
          <w:trHeight w:val="56"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9.5</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响应文件递交截止时间</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color w:val="0000FF"/>
                <w:sz w:val="24"/>
                <w:shd w:val="clear" w:color="auto" w:fill="FFFFFF"/>
              </w:rPr>
            </w:pPr>
            <w:r>
              <w:rPr>
                <w:rFonts w:hint="eastAsia" w:ascii="宋体" w:hAnsi="宋体" w:cs="宋体"/>
                <w:sz w:val="24"/>
                <w:lang w:eastAsia="zh-CN"/>
              </w:rPr>
              <w:t>2023-04-21 15:00:00（北京时间）</w:t>
            </w:r>
          </w:p>
        </w:tc>
      </w:tr>
      <w:tr>
        <w:tblPrEx>
          <w:tblCellMar>
            <w:top w:w="0" w:type="dxa"/>
            <w:left w:w="108" w:type="dxa"/>
            <w:bottom w:w="0" w:type="dxa"/>
            <w:right w:w="108" w:type="dxa"/>
          </w:tblCellMar>
        </w:tblPrEx>
        <w:trPr>
          <w:trHeight w:val="145"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10.1</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响应文件递交地点</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hint="default" w:ascii="宋体" w:hAnsi="宋体" w:cs="宋体"/>
                <w:color w:val="0000FF"/>
                <w:sz w:val="24"/>
                <w:lang w:val="en-US"/>
              </w:rPr>
            </w:pPr>
            <w:r>
              <w:rPr>
                <w:rFonts w:hint="eastAsia" w:ascii="宋体" w:hAnsi="宋体" w:eastAsia="宋体" w:cs="宋体"/>
                <w:sz w:val="24"/>
              </w:rPr>
              <w:t>海南省儋州市那大镇</w:t>
            </w:r>
            <w:r>
              <w:rPr>
                <w:rFonts w:hint="eastAsia" w:ascii="宋体" w:hAnsi="宋体" w:eastAsia="宋体" w:cs="宋体"/>
                <w:sz w:val="24"/>
                <w:lang w:val="en-US" w:eastAsia="zh-CN"/>
              </w:rPr>
              <w:t>中兴大道新世界花园小区B9号会议室</w:t>
            </w:r>
          </w:p>
        </w:tc>
      </w:tr>
      <w:tr>
        <w:tblPrEx>
          <w:tblCellMar>
            <w:top w:w="0" w:type="dxa"/>
            <w:left w:w="108" w:type="dxa"/>
            <w:bottom w:w="0" w:type="dxa"/>
            <w:right w:w="108" w:type="dxa"/>
          </w:tblCellMar>
        </w:tblPrEx>
        <w:trPr>
          <w:trHeight w:val="9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10.2</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是否退还响应文件</w:t>
            </w:r>
          </w:p>
        </w:tc>
        <w:tc>
          <w:tcPr>
            <w:tcW w:w="6520" w:type="dxa"/>
            <w:tcBorders>
              <w:top w:val="single" w:color="auto" w:sz="4" w:space="0"/>
              <w:left w:val="single" w:color="auto" w:sz="4" w:space="0"/>
              <w:bottom w:val="single" w:color="auto" w:sz="4" w:space="0"/>
              <w:right w:val="single" w:color="auto" w:sz="4" w:space="0"/>
            </w:tcBorders>
            <w:vAlign w:val="center"/>
          </w:tcPr>
          <w:p>
            <w:pPr>
              <w:pStyle w:val="14"/>
              <w:pageBreakBefore w:val="0"/>
              <w:kinsoku/>
              <w:wordWrap w:val="0"/>
              <w:overflowPunct/>
              <w:topLinePunct/>
              <w:bidi w:val="0"/>
              <w:spacing w:line="360" w:lineRule="auto"/>
              <w:rPr>
                <w:rFonts w:hAnsi="宋体" w:cs="宋体"/>
                <w:szCs w:val="24"/>
              </w:rPr>
            </w:pPr>
            <w:r>
              <w:rPr>
                <w:rFonts w:hint="eastAsia" w:hAnsi="宋体" w:cs="宋体"/>
                <w:szCs w:val="24"/>
              </w:rPr>
              <w:t>否</w:t>
            </w:r>
          </w:p>
        </w:tc>
      </w:tr>
      <w:tr>
        <w:tblPrEx>
          <w:tblCellMar>
            <w:top w:w="0" w:type="dxa"/>
            <w:left w:w="108" w:type="dxa"/>
            <w:bottom w:w="0" w:type="dxa"/>
            <w:right w:w="108" w:type="dxa"/>
          </w:tblCellMar>
        </w:tblPrEx>
        <w:trPr>
          <w:trHeight w:val="187" w:hRule="atLeast"/>
          <w:jc w:val="center"/>
        </w:trPr>
        <w:tc>
          <w:tcPr>
            <w:tcW w:w="1008" w:type="dxa"/>
            <w:tcBorders>
              <w:top w:val="single" w:color="auto" w:sz="4" w:space="0"/>
              <w:left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10.3</w:t>
            </w:r>
          </w:p>
        </w:tc>
        <w:tc>
          <w:tcPr>
            <w:tcW w:w="2175" w:type="dxa"/>
            <w:tcBorders>
              <w:top w:val="single" w:color="auto" w:sz="4" w:space="0"/>
              <w:left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开启时间和地点</w:t>
            </w:r>
          </w:p>
        </w:tc>
        <w:tc>
          <w:tcPr>
            <w:tcW w:w="6520" w:type="dxa"/>
            <w:tcBorders>
              <w:top w:val="single" w:color="auto" w:sz="4" w:space="0"/>
              <w:left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 w:val="24"/>
              </w:rPr>
            </w:pPr>
            <w:r>
              <w:rPr>
                <w:rFonts w:hint="eastAsia" w:ascii="宋体" w:hAnsi="宋体" w:cs="宋体"/>
                <w:sz w:val="24"/>
              </w:rPr>
              <w:t>时间：同响应文件递交截止时间</w:t>
            </w:r>
          </w:p>
          <w:p>
            <w:pPr>
              <w:pageBreakBefore w:val="0"/>
              <w:kinsoku/>
              <w:wordWrap w:val="0"/>
              <w:overflowPunct/>
              <w:bidi w:val="0"/>
              <w:spacing w:line="360" w:lineRule="auto"/>
              <w:rPr>
                <w:rFonts w:ascii="宋体" w:hAnsi="宋体" w:cs="宋体"/>
                <w:sz w:val="24"/>
              </w:rPr>
            </w:pPr>
            <w:r>
              <w:rPr>
                <w:rFonts w:hint="eastAsia" w:ascii="宋体" w:hAnsi="宋体" w:cs="宋体"/>
                <w:sz w:val="24"/>
              </w:rPr>
              <w:t>地点：同响应文件递交地点</w:t>
            </w:r>
          </w:p>
        </w:tc>
      </w:tr>
      <w:tr>
        <w:tblPrEx>
          <w:tblCellMar>
            <w:top w:w="0" w:type="dxa"/>
            <w:left w:w="108" w:type="dxa"/>
            <w:bottom w:w="0" w:type="dxa"/>
            <w:right w:w="108" w:type="dxa"/>
          </w:tblCellMar>
        </w:tblPrEx>
        <w:trPr>
          <w:trHeight w:val="125" w:hRule="atLeast"/>
          <w:jc w:val="center"/>
        </w:trPr>
        <w:tc>
          <w:tcPr>
            <w:tcW w:w="1008" w:type="dxa"/>
            <w:tcBorders>
              <w:top w:val="single" w:color="auto" w:sz="4" w:space="0"/>
              <w:left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10.4</w:t>
            </w:r>
          </w:p>
        </w:tc>
        <w:tc>
          <w:tcPr>
            <w:tcW w:w="2175" w:type="dxa"/>
            <w:tcBorders>
              <w:top w:val="single" w:color="auto" w:sz="4" w:space="0"/>
              <w:left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开启程序</w:t>
            </w:r>
          </w:p>
        </w:tc>
        <w:tc>
          <w:tcPr>
            <w:tcW w:w="6520" w:type="dxa"/>
            <w:tcBorders>
              <w:top w:val="single" w:color="auto" w:sz="4" w:space="0"/>
              <w:left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 w:val="24"/>
              </w:rPr>
            </w:pPr>
            <w:r>
              <w:rPr>
                <w:rFonts w:hint="eastAsia" w:ascii="宋体" w:hAnsi="宋体" w:cs="宋体"/>
                <w:sz w:val="24"/>
              </w:rPr>
              <w:t>密封情况检查：由供应商代表进行检查。</w:t>
            </w:r>
          </w:p>
          <w:p>
            <w:pPr>
              <w:pageBreakBefore w:val="0"/>
              <w:kinsoku/>
              <w:wordWrap w:val="0"/>
              <w:overflowPunct/>
              <w:bidi w:val="0"/>
              <w:spacing w:line="360" w:lineRule="auto"/>
              <w:rPr>
                <w:rFonts w:ascii="宋体" w:hAnsi="宋体" w:cs="宋体"/>
                <w:sz w:val="24"/>
              </w:rPr>
            </w:pPr>
            <w:r>
              <w:rPr>
                <w:rFonts w:hint="eastAsia" w:ascii="宋体" w:hAnsi="宋体" w:cs="宋体"/>
                <w:sz w:val="24"/>
              </w:rPr>
              <w:t>开启顺序：按响应文件递交的先后顺序。</w:t>
            </w:r>
          </w:p>
        </w:tc>
      </w:tr>
      <w:tr>
        <w:tblPrEx>
          <w:tblCellMar>
            <w:top w:w="0" w:type="dxa"/>
            <w:left w:w="108" w:type="dxa"/>
            <w:bottom w:w="0" w:type="dxa"/>
            <w:right w:w="108" w:type="dxa"/>
          </w:tblCellMar>
        </w:tblPrEx>
        <w:trPr>
          <w:trHeight w:val="333" w:hRule="atLeast"/>
          <w:jc w:val="center"/>
        </w:trPr>
        <w:tc>
          <w:tcPr>
            <w:tcW w:w="1008" w:type="dxa"/>
            <w:tcBorders>
              <w:top w:val="single" w:color="auto" w:sz="4" w:space="0"/>
              <w:left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11.1</w:t>
            </w:r>
          </w:p>
        </w:tc>
        <w:tc>
          <w:tcPr>
            <w:tcW w:w="2175" w:type="dxa"/>
            <w:tcBorders>
              <w:top w:val="single" w:color="auto" w:sz="4" w:space="0"/>
              <w:left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磋商小组构成</w:t>
            </w:r>
          </w:p>
        </w:tc>
        <w:tc>
          <w:tcPr>
            <w:tcW w:w="6520" w:type="dxa"/>
            <w:tcBorders>
              <w:top w:val="single" w:color="auto" w:sz="4" w:space="0"/>
              <w:left w:val="single" w:color="auto" w:sz="4" w:space="0"/>
              <w:right w:val="single" w:color="auto" w:sz="4" w:space="0"/>
            </w:tcBorders>
            <w:vAlign w:val="center"/>
          </w:tcPr>
          <w:p>
            <w:pPr>
              <w:pageBreakBefore w:val="0"/>
              <w:kinsoku/>
              <w:wordWrap w:val="0"/>
              <w:overflowPunct/>
              <w:bidi w:val="0"/>
              <w:spacing w:line="360" w:lineRule="auto"/>
              <w:rPr>
                <w:rFonts w:hint="eastAsia" w:ascii="宋体" w:hAnsi="宋体" w:eastAsia="宋体" w:cs="宋体"/>
                <w:sz w:val="24"/>
                <w:lang w:eastAsia="zh-CN"/>
              </w:rPr>
            </w:pPr>
            <w:r>
              <w:rPr>
                <w:rFonts w:hint="eastAsia" w:ascii="宋体" w:hAnsi="宋体" w:cs="宋体"/>
                <w:sz w:val="24"/>
                <w:lang w:val="en-US" w:eastAsia="zh-CN"/>
              </w:rPr>
              <w:t>抽取评审专家 3 人，</w:t>
            </w:r>
            <w:r>
              <w:rPr>
                <w:rFonts w:hint="eastAsia" w:ascii="宋体" w:hAnsi="宋体" w:cs="宋体"/>
                <w:sz w:val="24"/>
                <w:szCs w:val="24"/>
              </w:rPr>
              <w:t>评审专家从</w:t>
            </w:r>
            <w:r>
              <w:rPr>
                <w:rFonts w:hint="eastAsia" w:ascii="宋体" w:hAnsi="宋体" w:cs="宋体"/>
                <w:sz w:val="24"/>
                <w:szCs w:val="24"/>
                <w:lang w:eastAsia="zh-CN"/>
              </w:rPr>
              <w:t>海南省综合</w:t>
            </w:r>
            <w:r>
              <w:rPr>
                <w:rFonts w:hint="eastAsia" w:ascii="宋体" w:hAnsi="宋体" w:cs="宋体"/>
                <w:sz w:val="24"/>
                <w:szCs w:val="24"/>
              </w:rPr>
              <w:t>评标专家库</w:t>
            </w:r>
            <w:r>
              <w:rPr>
                <w:rFonts w:hint="eastAsia" w:ascii="宋体" w:hAnsi="宋体" w:cs="宋体"/>
                <w:sz w:val="24"/>
                <w:szCs w:val="24"/>
                <w:lang w:eastAsia="zh-CN"/>
              </w:rPr>
              <w:t>（</w:t>
            </w:r>
            <w:r>
              <w:rPr>
                <w:rFonts w:hint="eastAsia" w:ascii="宋体" w:hAnsi="宋体" w:cs="宋体"/>
                <w:sz w:val="24"/>
                <w:szCs w:val="24"/>
                <w:lang w:val="en-US" w:eastAsia="zh-CN"/>
              </w:rPr>
              <w:t>儋州地区</w:t>
            </w:r>
            <w:r>
              <w:rPr>
                <w:rFonts w:hint="eastAsia" w:ascii="宋体" w:hAnsi="宋体" w:cs="宋体"/>
                <w:sz w:val="24"/>
                <w:szCs w:val="24"/>
                <w:lang w:eastAsia="zh-CN"/>
              </w:rPr>
              <w:t>）中</w:t>
            </w:r>
            <w:r>
              <w:rPr>
                <w:rFonts w:hint="eastAsia" w:ascii="宋体" w:hAnsi="宋体" w:cs="宋体"/>
                <w:sz w:val="24"/>
                <w:szCs w:val="24"/>
              </w:rPr>
              <w:t>随机抽取</w:t>
            </w:r>
            <w:r>
              <w:rPr>
                <w:rFonts w:hint="eastAsia" w:ascii="宋体" w:hAnsi="宋体" w:cs="宋体"/>
                <w:sz w:val="24"/>
                <w:szCs w:val="24"/>
                <w:lang w:eastAsia="zh-CN"/>
              </w:rPr>
              <w:t>。</w:t>
            </w:r>
          </w:p>
        </w:tc>
      </w:tr>
      <w:tr>
        <w:tblPrEx>
          <w:tblCellMar>
            <w:top w:w="0" w:type="dxa"/>
            <w:left w:w="108" w:type="dxa"/>
            <w:bottom w:w="0" w:type="dxa"/>
            <w:right w:w="108" w:type="dxa"/>
          </w:tblCellMar>
        </w:tblPrEx>
        <w:trPr>
          <w:trHeight w:val="271" w:hRule="atLeast"/>
          <w:jc w:val="center"/>
        </w:trPr>
        <w:tc>
          <w:tcPr>
            <w:tcW w:w="1008" w:type="dxa"/>
            <w:tcBorders>
              <w:top w:val="single" w:color="auto" w:sz="4" w:space="0"/>
              <w:left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11.2</w:t>
            </w:r>
          </w:p>
        </w:tc>
        <w:tc>
          <w:tcPr>
            <w:tcW w:w="2175" w:type="dxa"/>
            <w:tcBorders>
              <w:top w:val="single" w:color="auto" w:sz="4" w:space="0"/>
              <w:left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是否授权磋商小组确定成交供应商</w:t>
            </w:r>
          </w:p>
        </w:tc>
        <w:tc>
          <w:tcPr>
            <w:tcW w:w="6520" w:type="dxa"/>
            <w:tcBorders>
              <w:top w:val="single" w:color="auto" w:sz="4" w:space="0"/>
              <w:left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 w:val="24"/>
              </w:rPr>
            </w:pPr>
            <w:r>
              <w:rPr>
                <w:rFonts w:hint="eastAsia" w:ascii="宋体" w:hAnsi="宋体" w:cs="宋体"/>
                <w:sz w:val="24"/>
              </w:rPr>
              <w:t>√否 ,推荐的成交候选人数：3个。</w:t>
            </w:r>
          </w:p>
        </w:tc>
      </w:tr>
      <w:tr>
        <w:tblPrEx>
          <w:tblCellMar>
            <w:top w:w="0" w:type="dxa"/>
            <w:left w:w="108" w:type="dxa"/>
            <w:bottom w:w="0" w:type="dxa"/>
            <w:right w:w="108" w:type="dxa"/>
          </w:tblCellMar>
        </w:tblPrEx>
        <w:trPr>
          <w:trHeight w:val="391"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12.1</w:t>
            </w:r>
          </w:p>
        </w:tc>
        <w:tc>
          <w:tcPr>
            <w:tcW w:w="21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履约担保（履约保证金）</w:t>
            </w:r>
          </w:p>
        </w:tc>
        <w:tc>
          <w:tcPr>
            <w:tcW w:w="652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hint="eastAsia" w:ascii="宋体" w:hAnsi="宋体" w:cs="宋体"/>
                <w:sz w:val="24"/>
              </w:rPr>
            </w:pPr>
            <w:r>
              <w:rPr>
                <w:rFonts w:hint="eastAsia" w:ascii="宋体" w:hAnsi="宋体" w:cs="宋体"/>
                <w:sz w:val="24"/>
                <w:lang w:val="en-US" w:eastAsia="zh-CN"/>
              </w:rPr>
              <w:t>1、</w:t>
            </w:r>
            <w:r>
              <w:rPr>
                <w:rFonts w:hint="eastAsia" w:ascii="宋体" w:hAnsi="宋体" w:cs="宋体"/>
                <w:sz w:val="24"/>
              </w:rPr>
              <w:t>履约担保的形式：</w:t>
            </w:r>
            <w:r>
              <w:rPr>
                <w:rFonts w:hint="eastAsia" w:ascii="宋体" w:hAnsi="宋体" w:cs="宋体"/>
                <w:sz w:val="24"/>
                <w:lang w:val="en-US" w:eastAsia="zh-CN"/>
              </w:rPr>
              <w:t>银行保函或商业保险保函</w:t>
            </w:r>
            <w:r>
              <w:rPr>
                <w:rFonts w:hint="eastAsia" w:ascii="宋体" w:hAnsi="宋体" w:cs="宋体"/>
                <w:sz w:val="24"/>
              </w:rPr>
              <w:t>。</w:t>
            </w:r>
          </w:p>
          <w:p>
            <w:pPr>
              <w:pageBreakBefore w:val="0"/>
              <w:kinsoku/>
              <w:wordWrap w:val="0"/>
              <w:overflowPunct/>
              <w:bidi w:val="0"/>
              <w:spacing w:line="360" w:lineRule="auto"/>
              <w:rPr>
                <w:rFonts w:hint="eastAsia" w:ascii="宋体" w:hAnsi="宋体" w:cs="宋体"/>
                <w:sz w:val="24"/>
                <w:lang w:val="en-US" w:eastAsia="zh-CN"/>
              </w:rPr>
            </w:pPr>
            <w:r>
              <w:rPr>
                <w:rFonts w:hint="eastAsia" w:ascii="宋体" w:hAnsi="宋体" w:cs="宋体"/>
                <w:sz w:val="24"/>
                <w:lang w:val="en-US" w:eastAsia="zh-CN"/>
              </w:rPr>
              <w:t>2、</w:t>
            </w:r>
            <w:r>
              <w:rPr>
                <w:rFonts w:hint="eastAsia" w:ascii="宋体" w:hAnsi="宋体" w:cs="宋体"/>
                <w:sz w:val="24"/>
              </w:rPr>
              <w:t>履约担保的金额：</w:t>
            </w:r>
            <w:r>
              <w:rPr>
                <w:rFonts w:hint="eastAsia" w:ascii="宋体" w:hAnsi="宋体" w:cs="宋体"/>
                <w:sz w:val="24"/>
                <w:lang w:val="en-US" w:eastAsia="zh-CN"/>
              </w:rPr>
              <w:t xml:space="preserve">中标价的5%。 </w:t>
            </w:r>
          </w:p>
          <w:p>
            <w:pPr>
              <w:pageBreakBefore w:val="0"/>
              <w:kinsoku/>
              <w:wordWrap w:val="0"/>
              <w:overflowPunct/>
              <w:bidi w:val="0"/>
              <w:spacing w:line="360" w:lineRule="auto"/>
              <w:rPr>
                <w:rFonts w:hint="eastAsia" w:ascii="宋体" w:hAnsi="宋体" w:cs="宋体"/>
                <w:sz w:val="24"/>
              </w:rPr>
            </w:pPr>
            <w:r>
              <w:rPr>
                <w:rFonts w:hint="eastAsia" w:ascii="宋体" w:hAnsi="宋体" w:cs="宋体"/>
                <w:sz w:val="24"/>
                <w:lang w:val="en-US" w:eastAsia="zh-CN"/>
              </w:rPr>
              <w:t>3、</w:t>
            </w:r>
            <w:r>
              <w:rPr>
                <w:rFonts w:hint="eastAsia" w:ascii="宋体" w:hAnsi="宋体" w:cs="宋体"/>
                <w:sz w:val="24"/>
              </w:rPr>
              <w:t>承包人应履行的其他义务：根据《海南省打赢脱贫攻坚站指挥部关于印发海南省组织贫困劳动力积极务工专项行动工作方案》（琼脱贫指﹝2020﹞5号）文件要求，使用政府资金的重点项目、重点工程中劳动力密集技术含量较低的各类项目工程，承包人用工必须优先招录贫困劳动力，比例不得低于新招录人员数量的10%。</w:t>
            </w:r>
          </w:p>
          <w:p>
            <w:pPr>
              <w:pageBreakBefore w:val="0"/>
              <w:kinsoku/>
              <w:wordWrap w:val="0"/>
              <w:overflowPunct/>
              <w:bidi w:val="0"/>
              <w:spacing w:line="360" w:lineRule="auto"/>
              <w:rPr>
                <w:rFonts w:hint="eastAsia" w:ascii="宋体" w:hAnsi="宋体" w:cs="宋体"/>
                <w:sz w:val="24"/>
                <w:lang w:val="en-US" w:eastAsia="zh-CN"/>
              </w:rPr>
            </w:pPr>
            <w:r>
              <w:rPr>
                <w:rFonts w:hint="eastAsia" w:ascii="宋体" w:hAnsi="宋体" w:cs="宋体"/>
                <w:sz w:val="24"/>
                <w:lang w:val="en-US" w:eastAsia="zh-CN"/>
              </w:rPr>
              <w:t>4、乙方必须在工程开工前，向属地劳动保障监察机构提交不拖欠农民工工资的承诺书，并向委托人提交劳动保障监察机构的签收凭证。</w:t>
            </w:r>
          </w:p>
        </w:tc>
      </w:tr>
      <w:tr>
        <w:tblPrEx>
          <w:tblCellMar>
            <w:top w:w="0" w:type="dxa"/>
            <w:left w:w="108" w:type="dxa"/>
            <w:bottom w:w="0" w:type="dxa"/>
            <w:right w:w="108" w:type="dxa"/>
          </w:tblCellMar>
        </w:tblPrEx>
        <w:trPr>
          <w:trHeight w:val="133" w:hRule="atLeast"/>
          <w:jc w:val="center"/>
        </w:trPr>
        <w:tc>
          <w:tcPr>
            <w:tcW w:w="9703"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b/>
                <w:sz w:val="24"/>
              </w:rPr>
            </w:pPr>
            <w:r>
              <w:rPr>
                <w:rFonts w:hint="eastAsia" w:ascii="宋体" w:hAnsi="宋体" w:cs="宋体"/>
                <w:b/>
                <w:sz w:val="24"/>
              </w:rPr>
              <w:t>需要补充的其他内容</w:t>
            </w:r>
          </w:p>
        </w:tc>
      </w:tr>
      <w:tr>
        <w:tblPrEx>
          <w:tblCellMar>
            <w:top w:w="0" w:type="dxa"/>
            <w:left w:w="108" w:type="dxa"/>
            <w:bottom w:w="0" w:type="dxa"/>
            <w:right w:w="108" w:type="dxa"/>
          </w:tblCellMar>
        </w:tblPrEx>
        <w:trPr>
          <w:trHeight w:val="54"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cs="宋体"/>
                <w:sz w:val="24"/>
                <w:lang w:val="en-US"/>
              </w:rPr>
            </w:pPr>
            <w:r>
              <w:rPr>
                <w:rFonts w:hint="eastAsia" w:ascii="宋体" w:hAnsi="宋体" w:cs="宋体"/>
                <w:sz w:val="24"/>
                <w:lang w:val="en-US" w:eastAsia="zh-CN"/>
              </w:rPr>
              <w:t>12.2</w:t>
            </w:r>
          </w:p>
        </w:tc>
        <w:tc>
          <w:tcPr>
            <w:tcW w:w="8695"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left"/>
              <w:rPr>
                <w:rFonts w:ascii="宋体" w:hAnsi="宋体" w:cs="宋体"/>
                <w:sz w:val="24"/>
              </w:rPr>
            </w:pPr>
            <w:r>
              <w:rPr>
                <w:rFonts w:hint="eastAsia" w:ascii="宋体" w:hAnsi="宋体" w:cs="宋体"/>
                <w:sz w:val="24"/>
              </w:rPr>
              <w:t>供应商须携带的资料：须提供法定代表人授权委托书及委托代理人身份证原件。</w:t>
            </w:r>
          </w:p>
        </w:tc>
      </w:tr>
      <w:tr>
        <w:tblPrEx>
          <w:tblCellMar>
            <w:top w:w="0" w:type="dxa"/>
            <w:left w:w="108" w:type="dxa"/>
            <w:bottom w:w="0" w:type="dxa"/>
            <w:right w:w="108" w:type="dxa"/>
          </w:tblCellMar>
        </w:tblPrEx>
        <w:trPr>
          <w:trHeight w:val="1759"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default" w:ascii="宋体" w:hAnsi="宋体" w:cs="宋体"/>
                <w:sz w:val="24"/>
                <w:lang w:val="en-US"/>
              </w:rPr>
            </w:pPr>
            <w:r>
              <w:rPr>
                <w:rFonts w:hint="eastAsia" w:ascii="宋体" w:hAnsi="宋体" w:cs="宋体"/>
                <w:sz w:val="24"/>
                <w:lang w:val="en-US" w:eastAsia="zh-CN"/>
              </w:rPr>
              <w:t>12.3</w:t>
            </w:r>
          </w:p>
        </w:tc>
        <w:tc>
          <w:tcPr>
            <w:tcW w:w="8695"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bidi w:val="0"/>
              <w:spacing w:line="360" w:lineRule="auto"/>
              <w:ind w:firstLine="480" w:firstLineChars="200"/>
              <w:rPr>
                <w:rFonts w:ascii="宋体" w:hAnsi="宋体" w:cs="宋体"/>
                <w:b/>
                <w:bCs/>
                <w:sz w:val="24"/>
              </w:rPr>
            </w:pPr>
            <w:r>
              <w:rPr>
                <w:rFonts w:hint="eastAsia" w:ascii="宋体" w:hAnsi="宋体" w:cs="宋体"/>
                <w:sz w:val="24"/>
              </w:rPr>
              <w:t>响应文件中所附的有关证明、证书、证件等材料均为真实有效的，采购人在磋商结束后有权对供应商提交的证明、证书、证件等材料进行核实。经核实若为虚假材料的，采购人有权没收磋商保证金，若为成交单位的还将取消其成交资格，若已签订合同则取消合同并没收磋商保证金和履约保证金，同时上报行政主管部门进行处罚。</w:t>
            </w:r>
          </w:p>
        </w:tc>
      </w:tr>
    </w:tbl>
    <w:p>
      <w:pPr>
        <w:pageBreakBefore w:val="0"/>
        <w:kinsoku/>
        <w:wordWrap w:val="0"/>
        <w:overflowPunct/>
        <w:bidi w:val="0"/>
        <w:spacing w:line="360" w:lineRule="auto"/>
        <w:jc w:val="left"/>
        <w:rPr>
          <w:rFonts w:ascii="宋体" w:hAnsi="宋体" w:cs="宋体"/>
          <w:b/>
          <w:bCs/>
          <w:sz w:val="32"/>
          <w:szCs w:val="32"/>
        </w:rPr>
      </w:pPr>
      <w:bookmarkStart w:id="38" w:name="_Toc144974497"/>
      <w:bookmarkStart w:id="39" w:name="_Toc246996918"/>
      <w:bookmarkStart w:id="40" w:name="_Toc152045529"/>
      <w:bookmarkStart w:id="41" w:name="_Toc247085689"/>
      <w:bookmarkStart w:id="42" w:name="_Toc152042305"/>
      <w:bookmarkStart w:id="43" w:name="_Toc179632546"/>
      <w:bookmarkStart w:id="44" w:name="_Toc246996175"/>
    </w:p>
    <w:p>
      <w:pPr>
        <w:pageBreakBefore w:val="0"/>
        <w:kinsoku/>
        <w:wordWrap w:val="0"/>
        <w:overflowPunct/>
        <w:bidi w:val="0"/>
        <w:spacing w:line="360" w:lineRule="auto"/>
        <w:jc w:val="left"/>
        <w:rPr>
          <w:rFonts w:hint="eastAsia" w:ascii="宋体" w:hAnsi="宋体" w:cs="宋体"/>
          <w:b/>
          <w:bCs/>
          <w:sz w:val="28"/>
          <w:szCs w:val="28"/>
        </w:rPr>
      </w:pPr>
    </w:p>
    <w:p>
      <w:pPr>
        <w:pageBreakBefore w:val="0"/>
        <w:kinsoku/>
        <w:wordWrap w:val="0"/>
        <w:overflowPunct/>
        <w:bidi w:val="0"/>
        <w:spacing w:line="360" w:lineRule="auto"/>
        <w:jc w:val="left"/>
        <w:rPr>
          <w:rFonts w:ascii="宋体" w:hAnsi="宋体" w:cs="宋体"/>
          <w:sz w:val="28"/>
          <w:szCs w:val="28"/>
        </w:rPr>
      </w:pPr>
      <w:r>
        <w:rPr>
          <w:rFonts w:hint="eastAsia" w:ascii="宋体" w:hAnsi="宋体" w:cs="宋体"/>
          <w:b/>
          <w:bCs/>
          <w:sz w:val="28"/>
          <w:szCs w:val="28"/>
        </w:rPr>
        <w:t>1. 总则</w:t>
      </w:r>
      <w:bookmarkEnd w:id="38"/>
      <w:bookmarkEnd w:id="39"/>
      <w:bookmarkEnd w:id="40"/>
      <w:bookmarkEnd w:id="41"/>
      <w:bookmarkEnd w:id="42"/>
      <w:bookmarkEnd w:id="43"/>
      <w:bookmarkEnd w:id="44"/>
    </w:p>
    <w:p>
      <w:pPr>
        <w:pageBreakBefore w:val="0"/>
        <w:kinsoku/>
        <w:wordWrap w:val="0"/>
        <w:overflowPunct/>
        <w:bidi w:val="0"/>
        <w:spacing w:line="360" w:lineRule="auto"/>
        <w:jc w:val="left"/>
        <w:rPr>
          <w:rFonts w:ascii="宋体" w:hAnsi="宋体" w:cs="宋体"/>
          <w:b/>
          <w:bCs/>
          <w:sz w:val="28"/>
          <w:szCs w:val="28"/>
        </w:rPr>
      </w:pPr>
      <w:bookmarkStart w:id="45" w:name="_Toc425177120"/>
      <w:bookmarkStart w:id="46" w:name="_Toc144974498"/>
      <w:bookmarkStart w:id="47" w:name="_Toc246996919"/>
      <w:bookmarkStart w:id="48" w:name="_Toc152045530"/>
      <w:bookmarkStart w:id="49" w:name="_Toc152042306"/>
      <w:bookmarkStart w:id="50" w:name="_Toc179632547"/>
      <w:bookmarkStart w:id="51" w:name="_Toc246996176"/>
      <w:bookmarkStart w:id="52" w:name="_Toc247085690"/>
      <w:r>
        <w:rPr>
          <w:rFonts w:hint="eastAsia" w:ascii="宋体" w:hAnsi="宋体" w:cs="宋体"/>
          <w:b/>
          <w:bCs/>
          <w:sz w:val="28"/>
          <w:szCs w:val="28"/>
        </w:rPr>
        <w:t>1.1 项目概况</w:t>
      </w:r>
      <w:bookmarkEnd w:id="45"/>
      <w:bookmarkEnd w:id="46"/>
      <w:bookmarkEnd w:id="47"/>
      <w:bookmarkEnd w:id="48"/>
      <w:bookmarkEnd w:id="49"/>
      <w:bookmarkEnd w:id="50"/>
      <w:bookmarkEnd w:id="51"/>
      <w:bookmarkEnd w:id="52"/>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1.参考《中华人民共和国政府采购法》等有关法律、法规和规章的规定，本项目已具备采购条件，现对本项目进行采购。</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2.本项目采购人：见供应商须知前附表。</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3.本项目代理机构：见供应商须知前附表。</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4.本项目名称：见供应商须知前附表。</w:t>
      </w:r>
    </w:p>
    <w:p>
      <w:pPr>
        <w:pageBreakBefore w:val="0"/>
        <w:kinsoku/>
        <w:wordWrap w:val="0"/>
        <w:overflowPunct/>
        <w:bidi w:val="0"/>
        <w:spacing w:line="360" w:lineRule="auto"/>
        <w:ind w:firstLine="480" w:firstLineChars="200"/>
        <w:rPr>
          <w:rFonts w:ascii="宋体" w:hAnsi="宋体" w:cs="宋体"/>
        </w:rPr>
      </w:pPr>
      <w:r>
        <w:rPr>
          <w:rFonts w:hint="eastAsia" w:ascii="宋体" w:hAnsi="宋体" w:cs="宋体"/>
          <w:sz w:val="24"/>
        </w:rPr>
        <w:t>5.本项目项目地点：见供应商须知前附表。</w:t>
      </w:r>
    </w:p>
    <w:p>
      <w:pPr>
        <w:pageBreakBefore w:val="0"/>
        <w:kinsoku/>
        <w:wordWrap w:val="0"/>
        <w:overflowPunct/>
        <w:bidi w:val="0"/>
        <w:spacing w:line="360" w:lineRule="auto"/>
        <w:jc w:val="left"/>
        <w:rPr>
          <w:rFonts w:ascii="宋体" w:hAnsi="宋体" w:cs="宋体"/>
          <w:b/>
          <w:bCs/>
          <w:sz w:val="28"/>
          <w:szCs w:val="28"/>
        </w:rPr>
      </w:pPr>
      <w:bookmarkStart w:id="53" w:name="_Toc246996920"/>
      <w:bookmarkStart w:id="54" w:name="_Toc179632548"/>
      <w:bookmarkStart w:id="55" w:name="_Toc246996177"/>
      <w:bookmarkStart w:id="56" w:name="_Toc425177121"/>
      <w:bookmarkStart w:id="57" w:name="_Toc152045531"/>
      <w:bookmarkStart w:id="58" w:name="_Toc144974499"/>
      <w:bookmarkStart w:id="59" w:name="_Toc247085691"/>
      <w:bookmarkStart w:id="60" w:name="_Toc152042307"/>
      <w:r>
        <w:rPr>
          <w:rFonts w:hint="eastAsia" w:ascii="宋体" w:hAnsi="宋体" w:cs="宋体"/>
          <w:b/>
          <w:bCs/>
          <w:sz w:val="28"/>
          <w:szCs w:val="28"/>
        </w:rPr>
        <w:t>1.2 资金来源和落实情况</w:t>
      </w:r>
      <w:bookmarkEnd w:id="53"/>
      <w:bookmarkEnd w:id="54"/>
      <w:bookmarkEnd w:id="55"/>
      <w:bookmarkEnd w:id="56"/>
      <w:bookmarkEnd w:id="57"/>
      <w:bookmarkEnd w:id="58"/>
      <w:bookmarkEnd w:id="59"/>
      <w:bookmarkEnd w:id="60"/>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1.本项目的资金来源及出资比例：见供应商须知前附表。</w:t>
      </w:r>
    </w:p>
    <w:p>
      <w:pPr>
        <w:pageBreakBefore w:val="0"/>
        <w:kinsoku/>
        <w:wordWrap w:val="0"/>
        <w:overflowPunct/>
        <w:bidi w:val="0"/>
        <w:spacing w:line="360" w:lineRule="auto"/>
        <w:ind w:firstLine="480" w:firstLineChars="200"/>
        <w:rPr>
          <w:rFonts w:ascii="宋体" w:hAnsi="宋体" w:cs="宋体"/>
        </w:rPr>
      </w:pPr>
      <w:r>
        <w:rPr>
          <w:rFonts w:hint="eastAsia" w:ascii="宋体" w:hAnsi="宋体" w:cs="宋体"/>
          <w:sz w:val="24"/>
        </w:rPr>
        <w:t>2.本项目的资金落实情况：见供应商须知前附表。</w:t>
      </w:r>
    </w:p>
    <w:p>
      <w:pPr>
        <w:pageBreakBefore w:val="0"/>
        <w:kinsoku/>
        <w:wordWrap w:val="0"/>
        <w:overflowPunct/>
        <w:bidi w:val="0"/>
        <w:spacing w:line="360" w:lineRule="auto"/>
        <w:jc w:val="left"/>
        <w:rPr>
          <w:rFonts w:ascii="宋体" w:hAnsi="宋体" w:cs="宋体"/>
          <w:b/>
          <w:bCs/>
          <w:sz w:val="28"/>
          <w:szCs w:val="28"/>
        </w:rPr>
      </w:pPr>
      <w:bookmarkStart w:id="61" w:name="_Toc152045532"/>
      <w:bookmarkStart w:id="62" w:name="_Toc247085692"/>
      <w:bookmarkStart w:id="63" w:name="_Toc144974500"/>
      <w:bookmarkStart w:id="64" w:name="_Toc246996921"/>
      <w:bookmarkStart w:id="65" w:name="_Toc246996178"/>
      <w:bookmarkStart w:id="66" w:name="_Toc152042308"/>
      <w:bookmarkStart w:id="67" w:name="_Toc179632549"/>
      <w:bookmarkStart w:id="68" w:name="_Toc425177122"/>
      <w:r>
        <w:rPr>
          <w:rFonts w:hint="eastAsia" w:ascii="宋体" w:hAnsi="宋体" w:cs="宋体"/>
          <w:b/>
          <w:bCs/>
          <w:sz w:val="28"/>
          <w:szCs w:val="28"/>
        </w:rPr>
        <w:t>1.3 项目范围、合同履行期限（工期）、质量要求</w:t>
      </w:r>
      <w:bookmarkEnd w:id="61"/>
      <w:bookmarkEnd w:id="62"/>
      <w:bookmarkEnd w:id="63"/>
      <w:bookmarkEnd w:id="64"/>
      <w:bookmarkEnd w:id="65"/>
      <w:bookmarkEnd w:id="66"/>
      <w:bookmarkEnd w:id="67"/>
      <w:bookmarkEnd w:id="68"/>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1.本次项目范围：见供应商须知前附表。</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2.本项目的合同履行期限（工期）：见供应商须知前附表。</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3.本项目的质量要求：见供应商须知前附表。</w:t>
      </w:r>
    </w:p>
    <w:p>
      <w:pPr>
        <w:pageBreakBefore w:val="0"/>
        <w:kinsoku/>
        <w:wordWrap w:val="0"/>
        <w:overflowPunct/>
        <w:bidi w:val="0"/>
        <w:spacing w:line="360" w:lineRule="auto"/>
        <w:jc w:val="left"/>
        <w:rPr>
          <w:rFonts w:ascii="宋体" w:hAnsi="宋体" w:cs="宋体"/>
          <w:b/>
          <w:bCs/>
          <w:sz w:val="28"/>
          <w:szCs w:val="28"/>
        </w:rPr>
      </w:pPr>
      <w:bookmarkStart w:id="69" w:name="_Toc152045534"/>
      <w:bookmarkStart w:id="70" w:name="_Toc246996179"/>
      <w:bookmarkStart w:id="71" w:name="_Toc425177123"/>
      <w:bookmarkStart w:id="72" w:name="_Toc152042310"/>
      <w:bookmarkStart w:id="73" w:name="_Toc179632551"/>
      <w:bookmarkStart w:id="74" w:name="_Toc246996922"/>
      <w:bookmarkStart w:id="75" w:name="_Toc144974502"/>
      <w:bookmarkStart w:id="76" w:name="_Toc247085693"/>
      <w:r>
        <w:rPr>
          <w:rFonts w:hint="eastAsia" w:ascii="宋体" w:hAnsi="宋体" w:cs="宋体"/>
          <w:b/>
          <w:bCs/>
          <w:sz w:val="28"/>
          <w:szCs w:val="28"/>
        </w:rPr>
        <w:t>1.4 供应商资格要求</w:t>
      </w:r>
      <w:bookmarkEnd w:id="69"/>
      <w:bookmarkEnd w:id="70"/>
      <w:bookmarkEnd w:id="71"/>
      <w:bookmarkEnd w:id="72"/>
      <w:bookmarkEnd w:id="73"/>
      <w:bookmarkEnd w:id="74"/>
      <w:bookmarkEnd w:id="75"/>
      <w:bookmarkEnd w:id="76"/>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1.供应商应具备承担本项目的资格要求。</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2.供应商不得存在下列情形之一：</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（1）为采购人不具有独立法人资格的附属机构（单位）；</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（2）与采购人存在利害关系且可能影响招标公正性；</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（3）与本招标项目的其他投标人为同一个单位负责人；</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（4）与本招标项目的其他投标人存在控股、管理关系；</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（5）为本招标项目的代建人；</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（6）为本招标项目的代理机构机构；</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（7）与本招标项目的代建人或代理机构机构同为一个法定代表人；</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（8）与本招标项目的代建人或代理机构机构存在控股或参股关系；</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（9）与本招标项目的施工承包人以及建筑材料、建筑构配件和设备投标人有隶属关系或者其他利害关系；</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（10）被依法暂停或者取消投标资格；</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（11）被责令停产停业、暂扣或者吊销许可证、暂扣或者吊销执照；</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（12）进入清算程序，或被宣告破产，或其他丧失履约能力的情形；</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（13）在最近三年内发生重大施工质量问题（以相关行业主管部门的行政处罚决定或司法机关出具的有关法律文书为准）；</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（14）被工商行政管理机关在全国企业信用信息公示系统中列入严重违法失信企业名单；</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（15）被最高人民法院在“信用中国”网站（www.creditchina.gov.cn）或各级信用信息共享平台中列入失信被执行人名单；</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（16）在近三年内投标人或其法定代表人、拟委任的总施工工程师有行贿犯罪行为的；</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（17）法律法规或须知前附表规定的其他情形。</w:t>
      </w:r>
    </w:p>
    <w:p>
      <w:pPr>
        <w:pageBreakBefore w:val="0"/>
        <w:kinsoku/>
        <w:wordWrap w:val="0"/>
        <w:overflowPunct/>
        <w:bidi w:val="0"/>
        <w:spacing w:line="360" w:lineRule="auto"/>
        <w:ind w:firstLine="420" w:firstLineChars="200"/>
        <w:rPr>
          <w:rFonts w:ascii="宋体" w:hAnsi="宋体" w:cs="宋体"/>
          <w:color w:val="FF0000"/>
          <w:szCs w:val="21"/>
        </w:rPr>
      </w:pP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1.4.3 单位负责人为同一人或者存在控股、管理关系的不同单位，不得同时参加本采购项目磋商。</w:t>
      </w:r>
    </w:p>
    <w:p>
      <w:pPr>
        <w:pageBreakBefore w:val="0"/>
        <w:kinsoku/>
        <w:wordWrap w:val="0"/>
        <w:overflowPunct/>
        <w:bidi w:val="0"/>
        <w:spacing w:line="360" w:lineRule="auto"/>
        <w:jc w:val="left"/>
        <w:rPr>
          <w:rFonts w:ascii="宋体" w:hAnsi="宋体" w:cs="宋体"/>
          <w:b/>
          <w:bCs/>
          <w:sz w:val="28"/>
          <w:szCs w:val="28"/>
        </w:rPr>
      </w:pPr>
      <w:bookmarkStart w:id="77" w:name="_Toc152045535"/>
      <w:bookmarkStart w:id="78" w:name="_Toc247085694"/>
      <w:bookmarkStart w:id="79" w:name="_Toc152042311"/>
      <w:bookmarkStart w:id="80" w:name="_Toc179632552"/>
      <w:bookmarkStart w:id="81" w:name="_Toc246996180"/>
      <w:bookmarkStart w:id="82" w:name="_Toc425177124"/>
      <w:bookmarkStart w:id="83" w:name="_Toc144974503"/>
      <w:bookmarkStart w:id="84" w:name="_Toc246996923"/>
      <w:r>
        <w:rPr>
          <w:rFonts w:hint="eastAsia" w:ascii="宋体" w:hAnsi="宋体" w:cs="宋体"/>
          <w:b/>
          <w:bCs/>
          <w:sz w:val="28"/>
          <w:szCs w:val="28"/>
        </w:rPr>
        <w:t>1.5 费用承担</w:t>
      </w:r>
      <w:bookmarkEnd w:id="77"/>
      <w:bookmarkEnd w:id="78"/>
      <w:bookmarkEnd w:id="79"/>
      <w:bookmarkEnd w:id="80"/>
      <w:bookmarkEnd w:id="81"/>
      <w:bookmarkEnd w:id="82"/>
      <w:bookmarkEnd w:id="83"/>
      <w:bookmarkEnd w:id="84"/>
    </w:p>
    <w:p>
      <w:pPr>
        <w:pageBreakBefore w:val="0"/>
        <w:kinsoku/>
        <w:wordWrap w:val="0"/>
        <w:overflowPunct/>
        <w:bidi w:val="0"/>
        <w:spacing w:line="360" w:lineRule="auto"/>
        <w:ind w:firstLine="480" w:firstLineChars="200"/>
        <w:rPr>
          <w:rFonts w:ascii="宋体" w:hAnsi="宋体" w:cs="宋体"/>
        </w:rPr>
      </w:pPr>
      <w:r>
        <w:rPr>
          <w:rFonts w:hint="eastAsia" w:ascii="宋体" w:hAnsi="宋体" w:cs="宋体"/>
          <w:sz w:val="24"/>
        </w:rPr>
        <w:t>供应商准备和参加磋商活动发生的费用自理。</w:t>
      </w:r>
    </w:p>
    <w:p>
      <w:pPr>
        <w:pageBreakBefore w:val="0"/>
        <w:kinsoku/>
        <w:wordWrap w:val="0"/>
        <w:overflowPunct/>
        <w:bidi w:val="0"/>
        <w:spacing w:line="360" w:lineRule="auto"/>
        <w:jc w:val="left"/>
        <w:rPr>
          <w:rFonts w:ascii="宋体" w:hAnsi="宋体" w:cs="宋体"/>
          <w:b/>
          <w:bCs/>
          <w:sz w:val="28"/>
          <w:szCs w:val="28"/>
        </w:rPr>
      </w:pPr>
      <w:bookmarkStart w:id="85" w:name="_Toc246996924"/>
      <w:bookmarkStart w:id="86" w:name="_Toc179632553"/>
      <w:bookmarkStart w:id="87" w:name="_Toc152045536"/>
      <w:bookmarkStart w:id="88" w:name="_Toc246996181"/>
      <w:bookmarkStart w:id="89" w:name="_Toc247085695"/>
      <w:bookmarkStart w:id="90" w:name="_Toc144974504"/>
      <w:bookmarkStart w:id="91" w:name="_Toc425177125"/>
      <w:bookmarkStart w:id="92" w:name="_Toc152042312"/>
      <w:r>
        <w:rPr>
          <w:rFonts w:hint="eastAsia" w:ascii="宋体" w:hAnsi="宋体" w:cs="宋体"/>
          <w:b/>
          <w:bCs/>
          <w:sz w:val="28"/>
          <w:szCs w:val="28"/>
        </w:rPr>
        <w:t>1.6 保密</w:t>
      </w:r>
      <w:bookmarkEnd w:id="85"/>
      <w:bookmarkEnd w:id="86"/>
      <w:bookmarkEnd w:id="87"/>
      <w:bookmarkEnd w:id="88"/>
      <w:bookmarkEnd w:id="89"/>
      <w:bookmarkEnd w:id="90"/>
      <w:bookmarkEnd w:id="91"/>
      <w:bookmarkEnd w:id="92"/>
    </w:p>
    <w:p>
      <w:pPr>
        <w:pageBreakBefore w:val="0"/>
        <w:kinsoku/>
        <w:wordWrap w:val="0"/>
        <w:overflowPunct/>
        <w:bidi w:val="0"/>
        <w:spacing w:line="360" w:lineRule="auto"/>
        <w:ind w:firstLine="480" w:firstLineChars="200"/>
        <w:rPr>
          <w:rFonts w:ascii="宋体" w:hAnsi="宋体" w:cs="宋体"/>
        </w:rPr>
      </w:pPr>
      <w:r>
        <w:rPr>
          <w:rFonts w:hint="eastAsia" w:ascii="宋体" w:hAnsi="宋体" w:cs="宋体"/>
          <w:sz w:val="24"/>
        </w:rPr>
        <w:t>参与采购磋商活动的各方应对磋商文件和响应文件中的商业和技术等秘密保密，违者应对由此造成的后果承担法律责任。</w:t>
      </w:r>
      <w:r>
        <w:rPr>
          <w:rFonts w:hint="eastAsia" w:ascii="宋体" w:hAnsi="宋体" w:cs="宋体"/>
        </w:rPr>
        <w:t xml:space="preserve"> </w:t>
      </w:r>
    </w:p>
    <w:p>
      <w:pPr>
        <w:pageBreakBefore w:val="0"/>
        <w:kinsoku/>
        <w:wordWrap w:val="0"/>
        <w:overflowPunct/>
        <w:bidi w:val="0"/>
        <w:spacing w:line="360" w:lineRule="auto"/>
        <w:jc w:val="left"/>
        <w:rPr>
          <w:rFonts w:ascii="宋体" w:hAnsi="宋体" w:cs="宋体"/>
          <w:b/>
          <w:bCs/>
          <w:sz w:val="28"/>
          <w:szCs w:val="28"/>
        </w:rPr>
      </w:pPr>
      <w:bookmarkStart w:id="93" w:name="_Toc144974505"/>
      <w:bookmarkStart w:id="94" w:name="_Toc152042313"/>
      <w:bookmarkStart w:id="95" w:name="_Toc247085696"/>
      <w:bookmarkStart w:id="96" w:name="_Toc179632554"/>
      <w:bookmarkStart w:id="97" w:name="_Toc425177126"/>
      <w:bookmarkStart w:id="98" w:name="_Toc246996925"/>
      <w:bookmarkStart w:id="99" w:name="_Toc152045537"/>
      <w:bookmarkStart w:id="100" w:name="_Toc246996182"/>
      <w:r>
        <w:rPr>
          <w:rFonts w:hint="eastAsia" w:ascii="宋体" w:hAnsi="宋体" w:cs="宋体"/>
          <w:b/>
          <w:bCs/>
          <w:sz w:val="28"/>
          <w:szCs w:val="28"/>
        </w:rPr>
        <w:t>1.7 语言</w:t>
      </w:r>
      <w:bookmarkEnd w:id="93"/>
      <w:r>
        <w:rPr>
          <w:rFonts w:hint="eastAsia" w:ascii="宋体" w:hAnsi="宋体" w:cs="宋体"/>
          <w:b/>
          <w:bCs/>
          <w:sz w:val="28"/>
          <w:szCs w:val="28"/>
        </w:rPr>
        <w:t>文字</w:t>
      </w:r>
      <w:bookmarkEnd w:id="94"/>
      <w:bookmarkEnd w:id="95"/>
      <w:bookmarkEnd w:id="96"/>
      <w:bookmarkEnd w:id="97"/>
      <w:bookmarkEnd w:id="98"/>
      <w:bookmarkEnd w:id="99"/>
      <w:bookmarkEnd w:id="100"/>
    </w:p>
    <w:p>
      <w:pPr>
        <w:pageBreakBefore w:val="0"/>
        <w:kinsoku/>
        <w:wordWrap w:val="0"/>
        <w:overflowPunct/>
        <w:bidi w:val="0"/>
        <w:spacing w:line="360" w:lineRule="auto"/>
        <w:ind w:firstLine="480" w:firstLineChars="200"/>
        <w:rPr>
          <w:rFonts w:ascii="宋体" w:hAnsi="宋体" w:cs="宋体"/>
        </w:rPr>
      </w:pPr>
      <w:bookmarkStart w:id="101" w:name="_Toc246996926"/>
      <w:bookmarkStart w:id="102" w:name="_Toc152042314"/>
      <w:bookmarkStart w:id="103" w:name="_Toc152045538"/>
      <w:bookmarkStart w:id="104" w:name="_Toc246996183"/>
      <w:bookmarkStart w:id="105" w:name="_Toc144974506"/>
      <w:bookmarkStart w:id="106" w:name="_Toc247085697"/>
      <w:bookmarkStart w:id="107" w:name="_Toc179632555"/>
      <w:r>
        <w:rPr>
          <w:rFonts w:hint="eastAsia" w:ascii="宋体" w:hAnsi="宋体" w:cs="宋体"/>
          <w:sz w:val="24"/>
        </w:rPr>
        <w:t>响应文件使用的语言文字为中文。专用术语使用外文的，应附有中文注释。</w:t>
      </w:r>
    </w:p>
    <w:p>
      <w:pPr>
        <w:pageBreakBefore w:val="0"/>
        <w:kinsoku/>
        <w:wordWrap w:val="0"/>
        <w:overflowPunct/>
        <w:bidi w:val="0"/>
        <w:spacing w:line="360" w:lineRule="auto"/>
        <w:jc w:val="left"/>
        <w:rPr>
          <w:rFonts w:ascii="宋体" w:hAnsi="宋体" w:cs="宋体"/>
          <w:b/>
          <w:bCs/>
          <w:sz w:val="32"/>
          <w:szCs w:val="32"/>
        </w:rPr>
      </w:pPr>
      <w:bookmarkStart w:id="108" w:name="_Toc425177127"/>
      <w:r>
        <w:rPr>
          <w:rFonts w:hint="eastAsia" w:ascii="宋体" w:hAnsi="宋体" w:cs="宋体"/>
          <w:b/>
          <w:bCs/>
          <w:sz w:val="28"/>
          <w:szCs w:val="28"/>
        </w:rPr>
        <w:t>1.8 计量单位</w:t>
      </w:r>
      <w:bookmarkEnd w:id="101"/>
      <w:bookmarkEnd w:id="102"/>
      <w:bookmarkEnd w:id="103"/>
      <w:bookmarkEnd w:id="104"/>
      <w:bookmarkEnd w:id="105"/>
      <w:bookmarkEnd w:id="106"/>
      <w:bookmarkEnd w:id="107"/>
      <w:bookmarkEnd w:id="108"/>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所有计量均采用中华人民共和国法定计量单位。</w:t>
      </w:r>
    </w:p>
    <w:p>
      <w:pPr>
        <w:pageBreakBefore w:val="0"/>
        <w:kinsoku/>
        <w:wordWrap w:val="0"/>
        <w:overflowPunct/>
        <w:bidi w:val="0"/>
        <w:spacing w:line="360" w:lineRule="auto"/>
        <w:jc w:val="left"/>
        <w:rPr>
          <w:rFonts w:ascii="宋体" w:hAnsi="宋体" w:cs="宋体"/>
          <w:b/>
          <w:bCs/>
          <w:sz w:val="28"/>
          <w:szCs w:val="28"/>
        </w:rPr>
      </w:pPr>
      <w:bookmarkStart w:id="109" w:name="_Toc152045539"/>
      <w:bookmarkStart w:id="110" w:name="_Toc247513962"/>
      <w:bookmarkStart w:id="111" w:name="_Toc425177128"/>
      <w:bookmarkStart w:id="112" w:name="_Toc247527563"/>
      <w:bookmarkStart w:id="113" w:name="_Toc152042315"/>
      <w:bookmarkStart w:id="114" w:name="_Toc247592876"/>
      <w:bookmarkStart w:id="115" w:name="_Toc144974507"/>
      <w:r>
        <w:rPr>
          <w:rFonts w:hint="eastAsia" w:ascii="宋体" w:hAnsi="宋体" w:cs="宋体"/>
          <w:b/>
          <w:bCs/>
          <w:sz w:val="28"/>
          <w:szCs w:val="28"/>
        </w:rPr>
        <w:t>1.9 踏勘现场</w:t>
      </w:r>
      <w:bookmarkEnd w:id="109"/>
      <w:bookmarkEnd w:id="110"/>
      <w:bookmarkEnd w:id="111"/>
      <w:bookmarkEnd w:id="112"/>
      <w:bookmarkEnd w:id="113"/>
      <w:bookmarkEnd w:id="114"/>
      <w:bookmarkEnd w:id="115"/>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 xml:space="preserve">1.供应商须知前附表规定组织踏勘现场的，采购人按供应商须知前附表规定的时间、地点组织供应商踏勘项目现场。 </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2.供应商踏勘现场发生的费用自理。</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3.除采购人的原因外，供应商自行承担在踏勘现场中所发生的人员伤亡和财产损失。</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4.采购人在踏勘现场中介绍的项目情况，供供应商在编制响应文件时参考，采购人不对供应商据此作出的判断和决策负责。</w:t>
      </w:r>
    </w:p>
    <w:p>
      <w:pPr>
        <w:pageBreakBefore w:val="0"/>
        <w:kinsoku/>
        <w:wordWrap w:val="0"/>
        <w:overflowPunct/>
        <w:bidi w:val="0"/>
        <w:spacing w:line="360" w:lineRule="auto"/>
        <w:jc w:val="left"/>
        <w:rPr>
          <w:rFonts w:ascii="宋体" w:hAnsi="宋体" w:cs="宋体"/>
          <w:b/>
          <w:bCs/>
          <w:sz w:val="28"/>
          <w:szCs w:val="28"/>
        </w:rPr>
      </w:pPr>
      <w:bookmarkStart w:id="116" w:name="_Toc247513963"/>
      <w:bookmarkStart w:id="117" w:name="_Toc144974508"/>
      <w:bookmarkStart w:id="118" w:name="_Toc247592877"/>
      <w:bookmarkStart w:id="119" w:name="_Toc247527564"/>
      <w:bookmarkStart w:id="120" w:name="_Toc425177129"/>
      <w:bookmarkStart w:id="121" w:name="_Toc152045540"/>
      <w:bookmarkStart w:id="122" w:name="_Toc152042316"/>
      <w:r>
        <w:rPr>
          <w:rFonts w:hint="eastAsia" w:ascii="宋体" w:hAnsi="宋体" w:cs="宋体"/>
          <w:b/>
          <w:bCs/>
          <w:sz w:val="28"/>
          <w:szCs w:val="28"/>
        </w:rPr>
        <w:t>1.10 磋商前答疑会</w:t>
      </w:r>
      <w:bookmarkEnd w:id="116"/>
      <w:bookmarkEnd w:id="117"/>
      <w:bookmarkEnd w:id="118"/>
      <w:bookmarkEnd w:id="119"/>
      <w:bookmarkEnd w:id="120"/>
      <w:bookmarkEnd w:id="121"/>
      <w:bookmarkEnd w:id="122"/>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1.供应商须知前附表规定召开磋商前答疑会的，采购人按供应商须知前附表规定的时间和地点召开磋商前答疑会，澄清供应商提出的问题。</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2.供应商应在递交响应文件截止时间一个工作日前，以书面形式将提出的问题送达采购人，以便采购人在会议期间澄清。</w:t>
      </w:r>
    </w:p>
    <w:p>
      <w:pPr>
        <w:pageBreakBefore w:val="0"/>
        <w:kinsoku/>
        <w:wordWrap w:val="0"/>
        <w:overflowPunct/>
        <w:bidi w:val="0"/>
        <w:spacing w:line="360" w:lineRule="auto"/>
        <w:ind w:firstLine="480" w:firstLineChars="200"/>
        <w:rPr>
          <w:rFonts w:ascii="宋体" w:hAnsi="宋体" w:cs="宋体"/>
        </w:rPr>
      </w:pPr>
      <w:r>
        <w:rPr>
          <w:rFonts w:hint="eastAsia" w:ascii="宋体" w:hAnsi="宋体" w:cs="宋体"/>
          <w:sz w:val="24"/>
        </w:rPr>
        <w:t>3.磋商前答疑会后，采购人在供应商须知前附表规定的时间内，将对供应商所提问题的澄清，以书面形式或媒体发布信息通知所有购买磋商文件的供应商（供应商自行查阅媒体发布信息）</w:t>
      </w:r>
      <w:r>
        <w:rPr>
          <w:rFonts w:hint="eastAsia" w:ascii="宋体" w:hAnsi="宋体" w:cs="宋体"/>
          <w:sz w:val="24"/>
          <w:lang w:eastAsia="zh-CN"/>
        </w:rPr>
        <w:t>，</w:t>
      </w:r>
      <w:r>
        <w:rPr>
          <w:rFonts w:hint="eastAsia" w:ascii="宋体" w:hAnsi="宋体" w:cs="宋体"/>
          <w:sz w:val="24"/>
        </w:rPr>
        <w:t>该澄清内容为磋商文件的组成部分。</w:t>
      </w:r>
    </w:p>
    <w:p>
      <w:pPr>
        <w:pageBreakBefore w:val="0"/>
        <w:kinsoku/>
        <w:wordWrap w:val="0"/>
        <w:overflowPunct/>
        <w:bidi w:val="0"/>
        <w:spacing w:line="360" w:lineRule="auto"/>
        <w:jc w:val="left"/>
        <w:rPr>
          <w:rFonts w:ascii="宋体" w:hAnsi="宋体" w:cs="宋体"/>
          <w:b/>
          <w:bCs/>
          <w:sz w:val="28"/>
          <w:szCs w:val="28"/>
        </w:rPr>
      </w:pPr>
      <w:bookmarkStart w:id="123" w:name="_Toc425177130"/>
      <w:r>
        <w:rPr>
          <w:rFonts w:hint="eastAsia" w:ascii="宋体" w:hAnsi="宋体" w:cs="宋体"/>
          <w:b/>
          <w:bCs/>
          <w:sz w:val="28"/>
          <w:szCs w:val="28"/>
        </w:rPr>
        <w:t>1.11 偏离</w:t>
      </w:r>
      <w:bookmarkEnd w:id="123"/>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1.响应文件应当对磋商文件的实质性要求和条件作出满足性或更有利于采购人的响应，否则，供应商的磋商将被否决。实质性要求和条件见供应商须知前附表。</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2.供应商应根据磋商文件的要求提供已标价工程量清单等内容以对磋商文件作出响应。</w:t>
      </w:r>
    </w:p>
    <w:p>
      <w:pPr>
        <w:pageBreakBefore w:val="0"/>
        <w:kinsoku/>
        <w:wordWrap w:val="0"/>
        <w:overflowPunct/>
        <w:bidi w:val="0"/>
        <w:spacing w:line="360" w:lineRule="auto"/>
        <w:ind w:firstLine="480" w:firstLineChars="200"/>
      </w:pPr>
      <w:r>
        <w:rPr>
          <w:rFonts w:hint="eastAsia" w:ascii="宋体" w:hAnsi="宋体" w:cs="宋体"/>
          <w:sz w:val="24"/>
        </w:rPr>
        <w:t>3.供应商须知前附表允许响应文件偏离磋商文件某些要求的，偏差应当符合磋商文件规定的偏差范围和幅度。</w:t>
      </w:r>
    </w:p>
    <w:p>
      <w:pPr>
        <w:pageBreakBefore w:val="0"/>
        <w:kinsoku/>
        <w:wordWrap w:val="0"/>
        <w:overflowPunct/>
        <w:bidi w:val="0"/>
        <w:spacing w:line="360" w:lineRule="auto"/>
        <w:jc w:val="left"/>
        <w:rPr>
          <w:rFonts w:ascii="宋体" w:hAnsi="宋体" w:cs="宋体"/>
          <w:b/>
          <w:bCs/>
          <w:sz w:val="28"/>
          <w:szCs w:val="28"/>
        </w:rPr>
      </w:pPr>
      <w:bookmarkStart w:id="124" w:name="_Toc144974510"/>
      <w:bookmarkStart w:id="125" w:name="_Toc246996187"/>
      <w:bookmarkStart w:id="126" w:name="_Toc246996930"/>
      <w:bookmarkStart w:id="127" w:name="_Toc152045542"/>
      <w:bookmarkStart w:id="128" w:name="_Toc247085701"/>
      <w:bookmarkStart w:id="129" w:name="_Toc425177131"/>
      <w:bookmarkStart w:id="130" w:name="_Toc179632560"/>
      <w:bookmarkStart w:id="131" w:name="_Toc152042318"/>
      <w:r>
        <w:rPr>
          <w:rFonts w:hint="eastAsia" w:ascii="宋体" w:hAnsi="宋体" w:cs="宋体"/>
          <w:b/>
          <w:bCs/>
          <w:sz w:val="28"/>
          <w:szCs w:val="28"/>
        </w:rPr>
        <w:t xml:space="preserve">2. </w:t>
      </w:r>
      <w:bookmarkEnd w:id="124"/>
      <w:bookmarkEnd w:id="125"/>
      <w:bookmarkEnd w:id="126"/>
      <w:bookmarkEnd w:id="127"/>
      <w:bookmarkEnd w:id="128"/>
      <w:bookmarkEnd w:id="129"/>
      <w:bookmarkEnd w:id="130"/>
      <w:bookmarkEnd w:id="131"/>
      <w:r>
        <w:rPr>
          <w:rFonts w:hint="eastAsia" w:ascii="宋体" w:hAnsi="宋体" w:cs="宋体"/>
          <w:b/>
          <w:bCs/>
          <w:sz w:val="28"/>
          <w:szCs w:val="28"/>
        </w:rPr>
        <w:t>磋商文件</w:t>
      </w:r>
    </w:p>
    <w:p>
      <w:pPr>
        <w:pageBreakBefore w:val="0"/>
        <w:kinsoku/>
        <w:wordWrap w:val="0"/>
        <w:overflowPunct/>
        <w:bidi w:val="0"/>
        <w:spacing w:line="360" w:lineRule="auto"/>
        <w:jc w:val="left"/>
        <w:rPr>
          <w:rFonts w:ascii="宋体" w:hAnsi="宋体" w:cs="宋体"/>
          <w:b/>
          <w:bCs/>
          <w:sz w:val="28"/>
          <w:szCs w:val="28"/>
        </w:rPr>
      </w:pPr>
      <w:bookmarkStart w:id="132" w:name="_Toc246996188"/>
      <w:bookmarkStart w:id="133" w:name="_Toc247085702"/>
      <w:bookmarkStart w:id="134" w:name="_Toc152045543"/>
      <w:bookmarkStart w:id="135" w:name="_Toc425177132"/>
      <w:bookmarkStart w:id="136" w:name="_Toc179632561"/>
      <w:bookmarkStart w:id="137" w:name="_Toc144974511"/>
      <w:bookmarkStart w:id="138" w:name="_Toc152042319"/>
      <w:bookmarkStart w:id="139" w:name="_Toc246996931"/>
      <w:r>
        <w:rPr>
          <w:rFonts w:hint="eastAsia" w:ascii="宋体" w:hAnsi="宋体" w:cs="宋体"/>
          <w:b/>
          <w:bCs/>
          <w:sz w:val="28"/>
          <w:szCs w:val="28"/>
        </w:rPr>
        <w:t>2.1 磋商文件的组成</w:t>
      </w:r>
      <w:bookmarkEnd w:id="132"/>
      <w:bookmarkEnd w:id="133"/>
      <w:bookmarkEnd w:id="134"/>
      <w:bookmarkEnd w:id="135"/>
      <w:bookmarkEnd w:id="136"/>
      <w:bookmarkEnd w:id="137"/>
      <w:bookmarkEnd w:id="138"/>
      <w:bookmarkEnd w:id="139"/>
    </w:p>
    <w:p>
      <w:pPr>
        <w:pageBreakBefore w:val="0"/>
        <w:kinsoku/>
        <w:wordWrap w:val="0"/>
        <w:overflowPunct/>
        <w:bidi w:val="0"/>
        <w:spacing w:line="360" w:lineRule="auto"/>
        <w:ind w:firstLine="420" w:firstLineChars="200"/>
        <w:rPr>
          <w:rFonts w:ascii="宋体" w:hAnsi="宋体" w:cs="宋体"/>
          <w:sz w:val="24"/>
        </w:rPr>
      </w:pPr>
      <w:r>
        <w:rPr>
          <w:rFonts w:hint="eastAsia" w:ascii="宋体" w:hAnsi="宋体" w:cs="宋体"/>
        </w:rPr>
        <w:t>　</w:t>
      </w:r>
      <w:r>
        <w:rPr>
          <w:rFonts w:hint="eastAsia" w:ascii="宋体" w:hAnsi="宋体" w:cs="宋体"/>
          <w:sz w:val="24"/>
        </w:rPr>
        <w:t>1. 本磋商文件包括：</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（1）竞争性磋商公告；</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（2）供应商须知；</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（3）评审办法；</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（4）合同条款及格式；</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 xml:space="preserve">（5）项目需求； </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 xml:space="preserve">（6）技术标准和要求； </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（7）响应文件格式；</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（8）供应商须知前附表规定的其他材料。</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2.根据本章第1.10款、第2.2款和第2.3款对磋商文件所作的澄清、修改，构成磋商文件的组成部分。</w:t>
      </w:r>
    </w:p>
    <w:p>
      <w:pPr>
        <w:pageBreakBefore w:val="0"/>
        <w:kinsoku/>
        <w:wordWrap w:val="0"/>
        <w:overflowPunct/>
        <w:bidi w:val="0"/>
        <w:spacing w:line="360" w:lineRule="auto"/>
        <w:jc w:val="left"/>
        <w:rPr>
          <w:rFonts w:ascii="宋体" w:hAnsi="宋体" w:cs="宋体"/>
          <w:b/>
          <w:bCs/>
          <w:sz w:val="28"/>
          <w:szCs w:val="28"/>
        </w:rPr>
      </w:pPr>
      <w:bookmarkStart w:id="140" w:name="_Toc246996932"/>
      <w:bookmarkStart w:id="141" w:name="_Toc179632562"/>
      <w:bookmarkStart w:id="142" w:name="_Toc152042320"/>
      <w:bookmarkStart w:id="143" w:name="_Toc246996189"/>
      <w:bookmarkStart w:id="144" w:name="_Toc247085703"/>
      <w:bookmarkStart w:id="145" w:name="_Toc144974512"/>
      <w:bookmarkStart w:id="146" w:name="_Toc152045544"/>
      <w:bookmarkStart w:id="147" w:name="_Toc425177133"/>
      <w:r>
        <w:rPr>
          <w:rFonts w:hint="eastAsia" w:ascii="宋体" w:hAnsi="宋体" w:cs="宋体"/>
          <w:b/>
          <w:bCs/>
          <w:sz w:val="28"/>
          <w:szCs w:val="28"/>
        </w:rPr>
        <w:t>2.2 磋商文件的澄清</w:t>
      </w:r>
      <w:bookmarkEnd w:id="140"/>
      <w:bookmarkEnd w:id="141"/>
      <w:bookmarkEnd w:id="142"/>
      <w:bookmarkEnd w:id="143"/>
      <w:bookmarkEnd w:id="144"/>
      <w:bookmarkEnd w:id="145"/>
      <w:bookmarkEnd w:id="146"/>
      <w:bookmarkEnd w:id="147"/>
      <w:r>
        <w:rPr>
          <w:rFonts w:hint="eastAsia" w:ascii="宋体" w:hAnsi="宋体" w:cs="宋体"/>
          <w:b/>
          <w:bCs/>
          <w:sz w:val="28"/>
          <w:szCs w:val="28"/>
        </w:rPr>
        <w:t xml:space="preserve"> </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供应商应仔细阅读和检查磋商文件的全部内容。如发现缺页或附件不全，应及时向采购人提出，以便补齐。如有疑问，应在供应商须知前附表规定的时间前以书面形式（包括信函、等可以有形地表现所载内容的形式，下同），要求采购人对磋商文件予以澄清。</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2.磋商文件的澄清将以书面形式或媒体发布通知所有购买磋商文件的供应商，但不指明澄清问题的来源。如果澄清发出的时间距供应商须知前附表规定的递交响应文件截止时间不足5天，并且澄清内容影响响应文件编制的，将相应延长递交响应文件截止时间。</w:t>
      </w:r>
    </w:p>
    <w:p>
      <w:pPr>
        <w:pageBreakBefore w:val="0"/>
        <w:kinsoku/>
        <w:wordWrap w:val="0"/>
        <w:overflowPunct/>
        <w:bidi w:val="0"/>
        <w:spacing w:line="360" w:lineRule="auto"/>
        <w:ind w:firstLine="480" w:firstLineChars="200"/>
        <w:rPr>
          <w:rFonts w:ascii="宋体" w:hAnsi="宋体" w:cs="宋体"/>
        </w:rPr>
      </w:pPr>
      <w:r>
        <w:rPr>
          <w:rFonts w:hint="eastAsia" w:ascii="宋体" w:hAnsi="宋体" w:cs="宋体"/>
          <w:sz w:val="24"/>
        </w:rPr>
        <w:t>3.供应商在收到澄清后，应在供应商须知前附表规定的时间内以书面形式通知采购人，确认已收到该澄清。逾期不确认则视为收到修改通知且无异议。</w:t>
      </w:r>
    </w:p>
    <w:p>
      <w:pPr>
        <w:pageBreakBefore w:val="0"/>
        <w:kinsoku/>
        <w:wordWrap w:val="0"/>
        <w:overflowPunct/>
        <w:bidi w:val="0"/>
        <w:spacing w:line="360" w:lineRule="auto"/>
        <w:jc w:val="left"/>
        <w:rPr>
          <w:rFonts w:ascii="宋体" w:hAnsi="宋体" w:cs="宋体"/>
          <w:b/>
          <w:bCs/>
          <w:sz w:val="28"/>
          <w:szCs w:val="28"/>
        </w:rPr>
      </w:pPr>
      <w:bookmarkStart w:id="148" w:name="_Toc152042321"/>
      <w:bookmarkStart w:id="149" w:name="_Toc246996933"/>
      <w:bookmarkStart w:id="150" w:name="_Toc179632563"/>
      <w:bookmarkStart w:id="151" w:name="_Toc247085704"/>
      <w:bookmarkStart w:id="152" w:name="_Toc144974513"/>
      <w:bookmarkStart w:id="153" w:name="_Toc425177134"/>
      <w:bookmarkStart w:id="154" w:name="_Toc246996190"/>
      <w:bookmarkStart w:id="155" w:name="_Toc152045545"/>
      <w:r>
        <w:rPr>
          <w:rFonts w:hint="eastAsia" w:ascii="宋体" w:hAnsi="宋体" w:cs="宋体"/>
          <w:b/>
          <w:bCs/>
          <w:sz w:val="28"/>
          <w:szCs w:val="28"/>
        </w:rPr>
        <w:t>2.3 磋商文件的修改</w:t>
      </w:r>
      <w:bookmarkEnd w:id="148"/>
      <w:bookmarkEnd w:id="149"/>
      <w:bookmarkEnd w:id="150"/>
      <w:bookmarkEnd w:id="151"/>
      <w:bookmarkEnd w:id="152"/>
      <w:bookmarkEnd w:id="153"/>
      <w:bookmarkEnd w:id="154"/>
      <w:bookmarkEnd w:id="155"/>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采购人可以书面形式或媒体发布通知修改磋商文件，并通知所有已购买磋商文件的供应商（自行查阅媒体发布通知），当磋商文件与更正公告的内容相互矛盾时，以代理机构机构最后发出的更正公告为准。但如果修改磋商文件的时间距递交响应文件截止时间不足5天，并且修改内容影响响应文件编制的，将相应延长递交响应文件截止时间。</w:t>
      </w:r>
    </w:p>
    <w:p>
      <w:pPr>
        <w:pageBreakBefore w:val="0"/>
        <w:kinsoku/>
        <w:wordWrap w:val="0"/>
        <w:overflowPunct/>
        <w:bidi w:val="0"/>
        <w:spacing w:line="360" w:lineRule="auto"/>
        <w:ind w:firstLine="480" w:firstLineChars="200"/>
        <w:rPr>
          <w:rFonts w:ascii="宋体" w:hAnsi="宋体" w:cs="宋体"/>
        </w:rPr>
      </w:pPr>
      <w:r>
        <w:rPr>
          <w:rFonts w:hint="eastAsia" w:ascii="宋体" w:hAnsi="宋体" w:cs="宋体"/>
          <w:sz w:val="24"/>
        </w:rPr>
        <w:t>2.供应商收到修改内容后，应在供应商须知前附表规定的时间内以书面形式通知采购人，确认已收到该修改。逾期不确认则视为收到修改通知且无异议。</w:t>
      </w:r>
    </w:p>
    <w:p>
      <w:pPr>
        <w:pageBreakBefore w:val="0"/>
        <w:kinsoku/>
        <w:wordWrap w:val="0"/>
        <w:overflowPunct/>
        <w:bidi w:val="0"/>
        <w:spacing w:line="360" w:lineRule="auto"/>
        <w:jc w:val="left"/>
        <w:rPr>
          <w:rFonts w:ascii="宋体" w:hAnsi="宋体" w:cs="宋体"/>
          <w:b/>
          <w:bCs/>
          <w:sz w:val="28"/>
          <w:szCs w:val="28"/>
        </w:rPr>
      </w:pPr>
      <w:bookmarkStart w:id="156" w:name="_Toc246996934"/>
      <w:bookmarkStart w:id="157" w:name="_Toc247085705"/>
      <w:bookmarkStart w:id="158" w:name="_Toc246996191"/>
      <w:bookmarkStart w:id="159" w:name="_Toc144974514"/>
      <w:bookmarkStart w:id="160" w:name="_Toc152045546"/>
      <w:bookmarkStart w:id="161" w:name="_Toc425177135"/>
      <w:bookmarkStart w:id="162" w:name="_Toc152042322"/>
      <w:bookmarkStart w:id="163" w:name="_Toc179632564"/>
      <w:r>
        <w:rPr>
          <w:rFonts w:hint="eastAsia" w:ascii="宋体" w:hAnsi="宋体" w:cs="宋体"/>
          <w:b/>
          <w:bCs/>
          <w:sz w:val="28"/>
          <w:szCs w:val="28"/>
        </w:rPr>
        <w:t xml:space="preserve">3. </w:t>
      </w:r>
      <w:bookmarkEnd w:id="156"/>
      <w:bookmarkEnd w:id="157"/>
      <w:bookmarkEnd w:id="158"/>
      <w:bookmarkEnd w:id="159"/>
      <w:bookmarkEnd w:id="160"/>
      <w:bookmarkEnd w:id="161"/>
      <w:bookmarkEnd w:id="162"/>
      <w:bookmarkEnd w:id="163"/>
      <w:r>
        <w:rPr>
          <w:rFonts w:hint="eastAsia" w:ascii="宋体" w:hAnsi="宋体" w:cs="宋体"/>
          <w:b/>
          <w:bCs/>
          <w:sz w:val="28"/>
          <w:szCs w:val="28"/>
        </w:rPr>
        <w:t>响应文件</w:t>
      </w:r>
    </w:p>
    <w:p>
      <w:pPr>
        <w:pageBreakBefore w:val="0"/>
        <w:kinsoku/>
        <w:wordWrap w:val="0"/>
        <w:overflowPunct/>
        <w:bidi w:val="0"/>
        <w:spacing w:line="360" w:lineRule="auto"/>
        <w:jc w:val="left"/>
        <w:rPr>
          <w:rFonts w:ascii="宋体" w:hAnsi="宋体" w:cs="宋体"/>
          <w:b/>
          <w:bCs/>
          <w:sz w:val="28"/>
          <w:szCs w:val="28"/>
        </w:rPr>
      </w:pPr>
      <w:bookmarkStart w:id="164" w:name="_Toc144974515"/>
      <w:bookmarkStart w:id="165" w:name="_Toc179632565"/>
      <w:bookmarkStart w:id="166" w:name="_Toc246996935"/>
      <w:bookmarkStart w:id="167" w:name="_Toc425177136"/>
      <w:bookmarkStart w:id="168" w:name="_Toc152042323"/>
      <w:bookmarkStart w:id="169" w:name="_Toc246996192"/>
      <w:bookmarkStart w:id="170" w:name="_Toc247085706"/>
      <w:bookmarkStart w:id="171" w:name="_Toc152045547"/>
      <w:r>
        <w:rPr>
          <w:rFonts w:hint="eastAsia" w:ascii="宋体" w:hAnsi="宋体" w:cs="宋体"/>
          <w:b/>
          <w:bCs/>
          <w:sz w:val="28"/>
          <w:szCs w:val="28"/>
        </w:rPr>
        <w:t>3.1 响应文件的组成</w:t>
      </w:r>
      <w:bookmarkEnd w:id="164"/>
      <w:bookmarkEnd w:id="165"/>
      <w:bookmarkEnd w:id="166"/>
      <w:bookmarkEnd w:id="167"/>
      <w:bookmarkEnd w:id="168"/>
      <w:bookmarkEnd w:id="169"/>
      <w:bookmarkEnd w:id="170"/>
      <w:bookmarkEnd w:id="171"/>
    </w:p>
    <w:p>
      <w:pPr>
        <w:pageBreakBefore w:val="0"/>
        <w:kinsoku/>
        <w:wordWrap w:val="0"/>
        <w:overflowPunct/>
        <w:bidi w:val="0"/>
        <w:spacing w:line="360" w:lineRule="auto"/>
        <w:ind w:firstLine="528" w:firstLineChars="220"/>
        <w:rPr>
          <w:rFonts w:ascii="宋体" w:hAnsi="宋体" w:cs="宋体"/>
          <w:sz w:val="24"/>
        </w:rPr>
      </w:pPr>
      <w:r>
        <w:rPr>
          <w:rFonts w:hint="eastAsia" w:ascii="宋体" w:hAnsi="宋体" w:cs="宋体"/>
          <w:sz w:val="24"/>
        </w:rPr>
        <w:t>1.响应文件应包括内容（但不限于此内容）：详见本项目第七章响应文件格式。</w:t>
      </w:r>
    </w:p>
    <w:p>
      <w:pPr>
        <w:pageBreakBefore w:val="0"/>
        <w:kinsoku/>
        <w:wordWrap w:val="0"/>
        <w:overflowPunct/>
        <w:bidi w:val="0"/>
        <w:spacing w:line="360" w:lineRule="auto"/>
        <w:ind w:firstLine="528" w:firstLineChars="220"/>
        <w:rPr>
          <w:rFonts w:ascii="宋体" w:hAnsi="宋体" w:cs="宋体"/>
          <w:sz w:val="24"/>
        </w:rPr>
      </w:pPr>
      <w:r>
        <w:rPr>
          <w:rFonts w:hint="eastAsia" w:ascii="宋体" w:hAnsi="宋体" w:cs="宋体"/>
          <w:sz w:val="24"/>
        </w:rPr>
        <w:t>2.响应文件正本须按照磋商文件中提供的响应文件格式及磋商文件相关规定的要求编制。</w:t>
      </w:r>
    </w:p>
    <w:p>
      <w:pPr>
        <w:pageBreakBefore w:val="0"/>
        <w:kinsoku/>
        <w:wordWrap w:val="0"/>
        <w:overflowPunct/>
        <w:bidi w:val="0"/>
        <w:spacing w:line="360" w:lineRule="auto"/>
        <w:jc w:val="left"/>
        <w:rPr>
          <w:rFonts w:ascii="宋体" w:hAnsi="宋体" w:cs="宋体"/>
          <w:b/>
          <w:bCs/>
          <w:sz w:val="28"/>
          <w:szCs w:val="28"/>
        </w:rPr>
      </w:pPr>
      <w:bookmarkStart w:id="172" w:name="_Toc144974516"/>
      <w:bookmarkStart w:id="173" w:name="_Toc152045548"/>
      <w:bookmarkStart w:id="174" w:name="_Toc246996936"/>
      <w:bookmarkStart w:id="175" w:name="_Toc425177137"/>
      <w:bookmarkStart w:id="176" w:name="_Toc179632566"/>
      <w:bookmarkStart w:id="177" w:name="_Toc246996193"/>
      <w:bookmarkStart w:id="178" w:name="_Toc152042324"/>
      <w:bookmarkStart w:id="179" w:name="_Toc247085707"/>
      <w:r>
        <w:rPr>
          <w:rFonts w:hint="eastAsia" w:ascii="宋体" w:hAnsi="宋体" w:cs="宋体"/>
          <w:b/>
          <w:bCs/>
          <w:sz w:val="28"/>
          <w:szCs w:val="28"/>
        </w:rPr>
        <w:t>3.2 报价</w:t>
      </w:r>
      <w:bookmarkEnd w:id="172"/>
      <w:bookmarkEnd w:id="173"/>
      <w:bookmarkEnd w:id="174"/>
      <w:bookmarkEnd w:id="175"/>
      <w:bookmarkEnd w:id="176"/>
      <w:bookmarkEnd w:id="177"/>
      <w:bookmarkEnd w:id="178"/>
      <w:bookmarkEnd w:id="179"/>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lang w:val="en-US" w:eastAsia="zh-CN"/>
        </w:rPr>
        <w:t>1</w:t>
      </w:r>
      <w:r>
        <w:rPr>
          <w:rFonts w:hint="eastAsia" w:ascii="宋体" w:hAnsi="宋体" w:cs="宋体"/>
          <w:sz w:val="24"/>
        </w:rPr>
        <w:t>.报价均须以人民币为计算单位。</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2.供应商在递交响应文件截止时间前修改应答函中的报价总额，报价总额为各分项金额之和。</w:t>
      </w:r>
      <w:bookmarkStart w:id="180" w:name="_Toc179632567"/>
      <w:bookmarkStart w:id="181" w:name="_Toc144974517"/>
      <w:bookmarkStart w:id="182" w:name="_Toc152045549"/>
      <w:bookmarkStart w:id="183" w:name="_Toc152042325"/>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3.采购人设有最高限价的，供应商的报价不得超过最高限价，最高限价或其计算方法在供应商须知前附表中载明。</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4.报价应包括国家规定的增值税税金，除供应商须知前附表另有规定外，增值税税金按一般计税方法计算。</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5.供应商根据自己的实际情况，在保证质量、工期及不违背国家有关政策的前提下，按磋商文件要求，综合考虑安全性、合理性、经济性，以工程量清单形式（保留小数点后两位）进行报价。</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6.成交下浮率的计算：（1）暂估价、暂列金额未包括在预算金额中的成交下浮率=[（预算金额-成交人的最终报价）÷预算金额]×100%或中标下浮率=（1-成交供应商投标报价÷预算金额）×100%。（2）暂估价、暂列金额包括在预算金额中的中标下浮率=｛[（预算金额-暂估价-暂列金额）-（成交供应商投标报价-暂估价-暂列金额）]÷（预算金额-暂估价-暂列金额）｝×100%或中标下浮率=[1-（成交供应商投标报价-暂估价-暂列金额）÷（预算金额-暂估价-暂列金额）]×100%</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7.各投标单位按工程量清单的要求和格式报价，报价不允许报整数，应精确至小数点后两位。平均值和成交下浮率计算小数点后取两位有效，第三位四舍五入。</w:t>
      </w:r>
    </w:p>
    <w:p>
      <w:pPr>
        <w:pageBreakBefore w:val="0"/>
        <w:kinsoku/>
        <w:wordWrap w:val="0"/>
        <w:overflowPunct/>
        <w:bidi w:val="0"/>
        <w:spacing w:line="360" w:lineRule="auto"/>
        <w:jc w:val="left"/>
        <w:rPr>
          <w:rFonts w:ascii="宋体" w:hAnsi="宋体" w:cs="宋体"/>
          <w:b/>
          <w:bCs/>
          <w:sz w:val="28"/>
          <w:szCs w:val="28"/>
        </w:rPr>
      </w:pPr>
      <w:bookmarkStart w:id="184" w:name="_Toc247085708"/>
      <w:bookmarkStart w:id="185" w:name="_Toc425177138"/>
      <w:bookmarkStart w:id="186" w:name="_Toc246996194"/>
      <w:bookmarkStart w:id="187" w:name="_Toc246996937"/>
      <w:r>
        <w:rPr>
          <w:rFonts w:hint="eastAsia" w:ascii="宋体" w:hAnsi="宋体" w:cs="宋体"/>
          <w:b/>
          <w:bCs/>
          <w:sz w:val="28"/>
          <w:szCs w:val="28"/>
        </w:rPr>
        <w:t>3.3 磋商有效期</w:t>
      </w:r>
      <w:bookmarkEnd w:id="180"/>
      <w:bookmarkEnd w:id="181"/>
      <w:bookmarkEnd w:id="182"/>
      <w:bookmarkEnd w:id="183"/>
      <w:bookmarkEnd w:id="184"/>
      <w:bookmarkEnd w:id="185"/>
      <w:bookmarkEnd w:id="186"/>
      <w:bookmarkEnd w:id="187"/>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 除供应商须知前附表另有规定外，磋商有效期为从提交响应文件的截止之日起算</w:t>
      </w:r>
      <w:r>
        <w:rPr>
          <w:rFonts w:hint="eastAsia" w:ascii="宋体" w:hAnsi="宋体" w:cs="宋体"/>
          <w:sz w:val="24"/>
          <w:u w:val="single"/>
          <w:lang w:val="en-US" w:eastAsia="zh-CN"/>
        </w:rPr>
        <w:t>60</w:t>
      </w:r>
      <w:r>
        <w:rPr>
          <w:rFonts w:hint="eastAsia" w:ascii="宋体" w:hAnsi="宋体" w:cs="宋体"/>
          <w:sz w:val="24"/>
          <w:u w:val="single"/>
        </w:rPr>
        <w:t>日历天</w:t>
      </w:r>
      <w:r>
        <w:rPr>
          <w:rFonts w:hint="eastAsia" w:ascii="宋体" w:hAnsi="宋体" w:cs="宋体"/>
          <w:sz w:val="24"/>
        </w:rPr>
        <w:t>。</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lang w:val="en-US" w:eastAsia="zh-CN"/>
        </w:rPr>
        <w:t>2</w:t>
      </w:r>
      <w:r>
        <w:rPr>
          <w:rFonts w:hint="eastAsia" w:ascii="宋体" w:hAnsi="宋体" w:cs="宋体"/>
          <w:sz w:val="24"/>
        </w:rPr>
        <w:t>.在磋商有效期内，供应商撤销或修改其响应文件的，应承担磋商文件和法律规定的责任。</w:t>
      </w:r>
    </w:p>
    <w:p>
      <w:pPr>
        <w:pageBreakBefore w:val="0"/>
        <w:kinsoku/>
        <w:wordWrap w:val="0"/>
        <w:overflowPunct/>
        <w:bidi w:val="0"/>
        <w:spacing w:line="360" w:lineRule="auto"/>
        <w:ind w:firstLine="480" w:firstLineChars="200"/>
        <w:rPr>
          <w:rFonts w:ascii="宋体" w:hAnsi="宋体" w:cs="宋体"/>
          <w:szCs w:val="21"/>
        </w:rPr>
      </w:pPr>
      <w:r>
        <w:rPr>
          <w:rFonts w:hint="eastAsia" w:ascii="宋体" w:hAnsi="宋体" w:cs="宋体"/>
          <w:sz w:val="24"/>
        </w:rPr>
        <w:t>3.出现特殊情况需要延长磋商有效期的，采购人以书面形式通知所有供应商延长磋商有效期。供应商同意延长的，应相应延长其磋商保证金的有效期，但不得要求或被允许修改或撤销其响应文件；供应商拒绝延长的，其磋商失效，但供应商有权收回其磋商保证金。</w:t>
      </w:r>
    </w:p>
    <w:p>
      <w:pPr>
        <w:pageBreakBefore w:val="0"/>
        <w:kinsoku/>
        <w:wordWrap w:val="0"/>
        <w:overflowPunct/>
        <w:bidi w:val="0"/>
        <w:spacing w:line="360" w:lineRule="auto"/>
        <w:jc w:val="left"/>
        <w:rPr>
          <w:rFonts w:ascii="宋体" w:hAnsi="宋体" w:cs="宋体"/>
          <w:b/>
          <w:bCs/>
          <w:sz w:val="28"/>
          <w:szCs w:val="28"/>
        </w:rPr>
      </w:pPr>
      <w:bookmarkStart w:id="188" w:name="_Toc152045550"/>
      <w:bookmarkStart w:id="189" w:name="_Toc246996195"/>
      <w:bookmarkStart w:id="190" w:name="_Toc179632568"/>
      <w:bookmarkStart w:id="191" w:name="_Toc425177139"/>
      <w:bookmarkStart w:id="192" w:name="_Toc144974518"/>
      <w:bookmarkStart w:id="193" w:name="_Toc246996938"/>
      <w:bookmarkStart w:id="194" w:name="_Toc247085709"/>
      <w:bookmarkStart w:id="195" w:name="_Toc152042326"/>
      <w:r>
        <w:rPr>
          <w:rFonts w:hint="eastAsia" w:ascii="宋体" w:hAnsi="宋体" w:cs="宋体"/>
          <w:b/>
          <w:bCs/>
          <w:sz w:val="28"/>
          <w:szCs w:val="28"/>
        </w:rPr>
        <w:t>3.4 磋商保证金</w:t>
      </w:r>
      <w:bookmarkEnd w:id="188"/>
      <w:bookmarkEnd w:id="189"/>
      <w:bookmarkEnd w:id="190"/>
      <w:bookmarkEnd w:id="191"/>
      <w:bookmarkEnd w:id="192"/>
      <w:bookmarkEnd w:id="193"/>
      <w:bookmarkEnd w:id="194"/>
      <w:bookmarkEnd w:id="195"/>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供应商须知前附表规定递交磋商保证金的，供应商在递交响应文件的同时，应按供应商须知前附表规定的金额、担保形式和第七章“响应文件格式”规定的或者事先经过采购人认可的磋商保证金格式递交磋商保证金，并作为其响应文件的组成部分。</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2.磋商保证金采用转账形式的还应满足以下条件：1、磋商保证金以转账形式的必须从供应商的基本账户中转出（响应文件提供基本账户证明）；2、磋商保证金以转账形式的须在磋商文件约定的时点前到达指定帐户；3、磋商保证金须按磋商文件要求提供相关证明材料。</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3. 未成交供应商的磋商保证金应当在成交通知书发出后5个工作日内退还，成交供应商的磋商保证金应当在采购合同签订后5个工作日内退还。</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4.供应商不按本章第3.4.1项、第3.4.2项要求提交磋商保证金的，磋商小组将否决其磋商。</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 xml:space="preserve">5.有下列情形之一的，磋商保证金将不予退还： </w:t>
      </w:r>
    </w:p>
    <w:p>
      <w:pPr>
        <w:pageBreakBefore w:val="0"/>
        <w:kinsoku/>
        <w:wordWrap w:val="0"/>
        <w:overflowPunct/>
        <w:bidi w:val="0"/>
        <w:spacing w:line="360" w:lineRule="auto"/>
        <w:ind w:firstLine="820" w:firstLineChars="342"/>
        <w:rPr>
          <w:rFonts w:ascii="宋体" w:hAnsi="宋体" w:cs="宋体"/>
          <w:sz w:val="24"/>
        </w:rPr>
      </w:pPr>
      <w:r>
        <w:rPr>
          <w:rFonts w:hint="eastAsia" w:ascii="宋体" w:hAnsi="宋体" w:cs="宋体"/>
          <w:sz w:val="24"/>
        </w:rPr>
        <w:t>（1）供应商在规定的磋商有效期内撤销或修改其响应文件；</w:t>
      </w:r>
    </w:p>
    <w:p>
      <w:pPr>
        <w:pageBreakBefore w:val="0"/>
        <w:kinsoku/>
        <w:wordWrap w:val="0"/>
        <w:overflowPunct/>
        <w:bidi w:val="0"/>
        <w:spacing w:line="360" w:lineRule="auto"/>
        <w:ind w:firstLine="820" w:firstLineChars="342"/>
        <w:rPr>
          <w:rFonts w:ascii="宋体" w:hAnsi="宋体" w:cs="宋体"/>
          <w:sz w:val="24"/>
        </w:rPr>
      </w:pPr>
      <w:r>
        <w:rPr>
          <w:rFonts w:hint="eastAsia" w:ascii="宋体" w:hAnsi="宋体" w:cs="宋体"/>
          <w:sz w:val="24"/>
        </w:rPr>
        <w:t>（2）成交人在收到成交通知书后，无正当理由拒签合同协议书或未按磋商文件规定提交履约担保。</w:t>
      </w:r>
    </w:p>
    <w:p>
      <w:pPr>
        <w:pageBreakBefore w:val="0"/>
        <w:kinsoku/>
        <w:wordWrap w:val="0"/>
        <w:overflowPunct/>
        <w:bidi w:val="0"/>
        <w:spacing w:line="360" w:lineRule="auto"/>
        <w:ind w:firstLine="820" w:firstLineChars="342"/>
        <w:rPr>
          <w:rFonts w:ascii="宋体" w:hAnsi="宋体" w:cs="宋体"/>
        </w:rPr>
      </w:pPr>
      <w:r>
        <w:rPr>
          <w:rFonts w:hint="eastAsia" w:ascii="宋体" w:hAnsi="宋体" w:cs="宋体"/>
          <w:sz w:val="24"/>
        </w:rPr>
        <w:t>（3）发生供应商须知前附表规定的其他可以不予退还磋商保证金的情形。</w:t>
      </w:r>
    </w:p>
    <w:p>
      <w:pPr>
        <w:pageBreakBefore w:val="0"/>
        <w:kinsoku/>
        <w:wordWrap w:val="0"/>
        <w:overflowPunct/>
        <w:bidi w:val="0"/>
        <w:spacing w:line="360" w:lineRule="auto"/>
        <w:jc w:val="left"/>
        <w:rPr>
          <w:rFonts w:ascii="宋体" w:hAnsi="宋体" w:cs="宋体"/>
          <w:b/>
          <w:bCs/>
          <w:sz w:val="32"/>
          <w:szCs w:val="32"/>
        </w:rPr>
      </w:pPr>
      <w:bookmarkStart w:id="196" w:name="_Toc425177140"/>
      <w:bookmarkStart w:id="197" w:name="_Toc144974520"/>
      <w:bookmarkStart w:id="198" w:name="_Toc152042328"/>
      <w:bookmarkStart w:id="199" w:name="_Toc246996939"/>
      <w:bookmarkStart w:id="200" w:name="_Toc152045552"/>
      <w:bookmarkStart w:id="201" w:name="_Toc179632570"/>
      <w:bookmarkStart w:id="202" w:name="_Toc247085710"/>
      <w:bookmarkStart w:id="203" w:name="_Toc246996196"/>
      <w:r>
        <w:rPr>
          <w:rFonts w:hint="eastAsia" w:ascii="宋体" w:hAnsi="宋体" w:cs="宋体"/>
          <w:b/>
          <w:bCs/>
          <w:sz w:val="32"/>
          <w:szCs w:val="32"/>
        </w:rPr>
        <w:t>3.5 资格审查资料</w:t>
      </w:r>
      <w:bookmarkEnd w:id="196"/>
      <w:bookmarkEnd w:id="197"/>
      <w:bookmarkEnd w:id="198"/>
      <w:bookmarkEnd w:id="199"/>
      <w:bookmarkEnd w:id="200"/>
      <w:bookmarkEnd w:id="201"/>
      <w:bookmarkEnd w:id="202"/>
      <w:bookmarkEnd w:id="203"/>
    </w:p>
    <w:p>
      <w:pPr>
        <w:pageBreakBefore w:val="0"/>
        <w:kinsoku/>
        <w:wordWrap w:val="0"/>
        <w:overflowPunct/>
        <w:bidi w:val="0"/>
        <w:spacing w:line="360" w:lineRule="auto"/>
        <w:ind w:firstLine="480" w:firstLineChars="200"/>
        <w:rPr>
          <w:rFonts w:ascii="宋体" w:hAnsi="宋体" w:cs="宋体"/>
        </w:rPr>
      </w:pPr>
      <w:r>
        <w:rPr>
          <w:rFonts w:hint="eastAsia" w:ascii="宋体" w:hAnsi="宋体" w:cs="宋体"/>
          <w:sz w:val="24"/>
        </w:rPr>
        <w:t>1.“资格审查资料”符合本项目第七章“响应文件格式”和磋商文件中的资格要求。</w:t>
      </w:r>
    </w:p>
    <w:p>
      <w:pPr>
        <w:pageBreakBefore w:val="0"/>
        <w:kinsoku/>
        <w:wordWrap w:val="0"/>
        <w:overflowPunct/>
        <w:bidi w:val="0"/>
        <w:spacing w:line="360" w:lineRule="auto"/>
        <w:jc w:val="left"/>
        <w:rPr>
          <w:rFonts w:ascii="宋体" w:hAnsi="宋体" w:cs="宋体"/>
          <w:b/>
          <w:bCs/>
          <w:sz w:val="32"/>
          <w:szCs w:val="32"/>
        </w:rPr>
      </w:pPr>
      <w:bookmarkStart w:id="204" w:name="_Toc425177141"/>
      <w:bookmarkStart w:id="205" w:name="_Toc179632571"/>
      <w:bookmarkStart w:id="206" w:name="_Toc152045553"/>
      <w:bookmarkStart w:id="207" w:name="_Toc144974521"/>
      <w:bookmarkStart w:id="208" w:name="_Toc247085711"/>
      <w:bookmarkStart w:id="209" w:name="_Toc246996197"/>
      <w:bookmarkStart w:id="210" w:name="_Toc246996940"/>
      <w:bookmarkStart w:id="211" w:name="_Toc152042329"/>
      <w:r>
        <w:rPr>
          <w:rFonts w:hint="eastAsia" w:ascii="宋体" w:hAnsi="宋体" w:cs="宋体"/>
          <w:b/>
          <w:bCs/>
          <w:sz w:val="32"/>
          <w:szCs w:val="32"/>
        </w:rPr>
        <w:t>3.6响应文件的编制</w:t>
      </w:r>
      <w:bookmarkEnd w:id="204"/>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响应文件应按第七章“响应文件格式”进行编写，如有必要，可以增加附页，作为响应文件的组成部分。其中，应答函附录在满足磋商文件实质性要求的基础上，可以提出比磋商文件要求更有利于采购人的承诺。磋商文件中要求加盖供应商公章应为完整清晰的鲜章。</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2.响应文件应当对磋商文件有关工期、磋商有效期、质量要求、技术标准和要求、采购范围等实质性内容作出响应。</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3.响应文件应用不褪色的材料书写或打印，并由供应商的法定代表人或其委托代理人签字或盖单位章。委托代理人签字的，响应文件应附法定代表人签署的授权委托书。响应文件应尽量避免涂改、行间插字或删除。如果出现上述情况，改动之处应加盖单位章或由供应商的法定代表人或其授权的代理人签字确认。</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4.响应文件份数详见供应商须知前附表。</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5.响应文件的正本与副本应分别装订成册，装订要求见供应商须知前附表规定。</w:t>
      </w:r>
      <w:bookmarkEnd w:id="205"/>
      <w:bookmarkEnd w:id="206"/>
      <w:bookmarkEnd w:id="207"/>
      <w:bookmarkEnd w:id="208"/>
      <w:bookmarkEnd w:id="209"/>
      <w:bookmarkEnd w:id="210"/>
      <w:bookmarkEnd w:id="211"/>
      <w:bookmarkStart w:id="212" w:name="_Toc247085713"/>
      <w:bookmarkStart w:id="213" w:name="_Toc246996942"/>
      <w:bookmarkStart w:id="214" w:name="_Toc152045555"/>
      <w:bookmarkStart w:id="215" w:name="_Toc179632573"/>
      <w:bookmarkStart w:id="216" w:name="_Toc144974523"/>
      <w:bookmarkStart w:id="217" w:name="_Toc152042331"/>
      <w:bookmarkStart w:id="218" w:name="_Toc246996199"/>
      <w:r>
        <w:rPr>
          <w:rFonts w:hint="eastAsia" w:ascii="宋体" w:hAnsi="宋体" w:cs="宋体"/>
          <w:sz w:val="24"/>
        </w:rPr>
        <w:t>正本和副本的封面上应清楚地标记“正本”或“副本”的字样。当副本和正本不一致时，以正本为准。</w:t>
      </w:r>
    </w:p>
    <w:p>
      <w:pPr>
        <w:pageBreakBefore w:val="0"/>
        <w:kinsoku/>
        <w:wordWrap w:val="0"/>
        <w:overflowPunct/>
        <w:bidi w:val="0"/>
        <w:spacing w:line="360" w:lineRule="auto"/>
        <w:jc w:val="left"/>
        <w:rPr>
          <w:rFonts w:ascii="宋体" w:hAnsi="宋体" w:cs="宋体"/>
          <w:b/>
          <w:bCs/>
          <w:sz w:val="32"/>
          <w:szCs w:val="32"/>
        </w:rPr>
      </w:pPr>
      <w:bookmarkStart w:id="219" w:name="_Toc425177142"/>
      <w:r>
        <w:rPr>
          <w:rFonts w:hint="eastAsia" w:ascii="宋体" w:hAnsi="宋体" w:cs="宋体"/>
          <w:b/>
          <w:bCs/>
          <w:sz w:val="32"/>
          <w:szCs w:val="32"/>
        </w:rPr>
        <w:t xml:space="preserve">4. </w:t>
      </w:r>
      <w:bookmarkEnd w:id="212"/>
      <w:bookmarkEnd w:id="213"/>
      <w:bookmarkEnd w:id="214"/>
      <w:bookmarkEnd w:id="215"/>
      <w:bookmarkEnd w:id="216"/>
      <w:bookmarkEnd w:id="217"/>
      <w:bookmarkEnd w:id="218"/>
      <w:bookmarkEnd w:id="219"/>
      <w:r>
        <w:rPr>
          <w:rFonts w:hint="eastAsia" w:ascii="宋体" w:hAnsi="宋体" w:cs="宋体"/>
          <w:b/>
          <w:bCs/>
          <w:sz w:val="32"/>
          <w:szCs w:val="32"/>
        </w:rPr>
        <w:t>磋商响应</w:t>
      </w:r>
    </w:p>
    <w:p>
      <w:pPr>
        <w:pageBreakBefore w:val="0"/>
        <w:kinsoku/>
        <w:wordWrap w:val="0"/>
        <w:overflowPunct/>
        <w:bidi w:val="0"/>
        <w:spacing w:line="360" w:lineRule="auto"/>
        <w:jc w:val="left"/>
        <w:rPr>
          <w:rFonts w:ascii="宋体" w:hAnsi="宋体" w:cs="宋体"/>
          <w:b/>
          <w:bCs/>
          <w:sz w:val="32"/>
          <w:szCs w:val="32"/>
        </w:rPr>
      </w:pPr>
      <w:bookmarkStart w:id="220" w:name="_Toc144974524"/>
      <w:bookmarkStart w:id="221" w:name="_Toc246996200"/>
      <w:bookmarkStart w:id="222" w:name="_Toc247085714"/>
      <w:bookmarkStart w:id="223" w:name="_Toc179632574"/>
      <w:bookmarkStart w:id="224" w:name="_Toc152045556"/>
      <w:bookmarkStart w:id="225" w:name="_Toc246996943"/>
      <w:bookmarkStart w:id="226" w:name="_Toc425177143"/>
      <w:bookmarkStart w:id="227" w:name="_Toc152042332"/>
      <w:r>
        <w:rPr>
          <w:rFonts w:hint="eastAsia" w:ascii="宋体" w:hAnsi="宋体" w:cs="宋体"/>
          <w:b/>
          <w:bCs/>
          <w:sz w:val="32"/>
          <w:szCs w:val="32"/>
        </w:rPr>
        <w:t>4.1 响应文件的密封和标记</w:t>
      </w:r>
      <w:bookmarkEnd w:id="220"/>
      <w:bookmarkEnd w:id="221"/>
      <w:bookmarkEnd w:id="222"/>
      <w:bookmarkEnd w:id="223"/>
      <w:bookmarkEnd w:id="224"/>
      <w:bookmarkEnd w:id="225"/>
      <w:bookmarkEnd w:id="226"/>
      <w:bookmarkEnd w:id="227"/>
    </w:p>
    <w:p>
      <w:pPr>
        <w:pageBreakBefore w:val="0"/>
        <w:kinsoku/>
        <w:wordWrap w:val="0"/>
        <w:overflowPunct/>
        <w:bidi w:val="0"/>
        <w:spacing w:line="360" w:lineRule="auto"/>
        <w:ind w:firstLine="480" w:firstLineChars="200"/>
        <w:rPr>
          <w:rFonts w:ascii="宋体" w:hAnsi="宋体" w:cs="宋体"/>
          <w:sz w:val="24"/>
        </w:rPr>
      </w:pPr>
      <w:bookmarkStart w:id="228" w:name="_Toc144974525"/>
      <w:bookmarkStart w:id="229" w:name="_Toc152045557"/>
      <w:bookmarkStart w:id="230" w:name="_Toc179632575"/>
      <w:bookmarkStart w:id="231" w:name="_Toc246996201"/>
      <w:bookmarkStart w:id="232" w:name="_Toc152042333"/>
      <w:bookmarkStart w:id="233" w:name="_Toc247085715"/>
      <w:bookmarkStart w:id="234" w:name="_Toc246996944"/>
      <w:r>
        <w:rPr>
          <w:rFonts w:hint="eastAsia" w:ascii="宋体" w:hAnsi="宋体" w:cs="宋体"/>
          <w:sz w:val="24"/>
        </w:rPr>
        <w:t>1.供应商应将响应文件进行包装、加贴封条，正本、副本、电子版响应文件分别密封在三个专用袋（箱）中（正本一包，副本一包，电子版响应文件一包），并在专用袋（箱）封套上应写明内容，封口处应加盖骑缝章(供应商公章)。</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2.响应文件封套正面应载明的内容见供应商须知前附表。</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3.未按本章第4.1.1项或第4.1.2项要求密封和加写标记的响应文件，采购人应予拒收。</w:t>
      </w:r>
    </w:p>
    <w:p>
      <w:pPr>
        <w:pageBreakBefore w:val="0"/>
        <w:kinsoku/>
        <w:wordWrap w:val="0"/>
        <w:overflowPunct/>
        <w:bidi w:val="0"/>
        <w:spacing w:line="360" w:lineRule="auto"/>
        <w:jc w:val="left"/>
        <w:rPr>
          <w:rFonts w:ascii="宋体" w:hAnsi="宋体" w:cs="宋体"/>
          <w:b/>
          <w:bCs/>
          <w:sz w:val="32"/>
          <w:szCs w:val="32"/>
        </w:rPr>
      </w:pPr>
      <w:bookmarkStart w:id="235" w:name="_Toc425177144"/>
      <w:r>
        <w:rPr>
          <w:rFonts w:hint="eastAsia" w:ascii="宋体" w:hAnsi="宋体" w:cs="宋体"/>
          <w:b/>
          <w:bCs/>
          <w:sz w:val="32"/>
          <w:szCs w:val="32"/>
        </w:rPr>
        <w:t>4.2 响应文件的递交</w:t>
      </w:r>
      <w:bookmarkEnd w:id="228"/>
      <w:bookmarkEnd w:id="229"/>
      <w:bookmarkEnd w:id="230"/>
      <w:bookmarkEnd w:id="231"/>
      <w:bookmarkEnd w:id="232"/>
      <w:bookmarkEnd w:id="233"/>
      <w:bookmarkEnd w:id="234"/>
      <w:bookmarkEnd w:id="235"/>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1.递交响应文件截止时间：见供应商须知前附表。</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2.供应商递交响应文件的地点：见供应商须知前附表。</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3.除供应商须知前附表另有规定外，供应商所递交的响应文件不予退还。</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4.采购人收到响应文件后，做好登记记录。</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5.逾期送达的或者未送达指定地点的响应文件，采购人不予受理。</w:t>
      </w:r>
    </w:p>
    <w:p>
      <w:pPr>
        <w:pageBreakBefore w:val="0"/>
        <w:kinsoku/>
        <w:wordWrap w:val="0"/>
        <w:overflowPunct/>
        <w:bidi w:val="0"/>
        <w:spacing w:line="360" w:lineRule="auto"/>
        <w:jc w:val="left"/>
        <w:rPr>
          <w:rFonts w:ascii="宋体" w:hAnsi="宋体" w:cs="宋体"/>
          <w:b/>
          <w:bCs/>
          <w:sz w:val="32"/>
          <w:szCs w:val="32"/>
        </w:rPr>
      </w:pPr>
      <w:bookmarkStart w:id="236" w:name="_Toc246996945"/>
      <w:bookmarkStart w:id="237" w:name="_Toc152042334"/>
      <w:bookmarkStart w:id="238" w:name="_Toc425177145"/>
      <w:bookmarkStart w:id="239" w:name="_Toc144974526"/>
      <w:bookmarkStart w:id="240" w:name="_Toc179632576"/>
      <w:bookmarkStart w:id="241" w:name="_Toc246996202"/>
      <w:bookmarkStart w:id="242" w:name="_Toc152045558"/>
      <w:bookmarkStart w:id="243" w:name="_Toc247085716"/>
      <w:r>
        <w:rPr>
          <w:rFonts w:hint="eastAsia" w:ascii="宋体" w:hAnsi="宋体" w:cs="宋体"/>
          <w:b/>
          <w:bCs/>
          <w:sz w:val="32"/>
          <w:szCs w:val="32"/>
        </w:rPr>
        <w:t>4.3 响应文件的修改与撤回</w:t>
      </w:r>
      <w:bookmarkEnd w:id="236"/>
      <w:bookmarkEnd w:id="237"/>
      <w:bookmarkEnd w:id="238"/>
      <w:bookmarkEnd w:id="239"/>
      <w:bookmarkEnd w:id="240"/>
      <w:bookmarkEnd w:id="241"/>
      <w:bookmarkEnd w:id="242"/>
      <w:bookmarkEnd w:id="243"/>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1.在本章规定的递交响应文件截止时间前，供应商可以修改或撤回已递交的响应文件，但应以书面形式通知采购人。</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2.供应商修改或撤回已递交响应文件的书面通知应按照本章第3.6.3项的要求签字或盖章。采购人收到书面通知后，向供应商出具签收凭证。</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3.供应商撤回响应文件的，采购人或者采购代理机构应当自收到供应商书面撤回通知之日起５个工作日内，退还已收取的磋商保证金，但因投标人自身原因导致无法及时退还的除外。</w:t>
      </w:r>
    </w:p>
    <w:p>
      <w:pPr>
        <w:pageBreakBefore w:val="0"/>
        <w:kinsoku/>
        <w:wordWrap w:val="0"/>
        <w:overflowPunct/>
        <w:bidi w:val="0"/>
        <w:spacing w:line="360" w:lineRule="auto"/>
        <w:ind w:firstLine="480" w:firstLineChars="200"/>
        <w:rPr>
          <w:rFonts w:ascii="宋体" w:hAnsi="宋体" w:cs="宋体"/>
        </w:rPr>
      </w:pPr>
      <w:r>
        <w:rPr>
          <w:rFonts w:hint="eastAsia" w:ascii="宋体" w:hAnsi="宋体" w:cs="宋体"/>
          <w:sz w:val="24"/>
        </w:rPr>
        <w:t>4.修改的内容为响应文件的组成部分。修改的响应文件应按照本章第3条、第4条规定进行编制、密封、标记和递交，并标明“修改”字样。</w:t>
      </w:r>
    </w:p>
    <w:p>
      <w:pPr>
        <w:pageBreakBefore w:val="0"/>
        <w:kinsoku/>
        <w:wordWrap w:val="0"/>
        <w:overflowPunct/>
        <w:bidi w:val="0"/>
        <w:spacing w:line="360" w:lineRule="auto"/>
        <w:jc w:val="left"/>
        <w:rPr>
          <w:rFonts w:ascii="宋体" w:hAnsi="宋体" w:cs="宋体"/>
          <w:b/>
          <w:bCs/>
          <w:sz w:val="32"/>
          <w:szCs w:val="32"/>
        </w:rPr>
      </w:pPr>
      <w:bookmarkStart w:id="244" w:name="_Toc246996203"/>
      <w:bookmarkStart w:id="245" w:name="_Toc247085717"/>
      <w:bookmarkStart w:id="246" w:name="_Toc152042335"/>
      <w:bookmarkStart w:id="247" w:name="_Toc425177146"/>
      <w:bookmarkStart w:id="248" w:name="_Toc152045559"/>
      <w:bookmarkStart w:id="249" w:name="_Toc179632577"/>
      <w:bookmarkStart w:id="250" w:name="_Toc144974527"/>
      <w:bookmarkStart w:id="251" w:name="_Toc246996946"/>
      <w:r>
        <w:rPr>
          <w:rFonts w:hint="eastAsia" w:ascii="宋体" w:hAnsi="宋体" w:cs="宋体"/>
          <w:b/>
          <w:bCs/>
          <w:sz w:val="32"/>
          <w:szCs w:val="32"/>
        </w:rPr>
        <w:t>5. 开启</w:t>
      </w:r>
      <w:bookmarkEnd w:id="244"/>
      <w:bookmarkEnd w:id="245"/>
      <w:bookmarkEnd w:id="246"/>
      <w:bookmarkEnd w:id="247"/>
      <w:bookmarkEnd w:id="248"/>
      <w:bookmarkEnd w:id="249"/>
      <w:bookmarkEnd w:id="250"/>
      <w:bookmarkEnd w:id="251"/>
    </w:p>
    <w:p>
      <w:pPr>
        <w:pageBreakBefore w:val="0"/>
        <w:kinsoku/>
        <w:wordWrap w:val="0"/>
        <w:overflowPunct/>
        <w:bidi w:val="0"/>
        <w:spacing w:line="360" w:lineRule="auto"/>
        <w:jc w:val="left"/>
        <w:rPr>
          <w:rFonts w:ascii="宋体" w:hAnsi="宋体" w:cs="宋体"/>
          <w:b/>
          <w:bCs/>
          <w:sz w:val="32"/>
          <w:szCs w:val="32"/>
        </w:rPr>
      </w:pPr>
      <w:bookmarkStart w:id="252" w:name="_Toc144974528"/>
      <w:bookmarkStart w:id="253" w:name="_Toc246996947"/>
      <w:bookmarkStart w:id="254" w:name="_Toc247085718"/>
      <w:bookmarkStart w:id="255" w:name="_Toc425177147"/>
      <w:bookmarkStart w:id="256" w:name="_Toc152042336"/>
      <w:bookmarkStart w:id="257" w:name="_Toc179632578"/>
      <w:bookmarkStart w:id="258" w:name="_Toc152045560"/>
      <w:bookmarkStart w:id="259" w:name="_Toc246996204"/>
      <w:r>
        <w:rPr>
          <w:rFonts w:hint="eastAsia" w:ascii="宋体" w:hAnsi="宋体" w:cs="宋体"/>
          <w:b/>
          <w:bCs/>
          <w:sz w:val="32"/>
          <w:szCs w:val="32"/>
        </w:rPr>
        <w:t>5.1 开启时间和地点</w:t>
      </w:r>
      <w:bookmarkEnd w:id="252"/>
      <w:bookmarkEnd w:id="253"/>
      <w:bookmarkEnd w:id="254"/>
      <w:bookmarkEnd w:id="255"/>
      <w:bookmarkEnd w:id="256"/>
      <w:bookmarkEnd w:id="257"/>
      <w:bookmarkEnd w:id="258"/>
      <w:bookmarkEnd w:id="259"/>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采购人在本章规定的递交响应文件截止时间（开启时间）和供应商须知前附表规定的地点磋商，并邀请所有供应商的法定代表人或其委托代理人准时参加。</w:t>
      </w:r>
    </w:p>
    <w:p>
      <w:pPr>
        <w:pageBreakBefore w:val="0"/>
        <w:kinsoku/>
        <w:wordWrap w:val="0"/>
        <w:overflowPunct/>
        <w:bidi w:val="0"/>
        <w:spacing w:line="360" w:lineRule="auto"/>
        <w:jc w:val="left"/>
        <w:rPr>
          <w:rFonts w:ascii="宋体" w:hAnsi="宋体" w:cs="宋体"/>
          <w:b/>
          <w:bCs/>
          <w:sz w:val="32"/>
          <w:szCs w:val="32"/>
        </w:rPr>
      </w:pPr>
      <w:bookmarkStart w:id="260" w:name="_Toc152042337"/>
      <w:bookmarkStart w:id="261" w:name="_Toc425177148"/>
      <w:bookmarkStart w:id="262" w:name="_Toc144974529"/>
      <w:bookmarkStart w:id="263" w:name="_Toc247085719"/>
      <w:bookmarkStart w:id="264" w:name="_Toc246996948"/>
      <w:bookmarkStart w:id="265" w:name="_Toc179632579"/>
      <w:bookmarkStart w:id="266" w:name="_Toc152045561"/>
      <w:bookmarkStart w:id="267" w:name="_Toc246996205"/>
      <w:r>
        <w:rPr>
          <w:rFonts w:hint="eastAsia" w:ascii="宋体" w:hAnsi="宋体" w:cs="宋体"/>
          <w:b/>
          <w:bCs/>
          <w:sz w:val="32"/>
          <w:szCs w:val="32"/>
        </w:rPr>
        <w:t>5.2 磋商程序</w:t>
      </w:r>
      <w:bookmarkEnd w:id="260"/>
      <w:bookmarkEnd w:id="261"/>
      <w:bookmarkEnd w:id="262"/>
      <w:bookmarkEnd w:id="263"/>
      <w:bookmarkEnd w:id="264"/>
      <w:bookmarkEnd w:id="265"/>
      <w:bookmarkEnd w:id="266"/>
      <w:bookmarkEnd w:id="267"/>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代理机构按下列程序进行磋商：</w:t>
      </w:r>
    </w:p>
    <w:p>
      <w:pPr>
        <w:pageBreakBefore w:val="0"/>
        <w:kinsoku/>
        <w:wordWrap w:val="0"/>
        <w:overflowPunct/>
        <w:bidi w:val="0"/>
        <w:spacing w:line="360" w:lineRule="auto"/>
        <w:ind w:firstLine="410" w:firstLineChars="171"/>
        <w:rPr>
          <w:rFonts w:ascii="宋体" w:hAnsi="宋体" w:cs="宋体"/>
          <w:sz w:val="24"/>
        </w:rPr>
      </w:pPr>
      <w:r>
        <w:rPr>
          <w:rFonts w:hint="eastAsia" w:ascii="宋体" w:hAnsi="宋体" w:cs="宋体"/>
          <w:sz w:val="24"/>
        </w:rPr>
        <w:t>（1）宣布现场纪律；</w:t>
      </w:r>
    </w:p>
    <w:p>
      <w:pPr>
        <w:pageBreakBefore w:val="0"/>
        <w:kinsoku/>
        <w:wordWrap w:val="0"/>
        <w:overflowPunct/>
        <w:bidi w:val="0"/>
        <w:spacing w:line="360" w:lineRule="auto"/>
        <w:ind w:firstLine="410" w:firstLineChars="171"/>
        <w:rPr>
          <w:rFonts w:ascii="宋体" w:hAnsi="宋体" w:cs="宋体"/>
          <w:sz w:val="24"/>
        </w:rPr>
      </w:pPr>
      <w:r>
        <w:rPr>
          <w:rFonts w:hint="eastAsia" w:ascii="宋体" w:hAnsi="宋体" w:cs="宋体"/>
          <w:sz w:val="24"/>
        </w:rPr>
        <w:t>（2）公布在递交响应文件截止时间前递交响应文件的供应商名称，并点名确认供应商是否派人到场；</w:t>
      </w:r>
    </w:p>
    <w:p>
      <w:pPr>
        <w:pageBreakBefore w:val="0"/>
        <w:kinsoku/>
        <w:wordWrap w:val="0"/>
        <w:overflowPunct/>
        <w:bidi w:val="0"/>
        <w:spacing w:line="360" w:lineRule="auto"/>
        <w:ind w:firstLine="410" w:firstLineChars="171"/>
        <w:rPr>
          <w:rFonts w:ascii="宋体" w:hAnsi="宋体" w:cs="宋体"/>
          <w:sz w:val="24"/>
        </w:rPr>
      </w:pPr>
      <w:r>
        <w:rPr>
          <w:rFonts w:hint="eastAsia" w:ascii="宋体" w:hAnsi="宋体" w:cs="宋体"/>
          <w:sz w:val="24"/>
        </w:rPr>
        <w:t>（3）宣布参会有关人员；</w:t>
      </w:r>
    </w:p>
    <w:p>
      <w:pPr>
        <w:pageBreakBefore w:val="0"/>
        <w:kinsoku/>
        <w:wordWrap w:val="0"/>
        <w:overflowPunct/>
        <w:bidi w:val="0"/>
        <w:spacing w:line="360" w:lineRule="auto"/>
        <w:ind w:firstLine="410" w:firstLineChars="171"/>
        <w:rPr>
          <w:rFonts w:ascii="宋体" w:hAnsi="宋体" w:cs="宋体"/>
          <w:sz w:val="24"/>
        </w:rPr>
      </w:pPr>
      <w:r>
        <w:rPr>
          <w:rFonts w:hint="eastAsia" w:ascii="宋体" w:hAnsi="宋体" w:cs="宋体"/>
          <w:sz w:val="24"/>
        </w:rPr>
        <w:t>（4）按照供应商须知前附表规定检查响应文件的密封情况；</w:t>
      </w:r>
    </w:p>
    <w:p>
      <w:pPr>
        <w:pageBreakBefore w:val="0"/>
        <w:kinsoku/>
        <w:wordWrap w:val="0"/>
        <w:overflowPunct/>
        <w:bidi w:val="0"/>
        <w:spacing w:line="360" w:lineRule="auto"/>
        <w:ind w:firstLine="410" w:firstLineChars="171"/>
        <w:rPr>
          <w:rFonts w:ascii="宋体" w:hAnsi="宋体" w:cs="宋体"/>
          <w:sz w:val="24"/>
        </w:rPr>
      </w:pPr>
      <w:r>
        <w:rPr>
          <w:rFonts w:hint="eastAsia" w:ascii="宋体" w:hAnsi="宋体" w:cs="宋体"/>
          <w:sz w:val="24"/>
        </w:rPr>
        <w:t>（5）提交供应商递交的响应文件及相关材料至磋商小组进行资格性和响应性评审、磋商及最后报价，详细评审。</w:t>
      </w:r>
    </w:p>
    <w:p>
      <w:pPr>
        <w:pageBreakBefore w:val="0"/>
        <w:kinsoku/>
        <w:wordWrap w:val="0"/>
        <w:overflowPunct/>
        <w:bidi w:val="0"/>
        <w:spacing w:line="360" w:lineRule="auto"/>
        <w:jc w:val="left"/>
        <w:rPr>
          <w:rFonts w:ascii="宋体" w:hAnsi="宋体" w:cs="宋体"/>
          <w:b/>
          <w:bCs/>
          <w:sz w:val="32"/>
          <w:szCs w:val="32"/>
        </w:rPr>
      </w:pPr>
      <w:bookmarkStart w:id="268" w:name="_Toc246996949"/>
      <w:bookmarkStart w:id="269" w:name="_Toc144974530"/>
      <w:bookmarkStart w:id="270" w:name="_Toc152042338"/>
      <w:bookmarkStart w:id="271" w:name="_Toc247085720"/>
      <w:bookmarkStart w:id="272" w:name="_Toc152045562"/>
      <w:bookmarkStart w:id="273" w:name="_Toc179632580"/>
      <w:bookmarkStart w:id="274" w:name="_Toc246996206"/>
      <w:bookmarkStart w:id="275" w:name="_Toc425177150"/>
      <w:r>
        <w:rPr>
          <w:rFonts w:hint="eastAsia" w:ascii="宋体" w:hAnsi="宋体" w:cs="宋体"/>
          <w:b/>
          <w:bCs/>
          <w:sz w:val="32"/>
          <w:szCs w:val="32"/>
        </w:rPr>
        <w:t>6. 评审</w:t>
      </w:r>
      <w:bookmarkEnd w:id="268"/>
      <w:bookmarkEnd w:id="269"/>
      <w:bookmarkEnd w:id="270"/>
      <w:bookmarkEnd w:id="271"/>
      <w:bookmarkEnd w:id="272"/>
      <w:bookmarkEnd w:id="273"/>
      <w:bookmarkEnd w:id="274"/>
      <w:bookmarkEnd w:id="275"/>
    </w:p>
    <w:p>
      <w:pPr>
        <w:pageBreakBefore w:val="0"/>
        <w:kinsoku/>
        <w:wordWrap w:val="0"/>
        <w:overflowPunct/>
        <w:bidi w:val="0"/>
        <w:spacing w:line="360" w:lineRule="auto"/>
        <w:jc w:val="left"/>
        <w:rPr>
          <w:rFonts w:ascii="宋体" w:hAnsi="宋体" w:cs="宋体"/>
          <w:b/>
          <w:bCs/>
          <w:sz w:val="32"/>
          <w:szCs w:val="32"/>
        </w:rPr>
      </w:pPr>
      <w:bookmarkStart w:id="276" w:name="_Toc179632581"/>
      <w:bookmarkStart w:id="277" w:name="_Toc425177151"/>
      <w:bookmarkStart w:id="278" w:name="_Toc246996207"/>
      <w:bookmarkStart w:id="279" w:name="_Toc152045563"/>
      <w:bookmarkStart w:id="280" w:name="_Toc247085721"/>
      <w:bookmarkStart w:id="281" w:name="_Toc246996950"/>
      <w:bookmarkStart w:id="282" w:name="_Toc152042339"/>
      <w:bookmarkStart w:id="283" w:name="_Toc144974531"/>
      <w:r>
        <w:rPr>
          <w:rFonts w:hint="eastAsia" w:ascii="宋体" w:hAnsi="宋体" w:cs="宋体"/>
          <w:b/>
          <w:bCs/>
          <w:sz w:val="32"/>
          <w:szCs w:val="32"/>
        </w:rPr>
        <w:t xml:space="preserve">6.1 </w:t>
      </w:r>
      <w:bookmarkEnd w:id="276"/>
      <w:bookmarkEnd w:id="277"/>
      <w:bookmarkEnd w:id="278"/>
      <w:bookmarkEnd w:id="279"/>
      <w:bookmarkEnd w:id="280"/>
      <w:bookmarkEnd w:id="281"/>
      <w:bookmarkEnd w:id="282"/>
      <w:bookmarkEnd w:id="283"/>
      <w:r>
        <w:rPr>
          <w:rFonts w:hint="eastAsia" w:ascii="宋体" w:hAnsi="宋体" w:cs="宋体"/>
          <w:b/>
          <w:bCs/>
          <w:sz w:val="32"/>
          <w:szCs w:val="32"/>
        </w:rPr>
        <w:t>磋商小组</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6.1.1 评审由采购人依法组建的磋商小组负责。磋商小组由采购人代表或其委托熟悉相关业务的代表，以及有关技术、经济等方面的专家组成。磋商小组成员人数以及技术、经济等方面专家的组成见供应商须知前附表。</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6.1.2 磋商小组成员有下列情形之一的，应当回避：</w:t>
      </w:r>
    </w:p>
    <w:p>
      <w:pPr>
        <w:pageBreakBefore w:val="0"/>
        <w:kinsoku/>
        <w:wordWrap w:val="0"/>
        <w:overflowPunct/>
        <w:bidi w:val="0"/>
        <w:spacing w:line="360" w:lineRule="auto"/>
        <w:ind w:firstLine="410" w:firstLineChars="171"/>
        <w:rPr>
          <w:rFonts w:ascii="宋体" w:hAnsi="宋体" w:cs="宋体"/>
          <w:sz w:val="24"/>
        </w:rPr>
      </w:pPr>
      <w:r>
        <w:rPr>
          <w:rFonts w:hint="eastAsia" w:ascii="宋体" w:hAnsi="宋体" w:cs="宋体"/>
          <w:sz w:val="24"/>
        </w:rPr>
        <w:t>（1）供应商或供应商主要负责人的近亲属；</w:t>
      </w:r>
    </w:p>
    <w:p>
      <w:pPr>
        <w:pageBreakBefore w:val="0"/>
        <w:kinsoku/>
        <w:wordWrap w:val="0"/>
        <w:overflowPunct/>
        <w:bidi w:val="0"/>
        <w:spacing w:line="360" w:lineRule="auto"/>
        <w:ind w:firstLine="410" w:firstLineChars="171"/>
        <w:rPr>
          <w:rFonts w:ascii="宋体" w:hAnsi="宋体" w:cs="宋体"/>
          <w:sz w:val="24"/>
        </w:rPr>
      </w:pPr>
      <w:r>
        <w:rPr>
          <w:rFonts w:hint="eastAsia" w:ascii="宋体" w:hAnsi="宋体" w:cs="宋体"/>
          <w:sz w:val="24"/>
        </w:rPr>
        <w:t>（2）项目主管部门或者行政监督部门的人员；</w:t>
      </w:r>
    </w:p>
    <w:p>
      <w:pPr>
        <w:pageBreakBefore w:val="0"/>
        <w:kinsoku/>
        <w:wordWrap w:val="0"/>
        <w:overflowPunct/>
        <w:bidi w:val="0"/>
        <w:spacing w:line="360" w:lineRule="auto"/>
        <w:ind w:firstLine="410" w:firstLineChars="171"/>
        <w:rPr>
          <w:rFonts w:ascii="宋体" w:hAnsi="宋体" w:cs="宋体"/>
          <w:sz w:val="24"/>
        </w:rPr>
      </w:pPr>
      <w:r>
        <w:rPr>
          <w:rFonts w:hint="eastAsia" w:ascii="宋体" w:hAnsi="宋体" w:cs="宋体"/>
          <w:sz w:val="24"/>
        </w:rPr>
        <w:t>（3）与供应商有经济利益关系；</w:t>
      </w:r>
    </w:p>
    <w:p>
      <w:pPr>
        <w:pageBreakBefore w:val="0"/>
        <w:kinsoku/>
        <w:wordWrap w:val="0"/>
        <w:overflowPunct/>
        <w:bidi w:val="0"/>
        <w:spacing w:line="360" w:lineRule="auto"/>
        <w:ind w:firstLine="410" w:firstLineChars="171"/>
        <w:rPr>
          <w:rFonts w:ascii="宋体" w:hAnsi="宋体" w:cs="宋体"/>
          <w:sz w:val="24"/>
        </w:rPr>
      </w:pPr>
      <w:r>
        <w:rPr>
          <w:rFonts w:hint="eastAsia" w:ascii="宋体" w:hAnsi="宋体" w:cs="宋体"/>
          <w:sz w:val="24"/>
        </w:rPr>
        <w:t>（4）曾因在采购、评审以及其他与招标投标有关活动中从事违法行为而受过行政处罚或刑事处罚的；</w:t>
      </w:r>
    </w:p>
    <w:p>
      <w:pPr>
        <w:pageBreakBefore w:val="0"/>
        <w:kinsoku/>
        <w:wordWrap w:val="0"/>
        <w:overflowPunct/>
        <w:bidi w:val="0"/>
        <w:spacing w:line="360" w:lineRule="auto"/>
        <w:ind w:firstLine="410" w:firstLineChars="171"/>
        <w:rPr>
          <w:rFonts w:ascii="宋体" w:hAnsi="宋体" w:cs="宋体"/>
          <w:sz w:val="24"/>
        </w:rPr>
      </w:pPr>
      <w:r>
        <w:rPr>
          <w:rFonts w:hint="eastAsia" w:ascii="宋体" w:hAnsi="宋体" w:cs="宋体"/>
          <w:sz w:val="24"/>
        </w:rPr>
        <w:t>（5）与供应商有其他利害关系。</w:t>
      </w:r>
    </w:p>
    <w:p>
      <w:pPr>
        <w:pageBreakBefore w:val="0"/>
        <w:kinsoku/>
        <w:wordWrap w:val="0"/>
        <w:overflowPunct/>
        <w:bidi w:val="0"/>
        <w:spacing w:line="360" w:lineRule="auto"/>
        <w:jc w:val="left"/>
        <w:rPr>
          <w:rFonts w:ascii="宋体" w:hAnsi="宋体" w:cs="宋体"/>
          <w:b/>
          <w:bCs/>
          <w:sz w:val="32"/>
          <w:szCs w:val="32"/>
        </w:rPr>
      </w:pPr>
      <w:bookmarkStart w:id="284" w:name="_Toc152042340"/>
      <w:bookmarkStart w:id="285" w:name="_Toc179632582"/>
      <w:bookmarkStart w:id="286" w:name="_Toc425177152"/>
      <w:bookmarkStart w:id="287" w:name="_Toc152045564"/>
      <w:bookmarkStart w:id="288" w:name="_Toc246996951"/>
      <w:bookmarkStart w:id="289" w:name="_Toc144974532"/>
      <w:bookmarkStart w:id="290" w:name="_Toc247085722"/>
      <w:bookmarkStart w:id="291" w:name="_Toc246996208"/>
      <w:r>
        <w:rPr>
          <w:rFonts w:hint="eastAsia" w:ascii="宋体" w:hAnsi="宋体" w:cs="宋体"/>
          <w:b/>
          <w:bCs/>
          <w:sz w:val="32"/>
          <w:szCs w:val="32"/>
        </w:rPr>
        <w:t>6.2 评审原则</w:t>
      </w:r>
      <w:bookmarkEnd w:id="284"/>
      <w:bookmarkEnd w:id="285"/>
      <w:bookmarkEnd w:id="286"/>
      <w:bookmarkEnd w:id="287"/>
      <w:bookmarkEnd w:id="288"/>
      <w:bookmarkEnd w:id="289"/>
      <w:bookmarkEnd w:id="290"/>
      <w:bookmarkEnd w:id="291"/>
    </w:p>
    <w:p>
      <w:pPr>
        <w:pageBreakBefore w:val="0"/>
        <w:kinsoku/>
        <w:wordWrap w:val="0"/>
        <w:overflowPunct/>
        <w:bidi w:val="0"/>
        <w:spacing w:line="360" w:lineRule="auto"/>
        <w:ind w:firstLine="480" w:firstLineChars="200"/>
        <w:rPr>
          <w:rFonts w:ascii="宋体" w:hAnsi="宋体" w:cs="宋体"/>
        </w:rPr>
      </w:pPr>
      <w:r>
        <w:rPr>
          <w:rFonts w:hint="eastAsia" w:ascii="宋体" w:hAnsi="宋体" w:cs="宋体"/>
          <w:sz w:val="24"/>
        </w:rPr>
        <w:t>评审活动遵循公平、公正、科学和择优的原则。</w:t>
      </w:r>
    </w:p>
    <w:p>
      <w:pPr>
        <w:pageBreakBefore w:val="0"/>
        <w:kinsoku/>
        <w:wordWrap w:val="0"/>
        <w:overflowPunct/>
        <w:bidi w:val="0"/>
        <w:spacing w:line="360" w:lineRule="auto"/>
        <w:jc w:val="left"/>
        <w:rPr>
          <w:rFonts w:ascii="宋体" w:hAnsi="宋体" w:cs="宋体"/>
          <w:b/>
          <w:bCs/>
          <w:sz w:val="32"/>
          <w:szCs w:val="32"/>
        </w:rPr>
      </w:pPr>
      <w:bookmarkStart w:id="292" w:name="_Toc179632583"/>
      <w:bookmarkStart w:id="293" w:name="_Toc246996952"/>
      <w:bookmarkStart w:id="294" w:name="_Toc144974533"/>
      <w:bookmarkStart w:id="295" w:name="_Toc152042341"/>
      <w:bookmarkStart w:id="296" w:name="_Toc247085723"/>
      <w:bookmarkStart w:id="297" w:name="_Toc425177153"/>
      <w:bookmarkStart w:id="298" w:name="_Toc152045565"/>
      <w:bookmarkStart w:id="299" w:name="_Toc246996209"/>
      <w:r>
        <w:rPr>
          <w:rFonts w:hint="eastAsia" w:ascii="宋体" w:hAnsi="宋体" w:cs="宋体"/>
          <w:b/>
          <w:bCs/>
          <w:sz w:val="32"/>
          <w:szCs w:val="32"/>
        </w:rPr>
        <w:t>6.3 评审</w:t>
      </w:r>
      <w:bookmarkEnd w:id="292"/>
      <w:bookmarkEnd w:id="293"/>
      <w:bookmarkEnd w:id="294"/>
      <w:bookmarkEnd w:id="295"/>
      <w:bookmarkEnd w:id="296"/>
      <w:bookmarkEnd w:id="297"/>
      <w:bookmarkEnd w:id="298"/>
      <w:bookmarkEnd w:id="299"/>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磋商小组按照第三章“评审办法”规定的方法、评审因素、标准和程序对响应文件进行评审。第三章“评审办法”没有规定的方法、评审因素和标准，不作为评审依据。</w:t>
      </w:r>
      <w:r>
        <w:rPr>
          <w:rFonts w:hint="eastAsia" w:ascii="宋体" w:hAnsi="宋体" w:cs="宋体"/>
          <w:b/>
          <w:bCs/>
          <w:sz w:val="24"/>
        </w:rPr>
        <w:t>有下列情形之一的，磋商小组应当否决其磋商：</w:t>
      </w:r>
      <w:r>
        <w:rPr>
          <w:rFonts w:hint="eastAsia" w:ascii="宋体" w:hAnsi="宋体" w:cs="宋体"/>
          <w:sz w:val="24"/>
        </w:rPr>
        <w:t xml:space="preserve">（一）磋商联合体没有提交共同磋商协议；（二）供应商不符合国家或者磋商文件规定的资格条件；（三）同一供应商提交两个以上不同的响应文件或者报价，但磋商文件要求提交备选响应文件的除外；（四）报价低于项目成本或者高于磋商文件设定的最高限价；（五）响应文件没有对磋商文件的实质性要求和条件作出响应；（六）供应商有串通磋商、弄虚作假、行贿等违法行为； </w:t>
      </w:r>
    </w:p>
    <w:p>
      <w:pPr>
        <w:pageBreakBefore w:val="0"/>
        <w:kinsoku/>
        <w:wordWrap w:val="0"/>
        <w:overflowPunct/>
        <w:bidi w:val="0"/>
        <w:spacing w:line="360" w:lineRule="auto"/>
        <w:jc w:val="left"/>
        <w:rPr>
          <w:rFonts w:ascii="宋体" w:hAnsi="宋体" w:cs="宋体"/>
          <w:b/>
          <w:bCs/>
          <w:sz w:val="32"/>
          <w:szCs w:val="32"/>
        </w:rPr>
      </w:pPr>
      <w:bookmarkStart w:id="300" w:name="_Toc152042342"/>
      <w:bookmarkStart w:id="301" w:name="_Toc246996953"/>
      <w:bookmarkStart w:id="302" w:name="_Toc247085724"/>
      <w:bookmarkStart w:id="303" w:name="_Toc144974534"/>
      <w:bookmarkStart w:id="304" w:name="_Toc179632584"/>
      <w:bookmarkStart w:id="305" w:name="_Toc246996210"/>
      <w:bookmarkStart w:id="306" w:name="_Toc152045566"/>
      <w:bookmarkStart w:id="307" w:name="_Toc425177154"/>
      <w:r>
        <w:rPr>
          <w:rFonts w:hint="eastAsia" w:ascii="宋体" w:hAnsi="宋体" w:cs="宋体"/>
          <w:b/>
          <w:bCs/>
          <w:sz w:val="32"/>
          <w:szCs w:val="32"/>
        </w:rPr>
        <w:t>7. 合同授予</w:t>
      </w:r>
      <w:bookmarkEnd w:id="300"/>
      <w:bookmarkEnd w:id="301"/>
      <w:bookmarkEnd w:id="302"/>
      <w:bookmarkEnd w:id="303"/>
      <w:bookmarkEnd w:id="304"/>
      <w:bookmarkEnd w:id="305"/>
      <w:bookmarkEnd w:id="306"/>
      <w:bookmarkEnd w:id="307"/>
    </w:p>
    <w:p>
      <w:pPr>
        <w:pageBreakBefore w:val="0"/>
        <w:kinsoku/>
        <w:wordWrap w:val="0"/>
        <w:overflowPunct/>
        <w:bidi w:val="0"/>
        <w:spacing w:line="360" w:lineRule="auto"/>
        <w:jc w:val="left"/>
        <w:rPr>
          <w:rFonts w:ascii="宋体" w:hAnsi="宋体" w:cs="宋体"/>
          <w:b/>
          <w:bCs/>
          <w:sz w:val="32"/>
          <w:szCs w:val="32"/>
        </w:rPr>
      </w:pPr>
      <w:bookmarkStart w:id="308" w:name="_Toc246996954"/>
      <w:bookmarkStart w:id="309" w:name="_Toc152042343"/>
      <w:bookmarkStart w:id="310" w:name="_Toc246996211"/>
      <w:bookmarkStart w:id="311" w:name="_Toc144974535"/>
      <w:bookmarkStart w:id="312" w:name="_Toc425177155"/>
      <w:bookmarkStart w:id="313" w:name="_Toc152045567"/>
      <w:bookmarkStart w:id="314" w:name="_Toc247085725"/>
      <w:bookmarkStart w:id="315" w:name="_Toc179632585"/>
      <w:r>
        <w:rPr>
          <w:rFonts w:hint="eastAsia" w:ascii="宋体" w:hAnsi="宋体" w:cs="宋体"/>
          <w:b/>
          <w:bCs/>
          <w:sz w:val="32"/>
          <w:szCs w:val="32"/>
        </w:rPr>
        <w:t>7.1 定标方式</w:t>
      </w:r>
      <w:bookmarkEnd w:id="308"/>
      <w:bookmarkEnd w:id="309"/>
      <w:bookmarkEnd w:id="310"/>
      <w:bookmarkEnd w:id="311"/>
      <w:bookmarkEnd w:id="312"/>
      <w:bookmarkEnd w:id="313"/>
      <w:bookmarkEnd w:id="314"/>
      <w:bookmarkEnd w:id="315"/>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除供应商须知前附表规定磋商小组直接确定成交人外，采购人依据磋商小组推荐的成交候选人确定成交人，磋商小组推荐成交候选人的人数见供应商须知前附表。</w:t>
      </w:r>
    </w:p>
    <w:p>
      <w:pPr>
        <w:pageBreakBefore w:val="0"/>
        <w:kinsoku/>
        <w:wordWrap w:val="0"/>
        <w:overflowPunct/>
        <w:bidi w:val="0"/>
        <w:spacing w:line="360" w:lineRule="auto"/>
        <w:ind w:firstLine="480" w:firstLineChars="200"/>
        <w:rPr>
          <w:rFonts w:ascii="宋体" w:hAnsi="宋体" w:cs="宋体"/>
        </w:rPr>
      </w:pPr>
      <w:r>
        <w:rPr>
          <w:rFonts w:hint="eastAsia" w:ascii="宋体" w:hAnsi="宋体" w:cs="宋体"/>
          <w:sz w:val="24"/>
        </w:rPr>
        <w:t>磋商小组按响应文件“第三章”中公布的评审办法对每份磋商响应文件进行磋商，确定成交候选供应商。最低报价等任何单项因素的最优不能作为成交供应商的保证。</w:t>
      </w:r>
    </w:p>
    <w:p>
      <w:pPr>
        <w:pageBreakBefore w:val="0"/>
        <w:kinsoku/>
        <w:wordWrap w:val="0"/>
        <w:overflowPunct/>
        <w:bidi w:val="0"/>
        <w:spacing w:line="360" w:lineRule="auto"/>
        <w:jc w:val="left"/>
        <w:rPr>
          <w:rFonts w:ascii="宋体" w:hAnsi="宋体" w:cs="宋体"/>
          <w:b/>
          <w:bCs/>
          <w:sz w:val="32"/>
          <w:szCs w:val="32"/>
        </w:rPr>
      </w:pPr>
      <w:bookmarkStart w:id="316" w:name="_Toc425177156"/>
      <w:r>
        <w:rPr>
          <w:rFonts w:hint="eastAsia" w:ascii="宋体" w:hAnsi="宋体" w:cs="宋体"/>
          <w:b/>
          <w:bCs/>
          <w:sz w:val="32"/>
          <w:szCs w:val="32"/>
        </w:rPr>
        <w:t>7.2 成交候选人公示</w:t>
      </w:r>
      <w:bookmarkEnd w:id="316"/>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采购人在供应商须知前附表规定的媒介公示成交候选人。</w:t>
      </w:r>
    </w:p>
    <w:p>
      <w:pPr>
        <w:pageBreakBefore w:val="0"/>
        <w:kinsoku/>
        <w:wordWrap w:val="0"/>
        <w:overflowPunct/>
        <w:bidi w:val="0"/>
        <w:spacing w:line="360" w:lineRule="auto"/>
        <w:jc w:val="left"/>
        <w:rPr>
          <w:rFonts w:ascii="宋体" w:hAnsi="宋体" w:cs="宋体"/>
          <w:b/>
          <w:bCs/>
          <w:sz w:val="32"/>
          <w:szCs w:val="32"/>
        </w:rPr>
      </w:pPr>
      <w:bookmarkStart w:id="317" w:name="_Toc247085726"/>
      <w:bookmarkStart w:id="318" w:name="_Toc152042344"/>
      <w:bookmarkStart w:id="319" w:name="_Toc425177157"/>
      <w:bookmarkStart w:id="320" w:name="_Toc246996212"/>
      <w:bookmarkStart w:id="321" w:name="_Toc179632586"/>
      <w:bookmarkStart w:id="322" w:name="_Toc144974536"/>
      <w:bookmarkStart w:id="323" w:name="_Toc246996955"/>
      <w:bookmarkStart w:id="324" w:name="_Toc152045568"/>
      <w:r>
        <w:rPr>
          <w:rFonts w:hint="eastAsia" w:ascii="宋体" w:hAnsi="宋体" w:cs="宋体"/>
          <w:b/>
          <w:bCs/>
          <w:sz w:val="32"/>
          <w:szCs w:val="32"/>
        </w:rPr>
        <w:t>7.3 成交通知</w:t>
      </w:r>
      <w:bookmarkEnd w:id="317"/>
      <w:bookmarkEnd w:id="318"/>
      <w:bookmarkEnd w:id="319"/>
      <w:bookmarkEnd w:id="320"/>
      <w:bookmarkEnd w:id="321"/>
      <w:bookmarkEnd w:id="322"/>
      <w:bookmarkEnd w:id="323"/>
      <w:bookmarkEnd w:id="324"/>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在本章第3.3款规定的磋商有效期内，采购人以书面形式向成交人发出成交通知书，同时将成交结果通知未成交的供应商。</w:t>
      </w:r>
    </w:p>
    <w:p>
      <w:pPr>
        <w:pageBreakBefore w:val="0"/>
        <w:kinsoku/>
        <w:wordWrap w:val="0"/>
        <w:overflowPunct/>
        <w:bidi w:val="0"/>
        <w:spacing w:line="360" w:lineRule="auto"/>
        <w:jc w:val="left"/>
        <w:rPr>
          <w:rFonts w:ascii="宋体" w:hAnsi="宋体" w:cs="宋体"/>
          <w:b/>
          <w:bCs/>
          <w:sz w:val="32"/>
          <w:szCs w:val="32"/>
        </w:rPr>
      </w:pPr>
      <w:bookmarkStart w:id="325" w:name="_Toc152042345"/>
      <w:bookmarkStart w:id="326" w:name="_Toc246996213"/>
      <w:bookmarkStart w:id="327" w:name="_Toc425177158"/>
      <w:bookmarkStart w:id="328" w:name="_Toc247085727"/>
      <w:bookmarkStart w:id="329" w:name="_Toc152045569"/>
      <w:bookmarkStart w:id="330" w:name="_Toc246996956"/>
      <w:bookmarkStart w:id="331" w:name="_Toc144974537"/>
      <w:bookmarkStart w:id="332" w:name="_Toc179632587"/>
      <w:r>
        <w:rPr>
          <w:rFonts w:hint="eastAsia" w:ascii="宋体" w:hAnsi="宋体" w:cs="宋体"/>
          <w:b/>
          <w:bCs/>
          <w:sz w:val="32"/>
          <w:szCs w:val="32"/>
        </w:rPr>
        <w:t>7.4 履约担保</w:t>
      </w:r>
      <w:bookmarkEnd w:id="325"/>
      <w:bookmarkEnd w:id="326"/>
      <w:bookmarkEnd w:id="327"/>
      <w:bookmarkEnd w:id="328"/>
      <w:bookmarkEnd w:id="329"/>
      <w:bookmarkEnd w:id="330"/>
      <w:bookmarkEnd w:id="331"/>
      <w:bookmarkEnd w:id="332"/>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7.4.1在签订合同前，成交人应按供应商须知前附表规定的担保形式和磋商文件第四章“合同条款及格式”规定的或者事先经过采购人书面认可的履约担保格式向采购人提交履约担保。详见供应商须知前附表。</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7.4.2 成交人不能按本章第7.4.1项要求提交履约担保的，视为放弃成交，其磋商保证金不予退还，给采购人造成的损失超过磋商保证金数额的，成交人还应当对超过部分予以赔偿。</w:t>
      </w:r>
    </w:p>
    <w:p>
      <w:pPr>
        <w:pageBreakBefore w:val="0"/>
        <w:kinsoku/>
        <w:wordWrap w:val="0"/>
        <w:overflowPunct/>
        <w:bidi w:val="0"/>
        <w:spacing w:line="360" w:lineRule="auto"/>
        <w:jc w:val="left"/>
        <w:rPr>
          <w:rFonts w:ascii="宋体" w:hAnsi="宋体" w:cs="宋体"/>
          <w:b/>
          <w:bCs/>
          <w:sz w:val="32"/>
          <w:szCs w:val="32"/>
        </w:rPr>
      </w:pPr>
      <w:bookmarkStart w:id="333" w:name="_Toc152042346"/>
      <w:bookmarkStart w:id="334" w:name="_Toc425177159"/>
      <w:bookmarkStart w:id="335" w:name="_Toc179632588"/>
      <w:bookmarkStart w:id="336" w:name="_Toc246996957"/>
      <w:bookmarkStart w:id="337" w:name="_Toc247085728"/>
      <w:bookmarkStart w:id="338" w:name="_Toc246996214"/>
      <w:bookmarkStart w:id="339" w:name="_Toc144974538"/>
      <w:bookmarkStart w:id="340" w:name="_Toc152045570"/>
      <w:r>
        <w:rPr>
          <w:rFonts w:hint="eastAsia" w:ascii="宋体" w:hAnsi="宋体" w:cs="宋体"/>
          <w:b/>
          <w:bCs/>
          <w:sz w:val="32"/>
          <w:szCs w:val="32"/>
        </w:rPr>
        <w:t>7.5 签订合同</w:t>
      </w:r>
      <w:bookmarkEnd w:id="333"/>
      <w:bookmarkEnd w:id="334"/>
      <w:bookmarkEnd w:id="335"/>
      <w:bookmarkEnd w:id="336"/>
      <w:bookmarkEnd w:id="337"/>
      <w:bookmarkEnd w:id="338"/>
      <w:bookmarkEnd w:id="339"/>
      <w:bookmarkEnd w:id="340"/>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7.5.1采购人和成交人应当自成交通知书发出之日起30天内，根据磋商文件和成交人的响应文件订立书面合同。成交人无正当理由拒签合同的，采购人取消其成交资格，其磋商保证金不予退还；给采购人造成的损失超过磋商保证金数额的，成交人还应当对超过部分予以赔偿。</w:t>
      </w:r>
    </w:p>
    <w:p>
      <w:pPr>
        <w:pageBreakBefore w:val="0"/>
        <w:kinsoku/>
        <w:wordWrap w:val="0"/>
        <w:overflowPunct/>
        <w:bidi w:val="0"/>
        <w:spacing w:line="360" w:lineRule="auto"/>
        <w:ind w:firstLine="480" w:firstLineChars="200"/>
        <w:rPr>
          <w:rFonts w:ascii="宋体" w:hAnsi="宋体" w:cs="宋体"/>
        </w:rPr>
      </w:pPr>
      <w:r>
        <w:rPr>
          <w:rFonts w:hint="eastAsia" w:ascii="宋体" w:hAnsi="宋体" w:cs="宋体"/>
          <w:sz w:val="24"/>
        </w:rPr>
        <w:t>7.5.2 发出成交通知书后，采购人无正当理由拒签合同的，采购人向成交人退还磋商保证金；给成交人造成损失的，还应当赔偿损失。</w:t>
      </w:r>
    </w:p>
    <w:p>
      <w:pPr>
        <w:pageBreakBefore w:val="0"/>
        <w:kinsoku/>
        <w:wordWrap w:val="0"/>
        <w:overflowPunct/>
        <w:bidi w:val="0"/>
        <w:spacing w:line="360" w:lineRule="auto"/>
        <w:jc w:val="left"/>
        <w:rPr>
          <w:rFonts w:ascii="宋体" w:hAnsi="宋体" w:cs="宋体"/>
          <w:b/>
          <w:bCs/>
          <w:sz w:val="32"/>
          <w:szCs w:val="32"/>
        </w:rPr>
      </w:pPr>
      <w:bookmarkStart w:id="341" w:name="_Toc425177160"/>
      <w:r>
        <w:rPr>
          <w:rFonts w:hint="eastAsia" w:ascii="宋体" w:hAnsi="宋体" w:cs="宋体"/>
          <w:b/>
          <w:bCs/>
          <w:sz w:val="32"/>
          <w:szCs w:val="32"/>
        </w:rPr>
        <w:t>8. 纪律和监督</w:t>
      </w:r>
      <w:bookmarkEnd w:id="341"/>
    </w:p>
    <w:p>
      <w:pPr>
        <w:pageBreakBefore w:val="0"/>
        <w:kinsoku/>
        <w:wordWrap w:val="0"/>
        <w:overflowPunct/>
        <w:bidi w:val="0"/>
        <w:spacing w:line="360" w:lineRule="auto"/>
        <w:jc w:val="left"/>
        <w:rPr>
          <w:rFonts w:ascii="宋体" w:hAnsi="宋体" w:cs="宋体"/>
          <w:b/>
          <w:bCs/>
          <w:sz w:val="32"/>
          <w:szCs w:val="32"/>
        </w:rPr>
      </w:pPr>
      <w:bookmarkStart w:id="342" w:name="_Toc144974543"/>
      <w:bookmarkStart w:id="343" w:name="_Toc246996962"/>
      <w:bookmarkStart w:id="344" w:name="_Toc296590983"/>
      <w:bookmarkStart w:id="345" w:name="_Toc247085733"/>
      <w:bookmarkStart w:id="346" w:name="_Toc425177161"/>
      <w:bookmarkStart w:id="347" w:name="_Toc152042351"/>
      <w:bookmarkStart w:id="348" w:name="_Toc152045575"/>
      <w:bookmarkStart w:id="349" w:name="_Toc246996219"/>
      <w:bookmarkStart w:id="350" w:name="_Toc179632593"/>
      <w:r>
        <w:rPr>
          <w:rFonts w:hint="eastAsia" w:ascii="宋体" w:hAnsi="宋体" w:cs="宋体"/>
          <w:b/>
          <w:bCs/>
          <w:sz w:val="32"/>
          <w:szCs w:val="32"/>
        </w:rPr>
        <w:t>8.1 对采购人的纪律要求</w:t>
      </w:r>
      <w:bookmarkEnd w:id="342"/>
      <w:bookmarkEnd w:id="343"/>
      <w:bookmarkEnd w:id="344"/>
      <w:bookmarkEnd w:id="345"/>
      <w:bookmarkEnd w:id="346"/>
      <w:bookmarkEnd w:id="347"/>
      <w:bookmarkEnd w:id="348"/>
      <w:bookmarkEnd w:id="349"/>
      <w:bookmarkEnd w:id="350"/>
    </w:p>
    <w:p>
      <w:pPr>
        <w:pageBreakBefore w:val="0"/>
        <w:kinsoku/>
        <w:wordWrap w:val="0"/>
        <w:overflowPunct/>
        <w:bidi w:val="0"/>
        <w:spacing w:line="360" w:lineRule="auto"/>
        <w:ind w:firstLine="480" w:firstLineChars="200"/>
        <w:rPr>
          <w:rFonts w:ascii="宋体" w:hAnsi="宋体" w:cs="宋体"/>
        </w:rPr>
      </w:pPr>
      <w:r>
        <w:rPr>
          <w:rFonts w:hint="eastAsia" w:ascii="宋体" w:hAnsi="宋体" w:cs="宋体"/>
          <w:sz w:val="24"/>
        </w:rPr>
        <w:t>采购人不得泄漏采购活动中应当保密的情况和资料，不得与供应商串通损害国家利益、社会公共利益或者他人合法权益。</w:t>
      </w:r>
    </w:p>
    <w:p>
      <w:pPr>
        <w:pageBreakBefore w:val="0"/>
        <w:kinsoku/>
        <w:wordWrap w:val="0"/>
        <w:overflowPunct/>
        <w:bidi w:val="0"/>
        <w:spacing w:line="360" w:lineRule="auto"/>
        <w:jc w:val="left"/>
        <w:rPr>
          <w:rFonts w:ascii="宋体" w:hAnsi="宋体" w:cs="宋体"/>
          <w:b/>
          <w:bCs/>
          <w:sz w:val="32"/>
          <w:szCs w:val="32"/>
        </w:rPr>
      </w:pPr>
      <w:bookmarkStart w:id="351" w:name="_Toc246996220"/>
      <w:bookmarkStart w:id="352" w:name="_Toc246996963"/>
      <w:bookmarkStart w:id="353" w:name="_Toc179632594"/>
      <w:bookmarkStart w:id="354" w:name="_Toc247085734"/>
      <w:bookmarkStart w:id="355" w:name="_Toc152042352"/>
      <w:bookmarkStart w:id="356" w:name="_Toc144974544"/>
      <w:bookmarkStart w:id="357" w:name="_Toc152045576"/>
      <w:bookmarkStart w:id="358" w:name="_Toc425177162"/>
      <w:r>
        <w:rPr>
          <w:rFonts w:hint="eastAsia" w:ascii="宋体" w:hAnsi="宋体" w:cs="宋体"/>
          <w:b/>
          <w:bCs/>
          <w:sz w:val="32"/>
          <w:szCs w:val="32"/>
        </w:rPr>
        <w:t>8.2 对供应商的纪律要求</w:t>
      </w:r>
      <w:bookmarkEnd w:id="351"/>
      <w:bookmarkEnd w:id="352"/>
      <w:bookmarkEnd w:id="353"/>
      <w:bookmarkEnd w:id="354"/>
      <w:bookmarkEnd w:id="355"/>
      <w:bookmarkEnd w:id="356"/>
      <w:bookmarkEnd w:id="357"/>
      <w:bookmarkEnd w:id="358"/>
    </w:p>
    <w:p>
      <w:pPr>
        <w:pageBreakBefore w:val="0"/>
        <w:kinsoku/>
        <w:wordWrap w:val="0"/>
        <w:overflowPunct/>
        <w:bidi w:val="0"/>
        <w:spacing w:line="360" w:lineRule="auto"/>
        <w:ind w:firstLine="480" w:firstLineChars="200"/>
        <w:rPr>
          <w:rFonts w:ascii="宋体" w:hAnsi="宋体" w:cs="宋体"/>
        </w:rPr>
      </w:pPr>
      <w:r>
        <w:rPr>
          <w:rFonts w:hint="eastAsia" w:ascii="宋体" w:hAnsi="宋体" w:cs="宋体"/>
          <w:sz w:val="24"/>
        </w:rPr>
        <w:t>供应商不得相互串通磋商或者与采购人串通磋商，不得向采购人或者磋商小组成员行贿谋取成交，不得以他人名义磋商或者以其他方式弄虚作假骗取成交；供应商不得以任何方式干扰、影响评审工作。</w:t>
      </w:r>
    </w:p>
    <w:p>
      <w:pPr>
        <w:pageBreakBefore w:val="0"/>
        <w:kinsoku/>
        <w:wordWrap w:val="0"/>
        <w:overflowPunct/>
        <w:bidi w:val="0"/>
        <w:spacing w:line="360" w:lineRule="auto"/>
        <w:jc w:val="left"/>
        <w:rPr>
          <w:rFonts w:ascii="宋体" w:hAnsi="宋体" w:cs="宋体"/>
          <w:b/>
          <w:bCs/>
          <w:sz w:val="32"/>
          <w:szCs w:val="32"/>
        </w:rPr>
      </w:pPr>
      <w:bookmarkStart w:id="359" w:name="_Toc246996221"/>
      <w:bookmarkStart w:id="360" w:name="_Toc152042353"/>
      <w:bookmarkStart w:id="361" w:name="_Toc152045577"/>
      <w:bookmarkStart w:id="362" w:name="_Toc247085735"/>
      <w:bookmarkStart w:id="363" w:name="_Toc179632595"/>
      <w:bookmarkStart w:id="364" w:name="_Toc246996964"/>
      <w:bookmarkStart w:id="365" w:name="_Toc144974545"/>
      <w:bookmarkStart w:id="366" w:name="_Toc425177163"/>
      <w:r>
        <w:rPr>
          <w:rFonts w:hint="eastAsia" w:ascii="宋体" w:hAnsi="宋体" w:cs="宋体"/>
          <w:b/>
          <w:bCs/>
          <w:sz w:val="32"/>
          <w:szCs w:val="32"/>
        </w:rPr>
        <w:t>8.3 对磋商小组成员的纪律要求</w:t>
      </w:r>
      <w:bookmarkEnd w:id="359"/>
      <w:bookmarkEnd w:id="360"/>
      <w:bookmarkEnd w:id="361"/>
      <w:bookmarkEnd w:id="362"/>
      <w:bookmarkEnd w:id="363"/>
      <w:bookmarkEnd w:id="364"/>
      <w:bookmarkEnd w:id="365"/>
      <w:bookmarkEnd w:id="366"/>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磋商小组成员不得收受他人的财物或者其他好处，不得向他人透漏对响应文件的评审和比较、成交候选人的推荐情况以及评审有关的其他情况。在评审活动中，磋商小组成员应当客观、公正地履行职责，遵守职业道德，不得擅离职守，影响评审程序正常进行，不得使用第三章“评审办法”没有规定的评审因素和标准进行评审。</w:t>
      </w:r>
    </w:p>
    <w:p>
      <w:pPr>
        <w:pageBreakBefore w:val="0"/>
        <w:kinsoku/>
        <w:wordWrap w:val="0"/>
        <w:overflowPunct/>
        <w:bidi w:val="0"/>
        <w:spacing w:line="360" w:lineRule="auto"/>
        <w:jc w:val="left"/>
        <w:rPr>
          <w:rFonts w:ascii="宋体" w:hAnsi="宋体" w:cs="宋体"/>
          <w:b/>
          <w:bCs/>
          <w:sz w:val="32"/>
          <w:szCs w:val="32"/>
        </w:rPr>
      </w:pPr>
      <w:bookmarkStart w:id="367" w:name="_Toc152042354"/>
      <w:bookmarkStart w:id="368" w:name="_Toc425177164"/>
      <w:bookmarkStart w:id="369" w:name="_Toc179632596"/>
      <w:bookmarkStart w:id="370" w:name="_Toc246996222"/>
      <w:bookmarkStart w:id="371" w:name="_Toc247085736"/>
      <w:bookmarkStart w:id="372" w:name="_Toc246996965"/>
      <w:bookmarkStart w:id="373" w:name="_Toc152045578"/>
      <w:bookmarkStart w:id="374" w:name="_Toc144974546"/>
      <w:r>
        <w:rPr>
          <w:rFonts w:hint="eastAsia" w:ascii="宋体" w:hAnsi="宋体" w:cs="宋体"/>
          <w:b/>
          <w:bCs/>
          <w:sz w:val="32"/>
          <w:szCs w:val="32"/>
        </w:rPr>
        <w:t>8.4 对与评审活动有关人员的纪律要求</w:t>
      </w:r>
      <w:bookmarkEnd w:id="367"/>
      <w:bookmarkEnd w:id="368"/>
      <w:bookmarkEnd w:id="369"/>
      <w:bookmarkEnd w:id="370"/>
      <w:bookmarkEnd w:id="371"/>
      <w:bookmarkEnd w:id="372"/>
      <w:bookmarkEnd w:id="373"/>
    </w:p>
    <w:p>
      <w:pPr>
        <w:pageBreakBefore w:val="0"/>
        <w:kinsoku/>
        <w:wordWrap w:val="0"/>
        <w:overflowPunct/>
        <w:bidi w:val="0"/>
        <w:spacing w:line="360" w:lineRule="auto"/>
        <w:ind w:firstLine="480" w:firstLineChars="200"/>
        <w:rPr>
          <w:rFonts w:ascii="宋体" w:hAnsi="宋体" w:cs="宋体"/>
        </w:rPr>
      </w:pPr>
      <w:bookmarkStart w:id="375" w:name="_Toc152042355"/>
      <w:r>
        <w:rPr>
          <w:rFonts w:hint="eastAsia" w:ascii="宋体" w:hAnsi="宋体" w:cs="宋体"/>
          <w:sz w:val="24"/>
        </w:rPr>
        <w:t>与评审活动有关的工作人员不得收受他人的财物或者其他好处，不得向他人透漏对响应文件的评审和比较、成交候选人的推荐情况以及评审有关的其他情况。在评审活动中，与评审活动有关的工作人员不得擅离职守，影响评审程序正常进行。任何单位和个人不得非法干预、影响评审过程和结果。”磋商过程保密：（1）在宣布磋商结果之前，凡属于审查、澄清、评价、比较响应文件和磋商意向等有关信息，相关当事人均不得泄露给任何供应商或与磋商工作无关的人员。 （2）供应商不得探听上述信息，不得以任何行为影响磋商过程，否则其响应文件将被作为无效响应文件。 （3）代理机构机构和磋商小组不向未成交的供应商解释原因，也不对磋商过程中的细节问题进行公布。</w:t>
      </w:r>
      <w:bookmarkEnd w:id="375"/>
    </w:p>
    <w:p>
      <w:pPr>
        <w:pageBreakBefore w:val="0"/>
        <w:kinsoku/>
        <w:wordWrap w:val="0"/>
        <w:overflowPunct/>
        <w:bidi w:val="0"/>
        <w:spacing w:line="360" w:lineRule="auto"/>
        <w:jc w:val="left"/>
        <w:rPr>
          <w:rFonts w:ascii="宋体" w:hAnsi="宋体" w:cs="宋体"/>
          <w:b/>
          <w:bCs/>
          <w:sz w:val="32"/>
          <w:szCs w:val="32"/>
        </w:rPr>
      </w:pPr>
      <w:bookmarkStart w:id="376" w:name="_Toc152042356"/>
      <w:bookmarkStart w:id="377" w:name="_Toc179632597"/>
      <w:bookmarkStart w:id="378" w:name="_Toc246996223"/>
      <w:bookmarkStart w:id="379" w:name="_Toc152045579"/>
      <w:bookmarkStart w:id="380" w:name="_Toc246996966"/>
      <w:bookmarkStart w:id="381" w:name="_Toc247085737"/>
      <w:bookmarkStart w:id="382" w:name="_Toc425177165"/>
      <w:r>
        <w:rPr>
          <w:rFonts w:hint="eastAsia" w:ascii="宋体" w:hAnsi="宋体" w:cs="宋体"/>
          <w:b/>
          <w:bCs/>
          <w:sz w:val="32"/>
          <w:szCs w:val="32"/>
        </w:rPr>
        <w:t xml:space="preserve">8.5 </w:t>
      </w:r>
      <w:bookmarkEnd w:id="374"/>
      <w:bookmarkEnd w:id="376"/>
      <w:bookmarkEnd w:id="377"/>
      <w:bookmarkEnd w:id="378"/>
      <w:bookmarkEnd w:id="379"/>
      <w:bookmarkEnd w:id="380"/>
      <w:bookmarkEnd w:id="381"/>
      <w:bookmarkEnd w:id="382"/>
      <w:r>
        <w:rPr>
          <w:rFonts w:hint="eastAsia" w:ascii="宋体" w:hAnsi="宋体" w:cs="宋体"/>
          <w:b/>
          <w:bCs/>
          <w:sz w:val="32"/>
          <w:szCs w:val="32"/>
        </w:rPr>
        <w:t>询问、质疑</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8.5.1供应商一旦参加本项目磋商，即被认定接受了本磋商文件中的所有条件和规定。</w:t>
      </w:r>
    </w:p>
    <w:p>
      <w:pPr>
        <w:pageBreakBefore w:val="0"/>
        <w:kinsoku/>
        <w:wordWrap w:val="0"/>
        <w:overflowPunct/>
        <w:bidi w:val="0"/>
        <w:spacing w:line="360" w:lineRule="auto"/>
        <w:ind w:firstLine="480" w:firstLineChars="200"/>
        <w:rPr>
          <w:rFonts w:ascii="宋体" w:hAnsi="宋体" w:cs="宋体"/>
          <w:sz w:val="24"/>
        </w:rPr>
      </w:pPr>
      <w:r>
        <w:rPr>
          <w:rFonts w:hint="eastAsia" w:ascii="宋体" w:hAnsi="宋体" w:cs="宋体"/>
          <w:sz w:val="24"/>
        </w:rPr>
        <w:t>8.5.2提出质疑的供应商应当是参与所质疑项目的供应商。供应商在法定质疑期内应一次性提出针对同一程序环节的质疑，之后多次性的质疑均不予受理。供应商认为磋商文件、采购过程和磋商结果使自己的权益受到损害的，可以在知道或者应知其权益受到损害之日起七个工作日内，以书面形式向代理机构机构提出质疑。非书面形式、七个工作日之外以及匿名的质疑将不予受理。</w:t>
      </w:r>
    </w:p>
    <w:p>
      <w:pPr>
        <w:pageBreakBefore w:val="0"/>
        <w:kinsoku/>
        <w:wordWrap w:val="0"/>
        <w:overflowPunct/>
        <w:bidi w:val="0"/>
        <w:spacing w:line="360" w:lineRule="auto"/>
        <w:ind w:firstLine="480" w:firstLineChars="200"/>
        <w:rPr>
          <w:rFonts w:ascii="宋体" w:hAnsi="宋体" w:cs="宋体"/>
        </w:rPr>
      </w:pPr>
      <w:r>
        <w:rPr>
          <w:rFonts w:hint="eastAsia" w:ascii="宋体" w:hAnsi="宋体" w:cs="宋体"/>
          <w:sz w:val="24"/>
        </w:rPr>
        <w:t>8.5.3供应商对代理机构机构提供的磋商文件所做出的推论、解释和结论，代理机构机构概不负责。供应商由于对磋商文件的任何推论误解以及代理机构机构对有关问题的口头解释所造成的后果，均由供应商自负。</w:t>
      </w:r>
    </w:p>
    <w:p>
      <w:pPr>
        <w:pageBreakBefore w:val="0"/>
        <w:kinsoku/>
        <w:wordWrap w:val="0"/>
        <w:overflowPunct/>
        <w:bidi w:val="0"/>
        <w:spacing w:line="360" w:lineRule="auto"/>
        <w:jc w:val="left"/>
        <w:rPr>
          <w:rFonts w:ascii="宋体" w:hAnsi="宋体" w:cs="宋体"/>
          <w:b/>
          <w:bCs/>
          <w:sz w:val="32"/>
          <w:szCs w:val="32"/>
        </w:rPr>
      </w:pPr>
      <w:bookmarkStart w:id="383" w:name="_Toc246996224"/>
      <w:bookmarkStart w:id="384" w:name="_Toc144974547"/>
      <w:bookmarkStart w:id="385" w:name="_Toc152045580"/>
      <w:bookmarkStart w:id="386" w:name="_Toc247085738"/>
      <w:bookmarkStart w:id="387" w:name="_Toc152042357"/>
      <w:bookmarkStart w:id="388" w:name="_Toc425177166"/>
      <w:bookmarkStart w:id="389" w:name="_Toc179632598"/>
      <w:bookmarkStart w:id="390" w:name="_Toc246996967"/>
      <w:r>
        <w:rPr>
          <w:rFonts w:hint="eastAsia" w:ascii="宋体" w:hAnsi="宋体" w:cs="宋体"/>
          <w:b/>
          <w:bCs/>
          <w:sz w:val="32"/>
          <w:szCs w:val="32"/>
        </w:rPr>
        <w:t>9. 需要补充的其他内容</w:t>
      </w:r>
      <w:bookmarkEnd w:id="383"/>
      <w:bookmarkEnd w:id="384"/>
      <w:bookmarkEnd w:id="385"/>
      <w:bookmarkEnd w:id="386"/>
      <w:bookmarkEnd w:id="387"/>
      <w:bookmarkEnd w:id="388"/>
      <w:bookmarkEnd w:id="389"/>
      <w:bookmarkEnd w:id="390"/>
    </w:p>
    <w:p>
      <w:pPr>
        <w:pageBreakBefore w:val="0"/>
        <w:kinsoku/>
        <w:wordWrap w:val="0"/>
        <w:overflowPunct/>
        <w:bidi w:val="0"/>
        <w:spacing w:line="360" w:lineRule="auto"/>
        <w:ind w:firstLine="480" w:firstLineChars="200"/>
        <w:rPr>
          <w:rFonts w:ascii="宋体" w:hAnsi="宋体" w:cs="宋体"/>
        </w:rPr>
      </w:pPr>
      <w:r>
        <w:rPr>
          <w:rFonts w:hint="eastAsia" w:ascii="宋体" w:hAnsi="宋体" w:cs="宋体"/>
          <w:sz w:val="24"/>
        </w:rPr>
        <w:t>需要补充的其他内容：见供应商须知前附表。</w:t>
      </w:r>
      <w:bookmarkStart w:id="391" w:name="_Toc152045587"/>
      <w:bookmarkStart w:id="392" w:name="_Toc246996230"/>
      <w:bookmarkStart w:id="393" w:name="_Toc246996973"/>
      <w:bookmarkStart w:id="394" w:name="_Toc152042364"/>
      <w:bookmarkStart w:id="395" w:name="_Toc179632605"/>
      <w:bookmarkStart w:id="396" w:name="_Toc247085745"/>
      <w:bookmarkStart w:id="397" w:name="_Toc144974554"/>
    </w:p>
    <w:p>
      <w:pPr>
        <w:pStyle w:val="4"/>
        <w:pageBreakBefore w:val="0"/>
        <w:kinsoku/>
        <w:wordWrap w:val="0"/>
        <w:overflowPunct/>
        <w:bidi w:val="0"/>
        <w:spacing w:line="360" w:lineRule="auto"/>
        <w:jc w:val="center"/>
        <w:rPr>
          <w:rFonts w:ascii="宋体" w:hAnsi="宋体" w:cs="宋体"/>
        </w:rPr>
      </w:pPr>
      <w:r>
        <w:rPr>
          <w:rFonts w:hint="eastAsia" w:ascii="宋体" w:hAnsi="宋体" w:cs="宋体"/>
        </w:rPr>
        <w:br w:type="page"/>
      </w:r>
      <w:bookmarkStart w:id="398" w:name="_Toc87865796"/>
      <w:bookmarkStart w:id="399" w:name="_Toc12597"/>
      <w:r>
        <w:rPr>
          <w:rFonts w:hint="eastAsia" w:ascii="宋体" w:hAnsi="宋体" w:cs="宋体"/>
        </w:rPr>
        <w:t xml:space="preserve">第三章 </w:t>
      </w:r>
      <w:bookmarkEnd w:id="391"/>
      <w:bookmarkEnd w:id="392"/>
      <w:bookmarkEnd w:id="393"/>
      <w:bookmarkEnd w:id="394"/>
      <w:bookmarkEnd w:id="395"/>
      <w:bookmarkEnd w:id="396"/>
      <w:bookmarkEnd w:id="397"/>
      <w:r>
        <w:rPr>
          <w:rFonts w:hint="eastAsia" w:ascii="宋体" w:hAnsi="宋体" w:cs="宋体"/>
        </w:rPr>
        <w:t>评审办法</w:t>
      </w:r>
      <w:bookmarkEnd w:id="398"/>
      <w:bookmarkEnd w:id="399"/>
    </w:p>
    <w:p>
      <w:pPr>
        <w:pageBreakBefore w:val="0"/>
        <w:kinsoku/>
        <w:overflowPunct/>
        <w:bidi w:val="0"/>
        <w:spacing w:line="360" w:lineRule="auto"/>
        <w:ind w:left="1" w:right="-34" w:rightChars="-16" w:hanging="1"/>
        <w:rPr>
          <w:rFonts w:ascii="宋体" w:hAnsi="宋体"/>
          <w:b/>
          <w:sz w:val="24"/>
        </w:rPr>
      </w:pPr>
      <w:bookmarkStart w:id="400" w:name="_Toc425177169"/>
      <w:bookmarkStart w:id="401" w:name="_Toc144974555"/>
      <w:bookmarkStart w:id="402" w:name="_Toc246996974"/>
      <w:bookmarkStart w:id="403" w:name="_Toc247085746"/>
      <w:bookmarkStart w:id="404" w:name="_Toc246996231"/>
      <w:bookmarkStart w:id="405" w:name="_Toc152042365"/>
      <w:bookmarkStart w:id="406" w:name="_Toc179632606"/>
      <w:bookmarkStart w:id="407" w:name="_Toc152045588"/>
      <w:r>
        <w:rPr>
          <w:rFonts w:hint="eastAsia" w:ascii="宋体" w:hAnsi="宋体"/>
          <w:b/>
          <w:sz w:val="24"/>
        </w:rPr>
        <w:t>一、评审原则</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 xml:space="preserve">    1. 本次采购采用竞争性磋商方式进行，评审由依法组成的磋商小组负责完成。评审基本原则：评审工作应依据《中华人民共和国政府采购法》、《政府采购竞争性磋商采购方式管理暂行办法》以及国家和地方政府采购的有关规定，遵循“公开、公平、公正、择优、诚实信用”的原则。</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2. 本次评审是以磋商文件，磋商响应文件和最终报价为依据，按公正、科学、客观、平等竞争的要求，推荐技术先进、报价合理、经验丰富、信誉良好、售后服务好、及综合实力强的成交供应商。</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3. 参加磋商工作的所有人员应遵守《中华人民共和国政府采购法》以及国家和地方政府采购的有关规定，严格保密，确保竞争性磋商工作公平、公正，任何单位和个人不得无理干预磋商小组的正常工作。</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4. 本次采购采用综合评分法，是指响应文件满足磋商文件全部实质性要求且按评审因素的量化指标评审得分最高的供应商为成交候选供应商的评审方法。</w:t>
      </w:r>
    </w:p>
    <w:p>
      <w:pPr>
        <w:pageBreakBefore w:val="0"/>
        <w:kinsoku/>
        <w:overflowPunct/>
        <w:bidi w:val="0"/>
        <w:spacing w:line="360" w:lineRule="auto"/>
        <w:ind w:left="1" w:right="-34" w:rightChars="-16" w:hanging="1"/>
        <w:rPr>
          <w:rFonts w:ascii="宋体" w:hAnsi="宋体"/>
          <w:b/>
          <w:sz w:val="24"/>
        </w:rPr>
      </w:pPr>
      <w:r>
        <w:rPr>
          <w:rFonts w:hint="eastAsia" w:ascii="宋体" w:hAnsi="宋体"/>
          <w:b/>
          <w:sz w:val="24"/>
        </w:rPr>
        <w:t>二、评审程序和评审方法</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 xml:space="preserve">    评审流程如下：</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1. 评审准备</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磋商小组成员阅读竞争性磋商文件，了解本次采购的范围和需求，熟悉评审方法；</w:t>
      </w:r>
    </w:p>
    <w:p>
      <w:pPr>
        <w:pageBreakBefore w:val="0"/>
        <w:kinsoku/>
        <w:overflowPunct/>
        <w:bidi w:val="0"/>
        <w:spacing w:line="360" w:lineRule="auto"/>
        <w:ind w:right="-34" w:rightChars="-16"/>
        <w:rPr>
          <w:rFonts w:ascii="宋体" w:hAnsi="宋体"/>
          <w:sz w:val="24"/>
        </w:rPr>
      </w:pPr>
      <w:r>
        <w:rPr>
          <w:rFonts w:hint="eastAsia" w:ascii="宋体" w:hAnsi="宋体"/>
          <w:sz w:val="24"/>
        </w:rPr>
        <w:t>2. 磋商响应文件资格性和响应性评审</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进入评审程序后，磋商小组先对供应商的磋商响应文件进行资格性和响应性评审。磋商小组将根据评审办法的规定和附表1的内容，对磋商响应文件进行资格性和响应性评审。</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若出现以下情况，则磋商响应文件将被认定为不满足采购需求而不能通过初步审查：</w:t>
      </w:r>
    </w:p>
    <w:p>
      <w:pPr>
        <w:pageBreakBefore w:val="0"/>
        <w:numPr>
          <w:ilvl w:val="0"/>
          <w:numId w:val="1"/>
        </w:numPr>
        <w:kinsoku/>
        <w:overflowPunct/>
        <w:bidi w:val="0"/>
        <w:spacing w:line="360" w:lineRule="auto"/>
        <w:ind w:left="1" w:right="-34" w:rightChars="-16" w:hanging="1"/>
        <w:rPr>
          <w:rFonts w:ascii="宋体" w:hAnsi="宋体"/>
          <w:bCs/>
          <w:sz w:val="24"/>
        </w:rPr>
      </w:pPr>
      <w:r>
        <w:rPr>
          <w:rFonts w:hint="eastAsia" w:ascii="宋体" w:hAnsi="宋体"/>
          <w:sz w:val="24"/>
        </w:rPr>
        <w:t>磋商响应</w:t>
      </w:r>
      <w:r>
        <w:rPr>
          <w:rFonts w:hint="eastAsia" w:ascii="宋体" w:hAnsi="宋体"/>
          <w:bCs/>
          <w:sz w:val="24"/>
        </w:rPr>
        <w:t>文件无法定代表人签字，或签字人未经法定代表人授权的；</w:t>
      </w:r>
    </w:p>
    <w:p>
      <w:pPr>
        <w:pageBreakBefore w:val="0"/>
        <w:numPr>
          <w:ilvl w:val="0"/>
          <w:numId w:val="1"/>
        </w:numPr>
        <w:kinsoku/>
        <w:overflowPunct/>
        <w:bidi w:val="0"/>
        <w:spacing w:line="360" w:lineRule="auto"/>
        <w:ind w:left="1" w:right="-34" w:rightChars="-16" w:hanging="1"/>
        <w:rPr>
          <w:rFonts w:ascii="宋体" w:hAnsi="宋体"/>
          <w:bCs/>
          <w:sz w:val="24"/>
        </w:rPr>
      </w:pPr>
      <w:r>
        <w:rPr>
          <w:rFonts w:hint="eastAsia" w:ascii="宋体" w:hAnsi="宋体"/>
          <w:bCs/>
          <w:sz w:val="24"/>
        </w:rPr>
        <w:t>供应商未按磋商文件要求的金额提交磋商保证金的；</w:t>
      </w:r>
    </w:p>
    <w:p>
      <w:pPr>
        <w:pageBreakBefore w:val="0"/>
        <w:numPr>
          <w:ilvl w:val="0"/>
          <w:numId w:val="1"/>
        </w:numPr>
        <w:kinsoku/>
        <w:overflowPunct/>
        <w:bidi w:val="0"/>
        <w:spacing w:line="360" w:lineRule="auto"/>
        <w:ind w:left="1" w:right="-34" w:rightChars="-16" w:hanging="1"/>
        <w:rPr>
          <w:rFonts w:ascii="宋体" w:hAnsi="宋体"/>
          <w:bCs/>
          <w:sz w:val="24"/>
        </w:rPr>
      </w:pPr>
      <w:r>
        <w:rPr>
          <w:rFonts w:hint="eastAsia" w:ascii="宋体" w:hAnsi="宋体"/>
          <w:bCs/>
          <w:sz w:val="24"/>
        </w:rPr>
        <w:t>磋商有效期不足的；</w:t>
      </w:r>
    </w:p>
    <w:p>
      <w:pPr>
        <w:pageBreakBefore w:val="0"/>
        <w:numPr>
          <w:ilvl w:val="0"/>
          <w:numId w:val="1"/>
        </w:numPr>
        <w:kinsoku/>
        <w:overflowPunct/>
        <w:bidi w:val="0"/>
        <w:spacing w:line="360" w:lineRule="auto"/>
        <w:ind w:left="1" w:right="-34" w:rightChars="-16" w:hanging="1"/>
        <w:rPr>
          <w:rFonts w:ascii="宋体" w:hAnsi="宋体"/>
          <w:bCs/>
          <w:sz w:val="24"/>
        </w:rPr>
      </w:pPr>
      <w:r>
        <w:rPr>
          <w:rFonts w:hint="eastAsia" w:ascii="宋体" w:hAnsi="宋体"/>
          <w:sz w:val="24"/>
        </w:rPr>
        <w:t>磋商小组根据磋商文件检查磋商响应文件提供的资格证明材料不齐全、不满足磋商文件的要求，并在磋商小组规定的时间未能补充齐全的；</w:t>
      </w:r>
    </w:p>
    <w:p>
      <w:pPr>
        <w:pageBreakBefore w:val="0"/>
        <w:numPr>
          <w:ilvl w:val="0"/>
          <w:numId w:val="1"/>
        </w:numPr>
        <w:kinsoku/>
        <w:overflowPunct/>
        <w:bidi w:val="0"/>
        <w:spacing w:line="360" w:lineRule="auto"/>
        <w:ind w:left="1" w:right="-34" w:rightChars="-16" w:hanging="1"/>
        <w:rPr>
          <w:rFonts w:ascii="宋体" w:hAnsi="宋体"/>
          <w:bCs/>
          <w:sz w:val="24"/>
        </w:rPr>
      </w:pPr>
      <w:r>
        <w:rPr>
          <w:rFonts w:hint="eastAsia" w:ascii="宋体" w:hAnsi="宋体"/>
          <w:sz w:val="24"/>
        </w:rPr>
        <w:t>磋商小组根据磋商文件对磋商响应文件的商务和技术部分进行初步审查，检查磋商响应文件提交的内容不齐全、不能证明有能力承担本项目的任务、未按磋商文件的要求作出相应的承诺的</w:t>
      </w:r>
      <w:r>
        <w:rPr>
          <w:rFonts w:hint="eastAsia" w:ascii="宋体" w:hAnsi="宋体"/>
          <w:bCs/>
          <w:sz w:val="24"/>
        </w:rPr>
        <w:t>；</w:t>
      </w:r>
    </w:p>
    <w:p>
      <w:pPr>
        <w:pageBreakBefore w:val="0"/>
        <w:numPr>
          <w:ilvl w:val="0"/>
          <w:numId w:val="1"/>
        </w:numPr>
        <w:kinsoku/>
        <w:overflowPunct/>
        <w:bidi w:val="0"/>
        <w:spacing w:line="360" w:lineRule="auto"/>
        <w:ind w:left="1" w:right="-34" w:rightChars="-16" w:hanging="1"/>
        <w:rPr>
          <w:rFonts w:ascii="宋体" w:hAnsi="宋体"/>
          <w:bCs/>
          <w:sz w:val="24"/>
        </w:rPr>
      </w:pPr>
      <w:r>
        <w:rPr>
          <w:rFonts w:hint="eastAsia" w:ascii="宋体" w:hAnsi="宋体"/>
          <w:sz w:val="24"/>
        </w:rPr>
        <w:t>报价过低，明显不合理，磋商小组认为无法保障质量而供应商不能合理说明的；</w:t>
      </w:r>
    </w:p>
    <w:p>
      <w:pPr>
        <w:pageBreakBefore w:val="0"/>
        <w:numPr>
          <w:ilvl w:val="0"/>
          <w:numId w:val="1"/>
        </w:numPr>
        <w:kinsoku/>
        <w:overflowPunct/>
        <w:bidi w:val="0"/>
        <w:spacing w:line="360" w:lineRule="auto"/>
        <w:ind w:left="1" w:right="-34" w:rightChars="-16" w:hanging="1"/>
        <w:rPr>
          <w:rFonts w:ascii="宋体" w:hAnsi="宋体"/>
          <w:bCs/>
          <w:sz w:val="24"/>
        </w:rPr>
      </w:pPr>
      <w:r>
        <w:rPr>
          <w:rFonts w:hint="eastAsia" w:ascii="宋体" w:hAnsi="宋体"/>
          <w:sz w:val="24"/>
        </w:rPr>
        <w:t>主要技术规格和参数不满足技术参数的要求以及商务有重大负偏离的；</w:t>
      </w:r>
      <w:r>
        <w:rPr>
          <w:rFonts w:hint="eastAsia" w:ascii="宋体" w:hAnsi="宋体"/>
          <w:bCs/>
          <w:sz w:val="24"/>
        </w:rPr>
        <w:t xml:space="preserve"> </w:t>
      </w:r>
    </w:p>
    <w:p>
      <w:pPr>
        <w:pageBreakBefore w:val="0"/>
        <w:numPr>
          <w:ilvl w:val="0"/>
          <w:numId w:val="1"/>
        </w:numPr>
        <w:kinsoku/>
        <w:overflowPunct/>
        <w:bidi w:val="0"/>
        <w:spacing w:line="360" w:lineRule="auto"/>
        <w:ind w:left="1" w:right="-34" w:rightChars="-16" w:hanging="1"/>
        <w:rPr>
          <w:rFonts w:ascii="宋体" w:hAnsi="宋体"/>
          <w:bCs/>
          <w:sz w:val="24"/>
        </w:rPr>
      </w:pPr>
      <w:r>
        <w:rPr>
          <w:rFonts w:hint="eastAsia" w:ascii="宋体" w:hAnsi="宋体"/>
          <w:sz w:val="24"/>
        </w:rPr>
        <w:t>磋商小组认为报价未实质性响应磋商文件的要求的；</w:t>
      </w:r>
    </w:p>
    <w:p>
      <w:pPr>
        <w:pageBreakBefore w:val="0"/>
        <w:numPr>
          <w:ilvl w:val="0"/>
          <w:numId w:val="1"/>
        </w:numPr>
        <w:kinsoku/>
        <w:overflowPunct/>
        <w:bidi w:val="0"/>
        <w:spacing w:line="360" w:lineRule="auto"/>
        <w:ind w:left="1" w:right="-34" w:rightChars="-16" w:hanging="1"/>
        <w:rPr>
          <w:rFonts w:ascii="宋体" w:hAnsi="宋体"/>
          <w:bCs/>
          <w:sz w:val="24"/>
        </w:rPr>
      </w:pPr>
      <w:r>
        <w:rPr>
          <w:rFonts w:hint="eastAsia" w:ascii="宋体" w:hAnsi="宋体"/>
          <w:sz w:val="24"/>
        </w:rPr>
        <w:t>没有按时作最终报价或最终报价超过采购预算且采购人无法接受的；</w:t>
      </w:r>
    </w:p>
    <w:p>
      <w:pPr>
        <w:pageBreakBefore w:val="0"/>
        <w:numPr>
          <w:ilvl w:val="0"/>
          <w:numId w:val="1"/>
        </w:numPr>
        <w:kinsoku/>
        <w:overflowPunct/>
        <w:bidi w:val="0"/>
        <w:spacing w:line="360" w:lineRule="auto"/>
        <w:ind w:left="1" w:right="-34" w:rightChars="-16" w:hanging="1"/>
        <w:rPr>
          <w:rFonts w:ascii="宋体" w:hAnsi="宋体"/>
          <w:bCs/>
          <w:sz w:val="24"/>
        </w:rPr>
      </w:pPr>
      <w:r>
        <w:rPr>
          <w:rFonts w:hint="eastAsia" w:ascii="宋体" w:hAnsi="宋体"/>
          <w:bCs/>
          <w:sz w:val="24"/>
        </w:rPr>
        <w:t>违反国家和地方政府采购法律法规的；</w:t>
      </w:r>
    </w:p>
    <w:p>
      <w:pPr>
        <w:pageBreakBefore w:val="0"/>
        <w:numPr>
          <w:ilvl w:val="0"/>
          <w:numId w:val="1"/>
        </w:numPr>
        <w:kinsoku/>
        <w:overflowPunct/>
        <w:bidi w:val="0"/>
        <w:spacing w:line="360" w:lineRule="auto"/>
        <w:ind w:left="1" w:right="-34" w:rightChars="-16" w:hanging="1"/>
        <w:rPr>
          <w:rFonts w:ascii="宋体" w:hAnsi="宋体"/>
          <w:bCs/>
          <w:sz w:val="24"/>
        </w:rPr>
      </w:pPr>
      <w:r>
        <w:rPr>
          <w:rFonts w:hint="eastAsia" w:ascii="宋体" w:hAnsi="宋体"/>
          <w:bCs/>
          <w:sz w:val="24"/>
        </w:rPr>
        <w:t>不满足磋商文件规定的其它条件的。</w:t>
      </w:r>
    </w:p>
    <w:p>
      <w:pPr>
        <w:pageBreakBefore w:val="0"/>
        <w:numPr>
          <w:ilvl w:val="0"/>
          <w:numId w:val="1"/>
        </w:numPr>
        <w:kinsoku/>
        <w:overflowPunct/>
        <w:bidi w:val="0"/>
        <w:spacing w:line="360" w:lineRule="auto"/>
        <w:ind w:left="1" w:right="-34" w:rightChars="-16" w:hanging="1"/>
        <w:rPr>
          <w:rFonts w:ascii="宋体" w:hAnsi="宋体"/>
          <w:bCs/>
          <w:sz w:val="24"/>
        </w:rPr>
      </w:pPr>
      <w:r>
        <w:rPr>
          <w:rFonts w:hint="eastAsia" w:ascii="宋体" w:hAnsi="宋体"/>
          <w:bCs/>
          <w:sz w:val="24"/>
        </w:rPr>
        <w:t>资格性和响应性评审采用</w:t>
      </w:r>
      <w:r>
        <w:rPr>
          <w:rFonts w:hint="eastAsia" w:ascii="宋体" w:hAnsi="宋体"/>
          <w:sz w:val="24"/>
        </w:rPr>
        <w:t>“一项否决”的原则，只有全部符合要求的才能通过资格性和响应性评审。</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3. 磋商</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磋商小组所有成员应当集中与单一供应商分别进行磋商，并给予所有参加磋商的供应商平等的磋商机会。在磋商过程中，磋商小组可以根据磋商文件和磋商情况实质性变动采购需求中的技术、服务要求以及合同草案条款，但不得变动磋商文件中的其他内容。实质性变动的内容，须经采购人代表确认。</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 xml:space="preserve">    对磋商文件作出的实质性变动是磋商文件的有效组成部分，磋商小组应当及时以书面形式同时通知所有参加磋商的供应商。</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 xml:space="preserve">    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4. 最后报价</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 xml:space="preserve">   磋商结束后，磋商小组应当要求所有实质性响应的供应商在规定时间内提交最后报价，提交最后报价的供应商不得少于3家。已提交响应文件的供应商，在提交最后报价之前，可以根据磋商情况退出磋商。采购人、采购代理机构应当退还退出磋商的供应商的磋商保证金。（最终报价表格式见附表2）</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5.政府采购政策支持（根据实际需求参照执行）</w:t>
      </w:r>
    </w:p>
    <w:p>
      <w:pPr>
        <w:pageBreakBefore w:val="0"/>
        <w:kinsoku/>
        <w:overflowPunct/>
        <w:bidi w:val="0"/>
        <w:spacing w:line="360" w:lineRule="auto"/>
        <w:ind w:firstLine="480" w:firstLineChars="200"/>
        <w:rPr>
          <w:rFonts w:ascii="宋体" w:hAnsi="宋体"/>
          <w:sz w:val="24"/>
        </w:rPr>
      </w:pPr>
      <w:r>
        <w:rPr>
          <w:rFonts w:hint="eastAsia" w:ascii="宋体" w:hAnsi="宋体"/>
          <w:sz w:val="24"/>
        </w:rPr>
        <w:t>5.1根据财政部、环保总局文件2006年10月24日颁布《关于环境标志产品政府采购实施的意见》财库[2006]90号第六条规定，政府采购属于环境标志产品清单中的产品时（财政部、环境保护部当期公布的环境标志产品政府采购清单的），在性能、技术、服务等指标同等条件下，应当优先采购清单所列的环境标志产品（需提供声明函和相关证明材料），其评审价=最终报价*（1-1%）。</w:t>
      </w:r>
    </w:p>
    <w:p>
      <w:pPr>
        <w:pageBreakBefore w:val="0"/>
        <w:kinsoku/>
        <w:overflowPunct/>
        <w:bidi w:val="0"/>
        <w:spacing w:line="360" w:lineRule="auto"/>
        <w:ind w:firstLine="480" w:firstLineChars="200"/>
        <w:rPr>
          <w:rFonts w:ascii="宋体" w:hAnsi="宋体"/>
          <w:sz w:val="24"/>
        </w:rPr>
      </w:pPr>
      <w:r>
        <w:rPr>
          <w:rFonts w:hint="eastAsia" w:ascii="宋体" w:hAnsi="宋体"/>
          <w:sz w:val="24"/>
        </w:rPr>
        <w:t>5.2根据财政部、国家发展改革委文件2004年12月17日颁布《节能产品政府采购实施意见》财库[2004]185号第六条规定，政府采购属于节能清单中的产品时（财政部、国家发展改革委当期公布的节能产品政府采购清单的），在技术、服务等指标同等条件下，应当优先采购清单所列的节能产品（需提供声明函和相关证明材料），其评审价=最终报价*（1-2%）。</w:t>
      </w:r>
    </w:p>
    <w:p>
      <w:pPr>
        <w:pageBreakBefore w:val="0"/>
        <w:kinsoku/>
        <w:overflowPunct/>
        <w:bidi w:val="0"/>
        <w:spacing w:line="360" w:lineRule="auto"/>
        <w:ind w:firstLine="480" w:firstLineChars="200"/>
        <w:rPr>
          <w:rFonts w:ascii="宋体" w:hAnsi="宋体"/>
          <w:sz w:val="24"/>
        </w:rPr>
      </w:pPr>
      <w:r>
        <w:rPr>
          <w:rFonts w:hint="eastAsia" w:ascii="宋体" w:hAnsi="宋体"/>
          <w:sz w:val="24"/>
        </w:rPr>
        <w:t>5.3根据财政部、工业和信息化部关于印发《政府采购促进中小企业发展管理办法》（财库﹝2020﹞46号）的通知（自2021 年1 月1 日起施行）第九条规定，对符合本办法规定的小微企业报价给予</w:t>
      </w:r>
      <w:r>
        <w:rPr>
          <w:rFonts w:hint="eastAsia" w:ascii="宋体" w:hAnsi="宋体"/>
          <w:sz w:val="24"/>
          <w:lang w:val="en-US" w:eastAsia="zh-CN"/>
        </w:rPr>
        <w:t>5</w:t>
      </w:r>
      <w:r>
        <w:rPr>
          <w:rFonts w:hint="eastAsia" w:ascii="宋体" w:hAnsi="宋体"/>
          <w:sz w:val="24"/>
        </w:rPr>
        <w:t>%（工程项目为5%）的扣除，用扣除后的价格参加评审。若供应商为小型或微型企业者，应当提供“中小企业声明函”并加盖公章（见格式），并对声明的真实性负责。</w:t>
      </w:r>
    </w:p>
    <w:p>
      <w:pPr>
        <w:pageBreakBefore w:val="0"/>
        <w:kinsoku/>
        <w:overflowPunct/>
        <w:bidi w:val="0"/>
        <w:spacing w:line="360" w:lineRule="auto"/>
        <w:ind w:firstLine="480" w:firstLineChars="200"/>
        <w:rPr>
          <w:rFonts w:ascii="宋体" w:hAnsi="宋体"/>
          <w:sz w:val="24"/>
        </w:rPr>
      </w:pPr>
      <w:r>
        <w:rPr>
          <w:rFonts w:hint="eastAsia" w:ascii="宋体" w:hAnsi="宋体"/>
          <w:sz w:val="24"/>
        </w:rPr>
        <w:t>5.4根据财政部、司法部自2014年6月10日发布的《关于政府采购支持监狱企业发展有关问题的通知》（财库[2014]68号）的有关规定，在政府采购活动中，监狱企业视同小型、微型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磋商时，提供由省级以上监狱管理局、戒毒管理局（含新疆生产建设兵团）出具的属于监狱企业的证明文件，不再提供《中小微企业声明函》。</w:t>
      </w:r>
    </w:p>
    <w:p>
      <w:pPr>
        <w:pageBreakBefore w:val="0"/>
        <w:kinsoku/>
        <w:overflowPunct/>
        <w:bidi w:val="0"/>
        <w:spacing w:line="360" w:lineRule="auto"/>
        <w:ind w:firstLine="480" w:firstLineChars="200"/>
        <w:rPr>
          <w:rFonts w:ascii="宋体" w:hAnsi="宋体"/>
          <w:sz w:val="24"/>
        </w:rPr>
      </w:pPr>
      <w:r>
        <w:rPr>
          <w:rFonts w:hint="eastAsia" w:ascii="宋体" w:hAnsi="宋体"/>
          <w:sz w:val="24"/>
        </w:rPr>
        <w:t>5.5根据财政部、民政部、中国残疾人联合会自2017年9月1日印发的《关于促进残疾人就业政府采购政策的通知》（财库[2017]141号）的规定，在政府采购活动中，残疾人福利性单位视同小型、微型企业，享受预留份额、评审中价格扣除等促进中小企业发展的政府采购政策。符合条件的残疾人福利性单位在参加政府采购活动时，应当提供“残疾人福利性单位声明函”并加盖公章（格式见财库[2017]141号的附件），并对声明的真实性负责，供应商不再提供《中小微企业声明函》。</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5.6如有虚假骗取政策性加分，将依法承担相应责任。</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6. 综合评审（评审标准）</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经磋商确定最终采购需求和提交最后报价的供应商后，由磋商小组采用综合评分法对提交最后报价的供应商的响应文件和最后报价进行综合评分。（评审标准详见附表3）</w:t>
      </w:r>
    </w:p>
    <w:p>
      <w:pPr>
        <w:pageBreakBefore w:val="0"/>
        <w:kinsoku/>
        <w:overflowPunct/>
        <w:bidi w:val="0"/>
        <w:spacing w:line="360" w:lineRule="auto"/>
        <w:ind w:left="1" w:right="-34" w:rightChars="-16" w:hanging="1"/>
        <w:rPr>
          <w:rFonts w:ascii="宋体" w:hAnsi="宋体"/>
          <w:b/>
          <w:sz w:val="24"/>
        </w:rPr>
      </w:pPr>
      <w:r>
        <w:rPr>
          <w:rFonts w:hint="eastAsia" w:ascii="宋体" w:hAnsi="宋体"/>
          <w:b/>
          <w:sz w:val="24"/>
        </w:rPr>
        <w:t>三、推荐成交候选供应商</w:t>
      </w:r>
    </w:p>
    <w:p>
      <w:pPr>
        <w:pageBreakBefore w:val="0"/>
        <w:kinsoku/>
        <w:overflowPunct/>
        <w:bidi w:val="0"/>
        <w:spacing w:line="360" w:lineRule="auto"/>
        <w:ind w:left="1" w:right="-34" w:rightChars="-16" w:hanging="1"/>
        <w:rPr>
          <w:rFonts w:ascii="宋体" w:hAnsi="宋体"/>
          <w:bCs/>
          <w:sz w:val="24"/>
        </w:rPr>
      </w:pPr>
      <w:r>
        <w:rPr>
          <w:rFonts w:hint="eastAsia" w:ascii="宋体" w:hAnsi="宋体"/>
          <w:b/>
          <w:sz w:val="24"/>
        </w:rPr>
        <w:t xml:space="preserve">    </w:t>
      </w:r>
      <w:r>
        <w:rPr>
          <w:rFonts w:hint="eastAsia" w:ascii="宋体" w:hAnsi="宋体"/>
          <w:bCs/>
          <w:sz w:val="24"/>
        </w:rPr>
        <w:t>有效报价是指通过文件初审的供应商最终报价经价格核对后的评审价格，且不超过采购人的预算。</w:t>
      </w:r>
    </w:p>
    <w:p>
      <w:pPr>
        <w:pageBreakBefore w:val="0"/>
        <w:kinsoku/>
        <w:overflowPunct/>
        <w:bidi w:val="0"/>
        <w:spacing w:line="360" w:lineRule="auto"/>
        <w:ind w:left="1" w:right="-34" w:rightChars="-16" w:hanging="1"/>
        <w:rPr>
          <w:rFonts w:ascii="宋体" w:hAnsi="宋体"/>
          <w:bCs/>
          <w:sz w:val="24"/>
        </w:rPr>
      </w:pPr>
      <w:r>
        <w:rPr>
          <w:rFonts w:hint="eastAsia" w:ascii="宋体" w:hAnsi="宋体"/>
          <w:bCs/>
          <w:sz w:val="24"/>
        </w:rPr>
        <w:t xml:space="preserve">    有效报价达到3家或以上，磋商小组应当根据综合评分情况按评审得分由高到低顺序推荐3名以上成交候选供应商并评审报告。评审得分相同的按照最后报价由低到高的顺序推荐。评审得分且最后报价相同的,按照技术指标优劣顺序推荐。</w:t>
      </w:r>
    </w:p>
    <w:p>
      <w:pPr>
        <w:pageBreakBefore w:val="0"/>
        <w:kinsoku/>
        <w:overflowPunct/>
        <w:bidi w:val="0"/>
        <w:spacing w:line="360" w:lineRule="auto"/>
        <w:ind w:left="1" w:right="-34" w:rightChars="-16" w:hanging="1"/>
        <w:rPr>
          <w:rFonts w:ascii="宋体" w:hAnsi="宋体"/>
          <w:b/>
          <w:sz w:val="24"/>
        </w:rPr>
      </w:pPr>
      <w:r>
        <w:rPr>
          <w:rFonts w:hint="eastAsia" w:ascii="宋体" w:hAnsi="宋体"/>
          <w:b/>
          <w:sz w:val="24"/>
        </w:rPr>
        <w:t xml:space="preserve">四、评审报告 </w:t>
      </w:r>
    </w:p>
    <w:p>
      <w:pPr>
        <w:pageBreakBefore w:val="0"/>
        <w:kinsoku/>
        <w:overflowPunct/>
        <w:bidi w:val="0"/>
        <w:spacing w:line="360" w:lineRule="auto"/>
        <w:ind w:firstLine="480" w:firstLineChars="200"/>
        <w:rPr>
          <w:rFonts w:ascii="宋体" w:hAnsi="宋体"/>
          <w:sz w:val="24"/>
        </w:rPr>
      </w:pPr>
      <w:r>
        <w:rPr>
          <w:rFonts w:hint="eastAsia" w:ascii="宋体" w:hAnsi="宋体"/>
          <w:sz w:val="24"/>
        </w:rPr>
        <w:t>评审小组依据评审结果出具评审报告。评审报告应当由磋商小组全体人员签字。</w:t>
      </w:r>
    </w:p>
    <w:p>
      <w:pPr>
        <w:pageBreakBefore w:val="0"/>
        <w:kinsoku/>
        <w:overflowPunct/>
        <w:bidi w:val="0"/>
        <w:spacing w:line="360" w:lineRule="auto"/>
        <w:ind w:left="1" w:right="-34" w:rightChars="-16" w:hanging="1"/>
        <w:rPr>
          <w:rFonts w:ascii="宋体" w:hAnsi="宋体"/>
          <w:b/>
          <w:sz w:val="24"/>
        </w:rPr>
      </w:pPr>
      <w:r>
        <w:rPr>
          <w:rFonts w:hint="eastAsia" w:ascii="宋体" w:hAnsi="宋体"/>
          <w:b/>
          <w:sz w:val="24"/>
        </w:rPr>
        <w:t>五、磋商、评审过程的保密性</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 xml:space="preserve">    接受报价后，直至成交供应商与采购人签订合同后止，凡与磋商、审查、澄清、评价、比较、确定成交人意见有关的内容，任何人均不得向供应商及与磋商评审无关的其他人透露。</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从磋商响应文件提交的截止时间起到确定成交供应商日止，供应商不得与参加磋商、评审的有关人员私下接触。在评审过程中，如果供应商试图在报价文件审查、澄清、比较及推荐成交供应商方面向参与评审的有关人员和采购人施加任何影响，其磋商响应文件将被拒绝。</w:t>
      </w:r>
    </w:p>
    <w:p>
      <w:pPr>
        <w:pageBreakBefore w:val="0"/>
        <w:kinsoku/>
        <w:overflowPunct/>
        <w:bidi w:val="0"/>
        <w:spacing w:line="360" w:lineRule="auto"/>
        <w:ind w:left="1" w:right="-34" w:rightChars="-16" w:hanging="1"/>
        <w:rPr>
          <w:rFonts w:ascii="宋体" w:hAnsi="宋体"/>
          <w:b/>
          <w:sz w:val="24"/>
        </w:rPr>
      </w:pPr>
      <w:r>
        <w:rPr>
          <w:rFonts w:hint="eastAsia" w:ascii="宋体" w:hAnsi="宋体"/>
          <w:b/>
          <w:sz w:val="24"/>
        </w:rPr>
        <w:t>六、接受和拒绝任何或所有报价的权利</w:t>
      </w:r>
    </w:p>
    <w:p>
      <w:pPr>
        <w:pageBreakBefore w:val="0"/>
        <w:kinsoku/>
        <w:overflowPunct/>
        <w:bidi w:val="0"/>
        <w:spacing w:line="360" w:lineRule="auto"/>
        <w:ind w:left="1" w:right="-34" w:rightChars="-16" w:hanging="1"/>
        <w:rPr>
          <w:rFonts w:ascii="宋体" w:hAnsi="宋体"/>
          <w:sz w:val="24"/>
        </w:rPr>
      </w:pPr>
      <w:r>
        <w:rPr>
          <w:rFonts w:hint="eastAsia" w:ascii="宋体" w:hAnsi="宋体"/>
          <w:sz w:val="24"/>
        </w:rPr>
        <w:t xml:space="preserve">    磋商人和采购人保留在成交之前任何时候接受或拒绝任何报价，以及宣布竞争性磋商无效或拒绝所有报价的权力，对受影响的供应商不承担任何责任。</w:t>
      </w:r>
    </w:p>
    <w:p>
      <w:pPr>
        <w:pageBreakBefore w:val="0"/>
        <w:kinsoku/>
        <w:overflowPunct/>
        <w:bidi w:val="0"/>
        <w:spacing w:line="360" w:lineRule="auto"/>
        <w:ind w:left="1" w:right="-34" w:rightChars="-16" w:hanging="1"/>
        <w:rPr>
          <w:rFonts w:ascii="宋体" w:hAnsi="宋体"/>
          <w:b/>
          <w:sz w:val="24"/>
        </w:rPr>
      </w:pPr>
      <w:r>
        <w:rPr>
          <w:rFonts w:hint="eastAsia" w:ascii="宋体" w:hAnsi="宋体"/>
          <w:b/>
          <w:sz w:val="24"/>
        </w:rPr>
        <w:t>七、变更技术方案的权利</w:t>
      </w:r>
    </w:p>
    <w:p>
      <w:pPr>
        <w:pageBreakBefore w:val="0"/>
        <w:kinsoku/>
        <w:overflowPunct/>
        <w:bidi w:val="0"/>
        <w:spacing w:line="360" w:lineRule="auto"/>
        <w:ind w:left="1" w:right="-34" w:rightChars="-16" w:hanging="1"/>
        <w:rPr>
          <w:rFonts w:ascii="宋体" w:hAnsi="宋体" w:cs="宋体"/>
          <w:kern w:val="0"/>
          <w:sz w:val="24"/>
        </w:rPr>
      </w:pPr>
      <w:r>
        <w:rPr>
          <w:rFonts w:hint="eastAsia" w:ascii="宋体" w:hAnsi="宋体" w:cs="宋体"/>
          <w:kern w:val="0"/>
          <w:sz w:val="24"/>
        </w:rPr>
        <w:t xml:space="preserve">    在磋商过程中，磋商小组可以根据竞争性磋商文件和磋商情况实质性变动采购需求中的技术、服务要求以及合同草案条款，但不得变动竞争性磋商文件中的其他内容。实质性变动的内容，须经采购人代表确认。</w:t>
      </w:r>
    </w:p>
    <w:p>
      <w:pPr>
        <w:pageBreakBefore w:val="0"/>
        <w:widowControl/>
        <w:kinsoku/>
        <w:overflowPunct/>
        <w:bidi w:val="0"/>
        <w:snapToGrid w:val="0"/>
        <w:spacing w:line="360" w:lineRule="auto"/>
        <w:ind w:left="1" w:right="-34" w:rightChars="-16" w:hanging="1"/>
        <w:jc w:val="left"/>
        <w:rPr>
          <w:rFonts w:ascii="宋体" w:hAnsi="宋体" w:cs="宋体"/>
          <w:kern w:val="0"/>
          <w:sz w:val="24"/>
        </w:rPr>
      </w:pPr>
      <w:r>
        <w:rPr>
          <w:rFonts w:hint="eastAsia" w:ascii="宋体" w:hAnsi="宋体" w:cs="宋体"/>
          <w:kern w:val="0"/>
          <w:sz w:val="24"/>
        </w:rPr>
        <w:t>　　对竞争性磋商文件作出的实质性变动是磋商文件的有效组成部分，磋商小组应当及时以书面形式同时通知所有参加磋商的供应商。</w:t>
      </w:r>
    </w:p>
    <w:p>
      <w:pPr>
        <w:pageBreakBefore w:val="0"/>
        <w:kinsoku/>
        <w:overflowPunct/>
        <w:bidi w:val="0"/>
        <w:spacing w:line="360" w:lineRule="auto"/>
        <w:jc w:val="left"/>
        <w:rPr>
          <w:rFonts w:ascii="宋体" w:hAnsi="宋体" w:cs="宋体"/>
          <w:b/>
          <w:bCs/>
          <w:sz w:val="32"/>
          <w:szCs w:val="32"/>
        </w:rPr>
      </w:pPr>
      <w:r>
        <w:rPr>
          <w:rFonts w:hint="eastAsia" w:ascii="宋体" w:hAnsi="宋体" w:cs="宋体"/>
          <w:kern w:val="0"/>
          <w:sz w:val="24"/>
        </w:rPr>
        <w:t>　　供应商应当按照竞争性磋商文件的变动情况和磋商小组的要求重新提交响应文件，并由其法定代表人或授权代表签字或者加盖公章。由授权代表签字的，应当附法定代表人授权书。供应商为自然人的，应当由本人签字并附身份证明。</w:t>
      </w:r>
    </w:p>
    <w:p>
      <w:pPr>
        <w:pageBreakBefore w:val="0"/>
        <w:kinsoku/>
        <w:wordWrap w:val="0"/>
        <w:overflowPunct/>
        <w:bidi w:val="0"/>
        <w:spacing w:line="360" w:lineRule="auto"/>
        <w:jc w:val="center"/>
        <w:rPr>
          <w:rFonts w:ascii="宋体" w:hAnsi="宋体" w:cs="宋体"/>
          <w:b/>
          <w:bCs/>
          <w:sz w:val="32"/>
          <w:szCs w:val="32"/>
        </w:rPr>
      </w:pPr>
    </w:p>
    <w:p>
      <w:pPr>
        <w:pageBreakBefore w:val="0"/>
        <w:kinsoku/>
        <w:wordWrap w:val="0"/>
        <w:overflowPunct/>
        <w:bidi w:val="0"/>
        <w:spacing w:line="360" w:lineRule="auto"/>
        <w:jc w:val="center"/>
        <w:rPr>
          <w:rFonts w:ascii="宋体" w:hAnsi="宋体" w:cs="宋体"/>
          <w:b/>
          <w:bCs/>
          <w:sz w:val="32"/>
          <w:szCs w:val="32"/>
        </w:rPr>
      </w:pPr>
    </w:p>
    <w:p>
      <w:pPr>
        <w:pageBreakBefore w:val="0"/>
        <w:tabs>
          <w:tab w:val="left" w:pos="720"/>
        </w:tabs>
        <w:kinsoku/>
        <w:wordWrap w:val="0"/>
        <w:overflowPunct/>
        <w:bidi w:val="0"/>
        <w:spacing w:line="360" w:lineRule="auto"/>
        <w:rPr>
          <w:rFonts w:ascii="宋体" w:hAnsi="宋体" w:cs="宋体"/>
          <w:b/>
          <w:bCs/>
          <w:sz w:val="32"/>
          <w:szCs w:val="32"/>
        </w:rPr>
      </w:pPr>
      <w:r>
        <w:rPr>
          <w:rFonts w:ascii="宋体" w:hAnsi="宋体" w:cs="宋体"/>
          <w:b/>
          <w:bCs/>
          <w:sz w:val="32"/>
          <w:szCs w:val="32"/>
        </w:rPr>
        <w:br w:type="page"/>
      </w:r>
      <w:r>
        <w:rPr>
          <w:rFonts w:hint="eastAsia" w:ascii="宋体" w:hAnsi="宋体" w:cs="宋体"/>
          <w:b/>
          <w:bCs/>
          <w:sz w:val="32"/>
          <w:szCs w:val="32"/>
        </w:rPr>
        <w:t>附件1</w:t>
      </w:r>
    </w:p>
    <w:bookmarkEnd w:id="400"/>
    <w:bookmarkEnd w:id="401"/>
    <w:bookmarkEnd w:id="402"/>
    <w:bookmarkEnd w:id="403"/>
    <w:bookmarkEnd w:id="404"/>
    <w:bookmarkEnd w:id="405"/>
    <w:bookmarkEnd w:id="406"/>
    <w:bookmarkEnd w:id="407"/>
    <w:p>
      <w:pPr>
        <w:pageBreakBefore w:val="0"/>
        <w:kinsoku/>
        <w:wordWrap w:val="0"/>
        <w:overflowPunct/>
        <w:bidi w:val="0"/>
        <w:spacing w:line="360" w:lineRule="auto"/>
        <w:jc w:val="center"/>
        <w:rPr>
          <w:rFonts w:ascii="宋体" w:hAnsi="宋体" w:cs="宋体"/>
          <w:b/>
          <w:bCs/>
          <w:sz w:val="32"/>
          <w:szCs w:val="32"/>
        </w:rPr>
      </w:pPr>
      <w:r>
        <w:rPr>
          <w:rFonts w:hint="eastAsia" w:ascii="宋体" w:hAnsi="宋体" w:cs="宋体"/>
          <w:b/>
          <w:bCs/>
          <w:sz w:val="32"/>
          <w:szCs w:val="32"/>
        </w:rPr>
        <w:t>资格性和响应性评审表</w:t>
      </w:r>
    </w:p>
    <w:tbl>
      <w:tblPr>
        <w:tblStyle w:val="39"/>
        <w:tblW w:w="9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9"/>
        <w:gridCol w:w="1418"/>
        <w:gridCol w:w="1961"/>
        <w:gridCol w:w="3851"/>
        <w:gridCol w:w="628"/>
        <w:gridCol w:w="567"/>
        <w:gridCol w:w="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469"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序号</w:t>
            </w:r>
          </w:p>
        </w:tc>
        <w:tc>
          <w:tcPr>
            <w:tcW w:w="141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评审项目</w:t>
            </w:r>
          </w:p>
        </w:tc>
        <w:tc>
          <w:tcPr>
            <w:tcW w:w="1961"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评审因素</w:t>
            </w:r>
          </w:p>
        </w:tc>
        <w:tc>
          <w:tcPr>
            <w:tcW w:w="3851"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评审标准</w:t>
            </w:r>
          </w:p>
        </w:tc>
        <w:tc>
          <w:tcPr>
            <w:tcW w:w="62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供应商1</w:t>
            </w:r>
          </w:p>
        </w:tc>
        <w:tc>
          <w:tcPr>
            <w:tcW w:w="567"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供应商2</w:t>
            </w:r>
          </w:p>
        </w:tc>
        <w:tc>
          <w:tcPr>
            <w:tcW w:w="58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hint="eastAsia" w:ascii="宋体" w:hAnsi="宋体" w:eastAsia="宋体" w:cs="宋体"/>
                <w:szCs w:val="21"/>
                <w:lang w:eastAsia="zh-CN"/>
              </w:rPr>
            </w:pPr>
            <w:r>
              <w:rPr>
                <w:rFonts w:hint="eastAsia" w:ascii="宋体" w:hAnsi="宋体" w:cs="宋体"/>
                <w:szCs w:val="21"/>
              </w:rPr>
              <w:t>供应商</w:t>
            </w:r>
            <w:r>
              <w:rPr>
                <w:rFonts w:hint="eastAsia" w:ascii="宋体" w:hAnsi="宋体" w:cs="宋体"/>
                <w:szCs w:val="21"/>
                <w:lang w:val="en-US" w:eastAsia="zh-CN"/>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469"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1</w:t>
            </w:r>
          </w:p>
        </w:tc>
        <w:tc>
          <w:tcPr>
            <w:tcW w:w="141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资格性评审</w:t>
            </w:r>
          </w:p>
        </w:tc>
        <w:tc>
          <w:tcPr>
            <w:tcW w:w="1961" w:type="dxa"/>
            <w:tcBorders>
              <w:top w:val="single" w:color="auto" w:sz="4" w:space="0"/>
              <w:left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Cs w:val="21"/>
              </w:rPr>
            </w:pPr>
            <w:r>
              <w:rPr>
                <w:rFonts w:hint="eastAsia" w:ascii="宋体" w:hAnsi="宋体" w:cs="宋体"/>
                <w:szCs w:val="21"/>
              </w:rPr>
              <w:t>资格要求</w:t>
            </w:r>
          </w:p>
        </w:tc>
        <w:tc>
          <w:tcPr>
            <w:tcW w:w="3851"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Cs w:val="21"/>
              </w:rPr>
            </w:pPr>
            <w:r>
              <w:rPr>
                <w:rFonts w:hint="eastAsia" w:ascii="宋体" w:hAnsi="宋体" w:cs="宋体"/>
                <w:szCs w:val="21"/>
              </w:rPr>
              <w:t>符合第二章供应商须知的规定</w:t>
            </w:r>
          </w:p>
        </w:tc>
        <w:tc>
          <w:tcPr>
            <w:tcW w:w="628"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c>
          <w:tcPr>
            <w:tcW w:w="567"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c>
          <w:tcPr>
            <w:tcW w:w="585"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469" w:type="dxa"/>
            <w:vMerge w:val="restart"/>
            <w:tcBorders>
              <w:top w:val="single" w:color="auto" w:sz="4" w:space="0"/>
              <w:left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2</w:t>
            </w:r>
          </w:p>
        </w:tc>
        <w:tc>
          <w:tcPr>
            <w:tcW w:w="1418" w:type="dxa"/>
            <w:vMerge w:val="restart"/>
            <w:tcBorders>
              <w:top w:val="single" w:color="auto" w:sz="4" w:space="0"/>
              <w:left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响应性评审</w:t>
            </w:r>
          </w:p>
        </w:tc>
        <w:tc>
          <w:tcPr>
            <w:tcW w:w="1961" w:type="dxa"/>
            <w:tcBorders>
              <w:top w:val="single" w:color="auto" w:sz="4" w:space="0"/>
              <w:left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Cs w:val="21"/>
              </w:rPr>
            </w:pPr>
            <w:r>
              <w:rPr>
                <w:rFonts w:hint="eastAsia" w:ascii="宋体" w:hAnsi="宋体" w:cs="宋体"/>
                <w:szCs w:val="21"/>
              </w:rPr>
              <w:t>合同履行期限（工期）</w:t>
            </w:r>
          </w:p>
        </w:tc>
        <w:tc>
          <w:tcPr>
            <w:tcW w:w="3851"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Cs w:val="21"/>
              </w:rPr>
            </w:pPr>
            <w:r>
              <w:rPr>
                <w:rFonts w:hint="eastAsia" w:ascii="宋体" w:hAnsi="宋体" w:cs="宋体"/>
                <w:szCs w:val="21"/>
              </w:rPr>
              <w:t>符合第二章供应商须知的规定</w:t>
            </w:r>
          </w:p>
        </w:tc>
        <w:tc>
          <w:tcPr>
            <w:tcW w:w="628"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c>
          <w:tcPr>
            <w:tcW w:w="567"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c>
          <w:tcPr>
            <w:tcW w:w="585"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469" w:type="dxa"/>
            <w:vMerge w:val="continue"/>
            <w:tcBorders>
              <w:left w:val="single" w:color="auto" w:sz="4" w:space="0"/>
              <w:right w:val="single" w:color="auto" w:sz="4" w:space="0"/>
            </w:tcBorders>
            <w:vAlign w:val="center"/>
          </w:tcPr>
          <w:p>
            <w:pPr>
              <w:pageBreakBefore w:val="0"/>
              <w:widowControl/>
              <w:kinsoku/>
              <w:wordWrap w:val="0"/>
              <w:overflowPunct/>
              <w:bidi w:val="0"/>
              <w:spacing w:line="360" w:lineRule="auto"/>
              <w:jc w:val="left"/>
              <w:rPr>
                <w:rFonts w:ascii="宋体" w:hAnsi="宋体" w:cs="宋体"/>
                <w:szCs w:val="21"/>
              </w:rPr>
            </w:pPr>
          </w:p>
        </w:tc>
        <w:tc>
          <w:tcPr>
            <w:tcW w:w="1418" w:type="dxa"/>
            <w:vMerge w:val="continue"/>
            <w:tcBorders>
              <w:left w:val="single" w:color="auto" w:sz="4" w:space="0"/>
              <w:right w:val="single" w:color="auto" w:sz="4" w:space="0"/>
            </w:tcBorders>
            <w:vAlign w:val="center"/>
          </w:tcPr>
          <w:p>
            <w:pPr>
              <w:pageBreakBefore w:val="0"/>
              <w:widowControl/>
              <w:kinsoku/>
              <w:wordWrap w:val="0"/>
              <w:overflowPunct/>
              <w:bidi w:val="0"/>
              <w:spacing w:line="360" w:lineRule="auto"/>
              <w:jc w:val="left"/>
              <w:rPr>
                <w:rFonts w:ascii="宋体" w:hAnsi="宋体" w:cs="宋体"/>
                <w:szCs w:val="21"/>
              </w:rPr>
            </w:pPr>
          </w:p>
        </w:tc>
        <w:tc>
          <w:tcPr>
            <w:tcW w:w="1961"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Cs w:val="21"/>
              </w:rPr>
            </w:pPr>
            <w:r>
              <w:rPr>
                <w:rFonts w:hint="eastAsia" w:ascii="宋体" w:hAnsi="宋体" w:cs="宋体"/>
                <w:szCs w:val="21"/>
              </w:rPr>
              <w:t>质量要求</w:t>
            </w:r>
          </w:p>
        </w:tc>
        <w:tc>
          <w:tcPr>
            <w:tcW w:w="3851"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Cs w:val="21"/>
              </w:rPr>
            </w:pPr>
            <w:r>
              <w:rPr>
                <w:rFonts w:hint="eastAsia" w:ascii="宋体" w:hAnsi="宋体" w:cs="宋体"/>
                <w:szCs w:val="21"/>
              </w:rPr>
              <w:t>符合第二章供应商须知的规定</w:t>
            </w:r>
          </w:p>
        </w:tc>
        <w:tc>
          <w:tcPr>
            <w:tcW w:w="628"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c>
          <w:tcPr>
            <w:tcW w:w="567"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c>
          <w:tcPr>
            <w:tcW w:w="585"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69" w:type="dxa"/>
            <w:vMerge w:val="continue"/>
            <w:tcBorders>
              <w:left w:val="single" w:color="auto" w:sz="4" w:space="0"/>
              <w:right w:val="single" w:color="auto" w:sz="4" w:space="0"/>
            </w:tcBorders>
            <w:vAlign w:val="center"/>
          </w:tcPr>
          <w:p>
            <w:pPr>
              <w:pageBreakBefore w:val="0"/>
              <w:widowControl/>
              <w:kinsoku/>
              <w:wordWrap w:val="0"/>
              <w:overflowPunct/>
              <w:bidi w:val="0"/>
              <w:spacing w:line="360" w:lineRule="auto"/>
              <w:jc w:val="left"/>
              <w:rPr>
                <w:rFonts w:ascii="宋体" w:hAnsi="宋体" w:cs="宋体"/>
                <w:szCs w:val="21"/>
              </w:rPr>
            </w:pPr>
          </w:p>
        </w:tc>
        <w:tc>
          <w:tcPr>
            <w:tcW w:w="1418" w:type="dxa"/>
            <w:vMerge w:val="continue"/>
            <w:tcBorders>
              <w:left w:val="single" w:color="auto" w:sz="4" w:space="0"/>
              <w:right w:val="single" w:color="auto" w:sz="4" w:space="0"/>
            </w:tcBorders>
            <w:vAlign w:val="center"/>
          </w:tcPr>
          <w:p>
            <w:pPr>
              <w:pageBreakBefore w:val="0"/>
              <w:widowControl/>
              <w:kinsoku/>
              <w:wordWrap w:val="0"/>
              <w:overflowPunct/>
              <w:bidi w:val="0"/>
              <w:spacing w:line="360" w:lineRule="auto"/>
              <w:jc w:val="left"/>
              <w:rPr>
                <w:rFonts w:ascii="宋体" w:hAnsi="宋体" w:cs="宋体"/>
                <w:szCs w:val="21"/>
              </w:rPr>
            </w:pPr>
          </w:p>
        </w:tc>
        <w:tc>
          <w:tcPr>
            <w:tcW w:w="1961"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Cs w:val="21"/>
              </w:rPr>
            </w:pPr>
            <w:r>
              <w:rPr>
                <w:rFonts w:hint="eastAsia" w:ascii="宋体" w:hAnsi="宋体" w:cs="宋体"/>
                <w:szCs w:val="21"/>
              </w:rPr>
              <w:t>磋商保证金</w:t>
            </w:r>
          </w:p>
        </w:tc>
        <w:tc>
          <w:tcPr>
            <w:tcW w:w="3851"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Cs w:val="21"/>
              </w:rPr>
            </w:pPr>
            <w:r>
              <w:rPr>
                <w:rFonts w:hint="eastAsia" w:ascii="宋体" w:hAnsi="宋体" w:cs="宋体"/>
                <w:szCs w:val="21"/>
              </w:rPr>
              <w:t>符合磋商文件对提交磋商保证金的要求</w:t>
            </w:r>
          </w:p>
        </w:tc>
        <w:tc>
          <w:tcPr>
            <w:tcW w:w="628"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c>
          <w:tcPr>
            <w:tcW w:w="567"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c>
          <w:tcPr>
            <w:tcW w:w="585"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469" w:type="dxa"/>
            <w:vMerge w:val="continue"/>
            <w:tcBorders>
              <w:left w:val="single" w:color="auto" w:sz="4" w:space="0"/>
              <w:right w:val="single" w:color="auto" w:sz="4" w:space="0"/>
            </w:tcBorders>
            <w:vAlign w:val="center"/>
          </w:tcPr>
          <w:p>
            <w:pPr>
              <w:pageBreakBefore w:val="0"/>
              <w:widowControl/>
              <w:kinsoku/>
              <w:wordWrap w:val="0"/>
              <w:overflowPunct/>
              <w:bidi w:val="0"/>
              <w:spacing w:line="360" w:lineRule="auto"/>
              <w:jc w:val="left"/>
              <w:rPr>
                <w:rFonts w:ascii="宋体" w:hAnsi="宋体" w:cs="宋体"/>
                <w:szCs w:val="21"/>
              </w:rPr>
            </w:pPr>
          </w:p>
        </w:tc>
        <w:tc>
          <w:tcPr>
            <w:tcW w:w="1418" w:type="dxa"/>
            <w:vMerge w:val="continue"/>
            <w:tcBorders>
              <w:left w:val="single" w:color="auto" w:sz="4" w:space="0"/>
              <w:right w:val="single" w:color="auto" w:sz="4" w:space="0"/>
            </w:tcBorders>
            <w:vAlign w:val="center"/>
          </w:tcPr>
          <w:p>
            <w:pPr>
              <w:pageBreakBefore w:val="0"/>
              <w:widowControl/>
              <w:kinsoku/>
              <w:wordWrap w:val="0"/>
              <w:overflowPunct/>
              <w:bidi w:val="0"/>
              <w:spacing w:line="360" w:lineRule="auto"/>
              <w:jc w:val="left"/>
              <w:rPr>
                <w:rFonts w:ascii="宋体" w:hAnsi="宋体" w:cs="宋体"/>
                <w:szCs w:val="21"/>
              </w:rPr>
            </w:pPr>
          </w:p>
        </w:tc>
        <w:tc>
          <w:tcPr>
            <w:tcW w:w="1961"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Cs w:val="21"/>
              </w:rPr>
            </w:pPr>
            <w:r>
              <w:rPr>
                <w:rFonts w:hint="eastAsia" w:ascii="宋体" w:hAnsi="宋体" w:cs="宋体"/>
                <w:szCs w:val="21"/>
              </w:rPr>
              <w:t>响应文件签字盖章</w:t>
            </w:r>
          </w:p>
        </w:tc>
        <w:tc>
          <w:tcPr>
            <w:tcW w:w="3851"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Cs w:val="21"/>
              </w:rPr>
            </w:pPr>
            <w:r>
              <w:rPr>
                <w:rFonts w:hint="eastAsia" w:ascii="宋体" w:hAnsi="宋体" w:cs="宋体"/>
                <w:szCs w:val="21"/>
              </w:rPr>
              <w:t>符合响应文件规定的所有签字盖章要求</w:t>
            </w:r>
          </w:p>
        </w:tc>
        <w:tc>
          <w:tcPr>
            <w:tcW w:w="628"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c>
          <w:tcPr>
            <w:tcW w:w="567"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c>
          <w:tcPr>
            <w:tcW w:w="585"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469" w:type="dxa"/>
            <w:vMerge w:val="continue"/>
            <w:tcBorders>
              <w:left w:val="single" w:color="auto" w:sz="4" w:space="0"/>
              <w:right w:val="single" w:color="auto" w:sz="4" w:space="0"/>
            </w:tcBorders>
            <w:vAlign w:val="center"/>
          </w:tcPr>
          <w:p>
            <w:pPr>
              <w:pageBreakBefore w:val="0"/>
              <w:widowControl/>
              <w:kinsoku/>
              <w:wordWrap w:val="0"/>
              <w:overflowPunct/>
              <w:bidi w:val="0"/>
              <w:spacing w:line="360" w:lineRule="auto"/>
              <w:jc w:val="left"/>
              <w:rPr>
                <w:rFonts w:ascii="宋体" w:hAnsi="宋体" w:cs="宋体"/>
                <w:szCs w:val="21"/>
              </w:rPr>
            </w:pPr>
          </w:p>
        </w:tc>
        <w:tc>
          <w:tcPr>
            <w:tcW w:w="1418" w:type="dxa"/>
            <w:vMerge w:val="continue"/>
            <w:tcBorders>
              <w:left w:val="single" w:color="auto" w:sz="4" w:space="0"/>
              <w:right w:val="single" w:color="auto" w:sz="4" w:space="0"/>
            </w:tcBorders>
            <w:vAlign w:val="center"/>
          </w:tcPr>
          <w:p>
            <w:pPr>
              <w:pageBreakBefore w:val="0"/>
              <w:widowControl/>
              <w:kinsoku/>
              <w:wordWrap w:val="0"/>
              <w:overflowPunct/>
              <w:bidi w:val="0"/>
              <w:spacing w:line="360" w:lineRule="auto"/>
              <w:jc w:val="left"/>
              <w:rPr>
                <w:rFonts w:ascii="宋体" w:hAnsi="宋体" w:cs="宋体"/>
                <w:szCs w:val="21"/>
              </w:rPr>
            </w:pPr>
          </w:p>
        </w:tc>
        <w:tc>
          <w:tcPr>
            <w:tcW w:w="1961"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Cs w:val="21"/>
              </w:rPr>
            </w:pPr>
            <w:r>
              <w:rPr>
                <w:rFonts w:hint="eastAsia" w:ascii="宋体" w:hAnsi="宋体" w:cs="宋体"/>
                <w:szCs w:val="21"/>
              </w:rPr>
              <w:t>响应文件格式</w:t>
            </w:r>
          </w:p>
        </w:tc>
        <w:tc>
          <w:tcPr>
            <w:tcW w:w="3851"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Cs w:val="21"/>
              </w:rPr>
            </w:pPr>
            <w:r>
              <w:rPr>
                <w:rFonts w:hint="eastAsia" w:ascii="宋体" w:hAnsi="宋体" w:cs="宋体"/>
                <w:szCs w:val="21"/>
              </w:rPr>
              <w:t>符合第七章“响应文件格式”的要求</w:t>
            </w:r>
          </w:p>
        </w:tc>
        <w:tc>
          <w:tcPr>
            <w:tcW w:w="628"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c>
          <w:tcPr>
            <w:tcW w:w="567"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c>
          <w:tcPr>
            <w:tcW w:w="585"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469" w:type="dxa"/>
            <w:vMerge w:val="continue"/>
            <w:tcBorders>
              <w:left w:val="single" w:color="auto" w:sz="4" w:space="0"/>
              <w:right w:val="single" w:color="auto" w:sz="4" w:space="0"/>
            </w:tcBorders>
            <w:vAlign w:val="center"/>
          </w:tcPr>
          <w:p>
            <w:pPr>
              <w:pageBreakBefore w:val="0"/>
              <w:widowControl/>
              <w:kinsoku/>
              <w:wordWrap w:val="0"/>
              <w:overflowPunct/>
              <w:bidi w:val="0"/>
              <w:spacing w:line="360" w:lineRule="auto"/>
              <w:jc w:val="left"/>
              <w:rPr>
                <w:rFonts w:ascii="宋体" w:hAnsi="宋体" w:cs="宋体"/>
                <w:szCs w:val="21"/>
              </w:rPr>
            </w:pPr>
          </w:p>
        </w:tc>
        <w:tc>
          <w:tcPr>
            <w:tcW w:w="1418" w:type="dxa"/>
            <w:vMerge w:val="continue"/>
            <w:tcBorders>
              <w:left w:val="single" w:color="auto" w:sz="4" w:space="0"/>
              <w:right w:val="single" w:color="auto" w:sz="4" w:space="0"/>
            </w:tcBorders>
            <w:vAlign w:val="center"/>
          </w:tcPr>
          <w:p>
            <w:pPr>
              <w:pageBreakBefore w:val="0"/>
              <w:widowControl/>
              <w:kinsoku/>
              <w:wordWrap w:val="0"/>
              <w:overflowPunct/>
              <w:bidi w:val="0"/>
              <w:spacing w:line="360" w:lineRule="auto"/>
              <w:jc w:val="left"/>
              <w:rPr>
                <w:rFonts w:ascii="宋体" w:hAnsi="宋体" w:cs="宋体"/>
                <w:szCs w:val="21"/>
              </w:rPr>
            </w:pPr>
          </w:p>
        </w:tc>
        <w:tc>
          <w:tcPr>
            <w:tcW w:w="1961"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Cs w:val="21"/>
              </w:rPr>
            </w:pPr>
            <w:r>
              <w:rPr>
                <w:rFonts w:hint="eastAsia" w:ascii="宋体" w:hAnsi="宋体" w:cs="宋体"/>
                <w:szCs w:val="21"/>
              </w:rPr>
              <w:t>其他要求</w:t>
            </w:r>
          </w:p>
        </w:tc>
        <w:tc>
          <w:tcPr>
            <w:tcW w:w="3851"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Cs w:val="21"/>
              </w:rPr>
            </w:pPr>
            <w:r>
              <w:rPr>
                <w:rFonts w:hint="eastAsia" w:ascii="宋体" w:hAnsi="宋体" w:cs="宋体"/>
                <w:szCs w:val="21"/>
              </w:rPr>
              <w:t>未违反磋商文件其他要求规定</w:t>
            </w:r>
          </w:p>
        </w:tc>
        <w:tc>
          <w:tcPr>
            <w:tcW w:w="628"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c>
          <w:tcPr>
            <w:tcW w:w="567"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c>
          <w:tcPr>
            <w:tcW w:w="585"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469" w:type="dxa"/>
            <w:vMerge w:val="continue"/>
            <w:tcBorders>
              <w:left w:val="single" w:color="auto" w:sz="4" w:space="0"/>
              <w:right w:val="single" w:color="auto" w:sz="4" w:space="0"/>
            </w:tcBorders>
            <w:vAlign w:val="center"/>
          </w:tcPr>
          <w:p>
            <w:pPr>
              <w:pageBreakBefore w:val="0"/>
              <w:widowControl/>
              <w:kinsoku/>
              <w:wordWrap w:val="0"/>
              <w:overflowPunct/>
              <w:bidi w:val="0"/>
              <w:spacing w:line="360" w:lineRule="auto"/>
              <w:jc w:val="left"/>
              <w:rPr>
                <w:rFonts w:ascii="宋体" w:hAnsi="宋体" w:cs="宋体"/>
                <w:szCs w:val="21"/>
              </w:rPr>
            </w:pPr>
          </w:p>
        </w:tc>
        <w:tc>
          <w:tcPr>
            <w:tcW w:w="1418" w:type="dxa"/>
            <w:vMerge w:val="continue"/>
            <w:tcBorders>
              <w:left w:val="single" w:color="auto" w:sz="4" w:space="0"/>
              <w:right w:val="single" w:color="auto" w:sz="4" w:space="0"/>
            </w:tcBorders>
            <w:vAlign w:val="center"/>
          </w:tcPr>
          <w:p>
            <w:pPr>
              <w:pageBreakBefore w:val="0"/>
              <w:widowControl/>
              <w:kinsoku/>
              <w:wordWrap w:val="0"/>
              <w:overflowPunct/>
              <w:bidi w:val="0"/>
              <w:spacing w:line="360" w:lineRule="auto"/>
              <w:jc w:val="left"/>
              <w:rPr>
                <w:rFonts w:ascii="宋体" w:hAnsi="宋体" w:cs="宋体"/>
                <w:szCs w:val="21"/>
              </w:rPr>
            </w:pPr>
          </w:p>
        </w:tc>
        <w:tc>
          <w:tcPr>
            <w:tcW w:w="1961"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Cs w:val="21"/>
              </w:rPr>
            </w:pPr>
            <w:r>
              <w:rPr>
                <w:rFonts w:hint="eastAsia" w:ascii="宋体" w:hAnsi="宋体" w:cs="宋体"/>
                <w:szCs w:val="21"/>
              </w:rPr>
              <w:t>报价要求</w:t>
            </w:r>
          </w:p>
        </w:tc>
        <w:tc>
          <w:tcPr>
            <w:tcW w:w="3851"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ascii="宋体" w:hAnsi="宋体" w:cs="宋体"/>
                <w:szCs w:val="21"/>
              </w:rPr>
            </w:pPr>
            <w:r>
              <w:rPr>
                <w:rFonts w:hint="eastAsia" w:ascii="宋体" w:hAnsi="宋体" w:cs="宋体"/>
                <w:szCs w:val="21"/>
              </w:rPr>
              <w:t>报价未超过最高限价</w:t>
            </w:r>
          </w:p>
        </w:tc>
        <w:tc>
          <w:tcPr>
            <w:tcW w:w="628"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c>
          <w:tcPr>
            <w:tcW w:w="567"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c>
          <w:tcPr>
            <w:tcW w:w="585"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469" w:type="dxa"/>
            <w:vMerge w:val="continue"/>
            <w:tcBorders>
              <w:left w:val="single" w:color="auto" w:sz="4" w:space="0"/>
              <w:right w:val="single" w:color="auto" w:sz="4" w:space="0"/>
            </w:tcBorders>
            <w:vAlign w:val="center"/>
          </w:tcPr>
          <w:p>
            <w:pPr>
              <w:pageBreakBefore w:val="0"/>
              <w:widowControl/>
              <w:kinsoku/>
              <w:wordWrap w:val="0"/>
              <w:overflowPunct/>
              <w:bidi w:val="0"/>
              <w:spacing w:line="360" w:lineRule="auto"/>
              <w:jc w:val="left"/>
              <w:rPr>
                <w:rFonts w:ascii="宋体" w:hAnsi="宋体" w:cs="宋体"/>
                <w:szCs w:val="21"/>
              </w:rPr>
            </w:pPr>
          </w:p>
        </w:tc>
        <w:tc>
          <w:tcPr>
            <w:tcW w:w="1418" w:type="dxa"/>
            <w:vMerge w:val="continue"/>
            <w:tcBorders>
              <w:left w:val="single" w:color="auto" w:sz="4" w:space="0"/>
              <w:right w:val="single" w:color="auto" w:sz="4" w:space="0"/>
            </w:tcBorders>
            <w:vAlign w:val="center"/>
          </w:tcPr>
          <w:p>
            <w:pPr>
              <w:pageBreakBefore w:val="0"/>
              <w:widowControl/>
              <w:kinsoku/>
              <w:wordWrap w:val="0"/>
              <w:overflowPunct/>
              <w:bidi w:val="0"/>
              <w:spacing w:line="360" w:lineRule="auto"/>
              <w:jc w:val="left"/>
              <w:rPr>
                <w:rFonts w:ascii="宋体" w:hAnsi="宋体" w:cs="宋体"/>
                <w:szCs w:val="21"/>
              </w:rPr>
            </w:pPr>
          </w:p>
        </w:tc>
        <w:tc>
          <w:tcPr>
            <w:tcW w:w="1961"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hint="eastAsia" w:ascii="宋体" w:hAnsi="宋体" w:eastAsia="宋体" w:cs="宋体"/>
                <w:szCs w:val="21"/>
                <w:lang w:val="en-US" w:eastAsia="zh-CN"/>
              </w:rPr>
            </w:pPr>
            <w:r>
              <w:rPr>
                <w:rFonts w:hint="eastAsia" w:ascii="宋体" w:hAnsi="宋体" w:cs="宋体"/>
                <w:szCs w:val="21"/>
                <w:lang w:val="en-US" w:eastAsia="zh-CN"/>
              </w:rPr>
              <w:t>其他</w:t>
            </w:r>
          </w:p>
        </w:tc>
        <w:tc>
          <w:tcPr>
            <w:tcW w:w="3851"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rPr>
                <w:rFonts w:hint="eastAsia" w:ascii="宋体" w:hAnsi="宋体" w:cs="宋体"/>
                <w:szCs w:val="21"/>
              </w:rPr>
            </w:pPr>
            <w:r>
              <w:rPr>
                <w:rFonts w:ascii="宋体" w:hAnsi="宋体" w:cs="宋体"/>
                <w:sz w:val="24"/>
              </w:rPr>
              <w:t>无其它无效投标认定条件</w:t>
            </w:r>
          </w:p>
        </w:tc>
        <w:tc>
          <w:tcPr>
            <w:tcW w:w="628"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c>
          <w:tcPr>
            <w:tcW w:w="567"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c>
          <w:tcPr>
            <w:tcW w:w="585"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699" w:type="dxa"/>
            <w:gridSpan w:val="4"/>
            <w:tcBorders>
              <w:left w:val="single" w:color="auto" w:sz="4" w:space="0"/>
              <w:right w:val="single" w:color="auto" w:sz="4" w:space="0"/>
            </w:tcBorders>
            <w:vAlign w:val="center"/>
          </w:tcPr>
          <w:p>
            <w:pPr>
              <w:pageBreakBefore w:val="0"/>
              <w:kinsoku/>
              <w:overflowPunct/>
              <w:bidi w:val="0"/>
              <w:spacing w:line="360" w:lineRule="auto"/>
              <w:jc w:val="center"/>
              <w:rPr>
                <w:rFonts w:ascii="宋体" w:hAnsi="宋体" w:cs="宋体"/>
                <w:szCs w:val="21"/>
              </w:rPr>
            </w:pPr>
            <w:r>
              <w:rPr>
                <w:rFonts w:hint="eastAsia" w:ascii="宋体" w:hAnsi="宋体" w:cs="宋体"/>
                <w:szCs w:val="21"/>
              </w:rPr>
              <w:t>结  论</w:t>
            </w:r>
          </w:p>
        </w:tc>
        <w:tc>
          <w:tcPr>
            <w:tcW w:w="628"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c>
          <w:tcPr>
            <w:tcW w:w="567"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c>
          <w:tcPr>
            <w:tcW w:w="585"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rPr>
                <w:rFonts w:ascii="宋体" w:hAnsi="宋体" w:cs="宋体"/>
                <w:szCs w:val="21"/>
              </w:rPr>
            </w:pPr>
          </w:p>
        </w:tc>
      </w:tr>
    </w:tbl>
    <w:p>
      <w:pPr>
        <w:pageBreakBefore w:val="0"/>
        <w:kinsoku/>
        <w:overflowPunct/>
        <w:bidi w:val="0"/>
        <w:spacing w:line="360" w:lineRule="auto"/>
        <w:ind w:left="1" w:right="-34" w:rightChars="-16" w:hanging="1"/>
        <w:jc w:val="left"/>
        <w:rPr>
          <w:rFonts w:ascii="宋体" w:hAnsi="宋体"/>
          <w:sz w:val="24"/>
        </w:rPr>
      </w:pPr>
      <w:r>
        <w:rPr>
          <w:rFonts w:hint="eastAsia" w:ascii="宋体" w:hAnsi="宋体"/>
          <w:sz w:val="24"/>
        </w:rPr>
        <w:t>1、在表中的各项只需填写“√/通过”或“×/不通过”。</w:t>
      </w:r>
    </w:p>
    <w:p>
      <w:pPr>
        <w:pageBreakBefore w:val="0"/>
        <w:kinsoku/>
        <w:overflowPunct/>
        <w:bidi w:val="0"/>
        <w:spacing w:line="360" w:lineRule="auto"/>
        <w:ind w:left="1" w:right="-34" w:rightChars="-16" w:hanging="1"/>
        <w:jc w:val="left"/>
        <w:rPr>
          <w:rFonts w:ascii="宋体" w:hAnsi="宋体"/>
          <w:sz w:val="24"/>
        </w:rPr>
      </w:pPr>
      <w:r>
        <w:rPr>
          <w:rFonts w:hint="eastAsia" w:ascii="宋体" w:hAnsi="宋体"/>
          <w:sz w:val="24"/>
        </w:rPr>
        <w:t>2、在结论中按“一项否决”的原则，只有全部是√/通过的，填写“合格”；只要其中有一项是×/不通过的，填写“不合格”。</w:t>
      </w:r>
    </w:p>
    <w:p>
      <w:pPr>
        <w:pageBreakBefore w:val="0"/>
        <w:kinsoku/>
        <w:overflowPunct/>
        <w:bidi w:val="0"/>
        <w:spacing w:line="360" w:lineRule="auto"/>
        <w:ind w:left="1" w:right="-34" w:rightChars="-16" w:hanging="1"/>
        <w:jc w:val="left"/>
        <w:rPr>
          <w:rFonts w:ascii="宋体" w:hAnsi="宋体"/>
          <w:sz w:val="24"/>
        </w:rPr>
      </w:pPr>
      <w:r>
        <w:rPr>
          <w:rFonts w:hint="eastAsia" w:ascii="宋体" w:hAnsi="宋体"/>
          <w:sz w:val="24"/>
        </w:rPr>
        <w:t>3、结论是合格的，才能进入下一轮；不合格的被淘汰。</w:t>
      </w:r>
    </w:p>
    <w:p>
      <w:pPr>
        <w:pageBreakBefore w:val="0"/>
        <w:kinsoku/>
        <w:overflowPunct/>
        <w:bidi w:val="0"/>
        <w:spacing w:line="360" w:lineRule="auto"/>
        <w:ind w:left="1" w:right="-34" w:rightChars="-16" w:hanging="1"/>
        <w:jc w:val="left"/>
        <w:rPr>
          <w:rFonts w:ascii="宋体" w:hAnsi="宋体"/>
          <w:sz w:val="24"/>
        </w:rPr>
      </w:pPr>
    </w:p>
    <w:p>
      <w:pPr>
        <w:pageBreakBefore w:val="0"/>
        <w:tabs>
          <w:tab w:val="left" w:pos="720"/>
        </w:tabs>
        <w:kinsoku/>
        <w:wordWrap w:val="0"/>
        <w:overflowPunct/>
        <w:bidi w:val="0"/>
        <w:spacing w:line="360" w:lineRule="auto"/>
        <w:rPr>
          <w:rFonts w:ascii="宋体" w:hAnsi="宋体" w:cs="宋体"/>
          <w:b/>
          <w:bCs/>
          <w:sz w:val="24"/>
        </w:rPr>
      </w:pPr>
      <w:r>
        <w:rPr>
          <w:rFonts w:hint="eastAsia" w:ascii="宋体" w:hAnsi="宋体"/>
          <w:sz w:val="24"/>
        </w:rPr>
        <w:t xml:space="preserve">磋商小组：                             </w:t>
      </w:r>
    </w:p>
    <w:p>
      <w:pPr>
        <w:pageBreakBefore w:val="0"/>
        <w:tabs>
          <w:tab w:val="left" w:pos="720"/>
        </w:tabs>
        <w:kinsoku/>
        <w:wordWrap w:val="0"/>
        <w:overflowPunct/>
        <w:bidi w:val="0"/>
        <w:spacing w:line="360" w:lineRule="auto"/>
        <w:rPr>
          <w:rFonts w:ascii="宋体" w:hAnsi="宋体" w:cs="宋体"/>
        </w:rPr>
      </w:pPr>
      <w:r>
        <w:rPr>
          <w:rFonts w:ascii="宋体" w:hAnsi="宋体" w:cs="宋体"/>
          <w:b/>
          <w:bCs/>
          <w:sz w:val="24"/>
        </w:rPr>
        <w:br w:type="page"/>
      </w:r>
      <w:r>
        <w:rPr>
          <w:rFonts w:hint="eastAsia" w:ascii="宋体" w:hAnsi="宋体" w:cs="宋体"/>
          <w:b/>
          <w:bCs/>
          <w:sz w:val="24"/>
        </w:rPr>
        <w:t>附件2：</w:t>
      </w:r>
    </w:p>
    <w:p>
      <w:pPr>
        <w:pageBreakBefore w:val="0"/>
        <w:kinsoku/>
        <w:overflowPunct/>
        <w:bidi w:val="0"/>
        <w:spacing w:line="360" w:lineRule="auto"/>
        <w:jc w:val="center"/>
        <w:rPr>
          <w:rFonts w:ascii="宋体" w:hAnsi="宋体" w:cs="宋体"/>
          <w:b/>
          <w:sz w:val="30"/>
          <w:szCs w:val="30"/>
        </w:rPr>
      </w:pPr>
      <w:bookmarkStart w:id="408" w:name="_Toc21383"/>
      <w:bookmarkStart w:id="409" w:name="_Toc23732"/>
      <w:r>
        <w:rPr>
          <w:rFonts w:hint="eastAsia" w:ascii="宋体" w:hAnsi="宋体" w:cs="宋体"/>
          <w:b/>
          <w:sz w:val="30"/>
          <w:szCs w:val="30"/>
        </w:rPr>
        <w:t>最后报价表</w:t>
      </w:r>
      <w:bookmarkEnd w:id="408"/>
      <w:bookmarkEnd w:id="409"/>
    </w:p>
    <w:p>
      <w:pPr>
        <w:pageBreakBefore w:val="0"/>
        <w:kinsoku/>
        <w:overflowPunct/>
        <w:bidi w:val="0"/>
        <w:spacing w:line="360" w:lineRule="auto"/>
        <w:ind w:firstLine="482" w:firstLineChars="200"/>
        <w:jc w:val="left"/>
        <w:rPr>
          <w:rFonts w:ascii="宋体" w:hAnsi="宋体" w:cs="宋体"/>
          <w:b/>
          <w:bCs/>
          <w:kern w:val="0"/>
          <w:sz w:val="24"/>
        </w:rPr>
      </w:pPr>
    </w:p>
    <w:p>
      <w:pPr>
        <w:pageBreakBefore w:val="0"/>
        <w:kinsoku/>
        <w:overflowPunct/>
        <w:bidi w:val="0"/>
        <w:spacing w:line="360" w:lineRule="auto"/>
        <w:ind w:firstLine="482" w:firstLineChars="200"/>
        <w:jc w:val="left"/>
        <w:rPr>
          <w:rFonts w:ascii="宋体" w:hAnsi="宋体" w:cs="宋体"/>
          <w:b/>
          <w:sz w:val="24"/>
        </w:rPr>
      </w:pPr>
      <w:r>
        <w:rPr>
          <w:rFonts w:hint="eastAsia" w:ascii="宋体" w:hAnsi="宋体" w:cs="宋体"/>
          <w:b/>
          <w:bCs/>
          <w:kern w:val="0"/>
          <w:sz w:val="24"/>
        </w:rPr>
        <w:t>供应商名称：</w:t>
      </w:r>
    </w:p>
    <w:tbl>
      <w:tblPr>
        <w:tblStyle w:val="39"/>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7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3" w:hRule="atLeast"/>
          <w:jc w:val="center"/>
        </w:trPr>
        <w:tc>
          <w:tcPr>
            <w:tcW w:w="8767" w:type="dxa"/>
            <w:tcBorders>
              <w:bottom w:val="single" w:color="auto" w:sz="4" w:space="0"/>
            </w:tcBorders>
            <w:vAlign w:val="center"/>
          </w:tcPr>
          <w:p>
            <w:pPr>
              <w:pageBreakBefore w:val="0"/>
              <w:kinsoku/>
              <w:overflowPunct/>
              <w:bidi w:val="0"/>
              <w:adjustRightInd w:val="0"/>
              <w:spacing w:line="360" w:lineRule="auto"/>
              <w:textAlignment w:val="baseline"/>
              <w:rPr>
                <w:rFonts w:hint="eastAsia" w:ascii="宋体" w:hAnsi="宋体" w:eastAsia="宋体" w:cs="宋体"/>
                <w:kern w:val="0"/>
                <w:sz w:val="24"/>
                <w:lang w:eastAsia="zh-CN"/>
              </w:rPr>
            </w:pPr>
            <w:r>
              <w:rPr>
                <w:rFonts w:hint="eastAsia" w:ascii="宋体" w:hAnsi="宋体" w:cs="宋体"/>
                <w:b/>
                <w:bCs/>
                <w:sz w:val="24"/>
              </w:rPr>
              <w:t>项目名称：</w:t>
            </w:r>
            <w:r>
              <w:rPr>
                <w:rFonts w:hint="eastAsia" w:ascii="宋体" w:hAnsi="宋体" w:cs="宋体"/>
                <w:b/>
                <w:bCs/>
                <w:sz w:val="24"/>
                <w:lang w:eastAsia="zh-CN"/>
              </w:rPr>
              <w:t>烹饪、面点实训基地改造项目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19" w:hRule="atLeast"/>
          <w:jc w:val="center"/>
        </w:trPr>
        <w:tc>
          <w:tcPr>
            <w:tcW w:w="8767" w:type="dxa"/>
            <w:tcBorders>
              <w:top w:val="single" w:color="auto" w:sz="4" w:space="0"/>
            </w:tcBorders>
          </w:tcPr>
          <w:p>
            <w:pPr>
              <w:pageBreakBefore w:val="0"/>
              <w:kinsoku/>
              <w:overflowPunct/>
              <w:bidi w:val="0"/>
              <w:adjustRightInd w:val="0"/>
              <w:spacing w:line="360" w:lineRule="auto"/>
              <w:textAlignment w:val="baseline"/>
              <w:rPr>
                <w:rFonts w:ascii="宋体" w:hAnsi="宋体" w:cs="宋体"/>
                <w:b/>
                <w:kern w:val="0"/>
                <w:sz w:val="24"/>
              </w:rPr>
            </w:pPr>
            <w:r>
              <w:rPr>
                <w:rFonts w:hint="eastAsia" w:ascii="宋体" w:hAnsi="宋体" w:cs="宋体"/>
                <w:b/>
                <w:kern w:val="0"/>
                <w:sz w:val="24"/>
              </w:rPr>
              <w:t>最后报价：</w:t>
            </w:r>
          </w:p>
          <w:p>
            <w:pPr>
              <w:pageBreakBefore w:val="0"/>
              <w:kinsoku/>
              <w:overflowPunct/>
              <w:bidi w:val="0"/>
              <w:spacing w:line="360" w:lineRule="auto"/>
              <w:rPr>
                <w:rFonts w:ascii="宋体" w:hAnsi="宋体" w:cs="宋体"/>
                <w:sz w:val="24"/>
              </w:rPr>
            </w:pPr>
            <w:r>
              <w:rPr>
                <w:rFonts w:hint="eastAsia" w:ascii="宋体" w:hAnsi="宋体" w:cs="宋体"/>
                <w:sz w:val="24"/>
              </w:rPr>
              <w:t>大写（人民币）：</w:t>
            </w:r>
            <w:r>
              <w:rPr>
                <w:rFonts w:hint="eastAsia" w:ascii="宋体" w:hAnsi="宋体" w:cs="宋体"/>
                <w:sz w:val="24"/>
                <w:u w:val="single"/>
              </w:rPr>
              <w:t xml:space="preserve">                                        </w:t>
            </w:r>
            <w:r>
              <w:rPr>
                <w:rFonts w:hint="eastAsia" w:ascii="宋体" w:hAnsi="宋体" w:cs="宋体"/>
                <w:sz w:val="24"/>
              </w:rPr>
              <w:t>。</w:t>
            </w:r>
          </w:p>
          <w:p>
            <w:pPr>
              <w:pageBreakBefore w:val="0"/>
              <w:kinsoku/>
              <w:overflowPunct/>
              <w:bidi w:val="0"/>
              <w:adjustRightInd w:val="0"/>
              <w:spacing w:line="360" w:lineRule="auto"/>
              <w:textAlignment w:val="baseline"/>
              <w:rPr>
                <w:rFonts w:ascii="宋体" w:hAnsi="宋体" w:cs="宋体"/>
                <w:kern w:val="0"/>
                <w:sz w:val="24"/>
              </w:rPr>
            </w:pPr>
            <w:r>
              <w:rPr>
                <w:rFonts w:hint="eastAsia" w:ascii="宋体" w:hAnsi="宋体" w:cs="宋体"/>
                <w:sz w:val="24"/>
              </w:rPr>
              <w:t>小写：</w:t>
            </w:r>
            <w:r>
              <w:rPr>
                <w:rFonts w:hint="eastAsia" w:ascii="宋体" w:hAnsi="宋体" w:cs="宋体"/>
                <w:sz w:val="24"/>
                <w:u w:val="none"/>
              </w:rPr>
              <w:t>￥</w:t>
            </w:r>
            <w:r>
              <w:rPr>
                <w:rFonts w:hint="eastAsia" w:ascii="宋体" w:hAnsi="宋体" w:cs="宋体"/>
                <w:sz w:val="24"/>
                <w:u w:val="single"/>
              </w:rPr>
              <w:t xml:space="preserve">                              </w:t>
            </w:r>
            <w:r>
              <w:rPr>
                <w:rFonts w:hint="eastAsia" w:ascii="宋体" w:hAnsi="宋体" w:cs="宋体"/>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8767" w:type="dxa"/>
            <w:tcBorders>
              <w:top w:val="single" w:color="auto" w:sz="4" w:space="0"/>
            </w:tcBorders>
          </w:tcPr>
          <w:p>
            <w:pPr>
              <w:pageBreakBefore w:val="0"/>
              <w:kinsoku/>
              <w:overflowPunct/>
              <w:bidi w:val="0"/>
              <w:adjustRightInd w:val="0"/>
              <w:spacing w:line="360" w:lineRule="auto"/>
              <w:textAlignment w:val="baseline"/>
              <w:rPr>
                <w:rFonts w:ascii="宋体" w:hAnsi="宋体" w:cs="宋体"/>
                <w:b/>
                <w:kern w:val="0"/>
                <w:sz w:val="24"/>
              </w:rPr>
            </w:pPr>
            <w:r>
              <w:rPr>
                <w:rFonts w:hint="eastAsia" w:ascii="宋体" w:hAnsi="宋体" w:cs="宋体"/>
                <w:b/>
                <w:kern w:val="0"/>
                <w:sz w:val="24"/>
              </w:rPr>
              <w:t>合同履行期限（工期）：</w:t>
            </w:r>
            <w:r>
              <w:rPr>
                <w:rFonts w:hint="eastAsia" w:ascii="宋体" w:hAnsi="宋体" w:cs="宋体"/>
                <w:b/>
                <w:kern w:val="0"/>
                <w:sz w:val="24"/>
                <w:u w:val="single"/>
              </w:rPr>
              <w:t xml:space="preserve">                               </w:t>
            </w:r>
            <w:r>
              <w:rPr>
                <w:rFonts w:hint="eastAsia" w:ascii="宋体" w:hAnsi="宋体" w:cs="宋体"/>
                <w:b/>
                <w:kern w:val="0"/>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59" w:hRule="atLeast"/>
          <w:jc w:val="center"/>
        </w:trPr>
        <w:tc>
          <w:tcPr>
            <w:tcW w:w="8767" w:type="dxa"/>
          </w:tcPr>
          <w:p>
            <w:pPr>
              <w:pageBreakBefore w:val="0"/>
              <w:kinsoku/>
              <w:overflowPunct/>
              <w:bidi w:val="0"/>
              <w:adjustRightInd w:val="0"/>
              <w:spacing w:line="360" w:lineRule="auto"/>
              <w:textAlignment w:val="baseline"/>
              <w:rPr>
                <w:rFonts w:ascii="宋体" w:hAnsi="宋体" w:cs="宋体"/>
                <w:b/>
                <w:bCs/>
                <w:kern w:val="0"/>
                <w:sz w:val="24"/>
              </w:rPr>
            </w:pPr>
            <w:r>
              <w:rPr>
                <w:rFonts w:hint="eastAsia" w:ascii="宋体" w:hAnsi="宋体" w:cs="宋体"/>
                <w:b/>
                <w:bCs/>
                <w:kern w:val="0"/>
                <w:sz w:val="24"/>
              </w:rPr>
              <w:t>承诺：</w:t>
            </w:r>
          </w:p>
          <w:p>
            <w:pPr>
              <w:pageBreakBefore w:val="0"/>
              <w:kinsoku/>
              <w:overflowPunct/>
              <w:bidi w:val="0"/>
              <w:adjustRightInd w:val="0"/>
              <w:spacing w:line="360" w:lineRule="auto"/>
              <w:textAlignment w:val="baseline"/>
              <w:rPr>
                <w:rFonts w:ascii="宋体" w:hAnsi="宋体" w:cs="宋体"/>
                <w:b/>
                <w:bCs/>
                <w:kern w:val="0"/>
                <w:sz w:val="24"/>
              </w:rPr>
            </w:pPr>
            <w:r>
              <w:rPr>
                <w:rFonts w:hint="eastAsia" w:ascii="宋体" w:hAnsi="宋体" w:cs="宋体"/>
                <w:b/>
                <w:bCs/>
                <w:kern w:val="0"/>
                <w:sz w:val="24"/>
              </w:rPr>
              <w:t>1、我方接受磋商文件的所有的条款和规定。</w:t>
            </w:r>
          </w:p>
          <w:p>
            <w:pPr>
              <w:pageBreakBefore w:val="0"/>
              <w:kinsoku/>
              <w:overflowPunct/>
              <w:bidi w:val="0"/>
              <w:adjustRightInd w:val="0"/>
              <w:spacing w:line="360" w:lineRule="auto"/>
              <w:textAlignment w:val="baseline"/>
              <w:rPr>
                <w:rFonts w:ascii="宋体" w:hAnsi="宋体" w:cs="宋体"/>
                <w:b/>
                <w:bCs/>
                <w:kern w:val="0"/>
                <w:sz w:val="24"/>
              </w:rPr>
            </w:pPr>
            <w:r>
              <w:rPr>
                <w:rFonts w:hint="eastAsia" w:ascii="宋体" w:hAnsi="宋体" w:cs="宋体"/>
                <w:b/>
                <w:bCs/>
                <w:kern w:val="0"/>
                <w:sz w:val="24"/>
              </w:rPr>
              <w:t>2、如果我方成交，我们将根据磋商文件的规定严格履行自己的责任和义务。</w:t>
            </w:r>
          </w:p>
          <w:p>
            <w:pPr>
              <w:pStyle w:val="2"/>
              <w:pageBreakBefore w:val="0"/>
              <w:kinsoku/>
              <w:overflowPunct/>
              <w:bidi w:val="0"/>
              <w:spacing w:line="360" w:lineRule="auto"/>
              <w:outlineLvl w:val="9"/>
            </w:pPr>
          </w:p>
          <w:p>
            <w:pPr>
              <w:pageBreakBefore w:val="0"/>
              <w:kinsoku/>
              <w:overflowPunct/>
              <w:bidi w:val="0"/>
              <w:adjustRightInd w:val="0"/>
              <w:spacing w:line="360" w:lineRule="auto"/>
              <w:jc w:val="right"/>
              <w:textAlignment w:val="baseline"/>
              <w:rPr>
                <w:rFonts w:ascii="宋体" w:hAnsi="宋体" w:cs="宋体"/>
                <w:kern w:val="0"/>
                <w:sz w:val="24"/>
              </w:rPr>
            </w:pPr>
            <w:r>
              <w:rPr>
                <w:rFonts w:hint="eastAsia" w:ascii="宋体" w:hAnsi="宋体" w:cs="宋体"/>
                <w:kern w:val="0"/>
                <w:sz w:val="24"/>
              </w:rPr>
              <w:t>法定代表人（或其委托代理人）：         （签字按手印）</w:t>
            </w:r>
          </w:p>
          <w:p>
            <w:pPr>
              <w:pageBreakBefore w:val="0"/>
              <w:kinsoku/>
              <w:overflowPunct/>
              <w:bidi w:val="0"/>
              <w:adjustRightInd w:val="0"/>
              <w:spacing w:line="360" w:lineRule="auto"/>
              <w:jc w:val="right"/>
              <w:textAlignment w:val="baseline"/>
              <w:rPr>
                <w:rFonts w:ascii="宋体" w:hAnsi="宋体" w:cs="宋体"/>
                <w:kern w:val="0"/>
                <w:sz w:val="24"/>
              </w:rPr>
            </w:pPr>
            <w:r>
              <w:rPr>
                <w:rFonts w:hint="eastAsia" w:ascii="宋体" w:hAnsi="宋体" w:cs="宋体"/>
                <w:kern w:val="0"/>
                <w:sz w:val="24"/>
              </w:rPr>
              <w:t>年   月   日</w:t>
            </w:r>
          </w:p>
        </w:tc>
      </w:tr>
    </w:tbl>
    <w:p>
      <w:pPr>
        <w:pageBreakBefore w:val="0"/>
        <w:kinsoku/>
        <w:overflowPunct/>
        <w:bidi w:val="0"/>
        <w:spacing w:line="360" w:lineRule="auto"/>
        <w:ind w:firstLine="420" w:firstLineChars="200"/>
        <w:rPr>
          <w:rFonts w:ascii="宋体" w:hAnsi="宋体" w:cs="宋体"/>
          <w:kern w:val="0"/>
          <w:szCs w:val="21"/>
          <w:lang w:bidi="ar"/>
        </w:rPr>
      </w:pPr>
      <w:r>
        <w:rPr>
          <w:rFonts w:hint="eastAsia" w:ascii="宋体" w:hAnsi="宋体" w:cs="宋体"/>
          <w:kern w:val="0"/>
          <w:szCs w:val="21"/>
          <w:lang w:bidi="ar"/>
        </w:rPr>
        <w:t>注：1.大写数字及单位：零、壹、贰、叁、肆、伍、陆、柒、捌、玖、拾、佰、仟、万、亿、元、角、分；</w:t>
      </w:r>
    </w:p>
    <w:p>
      <w:pPr>
        <w:pageBreakBefore w:val="0"/>
        <w:kinsoku/>
        <w:overflowPunct/>
        <w:bidi w:val="0"/>
        <w:spacing w:line="360" w:lineRule="auto"/>
        <w:ind w:firstLine="420" w:firstLineChars="200"/>
        <w:rPr>
          <w:rFonts w:ascii="宋体" w:hAnsi="宋体" w:cs="宋体"/>
          <w:kern w:val="0"/>
          <w:szCs w:val="21"/>
          <w:lang w:bidi="ar"/>
        </w:rPr>
      </w:pPr>
      <w:r>
        <w:rPr>
          <w:rFonts w:hint="eastAsia" w:ascii="宋体" w:hAnsi="宋体" w:cs="宋体"/>
          <w:kern w:val="0"/>
          <w:szCs w:val="21"/>
          <w:lang w:bidi="ar"/>
        </w:rPr>
        <w:t>2.现场填写报价，涂改无效。</w:t>
      </w:r>
    </w:p>
    <w:p>
      <w:pPr>
        <w:pageBreakBefore w:val="0"/>
        <w:kinsoku/>
        <w:overflowPunct/>
        <w:bidi w:val="0"/>
        <w:spacing w:line="360" w:lineRule="auto"/>
        <w:ind w:firstLine="420" w:firstLineChars="200"/>
        <w:rPr>
          <w:rFonts w:ascii="宋体" w:hAnsi="宋体" w:cs="宋体"/>
          <w:kern w:val="0"/>
          <w:szCs w:val="21"/>
          <w:lang w:bidi="ar"/>
        </w:rPr>
      </w:pPr>
      <w:r>
        <w:rPr>
          <w:rFonts w:hint="eastAsia" w:ascii="宋体" w:hAnsi="宋体" w:cs="宋体"/>
          <w:kern w:val="0"/>
          <w:szCs w:val="21"/>
          <w:lang w:bidi="ar"/>
        </w:rPr>
        <w:t>3.供应商代表应在此表填写处（大写及小写、签名）盖上手印；</w:t>
      </w:r>
    </w:p>
    <w:p>
      <w:pPr>
        <w:pageBreakBefore w:val="0"/>
        <w:kinsoku/>
        <w:overflowPunct/>
        <w:bidi w:val="0"/>
        <w:spacing w:line="360" w:lineRule="auto"/>
        <w:rPr>
          <w:rFonts w:ascii="宋体" w:hAnsi="宋体" w:cs="宋体"/>
          <w:kern w:val="0"/>
          <w:sz w:val="24"/>
          <w:lang w:bidi="ar"/>
        </w:rPr>
      </w:pPr>
    </w:p>
    <w:p>
      <w:pPr>
        <w:pageBreakBefore w:val="0"/>
        <w:tabs>
          <w:tab w:val="left" w:pos="4680"/>
        </w:tabs>
        <w:kinsoku/>
        <w:overflowPunct/>
        <w:bidi w:val="0"/>
        <w:adjustRightInd w:val="0"/>
        <w:spacing w:line="360" w:lineRule="auto"/>
        <w:ind w:left="-2" w:leftChars="-1" w:right="-638" w:rightChars="-304"/>
        <w:jc w:val="left"/>
        <w:textAlignment w:val="baseline"/>
        <w:rPr>
          <w:rFonts w:ascii="宋体" w:hAnsi="宋体" w:cs="宋体"/>
          <w:b/>
          <w:bCs/>
          <w:kern w:val="0"/>
          <w:sz w:val="24"/>
        </w:rPr>
      </w:pPr>
      <w:r>
        <w:rPr>
          <w:rFonts w:hint="eastAsia" w:ascii="宋体" w:hAnsi="宋体" w:cs="宋体"/>
          <w:b/>
          <w:bCs/>
          <w:kern w:val="0"/>
          <w:sz w:val="24"/>
        </w:rPr>
        <w:t>磋商小组（签名）：</w:t>
      </w:r>
    </w:p>
    <w:p>
      <w:pPr>
        <w:pageBreakBefore w:val="0"/>
        <w:kinsoku/>
        <w:wordWrap w:val="0"/>
        <w:overflowPunct/>
        <w:bidi w:val="0"/>
        <w:spacing w:line="360" w:lineRule="auto"/>
        <w:rPr>
          <w:rFonts w:ascii="宋体" w:hAnsi="宋体" w:cs="宋体"/>
        </w:rPr>
        <w:sectPr>
          <w:footerReference r:id="rId4" w:type="default"/>
          <w:pgSz w:w="11906" w:h="16838"/>
          <w:pgMar w:top="1440" w:right="1080" w:bottom="1440" w:left="1080" w:header="851" w:footer="992" w:gutter="0"/>
          <w:pgNumType w:fmt="decimal" w:start="1"/>
          <w:cols w:space="720" w:num="1"/>
          <w:docGrid w:type="lines" w:linePitch="312" w:charSpace="0"/>
        </w:sectPr>
      </w:pPr>
      <w:bookmarkStart w:id="410" w:name="_Toc179632627"/>
      <w:bookmarkStart w:id="411" w:name="_Toc152042387"/>
      <w:bookmarkStart w:id="412" w:name="_Toc246996252"/>
      <w:bookmarkStart w:id="413" w:name="_Toc152045609"/>
      <w:bookmarkStart w:id="414" w:name="_Toc246996995"/>
      <w:bookmarkStart w:id="415" w:name="_Toc247085767"/>
      <w:bookmarkStart w:id="416" w:name="_Toc144974577"/>
    </w:p>
    <w:p>
      <w:pPr>
        <w:pageBreakBefore w:val="0"/>
        <w:tabs>
          <w:tab w:val="left" w:pos="720"/>
        </w:tabs>
        <w:kinsoku/>
        <w:overflowPunct/>
        <w:bidi w:val="0"/>
        <w:snapToGrid w:val="0"/>
        <w:spacing w:before="100" w:beforeAutospacing="1" w:after="100" w:afterAutospacing="1" w:line="360" w:lineRule="auto"/>
        <w:rPr>
          <w:rFonts w:ascii="宋体" w:hAnsi="宋体"/>
          <w:sz w:val="28"/>
          <w:szCs w:val="28"/>
        </w:rPr>
      </w:pPr>
      <w:bookmarkStart w:id="417" w:name="_Toc8660580"/>
      <w:r>
        <w:rPr>
          <w:rFonts w:hint="eastAsia" w:ascii="宋体" w:hAnsi="宋体"/>
          <w:sz w:val="28"/>
          <w:szCs w:val="28"/>
        </w:rPr>
        <w:t>附表3</w:t>
      </w:r>
      <w:bookmarkEnd w:id="417"/>
    </w:p>
    <w:p>
      <w:pPr>
        <w:pageBreakBefore w:val="0"/>
        <w:tabs>
          <w:tab w:val="left" w:pos="720"/>
        </w:tabs>
        <w:kinsoku/>
        <w:overflowPunct/>
        <w:bidi w:val="0"/>
        <w:spacing w:line="360" w:lineRule="auto"/>
        <w:jc w:val="center"/>
        <w:rPr>
          <w:rFonts w:ascii="宋体" w:hAnsi="宋体"/>
          <w:sz w:val="32"/>
          <w:szCs w:val="32"/>
        </w:rPr>
      </w:pPr>
      <w:bookmarkStart w:id="418" w:name="_Toc8660581"/>
      <w:r>
        <w:rPr>
          <w:rFonts w:hint="eastAsia" w:ascii="宋体" w:hAnsi="宋体"/>
          <w:sz w:val="32"/>
          <w:szCs w:val="32"/>
        </w:rPr>
        <w:t>技术商务评分表</w:t>
      </w:r>
      <w:bookmarkEnd w:id="418"/>
    </w:p>
    <w:tbl>
      <w:tblPr>
        <w:tblStyle w:val="39"/>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7796"/>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606" w:type="dxa"/>
            <w:gridSpan w:val="3"/>
            <w:vAlign w:val="center"/>
          </w:tcPr>
          <w:p>
            <w:pPr>
              <w:pageBreakBefore w:val="0"/>
              <w:kinsoku/>
              <w:overflowPunct/>
              <w:autoSpaceDE w:val="0"/>
              <w:autoSpaceDN w:val="0"/>
              <w:bidi w:val="0"/>
              <w:spacing w:line="360" w:lineRule="auto"/>
              <w:jc w:val="center"/>
              <w:textAlignment w:val="center"/>
              <w:rPr>
                <w:rFonts w:ascii="宋体" w:hAnsi="宋体"/>
                <w:b/>
                <w:bCs/>
                <w:kern w:val="0"/>
                <w:sz w:val="28"/>
                <w:szCs w:val="28"/>
              </w:rPr>
            </w:pPr>
            <w:r>
              <w:rPr>
                <w:rFonts w:hint="eastAsia" w:ascii="宋体" w:hAnsi="宋体"/>
                <w:b/>
                <w:kern w:val="0"/>
                <w:sz w:val="28"/>
                <w:szCs w:val="28"/>
              </w:rPr>
              <w:t>一、商务部分（</w:t>
            </w:r>
            <w:r>
              <w:rPr>
                <w:rFonts w:hint="eastAsia" w:ascii="宋体" w:hAnsi="宋体"/>
                <w:kern w:val="0"/>
                <w:sz w:val="28"/>
                <w:szCs w:val="28"/>
              </w:rPr>
              <w:t>60</w:t>
            </w:r>
            <w:r>
              <w:rPr>
                <w:rFonts w:hint="eastAsia" w:ascii="宋体" w:hAnsi="宋体"/>
                <w:b/>
                <w:kern w:val="0"/>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pageBreakBefore w:val="0"/>
              <w:kinsoku/>
              <w:overflowPunct/>
              <w:bidi w:val="0"/>
              <w:spacing w:line="360" w:lineRule="auto"/>
              <w:jc w:val="center"/>
              <w:textAlignment w:val="center"/>
              <w:rPr>
                <w:rFonts w:ascii="宋体" w:hAnsi="宋体"/>
                <w:kern w:val="0"/>
                <w:sz w:val="20"/>
              </w:rPr>
            </w:pPr>
            <w:r>
              <w:rPr>
                <w:rFonts w:hint="eastAsia" w:ascii="宋体" w:hAnsi="宋体"/>
                <w:b/>
                <w:kern w:val="0"/>
                <w:sz w:val="20"/>
                <w:szCs w:val="21"/>
              </w:rPr>
              <w:t>评分项</w:t>
            </w:r>
          </w:p>
        </w:tc>
        <w:tc>
          <w:tcPr>
            <w:tcW w:w="7796" w:type="dxa"/>
            <w:vAlign w:val="center"/>
          </w:tcPr>
          <w:p>
            <w:pPr>
              <w:pageBreakBefore w:val="0"/>
              <w:kinsoku/>
              <w:overflowPunct/>
              <w:bidi w:val="0"/>
              <w:spacing w:line="360" w:lineRule="auto"/>
              <w:jc w:val="center"/>
              <w:textAlignment w:val="center"/>
              <w:rPr>
                <w:rFonts w:ascii="宋体" w:hAnsi="宋体"/>
                <w:kern w:val="0"/>
                <w:sz w:val="20"/>
              </w:rPr>
            </w:pPr>
            <w:r>
              <w:rPr>
                <w:rFonts w:hint="eastAsia" w:ascii="宋体" w:hAnsi="宋体"/>
                <w:b/>
                <w:kern w:val="0"/>
                <w:sz w:val="20"/>
                <w:szCs w:val="21"/>
              </w:rPr>
              <w:t>分值细则</w:t>
            </w:r>
          </w:p>
        </w:tc>
        <w:tc>
          <w:tcPr>
            <w:tcW w:w="709" w:type="dxa"/>
            <w:vAlign w:val="center"/>
          </w:tcPr>
          <w:p>
            <w:pPr>
              <w:pageBreakBefore w:val="0"/>
              <w:kinsoku/>
              <w:overflowPunct/>
              <w:bidi w:val="0"/>
              <w:spacing w:line="360" w:lineRule="auto"/>
              <w:jc w:val="center"/>
              <w:textAlignment w:val="center"/>
              <w:rPr>
                <w:rFonts w:ascii="宋体" w:hAnsi="宋体"/>
                <w:kern w:val="0"/>
                <w:sz w:val="20"/>
              </w:rPr>
            </w:pPr>
            <w:r>
              <w:rPr>
                <w:rFonts w:hint="eastAsia" w:ascii="宋体" w:hAnsi="宋体"/>
                <w:b/>
                <w:kern w:val="0"/>
                <w:sz w:val="20"/>
                <w:szCs w:val="21"/>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pageBreakBefore w:val="0"/>
              <w:kinsoku/>
              <w:overflowPunct/>
              <w:bidi w:val="0"/>
              <w:spacing w:line="360" w:lineRule="auto"/>
              <w:jc w:val="center"/>
              <w:rPr>
                <w:rFonts w:ascii="宋体" w:hAnsi="宋体"/>
                <w:kern w:val="0"/>
                <w:sz w:val="20"/>
              </w:rPr>
            </w:pPr>
            <w:r>
              <w:rPr>
                <w:rFonts w:hint="eastAsia" w:ascii="宋体" w:hAnsi="宋体"/>
                <w:kern w:val="0"/>
                <w:sz w:val="20"/>
              </w:rPr>
              <w:t>最终报价得分</w:t>
            </w:r>
          </w:p>
        </w:tc>
        <w:tc>
          <w:tcPr>
            <w:tcW w:w="7796" w:type="dxa"/>
            <w:vAlign w:val="center"/>
          </w:tcPr>
          <w:p>
            <w:pPr>
              <w:pageBreakBefore w:val="0"/>
              <w:kinsoku/>
              <w:overflowPunct/>
              <w:bidi w:val="0"/>
              <w:spacing w:line="360" w:lineRule="auto"/>
              <w:ind w:firstLine="400" w:firstLineChars="200"/>
              <w:textAlignment w:val="center"/>
              <w:rPr>
                <w:rFonts w:ascii="宋体" w:hAnsi="宋体"/>
                <w:kern w:val="0"/>
                <w:sz w:val="20"/>
              </w:rPr>
            </w:pPr>
            <w:r>
              <w:rPr>
                <w:rFonts w:hint="eastAsia" w:ascii="宋体" w:hAnsi="宋体"/>
                <w:kern w:val="0"/>
                <w:sz w:val="20"/>
              </w:rPr>
              <w:t>通过初步审查且最后报价最低的投标人的价格为磋商基准价，其价格分为满分，其他投标人的价格分统一按照下列公式计算：</w:t>
            </w:r>
          </w:p>
          <w:p>
            <w:pPr>
              <w:pageBreakBefore w:val="0"/>
              <w:kinsoku/>
              <w:overflowPunct/>
              <w:bidi w:val="0"/>
              <w:spacing w:line="360" w:lineRule="auto"/>
              <w:ind w:firstLine="400" w:firstLineChars="200"/>
              <w:textAlignment w:val="center"/>
              <w:rPr>
                <w:rFonts w:ascii="宋体" w:hAnsi="宋体"/>
                <w:kern w:val="0"/>
                <w:sz w:val="20"/>
              </w:rPr>
            </w:pPr>
            <w:r>
              <w:rPr>
                <w:rFonts w:hint="eastAsia" w:ascii="宋体" w:hAnsi="宋体"/>
                <w:kern w:val="0"/>
                <w:sz w:val="20"/>
              </w:rPr>
              <w:t>磋商报价得分=(磋商基准价／最后报价)×30%×100</w:t>
            </w:r>
          </w:p>
          <w:p>
            <w:pPr>
              <w:pageBreakBefore w:val="0"/>
              <w:kinsoku/>
              <w:overflowPunct/>
              <w:bidi w:val="0"/>
              <w:spacing w:line="360" w:lineRule="auto"/>
              <w:ind w:firstLine="400" w:firstLineChars="200"/>
              <w:textAlignment w:val="center"/>
              <w:rPr>
                <w:rFonts w:ascii="宋体" w:hAnsi="宋体"/>
                <w:kern w:val="0"/>
                <w:sz w:val="20"/>
              </w:rPr>
            </w:pPr>
            <w:r>
              <w:rPr>
                <w:rFonts w:hint="eastAsia" w:ascii="宋体" w:hAnsi="宋体"/>
                <w:kern w:val="0"/>
                <w:sz w:val="20"/>
              </w:rPr>
              <w:t>注：1、磋商小组应当要求最后报价明显过低，可能低于其成本的供应商作出书面说明并提供相关证明材料，供应商不能合理说明或不能提供相关证明材料的，由磋商小组认定以低于成本价竞标，不得被推荐为成交候选供应商。2、符合政府采购优惠政策的，给予报价优惠。</w:t>
            </w:r>
          </w:p>
        </w:tc>
        <w:tc>
          <w:tcPr>
            <w:tcW w:w="709" w:type="dxa"/>
            <w:vAlign w:val="center"/>
          </w:tcPr>
          <w:p>
            <w:pPr>
              <w:pageBreakBefore w:val="0"/>
              <w:kinsoku/>
              <w:overflowPunct/>
              <w:bidi w:val="0"/>
              <w:spacing w:line="360" w:lineRule="auto"/>
              <w:textAlignment w:val="center"/>
              <w:rPr>
                <w:rFonts w:ascii="宋体" w:hAnsi="宋体"/>
                <w:kern w:val="0"/>
                <w:sz w:val="20"/>
              </w:rPr>
            </w:pPr>
            <w:r>
              <w:rPr>
                <w:rFonts w:hint="eastAsia" w:ascii="宋体" w:hAnsi="宋体"/>
                <w:kern w:val="0"/>
                <w:sz w:val="20"/>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pageBreakBefore w:val="0"/>
              <w:kinsoku/>
              <w:overflowPunct/>
              <w:bidi w:val="0"/>
              <w:spacing w:line="360" w:lineRule="auto"/>
              <w:jc w:val="center"/>
              <w:rPr>
                <w:rFonts w:ascii="宋体" w:hAnsi="宋体"/>
                <w:kern w:val="0"/>
                <w:sz w:val="20"/>
              </w:rPr>
            </w:pPr>
            <w:r>
              <w:rPr>
                <w:rFonts w:hint="eastAsia" w:ascii="宋体" w:hAnsi="宋体"/>
                <w:kern w:val="0"/>
                <w:sz w:val="20"/>
              </w:rPr>
              <w:t>人员配备</w:t>
            </w:r>
          </w:p>
        </w:tc>
        <w:tc>
          <w:tcPr>
            <w:tcW w:w="7796" w:type="dxa"/>
            <w:vAlign w:val="center"/>
          </w:tcPr>
          <w:p>
            <w:pPr>
              <w:pageBreakBefore w:val="0"/>
              <w:kinsoku/>
              <w:overflowPunct/>
              <w:bidi w:val="0"/>
              <w:spacing w:line="360" w:lineRule="auto"/>
              <w:rPr>
                <w:rFonts w:ascii="宋体" w:hAnsi="宋体" w:cs="TimesNewRomanPSMT"/>
                <w:spacing w:val="-4"/>
                <w:kern w:val="0"/>
                <w:sz w:val="20"/>
              </w:rPr>
            </w:pPr>
            <w:r>
              <w:rPr>
                <w:rFonts w:hint="eastAsia" w:ascii="宋体" w:hAnsi="宋体" w:cs="TimesNewRomanPSMT"/>
                <w:spacing w:val="-4"/>
                <w:kern w:val="0"/>
                <w:sz w:val="20"/>
              </w:rPr>
              <w:t>项目管理机构主要管理人员配备要求：技术负责人 1 名(须具备市政公用</w:t>
            </w:r>
            <w:r>
              <w:rPr>
                <w:rFonts w:hint="eastAsia" w:ascii="宋体" w:hAnsi="宋体" w:cs="TimesNewRomanPSMT"/>
                <w:spacing w:val="-4"/>
                <w:kern w:val="0"/>
                <w:sz w:val="20"/>
                <w:lang w:eastAsia="zh-CN"/>
              </w:rPr>
              <w:t>工程</w:t>
            </w:r>
            <w:r>
              <w:rPr>
                <w:rFonts w:hint="eastAsia" w:ascii="宋体" w:hAnsi="宋体" w:cs="TimesNewRomanPSMT"/>
                <w:spacing w:val="-4"/>
                <w:kern w:val="0"/>
                <w:sz w:val="20"/>
              </w:rPr>
              <w:t>类专业中级或以上职称)、施工员 1 名、安全员 1 名、资料员 1 名，岗位配备齐全得 20分，每缺少 1 个扣 5分，扣完为止。</w:t>
            </w:r>
          </w:p>
          <w:p>
            <w:pPr>
              <w:pageBreakBefore w:val="0"/>
              <w:kinsoku/>
              <w:overflowPunct/>
              <w:bidi w:val="0"/>
              <w:spacing w:line="360" w:lineRule="auto"/>
              <w:ind w:firstLine="384" w:firstLineChars="200"/>
              <w:rPr>
                <w:rFonts w:ascii="宋体" w:hAnsi="宋体" w:cs="TimesNewRomanPSMT"/>
                <w:spacing w:val="-4"/>
                <w:kern w:val="0"/>
                <w:sz w:val="20"/>
              </w:rPr>
            </w:pPr>
            <w:r>
              <w:rPr>
                <w:rFonts w:hint="eastAsia" w:ascii="宋体" w:hAnsi="宋体" w:cs="TimesNewRomanPSMT"/>
                <w:spacing w:val="-4"/>
                <w:kern w:val="0"/>
                <w:sz w:val="20"/>
              </w:rPr>
              <w:t>证明材料：响应文件中提供职称证或岗位证（或上岗证）复印件加盖公章。</w:t>
            </w:r>
          </w:p>
        </w:tc>
        <w:tc>
          <w:tcPr>
            <w:tcW w:w="709" w:type="dxa"/>
            <w:vAlign w:val="center"/>
          </w:tcPr>
          <w:p>
            <w:pPr>
              <w:pageBreakBefore w:val="0"/>
              <w:kinsoku/>
              <w:overflowPunct/>
              <w:bidi w:val="0"/>
              <w:spacing w:line="360" w:lineRule="auto"/>
              <w:jc w:val="center"/>
              <w:rPr>
                <w:rFonts w:ascii="宋体" w:hAnsi="宋体"/>
                <w:kern w:val="0"/>
                <w:sz w:val="20"/>
              </w:rPr>
            </w:pPr>
            <w:r>
              <w:rPr>
                <w:rFonts w:hint="eastAsia" w:ascii="宋体" w:hAnsi="宋体"/>
                <w:kern w:val="0"/>
                <w:sz w:val="20"/>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pageBreakBefore w:val="0"/>
              <w:kinsoku/>
              <w:overflowPunct/>
              <w:bidi w:val="0"/>
              <w:spacing w:line="360" w:lineRule="auto"/>
              <w:jc w:val="center"/>
              <w:rPr>
                <w:rFonts w:ascii="宋体" w:hAnsi="宋体"/>
                <w:kern w:val="0"/>
                <w:sz w:val="20"/>
              </w:rPr>
            </w:pPr>
            <w:r>
              <w:rPr>
                <w:rFonts w:hint="eastAsia" w:ascii="宋体" w:hAnsi="宋体"/>
                <w:kern w:val="0"/>
                <w:sz w:val="20"/>
              </w:rPr>
              <w:t>履约经验</w:t>
            </w:r>
          </w:p>
        </w:tc>
        <w:tc>
          <w:tcPr>
            <w:tcW w:w="7796" w:type="dxa"/>
            <w:vAlign w:val="center"/>
          </w:tcPr>
          <w:p>
            <w:pPr>
              <w:pageBreakBefore w:val="0"/>
              <w:kinsoku/>
              <w:overflowPunct/>
              <w:bidi w:val="0"/>
              <w:spacing w:line="360" w:lineRule="auto"/>
              <w:rPr>
                <w:rFonts w:ascii="宋体" w:hAnsi="宋体" w:cs="TimesNewRomanPSMT"/>
                <w:spacing w:val="-4"/>
                <w:kern w:val="0"/>
                <w:sz w:val="20"/>
              </w:rPr>
            </w:pPr>
            <w:r>
              <w:rPr>
                <w:rFonts w:hint="eastAsia" w:ascii="宋体" w:hAnsi="宋体" w:cs="TimesNewRomanPSMT"/>
                <w:spacing w:val="-4"/>
                <w:kern w:val="0"/>
                <w:sz w:val="20"/>
              </w:rPr>
              <w:t>2018 年1月1日至今承接（在建或已完工）与本项目类似的项目，每个得5分（满分10分）。证明材料: 投标文件中提供施工合同（时间以签订日期为准）复印件加盖公章。</w:t>
            </w:r>
          </w:p>
        </w:tc>
        <w:tc>
          <w:tcPr>
            <w:tcW w:w="709" w:type="dxa"/>
            <w:vAlign w:val="center"/>
          </w:tcPr>
          <w:p>
            <w:pPr>
              <w:pageBreakBefore w:val="0"/>
              <w:kinsoku/>
              <w:overflowPunct/>
              <w:bidi w:val="0"/>
              <w:spacing w:line="360" w:lineRule="auto"/>
              <w:jc w:val="center"/>
              <w:rPr>
                <w:rFonts w:ascii="宋体" w:hAnsi="宋体"/>
                <w:kern w:val="0"/>
                <w:sz w:val="20"/>
              </w:rPr>
            </w:pPr>
            <w:r>
              <w:rPr>
                <w:rFonts w:hint="eastAsia" w:ascii="宋体" w:hAnsi="宋体"/>
                <w:kern w:val="0"/>
                <w:sz w:val="20"/>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9606" w:type="dxa"/>
            <w:gridSpan w:val="3"/>
          </w:tcPr>
          <w:p>
            <w:pPr>
              <w:pageBreakBefore w:val="0"/>
              <w:kinsoku/>
              <w:overflowPunct/>
              <w:autoSpaceDE w:val="0"/>
              <w:autoSpaceDN w:val="0"/>
              <w:bidi w:val="0"/>
              <w:adjustRightInd w:val="0"/>
              <w:spacing w:line="360" w:lineRule="auto"/>
              <w:jc w:val="center"/>
              <w:textAlignment w:val="center"/>
              <w:rPr>
                <w:rFonts w:ascii="宋体" w:hAnsi="宋体" w:cs="宋体"/>
                <w:kern w:val="0"/>
                <w:sz w:val="28"/>
                <w:szCs w:val="28"/>
              </w:rPr>
            </w:pPr>
            <w:r>
              <w:rPr>
                <w:rFonts w:hint="eastAsia" w:ascii="宋体" w:hAnsi="宋体"/>
                <w:b/>
                <w:kern w:val="0"/>
                <w:sz w:val="28"/>
                <w:szCs w:val="28"/>
              </w:rPr>
              <w:t>二、技术部分（</w:t>
            </w:r>
            <w:r>
              <w:rPr>
                <w:rFonts w:hint="eastAsia" w:ascii="宋体" w:hAnsi="宋体"/>
                <w:kern w:val="0"/>
                <w:sz w:val="28"/>
                <w:szCs w:val="28"/>
              </w:rPr>
              <w:t>40</w:t>
            </w:r>
            <w:r>
              <w:rPr>
                <w:rFonts w:hint="eastAsia" w:ascii="宋体" w:hAnsi="宋体"/>
                <w:b/>
                <w:kern w:val="0"/>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pageBreakBefore w:val="0"/>
              <w:kinsoku/>
              <w:overflowPunct/>
              <w:bidi w:val="0"/>
              <w:spacing w:line="360" w:lineRule="auto"/>
              <w:jc w:val="center"/>
              <w:textAlignment w:val="center"/>
              <w:rPr>
                <w:rFonts w:ascii="宋体" w:hAnsi="宋体"/>
                <w:kern w:val="0"/>
                <w:sz w:val="20"/>
              </w:rPr>
            </w:pPr>
            <w:r>
              <w:rPr>
                <w:rFonts w:hint="eastAsia" w:ascii="宋体" w:hAnsi="宋体"/>
                <w:b/>
                <w:kern w:val="0"/>
                <w:sz w:val="20"/>
                <w:szCs w:val="21"/>
              </w:rPr>
              <w:t>评分项</w:t>
            </w:r>
          </w:p>
        </w:tc>
        <w:tc>
          <w:tcPr>
            <w:tcW w:w="7796" w:type="dxa"/>
            <w:vAlign w:val="center"/>
          </w:tcPr>
          <w:p>
            <w:pPr>
              <w:pageBreakBefore w:val="0"/>
              <w:kinsoku/>
              <w:overflowPunct/>
              <w:bidi w:val="0"/>
              <w:spacing w:line="360" w:lineRule="auto"/>
              <w:jc w:val="center"/>
              <w:textAlignment w:val="center"/>
              <w:rPr>
                <w:rFonts w:ascii="宋体" w:hAnsi="宋体"/>
                <w:kern w:val="0"/>
                <w:sz w:val="20"/>
              </w:rPr>
            </w:pPr>
            <w:r>
              <w:rPr>
                <w:rFonts w:hint="eastAsia" w:ascii="宋体" w:hAnsi="宋体"/>
                <w:b/>
                <w:kern w:val="0"/>
                <w:sz w:val="20"/>
                <w:szCs w:val="21"/>
              </w:rPr>
              <w:t>分值细则</w:t>
            </w:r>
          </w:p>
        </w:tc>
        <w:tc>
          <w:tcPr>
            <w:tcW w:w="709" w:type="dxa"/>
            <w:vAlign w:val="center"/>
          </w:tcPr>
          <w:p>
            <w:pPr>
              <w:pageBreakBefore w:val="0"/>
              <w:kinsoku/>
              <w:overflowPunct/>
              <w:bidi w:val="0"/>
              <w:spacing w:line="360" w:lineRule="auto"/>
              <w:jc w:val="center"/>
              <w:textAlignment w:val="center"/>
              <w:rPr>
                <w:rFonts w:ascii="宋体" w:hAnsi="宋体"/>
                <w:kern w:val="0"/>
                <w:sz w:val="20"/>
              </w:rPr>
            </w:pPr>
            <w:r>
              <w:rPr>
                <w:rFonts w:hint="eastAsia" w:ascii="宋体" w:hAnsi="宋体"/>
                <w:b/>
                <w:kern w:val="0"/>
                <w:sz w:val="20"/>
                <w:szCs w:val="21"/>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atLeast"/>
          <w:jc w:val="center"/>
        </w:trPr>
        <w:tc>
          <w:tcPr>
            <w:tcW w:w="1101" w:type="dxa"/>
            <w:vMerge w:val="restart"/>
            <w:vAlign w:val="center"/>
          </w:tcPr>
          <w:p>
            <w:pPr>
              <w:pageBreakBefore w:val="0"/>
              <w:kinsoku/>
              <w:overflowPunct/>
              <w:bidi w:val="0"/>
              <w:spacing w:line="360" w:lineRule="auto"/>
              <w:jc w:val="center"/>
              <w:textAlignment w:val="center"/>
              <w:rPr>
                <w:rFonts w:ascii="宋体" w:hAnsi="宋体"/>
                <w:b/>
                <w:kern w:val="0"/>
                <w:sz w:val="20"/>
                <w:szCs w:val="21"/>
              </w:rPr>
            </w:pPr>
            <w:r>
              <w:rPr>
                <w:rFonts w:hint="eastAsia" w:ascii="宋体" w:hAnsi="宋体" w:cs="宋体"/>
                <w:kern w:val="0"/>
                <w:sz w:val="20"/>
              </w:rPr>
              <w:t>施工方案（40分）</w:t>
            </w:r>
          </w:p>
        </w:tc>
        <w:tc>
          <w:tcPr>
            <w:tcW w:w="7796" w:type="dxa"/>
            <w:vAlign w:val="center"/>
          </w:tcPr>
          <w:p>
            <w:pPr>
              <w:pageBreakBefore w:val="0"/>
              <w:kinsoku/>
              <w:overflowPunct/>
              <w:bidi w:val="0"/>
              <w:spacing w:line="360" w:lineRule="auto"/>
              <w:rPr>
                <w:rFonts w:ascii="宋体" w:hAnsi="宋体" w:cs="宋体"/>
                <w:b/>
                <w:kern w:val="0"/>
                <w:sz w:val="20"/>
              </w:rPr>
            </w:pPr>
            <w:r>
              <w:rPr>
                <w:rFonts w:hint="eastAsia" w:ascii="宋体" w:hAnsi="宋体" w:cs="宋体"/>
                <w:b/>
                <w:kern w:val="0"/>
                <w:sz w:val="20"/>
              </w:rPr>
              <w:t>总体方案：</w:t>
            </w:r>
          </w:p>
          <w:p>
            <w:pPr>
              <w:pageBreakBefore w:val="0"/>
              <w:kinsoku/>
              <w:overflowPunct/>
              <w:bidi w:val="0"/>
              <w:spacing w:line="360" w:lineRule="auto"/>
              <w:ind w:firstLine="400" w:firstLineChars="200"/>
              <w:rPr>
                <w:rFonts w:ascii="宋体" w:hAnsi="宋体" w:cs="宋体"/>
                <w:kern w:val="0"/>
                <w:sz w:val="20"/>
              </w:rPr>
            </w:pPr>
            <w:r>
              <w:rPr>
                <w:rFonts w:hint="eastAsia" w:ascii="宋体" w:hAnsi="宋体" w:cs="宋体"/>
                <w:kern w:val="0"/>
                <w:sz w:val="20"/>
              </w:rPr>
              <w:t>对本项目工期、工程特点等特性的了解，施工组织设计内容全面，方案先进、经济，质量保证措施系统、有效，符合环保要求，与项目实际结合紧密，对施工具有指导性。</w:t>
            </w:r>
          </w:p>
          <w:p>
            <w:pPr>
              <w:pageBreakBefore w:val="0"/>
              <w:kinsoku/>
              <w:overflowPunct/>
              <w:bidi w:val="0"/>
              <w:spacing w:line="360" w:lineRule="auto"/>
              <w:ind w:firstLine="300" w:firstLineChars="150"/>
              <w:rPr>
                <w:rFonts w:ascii="宋体" w:hAnsi="宋体" w:cs="宋体"/>
                <w:kern w:val="0"/>
                <w:sz w:val="20"/>
              </w:rPr>
            </w:pPr>
            <w:r>
              <w:rPr>
                <w:rFonts w:hint="eastAsia" w:ascii="宋体" w:hAnsi="宋体" w:cs="宋体"/>
                <w:kern w:val="0"/>
                <w:sz w:val="20"/>
              </w:rPr>
              <w:t>A.方案可靠，切实可行，考虑问题周全，总体方案完善，实施过程务实；得10分</w:t>
            </w:r>
          </w:p>
          <w:p>
            <w:pPr>
              <w:pageBreakBefore w:val="0"/>
              <w:kinsoku/>
              <w:overflowPunct/>
              <w:bidi w:val="0"/>
              <w:spacing w:line="360" w:lineRule="auto"/>
              <w:ind w:firstLine="300" w:firstLineChars="150"/>
              <w:rPr>
                <w:rFonts w:ascii="宋体" w:hAnsi="宋体" w:cs="宋体"/>
                <w:kern w:val="0"/>
                <w:sz w:val="20"/>
              </w:rPr>
            </w:pPr>
            <w:r>
              <w:rPr>
                <w:rFonts w:hint="eastAsia" w:ascii="宋体" w:hAnsi="宋体" w:cs="宋体"/>
                <w:kern w:val="0"/>
                <w:sz w:val="20"/>
              </w:rPr>
              <w:t>B.方案基本可靠，基本切实可行，考虑问题基本周全，总体方案基本完善，实施过程基本务实；得7分。</w:t>
            </w:r>
          </w:p>
          <w:p>
            <w:pPr>
              <w:pageBreakBefore w:val="0"/>
              <w:kinsoku/>
              <w:overflowPunct/>
              <w:bidi w:val="0"/>
              <w:spacing w:line="360" w:lineRule="auto"/>
              <w:ind w:firstLine="300" w:firstLineChars="150"/>
              <w:rPr>
                <w:rFonts w:ascii="宋体" w:hAnsi="宋体" w:cs="宋体"/>
                <w:kern w:val="0"/>
                <w:sz w:val="20"/>
              </w:rPr>
            </w:pPr>
            <w:r>
              <w:rPr>
                <w:rFonts w:hint="eastAsia" w:ascii="宋体" w:hAnsi="宋体" w:cs="宋体"/>
                <w:kern w:val="0"/>
                <w:sz w:val="20"/>
              </w:rPr>
              <w:t>C.方案一般可靠，一般切实可行，考虑问题一般周全，总体方案一般完善，实施过程一般；得5分。</w:t>
            </w:r>
          </w:p>
          <w:p>
            <w:pPr>
              <w:pageBreakBefore w:val="0"/>
              <w:kinsoku/>
              <w:overflowPunct/>
              <w:bidi w:val="0"/>
              <w:spacing w:line="360" w:lineRule="auto"/>
              <w:ind w:firstLine="300" w:firstLineChars="150"/>
              <w:rPr>
                <w:rFonts w:ascii="宋体" w:hAnsi="宋体" w:cs="宋体"/>
                <w:kern w:val="0"/>
                <w:sz w:val="20"/>
              </w:rPr>
            </w:pPr>
            <w:r>
              <w:rPr>
                <w:rFonts w:hint="eastAsia" w:ascii="宋体" w:hAnsi="宋体" w:cs="宋体"/>
                <w:kern w:val="0"/>
                <w:sz w:val="20"/>
              </w:rPr>
              <w:t>D.方案不可靠，不切实可行，考虑问题不周全，总体方案不完善，实施过程差；得3分。</w:t>
            </w:r>
          </w:p>
          <w:p>
            <w:pPr>
              <w:pageBreakBefore w:val="0"/>
              <w:kinsoku/>
              <w:overflowPunct/>
              <w:bidi w:val="0"/>
              <w:spacing w:line="360" w:lineRule="auto"/>
              <w:ind w:firstLine="300" w:firstLineChars="150"/>
              <w:rPr>
                <w:rFonts w:ascii="宋体" w:hAnsi="宋体" w:cs="宋体"/>
                <w:kern w:val="0"/>
                <w:sz w:val="20"/>
              </w:rPr>
            </w:pPr>
            <w:r>
              <w:rPr>
                <w:rFonts w:hint="eastAsia" w:ascii="宋体" w:hAnsi="宋体" w:cs="宋体"/>
                <w:kern w:val="0"/>
                <w:sz w:val="20"/>
              </w:rPr>
              <w:t>E. 未提供者；得0分。</w:t>
            </w:r>
          </w:p>
        </w:tc>
        <w:tc>
          <w:tcPr>
            <w:tcW w:w="709" w:type="dxa"/>
            <w:vAlign w:val="center"/>
          </w:tcPr>
          <w:p>
            <w:pPr>
              <w:pageBreakBefore w:val="0"/>
              <w:kinsoku/>
              <w:overflowPunct/>
              <w:bidi w:val="0"/>
              <w:spacing w:line="360" w:lineRule="auto"/>
              <w:rPr>
                <w:rFonts w:ascii="宋体" w:hAnsi="宋体"/>
                <w:b/>
                <w:kern w:val="0"/>
                <w:sz w:val="20"/>
                <w:szCs w:val="21"/>
              </w:rPr>
            </w:pPr>
            <w:r>
              <w:rPr>
                <w:rFonts w:hint="eastAsia" w:ascii="宋体" w:hAnsi="宋体"/>
                <w:kern w:val="0"/>
                <w:sz w:val="20"/>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1101" w:type="dxa"/>
            <w:vMerge w:val="continue"/>
            <w:vAlign w:val="center"/>
          </w:tcPr>
          <w:p>
            <w:pPr>
              <w:pageBreakBefore w:val="0"/>
              <w:kinsoku/>
              <w:overflowPunct/>
              <w:bidi w:val="0"/>
              <w:spacing w:line="360" w:lineRule="auto"/>
              <w:jc w:val="center"/>
              <w:textAlignment w:val="center"/>
              <w:rPr>
                <w:rFonts w:ascii="宋体" w:hAnsi="宋体" w:cs="宋体"/>
                <w:kern w:val="0"/>
                <w:sz w:val="20"/>
              </w:rPr>
            </w:pPr>
          </w:p>
        </w:tc>
        <w:tc>
          <w:tcPr>
            <w:tcW w:w="7796" w:type="dxa"/>
            <w:vAlign w:val="center"/>
          </w:tcPr>
          <w:p>
            <w:pPr>
              <w:pageBreakBefore w:val="0"/>
              <w:kinsoku/>
              <w:overflowPunct/>
              <w:bidi w:val="0"/>
              <w:spacing w:line="360" w:lineRule="auto"/>
              <w:rPr>
                <w:rFonts w:ascii="宋体" w:hAnsi="宋体" w:cs="宋体"/>
                <w:b/>
                <w:kern w:val="0"/>
                <w:sz w:val="20"/>
              </w:rPr>
            </w:pPr>
            <w:r>
              <w:rPr>
                <w:rFonts w:hint="eastAsia" w:ascii="宋体" w:hAnsi="宋体" w:cs="宋体"/>
                <w:b/>
                <w:kern w:val="0"/>
                <w:sz w:val="20"/>
              </w:rPr>
              <w:t>安全管理体系与措施：</w:t>
            </w:r>
          </w:p>
          <w:p>
            <w:pPr>
              <w:pageBreakBefore w:val="0"/>
              <w:kinsoku/>
              <w:overflowPunct/>
              <w:bidi w:val="0"/>
              <w:spacing w:line="360" w:lineRule="auto"/>
              <w:ind w:firstLine="400" w:firstLineChars="200"/>
              <w:rPr>
                <w:rFonts w:ascii="宋体" w:hAnsi="宋体" w:cs="宋体"/>
                <w:kern w:val="0"/>
                <w:sz w:val="20"/>
              </w:rPr>
            </w:pPr>
            <w:r>
              <w:rPr>
                <w:rFonts w:hint="eastAsia" w:ascii="宋体" w:hAnsi="宋体" w:cs="宋体"/>
                <w:kern w:val="0"/>
                <w:sz w:val="20"/>
              </w:rPr>
              <w:t>建立施工安全生产保障体系，施工安全生产目标、现场管理人员安全生产职责明确，针对工程特点、周边环境和施工工艺，确定危险源并制定详细、具体的防护措施，方案先进、可行。</w:t>
            </w:r>
          </w:p>
          <w:p>
            <w:pPr>
              <w:pageBreakBefore w:val="0"/>
              <w:kinsoku/>
              <w:overflowPunct/>
              <w:bidi w:val="0"/>
              <w:spacing w:line="360" w:lineRule="auto"/>
              <w:ind w:firstLine="300" w:firstLineChars="150"/>
              <w:rPr>
                <w:rFonts w:ascii="宋体" w:hAnsi="宋体" w:cs="宋体"/>
                <w:kern w:val="0"/>
                <w:sz w:val="20"/>
              </w:rPr>
            </w:pPr>
            <w:r>
              <w:rPr>
                <w:rFonts w:hint="eastAsia" w:ascii="宋体" w:hAnsi="宋体" w:cs="宋体"/>
                <w:kern w:val="0"/>
                <w:sz w:val="20"/>
              </w:rPr>
              <w:t>A.方案可靠，切实可行，考虑问题周全，安全管理体系与措施完善，实施过程务实；得10分。</w:t>
            </w:r>
          </w:p>
          <w:p>
            <w:pPr>
              <w:pageBreakBefore w:val="0"/>
              <w:kinsoku/>
              <w:overflowPunct/>
              <w:bidi w:val="0"/>
              <w:spacing w:line="360" w:lineRule="auto"/>
              <w:ind w:firstLine="300" w:firstLineChars="150"/>
              <w:rPr>
                <w:rFonts w:ascii="宋体" w:hAnsi="宋体" w:cs="宋体"/>
                <w:kern w:val="0"/>
                <w:sz w:val="20"/>
              </w:rPr>
            </w:pPr>
            <w:r>
              <w:rPr>
                <w:rFonts w:hint="eastAsia" w:ascii="宋体" w:hAnsi="宋体" w:cs="宋体"/>
                <w:kern w:val="0"/>
                <w:sz w:val="20"/>
              </w:rPr>
              <w:t>B.方案基本可靠，基本切实可行，考虑问题基本周全，安全管理体系与措施基本完善，实施过程基本务实；得7分。</w:t>
            </w:r>
          </w:p>
          <w:p>
            <w:pPr>
              <w:pageBreakBefore w:val="0"/>
              <w:kinsoku/>
              <w:overflowPunct/>
              <w:bidi w:val="0"/>
              <w:spacing w:line="360" w:lineRule="auto"/>
              <w:ind w:firstLine="300" w:firstLineChars="150"/>
              <w:rPr>
                <w:rFonts w:ascii="宋体" w:hAnsi="宋体" w:cs="宋体"/>
                <w:kern w:val="0"/>
                <w:sz w:val="20"/>
              </w:rPr>
            </w:pPr>
            <w:r>
              <w:rPr>
                <w:rFonts w:hint="eastAsia" w:ascii="宋体" w:hAnsi="宋体" w:cs="宋体"/>
                <w:kern w:val="0"/>
                <w:sz w:val="20"/>
              </w:rPr>
              <w:t>C.方案一般可靠，一般切实可行，考虑问题一般周全，安全管理体系与措施一般完善，实施过程一般；得5分。</w:t>
            </w:r>
          </w:p>
          <w:p>
            <w:pPr>
              <w:pageBreakBefore w:val="0"/>
              <w:kinsoku/>
              <w:overflowPunct/>
              <w:bidi w:val="0"/>
              <w:spacing w:line="360" w:lineRule="auto"/>
              <w:ind w:firstLine="300" w:firstLineChars="150"/>
              <w:rPr>
                <w:rFonts w:ascii="宋体" w:hAnsi="宋体" w:cs="宋体"/>
                <w:kern w:val="0"/>
                <w:sz w:val="20"/>
              </w:rPr>
            </w:pPr>
            <w:r>
              <w:rPr>
                <w:rFonts w:hint="eastAsia" w:ascii="宋体" w:hAnsi="宋体" w:cs="宋体"/>
                <w:kern w:val="0"/>
                <w:sz w:val="20"/>
              </w:rPr>
              <w:t>D.方案不可靠，不切实可行，考虑问题不周全，安全管理体系与措施不完善，实施过程差；得3分。</w:t>
            </w:r>
          </w:p>
          <w:p>
            <w:pPr>
              <w:pageBreakBefore w:val="0"/>
              <w:kinsoku/>
              <w:overflowPunct/>
              <w:bidi w:val="0"/>
              <w:spacing w:line="360" w:lineRule="auto"/>
              <w:ind w:firstLine="300" w:firstLineChars="150"/>
              <w:rPr>
                <w:rFonts w:ascii="宋体" w:hAnsi="宋体" w:cs="宋体"/>
                <w:kern w:val="0"/>
                <w:sz w:val="20"/>
              </w:rPr>
            </w:pPr>
            <w:r>
              <w:rPr>
                <w:rFonts w:hint="eastAsia" w:ascii="宋体" w:hAnsi="宋体" w:cs="宋体"/>
                <w:kern w:val="0"/>
                <w:sz w:val="20"/>
              </w:rPr>
              <w:t>E. 未提供者；得0分。</w:t>
            </w:r>
          </w:p>
        </w:tc>
        <w:tc>
          <w:tcPr>
            <w:tcW w:w="709" w:type="dxa"/>
            <w:vAlign w:val="center"/>
          </w:tcPr>
          <w:p>
            <w:pPr>
              <w:pageBreakBefore w:val="0"/>
              <w:kinsoku/>
              <w:overflowPunct/>
              <w:bidi w:val="0"/>
              <w:spacing w:line="360" w:lineRule="auto"/>
              <w:rPr>
                <w:rFonts w:ascii="宋体" w:hAnsi="宋体"/>
                <w:kern w:val="0"/>
                <w:sz w:val="20"/>
              </w:rPr>
            </w:pPr>
            <w:r>
              <w:rPr>
                <w:rFonts w:hint="eastAsia" w:ascii="宋体" w:hAnsi="宋体"/>
                <w:kern w:val="0"/>
                <w:sz w:val="20"/>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1101" w:type="dxa"/>
            <w:vMerge w:val="continue"/>
            <w:vAlign w:val="center"/>
          </w:tcPr>
          <w:p>
            <w:pPr>
              <w:pageBreakBefore w:val="0"/>
              <w:kinsoku/>
              <w:overflowPunct/>
              <w:bidi w:val="0"/>
              <w:spacing w:line="360" w:lineRule="auto"/>
              <w:jc w:val="center"/>
              <w:textAlignment w:val="center"/>
              <w:rPr>
                <w:rFonts w:ascii="宋体" w:hAnsi="宋体" w:cs="宋体"/>
                <w:kern w:val="0"/>
                <w:sz w:val="20"/>
              </w:rPr>
            </w:pPr>
          </w:p>
        </w:tc>
        <w:tc>
          <w:tcPr>
            <w:tcW w:w="7796" w:type="dxa"/>
            <w:vAlign w:val="center"/>
          </w:tcPr>
          <w:p>
            <w:pPr>
              <w:pageBreakBefore w:val="0"/>
              <w:kinsoku/>
              <w:overflowPunct/>
              <w:bidi w:val="0"/>
              <w:spacing w:line="360" w:lineRule="auto"/>
              <w:rPr>
                <w:rFonts w:ascii="宋体" w:hAnsi="宋体" w:cs="宋体"/>
                <w:b/>
                <w:kern w:val="0"/>
                <w:sz w:val="20"/>
              </w:rPr>
            </w:pPr>
            <w:r>
              <w:rPr>
                <w:rFonts w:hint="eastAsia" w:ascii="宋体" w:hAnsi="宋体" w:cs="宋体"/>
                <w:b/>
                <w:kern w:val="0"/>
                <w:sz w:val="20"/>
              </w:rPr>
              <w:t>工程进度计划与措施：</w:t>
            </w:r>
          </w:p>
          <w:p>
            <w:pPr>
              <w:pageBreakBefore w:val="0"/>
              <w:kinsoku/>
              <w:overflowPunct/>
              <w:bidi w:val="0"/>
              <w:spacing w:line="360" w:lineRule="auto"/>
              <w:ind w:firstLine="400" w:firstLineChars="200"/>
              <w:rPr>
                <w:rFonts w:ascii="宋体" w:hAnsi="宋体" w:cs="宋体"/>
                <w:kern w:val="0"/>
                <w:sz w:val="20"/>
              </w:rPr>
            </w:pPr>
            <w:r>
              <w:rPr>
                <w:rFonts w:hint="eastAsia" w:ascii="宋体" w:hAnsi="宋体" w:cs="宋体"/>
                <w:kern w:val="0"/>
                <w:sz w:val="20"/>
              </w:rPr>
              <w:t>结合本项目特点和宏观要求，质量目标明确，预控和动态控制措施完整，设备、工器具配备完善，实施工艺、手段先进、可靠、科学，管理体系和组织措施功能完善、管理幅度适宜，有关措施针对性强；同时进度控制措施得当，对本项目的工期重要性理解特别透彻，对地形地貌特征、重点工序、天气、关键设备故障、与社会环境等问题有切实可行的应对或应急方案，计划的柔性好，按时完工可靠性高。</w:t>
            </w:r>
          </w:p>
          <w:p>
            <w:pPr>
              <w:pageBreakBefore w:val="0"/>
              <w:kinsoku/>
              <w:overflowPunct/>
              <w:bidi w:val="0"/>
              <w:spacing w:line="360" w:lineRule="auto"/>
              <w:ind w:firstLine="300" w:firstLineChars="150"/>
              <w:rPr>
                <w:rFonts w:ascii="宋体" w:hAnsi="宋体" w:cs="宋体"/>
                <w:kern w:val="0"/>
                <w:sz w:val="20"/>
              </w:rPr>
            </w:pPr>
            <w:r>
              <w:rPr>
                <w:rFonts w:hint="eastAsia" w:ascii="宋体" w:hAnsi="宋体" w:cs="宋体"/>
                <w:kern w:val="0"/>
                <w:sz w:val="20"/>
              </w:rPr>
              <w:t>A.方案可靠，切实可行，考虑问题周全，工程进度计划与措施完善，实施过程务实；得10分。</w:t>
            </w:r>
          </w:p>
          <w:p>
            <w:pPr>
              <w:pageBreakBefore w:val="0"/>
              <w:kinsoku/>
              <w:overflowPunct/>
              <w:bidi w:val="0"/>
              <w:spacing w:line="360" w:lineRule="auto"/>
              <w:ind w:firstLine="300" w:firstLineChars="150"/>
              <w:rPr>
                <w:rFonts w:ascii="宋体" w:hAnsi="宋体" w:cs="宋体"/>
                <w:kern w:val="0"/>
                <w:sz w:val="20"/>
              </w:rPr>
            </w:pPr>
            <w:r>
              <w:rPr>
                <w:rFonts w:hint="eastAsia" w:ascii="宋体" w:hAnsi="宋体" w:cs="宋体"/>
                <w:kern w:val="0"/>
                <w:sz w:val="20"/>
              </w:rPr>
              <w:t>B.方案基本可靠，基本切实可行，考虑问题基本周全，工程进度计划与措施基本完善，实施过程基本务实；得7分。</w:t>
            </w:r>
          </w:p>
          <w:p>
            <w:pPr>
              <w:pageBreakBefore w:val="0"/>
              <w:kinsoku/>
              <w:overflowPunct/>
              <w:bidi w:val="0"/>
              <w:spacing w:line="360" w:lineRule="auto"/>
              <w:ind w:firstLine="300" w:firstLineChars="150"/>
              <w:rPr>
                <w:rFonts w:ascii="宋体" w:hAnsi="宋体" w:cs="宋体"/>
                <w:kern w:val="0"/>
                <w:sz w:val="20"/>
              </w:rPr>
            </w:pPr>
            <w:r>
              <w:rPr>
                <w:rFonts w:hint="eastAsia" w:ascii="宋体" w:hAnsi="宋体" w:cs="宋体"/>
                <w:kern w:val="0"/>
                <w:sz w:val="20"/>
              </w:rPr>
              <w:t>C.方案一般可靠，一般切实可行，考虑问题一般周全，工程进度计划与措施一般完善，实施过程一般；得5分。</w:t>
            </w:r>
          </w:p>
          <w:p>
            <w:pPr>
              <w:pageBreakBefore w:val="0"/>
              <w:kinsoku/>
              <w:overflowPunct/>
              <w:bidi w:val="0"/>
              <w:spacing w:line="360" w:lineRule="auto"/>
              <w:ind w:firstLine="300" w:firstLineChars="150"/>
              <w:rPr>
                <w:rFonts w:ascii="宋体" w:hAnsi="宋体" w:cs="宋体"/>
                <w:kern w:val="0"/>
                <w:sz w:val="20"/>
              </w:rPr>
            </w:pPr>
            <w:r>
              <w:rPr>
                <w:rFonts w:hint="eastAsia" w:ascii="宋体" w:hAnsi="宋体" w:cs="宋体"/>
                <w:kern w:val="0"/>
                <w:sz w:val="20"/>
              </w:rPr>
              <w:t>D.方案不可靠，不切实可行，考虑问题不周全，工程进度计划与措施不完善，实施过程差；得3分。</w:t>
            </w:r>
          </w:p>
          <w:p>
            <w:pPr>
              <w:pageBreakBefore w:val="0"/>
              <w:kinsoku/>
              <w:overflowPunct/>
              <w:bidi w:val="0"/>
              <w:spacing w:line="360" w:lineRule="auto"/>
              <w:rPr>
                <w:rFonts w:ascii="宋体" w:hAnsi="宋体" w:cs="宋体"/>
                <w:kern w:val="0"/>
                <w:sz w:val="20"/>
              </w:rPr>
            </w:pPr>
            <w:r>
              <w:rPr>
                <w:rFonts w:hint="eastAsia" w:ascii="宋体" w:hAnsi="宋体" w:cs="宋体"/>
                <w:kern w:val="0"/>
                <w:sz w:val="20"/>
              </w:rPr>
              <w:t>E. 未提供者；得0分。</w:t>
            </w:r>
          </w:p>
        </w:tc>
        <w:tc>
          <w:tcPr>
            <w:tcW w:w="709" w:type="dxa"/>
            <w:vAlign w:val="center"/>
          </w:tcPr>
          <w:p>
            <w:pPr>
              <w:pageBreakBefore w:val="0"/>
              <w:kinsoku/>
              <w:overflowPunct/>
              <w:bidi w:val="0"/>
              <w:spacing w:line="360" w:lineRule="auto"/>
              <w:jc w:val="center"/>
              <w:rPr>
                <w:rFonts w:ascii="宋体" w:hAnsi="宋体"/>
                <w:kern w:val="0"/>
                <w:sz w:val="20"/>
              </w:rPr>
            </w:pPr>
            <w:r>
              <w:rPr>
                <w:rFonts w:hint="eastAsia" w:ascii="宋体" w:hAnsi="宋体"/>
                <w:kern w:val="0"/>
                <w:sz w:val="20"/>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2" w:hRule="atLeast"/>
          <w:jc w:val="center"/>
        </w:trPr>
        <w:tc>
          <w:tcPr>
            <w:tcW w:w="1101" w:type="dxa"/>
            <w:vMerge w:val="continue"/>
            <w:vAlign w:val="center"/>
          </w:tcPr>
          <w:p>
            <w:pPr>
              <w:pageBreakBefore w:val="0"/>
              <w:kinsoku/>
              <w:overflowPunct/>
              <w:bidi w:val="0"/>
              <w:spacing w:line="360" w:lineRule="auto"/>
              <w:jc w:val="center"/>
              <w:textAlignment w:val="center"/>
              <w:rPr>
                <w:rFonts w:ascii="宋体" w:hAnsi="宋体" w:cs="宋体"/>
                <w:kern w:val="0"/>
                <w:sz w:val="20"/>
              </w:rPr>
            </w:pPr>
          </w:p>
        </w:tc>
        <w:tc>
          <w:tcPr>
            <w:tcW w:w="7796" w:type="dxa"/>
            <w:vAlign w:val="center"/>
          </w:tcPr>
          <w:p>
            <w:pPr>
              <w:pageBreakBefore w:val="0"/>
              <w:kinsoku/>
              <w:overflowPunct/>
              <w:bidi w:val="0"/>
              <w:spacing w:line="360" w:lineRule="auto"/>
              <w:rPr>
                <w:rFonts w:ascii="宋体" w:hAnsi="宋体" w:cs="宋体"/>
                <w:b/>
                <w:kern w:val="0"/>
                <w:sz w:val="20"/>
              </w:rPr>
            </w:pPr>
            <w:r>
              <w:rPr>
                <w:rFonts w:hint="eastAsia" w:ascii="宋体" w:hAnsi="宋体" w:cs="宋体"/>
                <w:b/>
                <w:kern w:val="0"/>
                <w:sz w:val="20"/>
              </w:rPr>
              <w:t>环保管理体系与措施：</w:t>
            </w:r>
          </w:p>
          <w:p>
            <w:pPr>
              <w:pageBreakBefore w:val="0"/>
              <w:kinsoku/>
              <w:overflowPunct/>
              <w:bidi w:val="0"/>
              <w:spacing w:line="360" w:lineRule="auto"/>
              <w:ind w:firstLine="400" w:firstLineChars="200"/>
              <w:rPr>
                <w:rFonts w:ascii="宋体" w:hAnsi="宋体" w:cs="宋体"/>
                <w:kern w:val="0"/>
                <w:sz w:val="20"/>
              </w:rPr>
            </w:pPr>
            <w:r>
              <w:rPr>
                <w:rFonts w:hint="eastAsia" w:ascii="宋体" w:hAnsi="宋体" w:cs="宋体"/>
                <w:kern w:val="0"/>
                <w:sz w:val="20"/>
              </w:rPr>
              <w:t>对项目实际情况，有先进、具体、完整、可行的措施，采用规范准确、清晰。创文明工地目标明确，临时设施、材料堆放、住宿、食堂等应符合有关文明施工、健康卫生的规定。施工现场扬尘治理措施科学、先进，达到内部标准化、外部景观化、无露土、干净整齐等“净化、绿化、亮化”效果。评委根据供应商编制的相关内容进行综合比较打分。</w:t>
            </w:r>
          </w:p>
          <w:p>
            <w:pPr>
              <w:pageBreakBefore w:val="0"/>
              <w:kinsoku/>
              <w:overflowPunct/>
              <w:bidi w:val="0"/>
              <w:spacing w:line="360" w:lineRule="auto"/>
              <w:ind w:firstLine="400" w:firstLineChars="200"/>
              <w:rPr>
                <w:rFonts w:ascii="宋体" w:hAnsi="宋体" w:cs="宋体"/>
                <w:kern w:val="0"/>
                <w:sz w:val="20"/>
              </w:rPr>
            </w:pPr>
            <w:r>
              <w:rPr>
                <w:rFonts w:hint="eastAsia" w:ascii="宋体" w:hAnsi="宋体" w:cs="宋体"/>
                <w:kern w:val="0"/>
                <w:sz w:val="20"/>
              </w:rPr>
              <w:t>A.方案可靠，切实可行，考虑问题周全，环保管理体系与措施完善，实施过程务实；得10分。</w:t>
            </w:r>
          </w:p>
          <w:p>
            <w:pPr>
              <w:pageBreakBefore w:val="0"/>
              <w:kinsoku/>
              <w:overflowPunct/>
              <w:bidi w:val="0"/>
              <w:spacing w:line="360" w:lineRule="auto"/>
              <w:ind w:firstLine="400" w:firstLineChars="200"/>
              <w:rPr>
                <w:rFonts w:ascii="宋体" w:hAnsi="宋体" w:cs="宋体"/>
                <w:kern w:val="0"/>
                <w:sz w:val="20"/>
              </w:rPr>
            </w:pPr>
            <w:r>
              <w:rPr>
                <w:rFonts w:hint="eastAsia" w:ascii="宋体" w:hAnsi="宋体" w:cs="宋体"/>
                <w:kern w:val="0"/>
                <w:sz w:val="20"/>
              </w:rPr>
              <w:t>B.方案基本可靠，基本切实可行，考虑问题基本周全，环保管理体系与措施基本完善，实施过程基本务实；得7分。</w:t>
            </w:r>
          </w:p>
          <w:p>
            <w:pPr>
              <w:pageBreakBefore w:val="0"/>
              <w:kinsoku/>
              <w:overflowPunct/>
              <w:bidi w:val="0"/>
              <w:spacing w:line="360" w:lineRule="auto"/>
              <w:ind w:firstLine="400" w:firstLineChars="200"/>
              <w:rPr>
                <w:rFonts w:ascii="宋体" w:hAnsi="宋体" w:cs="宋体"/>
                <w:kern w:val="0"/>
                <w:sz w:val="20"/>
              </w:rPr>
            </w:pPr>
            <w:r>
              <w:rPr>
                <w:rFonts w:hint="eastAsia" w:ascii="宋体" w:hAnsi="宋体" w:cs="宋体"/>
                <w:kern w:val="0"/>
                <w:sz w:val="20"/>
              </w:rPr>
              <w:t>C.方案一般可靠，一般切实可行，考虑问题一般周全，环保管理体系与措施一般完善，实施过程一般；得5分。</w:t>
            </w:r>
          </w:p>
          <w:p>
            <w:pPr>
              <w:pageBreakBefore w:val="0"/>
              <w:kinsoku/>
              <w:overflowPunct/>
              <w:bidi w:val="0"/>
              <w:spacing w:line="360" w:lineRule="auto"/>
              <w:ind w:firstLine="400" w:firstLineChars="200"/>
              <w:rPr>
                <w:rFonts w:ascii="宋体" w:hAnsi="宋体" w:cs="宋体"/>
                <w:kern w:val="0"/>
                <w:sz w:val="20"/>
              </w:rPr>
            </w:pPr>
            <w:r>
              <w:rPr>
                <w:rFonts w:hint="eastAsia" w:ascii="宋体" w:hAnsi="宋体" w:cs="宋体"/>
                <w:kern w:val="0"/>
                <w:sz w:val="20"/>
              </w:rPr>
              <w:t>D.方案不可靠，不切实可行，考虑问题不周全，环保管理体系与措施不完善，实施过程差；得3分。</w:t>
            </w:r>
          </w:p>
          <w:p>
            <w:pPr>
              <w:pageBreakBefore w:val="0"/>
              <w:kinsoku/>
              <w:overflowPunct/>
              <w:bidi w:val="0"/>
              <w:spacing w:line="360" w:lineRule="auto"/>
              <w:ind w:firstLine="400" w:firstLineChars="200"/>
              <w:rPr>
                <w:rFonts w:ascii="宋体" w:hAnsi="宋体" w:cs="宋体"/>
                <w:kern w:val="0"/>
                <w:sz w:val="20"/>
              </w:rPr>
            </w:pPr>
            <w:r>
              <w:rPr>
                <w:rFonts w:hint="eastAsia" w:ascii="宋体" w:hAnsi="宋体" w:cs="宋体"/>
                <w:kern w:val="0"/>
                <w:sz w:val="20"/>
              </w:rPr>
              <w:t>E. 未提供者；得0分。</w:t>
            </w:r>
          </w:p>
        </w:tc>
        <w:tc>
          <w:tcPr>
            <w:tcW w:w="709" w:type="dxa"/>
            <w:vAlign w:val="center"/>
          </w:tcPr>
          <w:p>
            <w:pPr>
              <w:pageBreakBefore w:val="0"/>
              <w:kinsoku/>
              <w:overflowPunct/>
              <w:bidi w:val="0"/>
              <w:spacing w:line="360" w:lineRule="auto"/>
              <w:jc w:val="center"/>
              <w:rPr>
                <w:rFonts w:ascii="宋体" w:hAnsi="宋体"/>
                <w:kern w:val="0"/>
                <w:sz w:val="20"/>
              </w:rPr>
            </w:pPr>
            <w:r>
              <w:rPr>
                <w:rFonts w:hint="eastAsia" w:ascii="宋体" w:hAnsi="宋体"/>
                <w:kern w:val="0"/>
                <w:sz w:val="20"/>
              </w:rPr>
              <w:t>10分</w:t>
            </w:r>
          </w:p>
        </w:tc>
      </w:tr>
    </w:tbl>
    <w:p>
      <w:pPr>
        <w:pageBreakBefore w:val="0"/>
        <w:kinsoku/>
        <w:wordWrap w:val="0"/>
        <w:overflowPunct/>
        <w:bidi w:val="0"/>
        <w:spacing w:line="360" w:lineRule="auto"/>
        <w:rPr>
          <w:rFonts w:ascii="宋体" w:hAnsi="宋体" w:cs="宋体"/>
          <w:sz w:val="24"/>
        </w:rPr>
      </w:pPr>
      <w:r>
        <w:rPr>
          <w:rFonts w:hint="eastAsia" w:ascii="宋体" w:hAnsi="宋体" w:cs="宋体"/>
          <w:sz w:val="24"/>
        </w:rPr>
        <w:t>注：1、商务技术分统计：按照评审程序、评分标准以及分值分配的规定，磋商小组成员分别就各个供应商的技术、商务状况，其对磋商文件要求的响应情况进行评议和比较，评出各供应商的技术商务总分，全部评委的评分的算术平均值即为该供应商的技术商务最终得分。</w:t>
      </w:r>
    </w:p>
    <w:p>
      <w:pPr>
        <w:pageBreakBefore w:val="0"/>
        <w:kinsoku/>
        <w:wordWrap w:val="0"/>
        <w:overflowPunct/>
        <w:bidi w:val="0"/>
        <w:spacing w:line="360" w:lineRule="auto"/>
        <w:rPr>
          <w:rFonts w:ascii="宋体" w:hAnsi="宋体" w:cs="宋体"/>
          <w:sz w:val="24"/>
        </w:rPr>
      </w:pPr>
      <w:r>
        <w:rPr>
          <w:rFonts w:hint="eastAsia" w:ascii="宋体" w:hAnsi="宋体" w:cs="宋体"/>
          <w:sz w:val="24"/>
        </w:rPr>
        <w:t>2、综合得分=商务技术得分+磋商报价得分。按照综合得分由高到低的顺序推荐成交候选人。</w:t>
      </w:r>
    </w:p>
    <w:p>
      <w:pPr>
        <w:pageBreakBefore w:val="0"/>
        <w:kinsoku/>
        <w:wordWrap w:val="0"/>
        <w:overflowPunct/>
        <w:bidi w:val="0"/>
        <w:spacing w:line="360" w:lineRule="auto"/>
        <w:rPr>
          <w:rFonts w:ascii="宋体" w:hAnsi="宋体" w:cs="宋体"/>
        </w:rPr>
      </w:pPr>
      <w:r>
        <w:rPr>
          <w:rFonts w:ascii="宋体" w:hAnsi="宋体" w:cs="宋体"/>
          <w:sz w:val="24"/>
        </w:rPr>
        <w:br w:type="page"/>
      </w:r>
    </w:p>
    <w:p>
      <w:pPr>
        <w:pStyle w:val="4"/>
        <w:bidi w:val="0"/>
      </w:pPr>
      <w:bookmarkStart w:id="419" w:name="_Toc87865797"/>
      <w:bookmarkStart w:id="420" w:name="_Toc8367"/>
      <w:r>
        <w:rPr>
          <w:rFonts w:hint="eastAsia"/>
        </w:rPr>
        <w:t>第四章 合同条款及格式</w:t>
      </w:r>
      <w:bookmarkEnd w:id="410"/>
      <w:bookmarkEnd w:id="411"/>
      <w:bookmarkEnd w:id="412"/>
      <w:bookmarkEnd w:id="413"/>
      <w:bookmarkEnd w:id="414"/>
      <w:bookmarkEnd w:id="415"/>
      <w:bookmarkEnd w:id="416"/>
      <w:bookmarkEnd w:id="419"/>
      <w:bookmarkEnd w:id="420"/>
    </w:p>
    <w:p>
      <w:pPr>
        <w:pageBreakBefore w:val="0"/>
        <w:kinsoku/>
        <w:wordWrap w:val="0"/>
        <w:overflowPunct/>
        <w:bidi w:val="0"/>
        <w:spacing w:before="156" w:beforeLines="50" w:line="360" w:lineRule="auto"/>
        <w:jc w:val="center"/>
        <w:rPr>
          <w:rFonts w:ascii="宋体" w:hAnsi="宋体" w:cs="宋体"/>
          <w:b/>
          <w:sz w:val="24"/>
        </w:rPr>
      </w:pPr>
      <w:r>
        <w:rPr>
          <w:rFonts w:hint="eastAsia" w:ascii="宋体" w:hAnsi="宋体" w:cs="宋体"/>
          <w:b/>
          <w:sz w:val="24"/>
        </w:rPr>
        <w:t>（具体内容由双方在合同中约定）</w:t>
      </w:r>
    </w:p>
    <w:p>
      <w:pPr>
        <w:jc w:val="center"/>
        <w:rPr>
          <w:rFonts w:ascii="宋体" w:hAnsi="宋体" w:cs="宋体"/>
        </w:rPr>
      </w:pPr>
      <w:r>
        <w:rPr>
          <w:rFonts w:ascii="宋体" w:hAnsi="宋体" w:cs="宋体"/>
        </w:rPr>
        <w:br w:type="page"/>
      </w:r>
    </w:p>
    <w:p>
      <w:pPr>
        <w:jc w:val="center"/>
        <w:rPr>
          <w:rFonts w:hint="eastAsia" w:ascii="黑体" w:hAnsi="黑体" w:eastAsia="黑体"/>
          <w:b/>
          <w:sz w:val="52"/>
          <w:szCs w:val="52"/>
        </w:rPr>
      </w:pPr>
      <w:r>
        <w:rPr>
          <w:rFonts w:ascii="黑体" w:hAnsi="黑体" w:eastAsia="黑体"/>
          <w:b/>
          <w:sz w:val="52"/>
          <w:szCs w:val="52"/>
        </w:rPr>
        <w:t>工</w:t>
      </w:r>
      <w:r>
        <w:rPr>
          <w:rFonts w:hint="eastAsia" w:ascii="黑体" w:hAnsi="黑体" w:eastAsia="黑体"/>
          <w:b/>
          <w:sz w:val="52"/>
          <w:szCs w:val="52"/>
        </w:rPr>
        <w:t xml:space="preserve"> 程 承 包 合 同 书</w:t>
      </w:r>
    </w:p>
    <w:p>
      <w:pPr>
        <w:jc w:val="center"/>
        <w:rPr>
          <w:rFonts w:hint="eastAsia" w:ascii="黑体" w:hAnsi="黑体" w:eastAsia="黑体"/>
          <w:b/>
          <w:sz w:val="52"/>
          <w:szCs w:val="52"/>
        </w:rPr>
      </w:pPr>
    </w:p>
    <w:p>
      <w:pPr>
        <w:jc w:val="center"/>
        <w:rPr>
          <w:rFonts w:hint="eastAsia" w:ascii="黑体" w:hAnsi="黑体" w:eastAsia="黑体"/>
          <w:b/>
          <w:sz w:val="52"/>
          <w:szCs w:val="52"/>
        </w:rPr>
      </w:pPr>
    </w:p>
    <w:p>
      <w:pPr>
        <w:jc w:val="center"/>
        <w:rPr>
          <w:rFonts w:hint="eastAsia" w:ascii="黑体" w:hAnsi="黑体" w:eastAsia="黑体"/>
          <w:b/>
          <w:sz w:val="52"/>
          <w:szCs w:val="52"/>
        </w:rPr>
      </w:pPr>
    </w:p>
    <w:p>
      <w:pPr>
        <w:jc w:val="center"/>
        <w:rPr>
          <w:rFonts w:hint="eastAsia" w:ascii="黑体" w:hAnsi="黑体" w:eastAsia="黑体"/>
          <w:b/>
          <w:sz w:val="52"/>
          <w:szCs w:val="52"/>
        </w:rPr>
      </w:pPr>
    </w:p>
    <w:p>
      <w:pPr>
        <w:jc w:val="center"/>
        <w:rPr>
          <w:rFonts w:hint="eastAsia" w:ascii="黑体" w:hAnsi="黑体" w:eastAsia="黑体"/>
          <w:b/>
          <w:sz w:val="52"/>
          <w:szCs w:val="52"/>
        </w:rPr>
      </w:pPr>
    </w:p>
    <w:p>
      <w:pPr>
        <w:jc w:val="center"/>
        <w:rPr>
          <w:rFonts w:hint="eastAsia" w:ascii="黑体" w:hAnsi="黑体" w:eastAsia="黑体"/>
          <w:b/>
          <w:sz w:val="52"/>
          <w:szCs w:val="52"/>
        </w:rPr>
      </w:pPr>
    </w:p>
    <w:p>
      <w:pPr>
        <w:jc w:val="center"/>
        <w:rPr>
          <w:rFonts w:hint="eastAsia" w:ascii="黑体" w:hAnsi="黑体" w:eastAsia="黑体"/>
          <w:b/>
          <w:sz w:val="52"/>
          <w:szCs w:val="52"/>
        </w:rPr>
      </w:pPr>
    </w:p>
    <w:p>
      <w:pPr>
        <w:pStyle w:val="2"/>
        <w:outlineLvl w:val="9"/>
        <w:rPr>
          <w:rFonts w:hint="eastAsia"/>
        </w:rPr>
      </w:pPr>
    </w:p>
    <w:p>
      <w:pPr>
        <w:tabs>
          <w:tab w:val="left" w:pos="7655"/>
        </w:tabs>
        <w:jc w:val="left"/>
        <w:rPr>
          <w:rFonts w:hint="eastAsia" w:ascii="黑体" w:hAnsi="黑体" w:eastAsia="黑体" w:cs="仿宋"/>
          <w:b/>
          <w:sz w:val="30"/>
          <w:szCs w:val="30"/>
          <w:u w:val="single"/>
        </w:rPr>
      </w:pPr>
      <w:r>
        <w:rPr>
          <w:rFonts w:hint="eastAsia" w:ascii="仿宋_GB2312" w:hAnsi="黑体" w:eastAsia="仿宋_GB2312"/>
          <w:b/>
          <w:sz w:val="30"/>
          <w:szCs w:val="30"/>
        </w:rPr>
        <w:t xml:space="preserve">    </w:t>
      </w:r>
      <w:r>
        <w:rPr>
          <w:rFonts w:hint="eastAsia" w:ascii="仿宋_GB2312" w:hAnsi="黑体" w:eastAsia="仿宋_GB2312"/>
          <w:b/>
          <w:sz w:val="30"/>
          <w:szCs w:val="30"/>
          <w:lang w:val="en-US" w:eastAsia="zh-CN"/>
        </w:rPr>
        <w:t xml:space="preserve">  </w:t>
      </w:r>
      <w:r>
        <w:rPr>
          <w:rFonts w:hint="eastAsia" w:ascii="黑体" w:hAnsi="黑体" w:eastAsia="黑体"/>
          <w:b/>
          <w:sz w:val="30"/>
          <w:szCs w:val="30"/>
        </w:rPr>
        <w:t>工程名称：</w:t>
      </w:r>
    </w:p>
    <w:p>
      <w:pPr>
        <w:tabs>
          <w:tab w:val="left" w:pos="7655"/>
        </w:tabs>
        <w:ind w:firstLine="904" w:firstLineChars="300"/>
        <w:rPr>
          <w:rFonts w:hint="eastAsia" w:ascii="黑体" w:hAnsi="黑体" w:eastAsia="黑体"/>
          <w:b/>
          <w:sz w:val="30"/>
          <w:szCs w:val="30"/>
          <w:u w:val="single"/>
        </w:rPr>
      </w:pPr>
      <w:r>
        <w:rPr>
          <w:rFonts w:hint="eastAsia" w:ascii="黑体" w:hAnsi="黑体" w:eastAsia="黑体"/>
          <w:b/>
          <w:sz w:val="30"/>
          <w:szCs w:val="30"/>
        </w:rPr>
        <w:t>发包单位：</w:t>
      </w:r>
    </w:p>
    <w:p>
      <w:pPr>
        <w:ind w:firstLine="894" w:firstLineChars="297"/>
        <w:rPr>
          <w:rFonts w:hint="eastAsia" w:ascii="黑体" w:hAnsi="黑体" w:eastAsia="黑体" w:cs="宋体"/>
          <w:sz w:val="30"/>
          <w:szCs w:val="30"/>
          <w:u w:val="single"/>
        </w:rPr>
      </w:pPr>
      <w:r>
        <w:rPr>
          <w:rFonts w:hint="eastAsia" w:ascii="黑体" w:hAnsi="黑体" w:eastAsia="黑体"/>
          <w:b/>
          <w:sz w:val="30"/>
          <w:szCs w:val="30"/>
        </w:rPr>
        <w:t>承包单位：</w:t>
      </w:r>
    </w:p>
    <w:p>
      <w:pPr>
        <w:jc w:val="center"/>
        <w:rPr>
          <w:rFonts w:hint="eastAsia" w:ascii="黑体" w:hAnsi="黑体" w:eastAsia="黑体"/>
          <w:b/>
          <w:sz w:val="30"/>
          <w:szCs w:val="30"/>
          <w:u w:val="single"/>
        </w:rPr>
      </w:pPr>
    </w:p>
    <w:p>
      <w:pPr>
        <w:rPr>
          <w:rFonts w:hint="eastAsia" w:ascii="宋体" w:hAnsi="宋体" w:cs="宋体"/>
          <w:b w:val="0"/>
          <w:bCs w:val="0"/>
          <w:color w:val="auto"/>
          <w:sz w:val="30"/>
          <w:szCs w:val="30"/>
          <w:u w:val="none"/>
        </w:rPr>
      </w:pPr>
      <w:r>
        <w:rPr>
          <w:rFonts w:hint="eastAsia" w:ascii="宋体" w:hAnsi="宋体" w:cs="宋体"/>
          <w:b w:val="0"/>
          <w:bCs w:val="0"/>
          <w:color w:val="auto"/>
          <w:sz w:val="30"/>
          <w:szCs w:val="30"/>
          <w:u w:val="none"/>
        </w:rPr>
        <w:br w:type="page"/>
      </w:r>
    </w:p>
    <w:p>
      <w:pPr>
        <w:spacing w:line="500" w:lineRule="exact"/>
        <w:ind w:firstLine="560"/>
        <w:jc w:val="center"/>
        <w:rPr>
          <w:rFonts w:ascii="黑体" w:hAnsi="黑体" w:eastAsia="黑体" w:cs="黑体"/>
          <w:bCs/>
          <w:szCs w:val="28"/>
        </w:rPr>
      </w:pPr>
      <w:r>
        <w:rPr>
          <w:rFonts w:hint="eastAsia" w:ascii="黑体" w:hAnsi="黑体" w:eastAsia="黑体" w:cs="黑体"/>
          <w:bCs/>
          <w:szCs w:val="28"/>
        </w:rPr>
        <w:t>第一部分 合同协议书</w:t>
      </w:r>
    </w:p>
    <w:p>
      <w:pPr>
        <w:spacing w:line="500" w:lineRule="exact"/>
        <w:ind w:firstLine="560"/>
        <w:rPr>
          <w:bCs/>
          <w:szCs w:val="21"/>
        </w:rPr>
      </w:pPr>
    </w:p>
    <w:p>
      <w:pPr>
        <w:adjustRightInd w:val="0"/>
        <w:snapToGrid w:val="0"/>
        <w:spacing w:line="360" w:lineRule="auto"/>
        <w:rPr>
          <w:rFonts w:hint="eastAsia" w:ascii="宋体" w:hAnsi="宋体" w:cs="宋体"/>
          <w:b/>
          <w:sz w:val="28"/>
          <w:szCs w:val="28"/>
          <w:u w:val="single"/>
        </w:rPr>
      </w:pPr>
      <w:r>
        <w:rPr>
          <w:rFonts w:hint="eastAsia" w:ascii="宋体" w:hAnsi="宋体" w:cs="宋体"/>
          <w:b/>
          <w:sz w:val="28"/>
          <w:szCs w:val="28"/>
        </w:rPr>
        <w:t>发包人：</w:t>
      </w:r>
      <w:r>
        <w:rPr>
          <w:rFonts w:hint="eastAsia" w:ascii="宋体" w:hAnsi="宋体" w:cs="宋体"/>
          <w:b/>
          <w:kern w:val="0"/>
          <w:sz w:val="28"/>
          <w:szCs w:val="28"/>
          <w:u w:val="single"/>
        </w:rPr>
        <w:t>儋州市中等职业技术学校</w:t>
      </w:r>
      <w:r>
        <w:rPr>
          <w:rFonts w:hint="eastAsia" w:ascii="宋体" w:hAnsi="宋体" w:cs="宋体"/>
          <w:b/>
          <w:sz w:val="28"/>
          <w:szCs w:val="28"/>
        </w:rPr>
        <w:t>（以下简称甲方）</w:t>
      </w:r>
    </w:p>
    <w:p>
      <w:pPr>
        <w:spacing w:line="120" w:lineRule="auto"/>
        <w:jc w:val="left"/>
        <w:rPr>
          <w:rFonts w:hint="eastAsia" w:ascii="宋体" w:hAnsi="宋体" w:cs="宋体"/>
          <w:b/>
          <w:sz w:val="28"/>
          <w:szCs w:val="28"/>
        </w:rPr>
      </w:pPr>
      <w:r>
        <w:rPr>
          <w:rFonts w:hint="eastAsia" w:ascii="宋体" w:hAnsi="宋体" w:cs="宋体"/>
          <w:b/>
          <w:sz w:val="28"/>
          <w:szCs w:val="28"/>
        </w:rPr>
        <w:t>承包人：   （以下简称乙方）</w:t>
      </w:r>
    </w:p>
    <w:p>
      <w:pPr>
        <w:spacing w:line="120" w:lineRule="auto"/>
        <w:ind w:firstLine="560" w:firstLineChars="200"/>
        <w:rPr>
          <w:rFonts w:hint="eastAsia" w:ascii="宋体" w:hAnsi="宋体" w:cs="宋体"/>
          <w:sz w:val="28"/>
          <w:szCs w:val="28"/>
        </w:rPr>
      </w:pPr>
      <w:r>
        <w:rPr>
          <w:rFonts w:hint="eastAsia" w:ascii="宋体" w:hAnsi="宋体" w:cs="宋体"/>
          <w:sz w:val="28"/>
          <w:szCs w:val="28"/>
        </w:rPr>
        <w:t>根据《中华人民共和国建筑法》、《中华人民共和国合同法》及相关行业标准，结合本工程的具体情况，经双方协商一致，签订本合同，以资共同遵守。</w:t>
      </w:r>
    </w:p>
    <w:p>
      <w:pPr>
        <w:spacing w:line="360" w:lineRule="auto"/>
        <w:rPr>
          <w:rFonts w:hint="eastAsia" w:ascii="宋体" w:hAnsi="宋体"/>
          <w:sz w:val="28"/>
          <w:szCs w:val="28"/>
        </w:rPr>
      </w:pPr>
      <w:r>
        <w:rPr>
          <w:rFonts w:hint="eastAsia" w:ascii="宋体" w:hAnsi="宋体" w:cs="宋体"/>
          <w:b/>
          <w:sz w:val="28"/>
          <w:szCs w:val="28"/>
        </w:rPr>
        <w:t>一、工程名称：</w:t>
      </w:r>
    </w:p>
    <w:p>
      <w:pPr>
        <w:spacing w:line="120" w:lineRule="auto"/>
        <w:rPr>
          <w:rFonts w:hint="eastAsia" w:ascii="宋体" w:hAnsi="宋体"/>
          <w:sz w:val="30"/>
          <w:szCs w:val="30"/>
        </w:rPr>
      </w:pPr>
      <w:r>
        <w:rPr>
          <w:rFonts w:hint="eastAsia" w:ascii="宋体" w:hAnsi="宋体" w:cs="宋体"/>
          <w:b/>
          <w:sz w:val="28"/>
          <w:szCs w:val="28"/>
        </w:rPr>
        <w:t xml:space="preserve">二、工程地点: </w:t>
      </w:r>
    </w:p>
    <w:p>
      <w:pPr>
        <w:spacing w:line="120" w:lineRule="auto"/>
        <w:rPr>
          <w:rFonts w:hint="eastAsia" w:ascii="宋体" w:hAnsi="宋体" w:cs="宋体"/>
          <w:sz w:val="28"/>
          <w:szCs w:val="28"/>
        </w:rPr>
      </w:pPr>
      <w:r>
        <w:rPr>
          <w:rFonts w:hint="eastAsia" w:ascii="宋体" w:hAnsi="宋体" w:cs="宋体"/>
          <w:b/>
          <w:sz w:val="28"/>
          <w:szCs w:val="28"/>
        </w:rPr>
        <w:t>三、承包范围及内容：</w:t>
      </w:r>
      <w:r>
        <w:rPr>
          <w:rFonts w:hint="eastAsia" w:ascii="宋体" w:hAnsi="宋体" w:cs="宋体"/>
          <w:sz w:val="28"/>
          <w:szCs w:val="28"/>
        </w:rPr>
        <w:t xml:space="preserve"> </w:t>
      </w:r>
    </w:p>
    <w:p>
      <w:pPr>
        <w:spacing w:line="120" w:lineRule="auto"/>
        <w:rPr>
          <w:rFonts w:hint="eastAsia" w:ascii="宋体" w:hAnsi="宋体" w:cs="宋体"/>
          <w:b/>
          <w:sz w:val="28"/>
          <w:szCs w:val="28"/>
        </w:rPr>
      </w:pPr>
      <w:r>
        <w:rPr>
          <w:rFonts w:hint="eastAsia" w:ascii="宋体" w:hAnsi="宋体" w:cs="宋体"/>
          <w:b/>
          <w:sz w:val="28"/>
          <w:szCs w:val="28"/>
        </w:rPr>
        <w:t>四、承包方式：</w:t>
      </w:r>
    </w:p>
    <w:p>
      <w:pPr>
        <w:spacing w:line="120" w:lineRule="auto"/>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rPr>
        <w:t>本工程采取总承包形式、即包工包料、包安全、包质量、包工期、包文明施工。</w:t>
      </w:r>
    </w:p>
    <w:p>
      <w:pPr>
        <w:numPr>
          <w:ilvl w:val="0"/>
          <w:numId w:val="2"/>
        </w:numPr>
        <w:spacing w:line="120" w:lineRule="auto"/>
        <w:rPr>
          <w:rFonts w:hint="eastAsia" w:ascii="宋体" w:hAnsi="宋体" w:cs="宋体"/>
          <w:b/>
          <w:sz w:val="28"/>
          <w:szCs w:val="28"/>
        </w:rPr>
      </w:pPr>
      <w:r>
        <w:rPr>
          <w:rFonts w:hint="eastAsia" w:ascii="宋体" w:hAnsi="宋体" w:cs="宋体"/>
          <w:b/>
          <w:sz w:val="28"/>
          <w:szCs w:val="28"/>
        </w:rPr>
        <w:t>工程造价及结算办法：</w:t>
      </w:r>
    </w:p>
    <w:p>
      <w:pPr>
        <w:spacing w:line="120" w:lineRule="auto"/>
        <w:ind w:firstLine="560" w:firstLineChars="200"/>
        <w:rPr>
          <w:rFonts w:hint="eastAsia" w:ascii="宋体" w:hAnsi="宋体" w:cs="宋体"/>
          <w:sz w:val="28"/>
          <w:szCs w:val="28"/>
        </w:rPr>
      </w:pPr>
      <w:r>
        <w:rPr>
          <w:rFonts w:hint="eastAsia" w:ascii="宋体" w:hAnsi="宋体" w:cs="宋体"/>
          <w:sz w:val="28"/>
          <w:szCs w:val="28"/>
        </w:rPr>
        <w:t>1、合同中标价为：人民币：（</w:t>
      </w:r>
      <w:r>
        <w:rPr>
          <w:rFonts w:hint="eastAsia" w:ascii="宋体" w:hAnsi="宋体" w:cs="宋体"/>
          <w:b/>
          <w:sz w:val="28"/>
          <w:szCs w:val="28"/>
        </w:rPr>
        <w:t>¥：</w:t>
      </w:r>
      <w:r>
        <w:rPr>
          <w:rFonts w:hint="eastAsia" w:ascii="宋体" w:hAnsi="宋体" w:cs="宋体"/>
          <w:sz w:val="28"/>
          <w:szCs w:val="28"/>
        </w:rPr>
        <w:t>元）。实际工程造价由造价咨询机构依据合同约定、行业标准及竣工验收后的实际完成工程量进行编制，最终出具经甲、乙双方确认的结算审核报告为准。</w:t>
      </w:r>
    </w:p>
    <w:p>
      <w:pPr>
        <w:spacing w:line="120" w:lineRule="auto"/>
        <w:ind w:firstLine="560" w:firstLineChars="200"/>
        <w:rPr>
          <w:rFonts w:hint="eastAsia" w:ascii="宋体" w:hAnsi="宋体" w:cs="宋体"/>
          <w:sz w:val="28"/>
          <w:szCs w:val="28"/>
        </w:rPr>
      </w:pPr>
      <w:r>
        <w:rPr>
          <w:rFonts w:hint="eastAsia" w:ascii="宋体" w:hAnsi="宋体" w:cs="宋体"/>
          <w:sz w:val="28"/>
          <w:szCs w:val="28"/>
        </w:rPr>
        <w:t>2、本工程结算造价①招标清单以内的项目依据招标文件及按照国家</w:t>
      </w:r>
      <w:r>
        <w:rPr>
          <w:rFonts w:hint="eastAsia" w:ascii="宋体" w:hAnsi="宋体" w:cs="宋体"/>
          <w:sz w:val="28"/>
          <w:szCs w:val="28"/>
        </w:rPr>
        <w:fldChar w:fldCharType="begin"/>
      </w:r>
      <w:r>
        <w:rPr>
          <w:rFonts w:hint="eastAsia" w:ascii="宋体" w:hAnsi="宋体" w:cs="宋体"/>
          <w:sz w:val="28"/>
          <w:szCs w:val="28"/>
        </w:rPr>
        <w:instrText xml:space="preserve"> HYPERLINK "https://baike.baidu.com/item/%E5%BB%BA%E8%AE%BE%E9%83%A8" \t "https://baike.baidu.com/item/%E5%B7%A5%E7%A8%8B%E9%87%8F%E6%B8%85%E5%8D%95%E6%8B%9B%E6%A0%87/_blank" </w:instrText>
      </w:r>
      <w:r>
        <w:rPr>
          <w:rFonts w:hint="eastAsia" w:ascii="宋体" w:hAnsi="宋体" w:cs="宋体"/>
          <w:sz w:val="28"/>
          <w:szCs w:val="28"/>
        </w:rPr>
        <w:fldChar w:fldCharType="separate"/>
      </w:r>
      <w:r>
        <w:rPr>
          <w:rFonts w:hint="eastAsia" w:ascii="宋体" w:hAnsi="宋体" w:cs="宋体"/>
          <w:sz w:val="28"/>
          <w:szCs w:val="28"/>
        </w:rPr>
        <w:t>建设部</w:t>
      </w:r>
      <w:r>
        <w:rPr>
          <w:rFonts w:hint="eastAsia" w:ascii="宋体" w:hAnsi="宋体" w:cs="宋体"/>
          <w:sz w:val="28"/>
          <w:szCs w:val="28"/>
        </w:rPr>
        <w:fldChar w:fldCharType="end"/>
      </w: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HYPERLINK "https://baike.baidu.com/item/%E5%BB%BA%E8%AE%BE%E5%B7%A5%E7%A8%8B" \t "https://baike.baidu.com/item/%E5%B7%A5%E7%A8%8B%E9%87%8F%E6%B8%85%E5%8D%95%E6%8B%9B%E6%A0%87/_blank" </w:instrText>
      </w:r>
      <w:r>
        <w:rPr>
          <w:rFonts w:hint="eastAsia" w:ascii="宋体" w:hAnsi="宋体" w:cs="宋体"/>
          <w:sz w:val="28"/>
          <w:szCs w:val="28"/>
        </w:rPr>
        <w:fldChar w:fldCharType="separate"/>
      </w:r>
      <w:r>
        <w:rPr>
          <w:rFonts w:hint="eastAsia" w:ascii="宋体" w:hAnsi="宋体" w:cs="宋体"/>
          <w:sz w:val="28"/>
          <w:szCs w:val="28"/>
        </w:rPr>
        <w:t>建设工程</w:t>
      </w:r>
      <w:r>
        <w:rPr>
          <w:rFonts w:hint="eastAsia" w:ascii="宋体" w:hAnsi="宋体" w:cs="宋体"/>
          <w:sz w:val="28"/>
          <w:szCs w:val="28"/>
        </w:rPr>
        <w:fldChar w:fldCharType="end"/>
      </w:r>
      <w:r>
        <w:rPr>
          <w:rFonts w:hint="eastAsia" w:ascii="宋体" w:hAnsi="宋体" w:cs="宋体"/>
          <w:sz w:val="28"/>
          <w:szCs w:val="28"/>
        </w:rPr>
        <w:fldChar w:fldCharType="begin"/>
      </w:r>
      <w:r>
        <w:rPr>
          <w:rFonts w:hint="eastAsia" w:ascii="宋体" w:hAnsi="宋体" w:cs="宋体"/>
          <w:sz w:val="28"/>
          <w:szCs w:val="28"/>
        </w:rPr>
        <w:instrText xml:space="preserve"> HYPERLINK "https://baike.baidu.com/item/%E5%B7%A5%E7%A8%8B%E9%87%8F%E6%B8%85%E5%8D%95" \t "https://baike.baidu.com/item/%E5%B7%A5%E7%A8%8B%E9%87%8F%E6%B8%85%E5%8D%95%E6%8B%9B%E6%A0%87/_blank" </w:instrText>
      </w:r>
      <w:r>
        <w:rPr>
          <w:rFonts w:hint="eastAsia" w:ascii="宋体" w:hAnsi="宋体" w:cs="宋体"/>
          <w:sz w:val="28"/>
          <w:szCs w:val="28"/>
        </w:rPr>
        <w:fldChar w:fldCharType="separate"/>
      </w:r>
      <w:r>
        <w:rPr>
          <w:rFonts w:hint="eastAsia" w:ascii="宋体" w:hAnsi="宋体" w:cs="宋体"/>
          <w:sz w:val="28"/>
          <w:szCs w:val="28"/>
        </w:rPr>
        <w:t>工程量清单</w:t>
      </w:r>
      <w:r>
        <w:rPr>
          <w:rFonts w:hint="eastAsia" w:ascii="宋体" w:hAnsi="宋体" w:cs="宋体"/>
          <w:sz w:val="28"/>
          <w:szCs w:val="28"/>
        </w:rPr>
        <w:fldChar w:fldCharType="end"/>
      </w:r>
      <w:r>
        <w:rPr>
          <w:rFonts w:hint="eastAsia" w:ascii="宋体" w:hAnsi="宋体" w:cs="宋体"/>
          <w:sz w:val="28"/>
          <w:szCs w:val="28"/>
        </w:rPr>
        <w:t>计价规范》的统一规定，以投标时编制的工程量清单单价及工程实际发生工程量进行计算编制。②招标清单以外增加的项目由造价咨询单位按照海南省行业建设主管部门或其授权的工程造价管理机构发布的信息价、现行的《海南省装饰装修工程综合定额(2015)》、《海南省房屋建筑与装饰工程综合定额（2017）》、《海南省安装工程综合定额(2017)》（缺项参照有关相近定额）及儋州市有关造价文件和中标下浮率</w:t>
      </w:r>
      <w:r>
        <w:rPr>
          <w:rFonts w:hint="eastAsia" w:ascii="宋体" w:hAnsi="宋体" w:cs="宋体"/>
          <w:sz w:val="28"/>
          <w:szCs w:val="28"/>
          <w:u w:val="single"/>
        </w:rPr>
        <w:t xml:space="preserve"> / </w:t>
      </w:r>
      <w:r>
        <w:rPr>
          <w:rFonts w:hint="eastAsia" w:ascii="宋体" w:hAnsi="宋体" w:cs="宋体"/>
          <w:sz w:val="28"/>
          <w:szCs w:val="28"/>
        </w:rPr>
        <w:t>办理竣工结算。</w:t>
      </w:r>
    </w:p>
    <w:p>
      <w:pPr>
        <w:spacing w:line="120" w:lineRule="auto"/>
        <w:ind w:left="38" w:leftChars="18" w:firstLine="590" w:firstLineChars="211"/>
        <w:rPr>
          <w:rFonts w:hint="eastAsia" w:ascii="宋体" w:hAnsi="宋体" w:cs="宋体"/>
          <w:sz w:val="28"/>
          <w:szCs w:val="28"/>
        </w:rPr>
      </w:pPr>
      <w:r>
        <w:rPr>
          <w:rFonts w:hint="eastAsia" w:ascii="宋体" w:hAnsi="宋体" w:cs="宋体"/>
          <w:sz w:val="28"/>
          <w:szCs w:val="28"/>
        </w:rPr>
        <w:t>3、在履行合同期间，如国家、地区对有关建设工程人工、材料、机械费用、取费标准等有政策性变化时，可在竣工结算时进行相应调整。</w:t>
      </w:r>
    </w:p>
    <w:p>
      <w:pPr>
        <w:spacing w:line="120" w:lineRule="auto"/>
        <w:rPr>
          <w:rFonts w:hint="eastAsia" w:ascii="宋体" w:hAnsi="宋体" w:cs="宋体"/>
          <w:b/>
          <w:sz w:val="28"/>
          <w:szCs w:val="28"/>
        </w:rPr>
      </w:pPr>
      <w:r>
        <w:rPr>
          <w:rFonts w:hint="eastAsia" w:ascii="宋体" w:hAnsi="宋体" w:cs="宋体"/>
          <w:b/>
          <w:sz w:val="28"/>
          <w:szCs w:val="28"/>
        </w:rPr>
        <w:t>六、工程质量</w:t>
      </w:r>
    </w:p>
    <w:p>
      <w:pPr>
        <w:spacing w:line="120" w:lineRule="auto"/>
        <w:ind w:firstLine="560" w:firstLineChars="200"/>
        <w:rPr>
          <w:rFonts w:hint="eastAsia" w:ascii="宋体" w:hAnsi="宋体" w:cs="宋体"/>
          <w:sz w:val="28"/>
          <w:szCs w:val="28"/>
        </w:rPr>
      </w:pPr>
      <w:r>
        <w:rPr>
          <w:rFonts w:hint="eastAsia" w:ascii="宋体" w:hAnsi="宋体" w:cs="宋体"/>
          <w:sz w:val="28"/>
          <w:szCs w:val="28"/>
        </w:rPr>
        <w:t>达到工程施工图纸的各项要求，按甲方要求及国家、省、市颁发的质量检验评定标准、施工技术规范等规范、规程施工，质量等级目标为</w:t>
      </w:r>
      <w:r>
        <w:rPr>
          <w:rFonts w:hint="eastAsia" w:ascii="宋体" w:hAnsi="宋体" w:cs="宋体"/>
          <w:b/>
          <w:sz w:val="28"/>
          <w:szCs w:val="28"/>
          <w:u w:val="single"/>
        </w:rPr>
        <w:t>合格</w:t>
      </w:r>
      <w:r>
        <w:rPr>
          <w:rFonts w:hint="eastAsia" w:ascii="宋体" w:hAnsi="宋体" w:cs="宋体"/>
          <w:sz w:val="28"/>
          <w:szCs w:val="28"/>
        </w:rPr>
        <w:t>。</w:t>
      </w:r>
    </w:p>
    <w:p>
      <w:pPr>
        <w:spacing w:line="120" w:lineRule="auto"/>
        <w:rPr>
          <w:rFonts w:hint="eastAsia" w:ascii="宋体" w:hAnsi="宋体" w:cs="宋体"/>
          <w:b/>
          <w:sz w:val="28"/>
          <w:szCs w:val="28"/>
        </w:rPr>
      </w:pPr>
      <w:r>
        <w:rPr>
          <w:rFonts w:hint="eastAsia" w:ascii="宋体" w:hAnsi="宋体" w:cs="宋体"/>
          <w:b/>
          <w:sz w:val="28"/>
          <w:szCs w:val="28"/>
        </w:rPr>
        <w:t>七、工期</w:t>
      </w:r>
    </w:p>
    <w:p>
      <w:pPr>
        <w:spacing w:line="120" w:lineRule="auto"/>
        <w:ind w:firstLine="560" w:firstLineChars="200"/>
        <w:rPr>
          <w:rFonts w:hint="eastAsia" w:ascii="宋体" w:hAnsi="宋体" w:cs="宋体"/>
          <w:sz w:val="28"/>
          <w:szCs w:val="28"/>
        </w:rPr>
      </w:pPr>
      <w:r>
        <w:rPr>
          <w:rFonts w:hint="eastAsia" w:ascii="宋体" w:hAnsi="宋体" w:cs="宋体"/>
          <w:sz w:val="28"/>
          <w:szCs w:val="28"/>
        </w:rPr>
        <w:t>1、施工工期：</w:t>
      </w:r>
      <w:r>
        <w:rPr>
          <w:rFonts w:hint="eastAsia" w:ascii="宋体" w:hAnsi="宋体" w:cs="宋体"/>
          <w:sz w:val="28"/>
          <w:szCs w:val="28"/>
          <w:u w:val="single"/>
        </w:rPr>
        <w:t xml:space="preserve">    </w:t>
      </w:r>
      <w:r>
        <w:rPr>
          <w:rFonts w:hint="eastAsia" w:ascii="宋体" w:hAnsi="宋体" w:cs="宋体"/>
          <w:sz w:val="28"/>
          <w:szCs w:val="28"/>
        </w:rPr>
        <w:t>日历天</w:t>
      </w:r>
      <w:r>
        <w:rPr>
          <w:rStyle w:val="137"/>
          <w:rFonts w:hint="eastAsia" w:ascii="宋体" w:hAnsi="宋体" w:cs="宋体"/>
        </w:rPr>
        <w:t>，</w:t>
      </w:r>
      <w:r>
        <w:rPr>
          <w:rFonts w:hint="eastAsia" w:ascii="宋体" w:hAnsi="宋体" w:cs="宋体"/>
          <w:sz w:val="28"/>
          <w:szCs w:val="28"/>
        </w:rPr>
        <w:t>开工日期以甲方通知为准。</w:t>
      </w:r>
    </w:p>
    <w:p>
      <w:pPr>
        <w:spacing w:line="120" w:lineRule="auto"/>
        <w:ind w:firstLine="560" w:firstLineChars="200"/>
        <w:rPr>
          <w:rFonts w:hint="eastAsia" w:ascii="宋体" w:hAnsi="宋体" w:cs="宋体"/>
          <w:sz w:val="28"/>
          <w:szCs w:val="28"/>
        </w:rPr>
      </w:pPr>
      <w:r>
        <w:rPr>
          <w:rFonts w:hint="eastAsia" w:ascii="宋体" w:hAnsi="宋体" w:cs="宋体"/>
          <w:sz w:val="28"/>
          <w:szCs w:val="28"/>
        </w:rPr>
        <w:t>2、因甲方设计变更增减工程量，其工期可相应增、减。</w:t>
      </w:r>
    </w:p>
    <w:p>
      <w:pPr>
        <w:spacing w:line="120" w:lineRule="auto"/>
        <w:ind w:firstLine="560" w:firstLineChars="200"/>
        <w:rPr>
          <w:rFonts w:hint="eastAsia" w:ascii="宋体" w:hAnsi="宋体" w:cs="宋体"/>
          <w:sz w:val="28"/>
          <w:szCs w:val="28"/>
        </w:rPr>
      </w:pPr>
      <w:r>
        <w:rPr>
          <w:rFonts w:hint="eastAsia" w:ascii="宋体" w:hAnsi="宋体" w:cs="宋体"/>
          <w:sz w:val="28"/>
          <w:szCs w:val="28"/>
        </w:rPr>
        <w:t>3、因甲方原因影响工程进展，工期可相应顺延。</w:t>
      </w:r>
    </w:p>
    <w:p>
      <w:pPr>
        <w:spacing w:line="120" w:lineRule="auto"/>
        <w:ind w:firstLine="560" w:firstLineChars="200"/>
        <w:rPr>
          <w:rFonts w:hint="eastAsia" w:ascii="宋体" w:hAnsi="宋体" w:cs="宋体"/>
          <w:b/>
          <w:sz w:val="28"/>
          <w:szCs w:val="28"/>
        </w:rPr>
      </w:pPr>
      <w:r>
        <w:rPr>
          <w:rFonts w:hint="eastAsia" w:ascii="宋体" w:hAnsi="宋体" w:cs="宋体"/>
          <w:sz w:val="28"/>
          <w:szCs w:val="28"/>
        </w:rPr>
        <w:t>4、因人力不可抗拒因素，经甲方代表签证确认，工期可相应顺延。</w:t>
      </w:r>
    </w:p>
    <w:p>
      <w:pPr>
        <w:spacing w:line="120" w:lineRule="auto"/>
        <w:rPr>
          <w:rFonts w:hint="eastAsia" w:ascii="宋体" w:hAnsi="宋体" w:cs="宋体"/>
          <w:b/>
          <w:sz w:val="28"/>
          <w:szCs w:val="28"/>
        </w:rPr>
      </w:pPr>
      <w:r>
        <w:rPr>
          <w:rFonts w:hint="eastAsia" w:ascii="宋体" w:hAnsi="宋体" w:cs="宋体"/>
          <w:b/>
          <w:sz w:val="28"/>
          <w:szCs w:val="28"/>
        </w:rPr>
        <w:t>八、支付条件及方式：</w:t>
      </w:r>
    </w:p>
    <w:p>
      <w:pPr>
        <w:spacing w:line="120" w:lineRule="auto"/>
        <w:ind w:firstLine="560" w:firstLineChars="200"/>
        <w:rPr>
          <w:rFonts w:hint="eastAsia" w:ascii="宋体" w:hAnsi="宋体" w:cs="宋体"/>
          <w:sz w:val="28"/>
          <w:szCs w:val="28"/>
        </w:rPr>
      </w:pPr>
      <w:r>
        <w:rPr>
          <w:rFonts w:hint="eastAsia" w:ascii="宋体" w:hAnsi="宋体" w:cs="宋体"/>
          <w:sz w:val="28"/>
          <w:szCs w:val="28"/>
        </w:rPr>
        <w:t>1、合同签订完毕，乙方进场开工后7日内，甲方支付乙方本合同价30％的首期工程款，即预付款人民币：</w:t>
      </w:r>
      <w:r>
        <w:rPr>
          <w:rFonts w:hint="eastAsia" w:ascii="宋体" w:hAnsi="宋体" w:cs="宋体"/>
          <w:sz w:val="28"/>
          <w:szCs w:val="28"/>
          <w:u w:val="single"/>
        </w:rPr>
        <w:t>¥（大写： ）</w:t>
      </w:r>
      <w:r>
        <w:rPr>
          <w:rFonts w:hint="eastAsia" w:ascii="宋体" w:hAnsi="宋体" w:cs="宋体"/>
          <w:sz w:val="28"/>
          <w:szCs w:val="28"/>
        </w:rPr>
        <w:t>。</w:t>
      </w:r>
    </w:p>
    <w:p>
      <w:pPr>
        <w:pStyle w:val="2"/>
        <w:spacing w:line="120" w:lineRule="auto"/>
        <w:ind w:firstLine="560" w:firstLineChars="200"/>
        <w:rPr>
          <w:rFonts w:hint="eastAsia" w:ascii="宋体" w:hAnsi="宋体" w:cs="宋体"/>
          <w:b w:val="0"/>
          <w:sz w:val="28"/>
          <w:szCs w:val="28"/>
        </w:rPr>
      </w:pPr>
      <w:r>
        <w:rPr>
          <w:rFonts w:hint="eastAsia" w:ascii="宋体" w:hAnsi="宋体" w:cs="宋体"/>
          <w:b w:val="0"/>
          <w:bCs w:val="0"/>
          <w:sz w:val="28"/>
          <w:szCs w:val="28"/>
        </w:rPr>
        <w:t>2、</w:t>
      </w:r>
      <w:r>
        <w:rPr>
          <w:rFonts w:hint="eastAsia" w:ascii="宋体" w:hAnsi="宋体" w:cs="仿宋"/>
          <w:b w:val="0"/>
          <w:sz w:val="28"/>
          <w:szCs w:val="28"/>
        </w:rPr>
        <w:t>承包人完成工程量超过70%时，发包人向承包人支付到合同价的70%的工程进度款。</w:t>
      </w:r>
    </w:p>
    <w:p>
      <w:pPr>
        <w:spacing w:line="120" w:lineRule="auto"/>
        <w:ind w:firstLine="560" w:firstLineChars="200"/>
        <w:rPr>
          <w:rFonts w:hint="eastAsia" w:ascii="宋体" w:hAnsi="宋体" w:cs="宋体"/>
          <w:sz w:val="28"/>
          <w:szCs w:val="28"/>
        </w:rPr>
      </w:pPr>
      <w:r>
        <w:rPr>
          <w:rFonts w:hint="eastAsia" w:ascii="宋体" w:hAnsi="宋体" w:cs="宋体"/>
          <w:sz w:val="28"/>
          <w:szCs w:val="28"/>
        </w:rPr>
        <w:t>3、</w:t>
      </w:r>
      <w:r>
        <w:rPr>
          <w:rFonts w:hint="eastAsia" w:ascii="宋体" w:hAnsi="宋体" w:cs="仿宋"/>
          <w:sz w:val="28"/>
          <w:szCs w:val="28"/>
        </w:rPr>
        <w:t>工程竣工验收合格后，发包人向承包人支付到合同价的85%的工程进度款。</w:t>
      </w:r>
    </w:p>
    <w:p>
      <w:pPr>
        <w:ind w:firstLine="560" w:firstLineChars="200"/>
        <w:rPr>
          <w:rFonts w:hint="eastAsia" w:ascii="宋体" w:hAnsi="宋体" w:cs="仿宋"/>
          <w:sz w:val="28"/>
          <w:szCs w:val="28"/>
        </w:rPr>
      </w:pPr>
      <w:r>
        <w:rPr>
          <w:rFonts w:hint="eastAsia" w:ascii="宋体" w:hAnsi="宋体"/>
          <w:sz w:val="28"/>
          <w:szCs w:val="28"/>
        </w:rPr>
        <w:t>4、</w:t>
      </w:r>
      <w:r>
        <w:rPr>
          <w:rFonts w:hint="eastAsia" w:ascii="宋体" w:hAnsi="宋体" w:cs="仿宋"/>
          <w:sz w:val="28"/>
          <w:szCs w:val="28"/>
        </w:rPr>
        <w:t>结算审核完成后，根据结算审计结果支付至结算审计金额的97%，剩余3%作为工程质量保证金，质保期为竣工验收合格之日起一年乙方通知甲方申请复查甲方应在5个工作日内组织复查，质保期内未发生任何工程质量问题的甲方应向乙方返还无息质保金。</w:t>
      </w:r>
    </w:p>
    <w:p>
      <w:pPr>
        <w:spacing w:line="120" w:lineRule="auto"/>
        <w:ind w:firstLine="560" w:firstLineChars="200"/>
        <w:rPr>
          <w:rFonts w:hint="eastAsia" w:ascii="宋体" w:hAnsi="宋体" w:cs="宋体"/>
          <w:sz w:val="28"/>
          <w:szCs w:val="28"/>
        </w:rPr>
      </w:pPr>
      <w:r>
        <w:rPr>
          <w:rFonts w:hint="eastAsia" w:ascii="宋体" w:hAnsi="宋体" w:cs="宋体"/>
          <w:sz w:val="28"/>
          <w:szCs w:val="28"/>
        </w:rPr>
        <w:t>5、支付工程款前乙方必须向甲方出具等额的增值税发票。</w:t>
      </w:r>
    </w:p>
    <w:p>
      <w:pPr>
        <w:spacing w:line="120" w:lineRule="auto"/>
        <w:rPr>
          <w:rFonts w:hint="eastAsia" w:ascii="宋体" w:hAnsi="宋体" w:cs="宋体"/>
          <w:b/>
          <w:sz w:val="28"/>
          <w:szCs w:val="28"/>
        </w:rPr>
      </w:pPr>
      <w:r>
        <w:rPr>
          <w:rFonts w:hint="eastAsia" w:ascii="宋体" w:hAnsi="宋体" w:cs="宋体"/>
          <w:b/>
          <w:sz w:val="28"/>
          <w:szCs w:val="28"/>
        </w:rPr>
        <w:t>九、双方责任：</w:t>
      </w:r>
    </w:p>
    <w:p>
      <w:pPr>
        <w:spacing w:line="120" w:lineRule="auto"/>
        <w:ind w:firstLine="560" w:firstLineChars="200"/>
        <w:rPr>
          <w:rFonts w:hint="eastAsia" w:ascii="宋体" w:hAnsi="宋体" w:cs="宋体"/>
          <w:sz w:val="28"/>
          <w:szCs w:val="28"/>
        </w:rPr>
      </w:pPr>
      <w:r>
        <w:rPr>
          <w:rFonts w:hint="eastAsia" w:ascii="宋体" w:hAnsi="宋体" w:cs="宋体"/>
          <w:sz w:val="28"/>
          <w:szCs w:val="28"/>
        </w:rPr>
        <w:t>1、甲方责任：</w:t>
      </w:r>
    </w:p>
    <w:p>
      <w:pPr>
        <w:spacing w:line="120" w:lineRule="auto"/>
        <w:ind w:firstLine="560" w:firstLineChars="200"/>
        <w:rPr>
          <w:rFonts w:hint="eastAsia" w:ascii="宋体" w:hAnsi="宋体" w:cs="宋体"/>
          <w:sz w:val="28"/>
          <w:szCs w:val="28"/>
        </w:rPr>
      </w:pPr>
      <w:r>
        <w:rPr>
          <w:rFonts w:hint="eastAsia" w:ascii="宋体" w:hAnsi="宋体" w:cs="宋体"/>
          <w:sz w:val="28"/>
          <w:szCs w:val="28"/>
        </w:rPr>
        <w:t>（1）组织有关人员对承包人进场施工作业人员进行安全、质量、文明施工、综合治理等方面的指导，做好日常监督工作。</w:t>
      </w:r>
    </w:p>
    <w:p>
      <w:pPr>
        <w:spacing w:line="120" w:lineRule="auto"/>
        <w:ind w:firstLine="560" w:firstLineChars="200"/>
        <w:rPr>
          <w:rFonts w:hint="eastAsia" w:ascii="宋体" w:hAnsi="宋体" w:cs="宋体"/>
          <w:sz w:val="28"/>
          <w:szCs w:val="28"/>
        </w:rPr>
      </w:pPr>
      <w:r>
        <w:rPr>
          <w:rFonts w:hint="eastAsia" w:ascii="宋体" w:hAnsi="宋体" w:cs="宋体"/>
          <w:sz w:val="28"/>
          <w:szCs w:val="28"/>
        </w:rPr>
        <w:t>（2）组织及负责对承包人施工作业人员进行施工范围、措施等方面的交底。　</w:t>
      </w:r>
    </w:p>
    <w:p>
      <w:pPr>
        <w:spacing w:line="120" w:lineRule="auto"/>
        <w:ind w:firstLine="560" w:firstLineChars="200"/>
        <w:rPr>
          <w:rFonts w:hint="eastAsia" w:ascii="宋体" w:hAnsi="宋体" w:cs="宋体"/>
          <w:sz w:val="28"/>
          <w:szCs w:val="28"/>
        </w:rPr>
      </w:pPr>
      <w:r>
        <w:rPr>
          <w:rFonts w:hint="eastAsia" w:ascii="宋体" w:hAnsi="宋体" w:cs="宋体"/>
          <w:sz w:val="28"/>
          <w:szCs w:val="28"/>
        </w:rPr>
        <w:t>（3）负责对承包人工程质量、文明施工等方面的工作进行指导、监控，并按规定及时做好验收工作。</w:t>
      </w:r>
    </w:p>
    <w:p>
      <w:pPr>
        <w:spacing w:line="120" w:lineRule="auto"/>
        <w:ind w:firstLine="560" w:firstLineChars="200"/>
        <w:rPr>
          <w:rFonts w:hint="eastAsia" w:ascii="宋体" w:hAnsi="宋体" w:cs="宋体"/>
          <w:sz w:val="28"/>
          <w:szCs w:val="28"/>
        </w:rPr>
      </w:pPr>
      <w:r>
        <w:rPr>
          <w:rFonts w:hint="eastAsia" w:ascii="宋体" w:hAnsi="宋体" w:cs="宋体"/>
          <w:sz w:val="28"/>
          <w:szCs w:val="28"/>
        </w:rPr>
        <w:t>（4）协助乙方做好施工现场管理。</w:t>
      </w:r>
    </w:p>
    <w:p>
      <w:pPr>
        <w:spacing w:line="120" w:lineRule="auto"/>
        <w:ind w:firstLine="560" w:firstLineChars="200"/>
        <w:rPr>
          <w:rFonts w:hint="eastAsia" w:ascii="宋体" w:hAnsi="宋体" w:cs="宋体"/>
          <w:sz w:val="28"/>
          <w:szCs w:val="28"/>
        </w:rPr>
      </w:pPr>
      <w:r>
        <w:rPr>
          <w:rFonts w:hint="eastAsia" w:ascii="宋体" w:hAnsi="宋体" w:cs="宋体"/>
          <w:sz w:val="28"/>
          <w:szCs w:val="28"/>
        </w:rPr>
        <w:t>（5）协调乙方施工用半成品堆放场地和水、电源接头。水</w:t>
      </w:r>
    </w:p>
    <w:p>
      <w:pPr>
        <w:spacing w:line="120" w:lineRule="auto"/>
        <w:ind w:firstLine="560" w:firstLineChars="200"/>
        <w:rPr>
          <w:rFonts w:hint="eastAsia" w:ascii="宋体" w:hAnsi="宋体" w:cs="宋体"/>
          <w:sz w:val="28"/>
          <w:szCs w:val="28"/>
        </w:rPr>
      </w:pPr>
      <w:r>
        <w:rPr>
          <w:rFonts w:hint="eastAsia" w:ascii="宋体" w:hAnsi="宋体" w:cs="宋体"/>
          <w:sz w:val="28"/>
          <w:szCs w:val="28"/>
        </w:rPr>
        <w:t>（6）按合同约定及时支付工程款。</w:t>
      </w:r>
    </w:p>
    <w:p>
      <w:pPr>
        <w:spacing w:line="120" w:lineRule="auto"/>
        <w:ind w:firstLine="700" w:firstLineChars="250"/>
        <w:rPr>
          <w:rFonts w:hint="eastAsia" w:ascii="宋体" w:hAnsi="宋体" w:cs="宋体"/>
          <w:sz w:val="28"/>
          <w:szCs w:val="28"/>
        </w:rPr>
      </w:pPr>
      <w:r>
        <w:rPr>
          <w:rFonts w:hint="eastAsia" w:ascii="宋体" w:hAnsi="宋体" w:cs="宋体"/>
          <w:sz w:val="28"/>
          <w:szCs w:val="28"/>
        </w:rPr>
        <w:t>2、乙方责任</w:t>
      </w:r>
    </w:p>
    <w:p>
      <w:pPr>
        <w:spacing w:line="120" w:lineRule="auto"/>
        <w:ind w:firstLine="560" w:firstLineChars="200"/>
        <w:rPr>
          <w:rFonts w:hint="eastAsia" w:ascii="宋体" w:hAnsi="宋体" w:cs="宋体"/>
          <w:sz w:val="28"/>
          <w:szCs w:val="28"/>
        </w:rPr>
      </w:pPr>
      <w:r>
        <w:rPr>
          <w:rFonts w:hint="eastAsia" w:ascii="宋体" w:hAnsi="宋体" w:cs="宋体"/>
          <w:sz w:val="28"/>
          <w:szCs w:val="28"/>
        </w:rPr>
        <w:t>（1）乙方必须严格遵守合同条款，按照设计图纸、技术规范、质量标准完成合同范围内约定的全部工作内容，并保证工程进度及质量。</w:t>
      </w:r>
    </w:p>
    <w:p>
      <w:pPr>
        <w:spacing w:line="120" w:lineRule="auto"/>
        <w:ind w:firstLine="560" w:firstLineChars="200"/>
        <w:rPr>
          <w:rFonts w:hint="eastAsia" w:ascii="宋体" w:hAnsi="宋体" w:cs="宋体"/>
          <w:sz w:val="28"/>
          <w:szCs w:val="28"/>
        </w:rPr>
      </w:pPr>
      <w:r>
        <w:rPr>
          <w:rFonts w:hint="eastAsia" w:ascii="宋体" w:hAnsi="宋体" w:cs="宋体"/>
          <w:sz w:val="28"/>
          <w:szCs w:val="28"/>
        </w:rPr>
        <w:t>（2）对于隐蔽工程乙方自检后应提前1日书面通知甲方现场代表，检验合格后方可进行下道工序施工。</w:t>
      </w:r>
    </w:p>
    <w:p>
      <w:pPr>
        <w:spacing w:line="120" w:lineRule="auto"/>
        <w:rPr>
          <w:rFonts w:hint="eastAsia" w:ascii="宋体" w:hAnsi="宋体" w:cs="宋体"/>
          <w:sz w:val="28"/>
          <w:szCs w:val="28"/>
        </w:rPr>
      </w:pPr>
      <w:r>
        <w:rPr>
          <w:rFonts w:hint="eastAsia" w:ascii="宋体" w:hAnsi="宋体" w:cs="宋体"/>
          <w:sz w:val="28"/>
          <w:szCs w:val="28"/>
        </w:rPr>
        <w:t xml:space="preserve">    （3）做好施工组织管理，建立工序自检、专检制度和工程质量保证体系，做好施工日记及施工原始记录。</w:t>
      </w:r>
    </w:p>
    <w:p>
      <w:pPr>
        <w:spacing w:line="120" w:lineRule="auto"/>
        <w:ind w:firstLine="560" w:firstLineChars="200"/>
        <w:rPr>
          <w:rFonts w:hint="eastAsia" w:ascii="宋体" w:hAnsi="宋体" w:cs="宋体"/>
          <w:sz w:val="28"/>
          <w:szCs w:val="28"/>
        </w:rPr>
      </w:pPr>
      <w:r>
        <w:rPr>
          <w:rFonts w:hint="eastAsia" w:ascii="宋体" w:hAnsi="宋体" w:cs="宋体"/>
          <w:sz w:val="28"/>
          <w:szCs w:val="28"/>
        </w:rPr>
        <w:t>（4）遵守政府、有关部门对建设工程施工管理的有关规定，维护施工现场的整洁、美化，应做到文明施工。</w:t>
      </w:r>
    </w:p>
    <w:p>
      <w:pPr>
        <w:spacing w:line="120" w:lineRule="auto"/>
        <w:ind w:firstLine="560" w:firstLineChars="200"/>
        <w:rPr>
          <w:rFonts w:hint="eastAsia" w:ascii="宋体" w:hAnsi="宋体" w:cs="宋体"/>
          <w:sz w:val="28"/>
          <w:szCs w:val="28"/>
        </w:rPr>
      </w:pPr>
      <w:r>
        <w:rPr>
          <w:rFonts w:hint="eastAsia" w:ascii="宋体" w:hAnsi="宋体" w:cs="宋体"/>
          <w:sz w:val="28"/>
          <w:szCs w:val="28"/>
        </w:rPr>
        <w:t>（5）遵守安全生产操作规程，严防安全事故发生。指定专人负责建立安全生产组织与制度，加强宣传教育，经常开展安全检查，保证工程施工安全。在施工过程中发生人身、设备、工程质量事故以及其它事故，其全部责任由乙方独自承担。</w:t>
      </w:r>
    </w:p>
    <w:p>
      <w:pPr>
        <w:spacing w:line="120" w:lineRule="auto"/>
        <w:ind w:firstLine="560" w:firstLineChars="200"/>
        <w:rPr>
          <w:rFonts w:hint="eastAsia" w:ascii="宋体" w:hAnsi="宋体" w:cs="宋体"/>
          <w:sz w:val="28"/>
          <w:szCs w:val="28"/>
        </w:rPr>
      </w:pPr>
      <w:r>
        <w:rPr>
          <w:rFonts w:hint="eastAsia" w:ascii="宋体" w:hAnsi="宋体" w:cs="宋体"/>
          <w:sz w:val="28"/>
          <w:szCs w:val="28"/>
        </w:rPr>
        <w:t>（6）乙方必须处理好施工与生活方面产生的污水、垃圾，遵守国家和当地的有关环境保护法令，如违反规定而导致的损失费用由乙方负责；同时，工程竣工后必须把移交部分的工地清理干净至甲方满意，否则甲方不予验收。</w:t>
      </w:r>
    </w:p>
    <w:p>
      <w:pPr>
        <w:spacing w:line="120" w:lineRule="auto"/>
        <w:ind w:firstLine="560" w:firstLineChars="200"/>
        <w:rPr>
          <w:rFonts w:hint="eastAsia" w:ascii="宋体" w:hAnsi="宋体" w:cs="宋体"/>
          <w:sz w:val="28"/>
          <w:szCs w:val="28"/>
        </w:rPr>
      </w:pPr>
      <w:r>
        <w:rPr>
          <w:rFonts w:hint="eastAsia" w:ascii="宋体" w:hAnsi="宋体" w:cs="宋体"/>
          <w:sz w:val="28"/>
          <w:szCs w:val="28"/>
        </w:rPr>
        <w:t>（7）保护施工现场周边的环境及设施，如损坏，负责修复或赔偿。</w:t>
      </w:r>
    </w:p>
    <w:p>
      <w:pPr>
        <w:spacing w:line="120" w:lineRule="auto"/>
        <w:ind w:firstLine="560" w:firstLineChars="200"/>
        <w:rPr>
          <w:rFonts w:hint="eastAsia" w:ascii="宋体" w:hAnsi="宋体" w:cs="宋体"/>
          <w:sz w:val="28"/>
          <w:szCs w:val="28"/>
        </w:rPr>
      </w:pPr>
      <w:r>
        <w:rPr>
          <w:rFonts w:hint="eastAsia" w:ascii="宋体" w:hAnsi="宋体" w:cs="宋体"/>
          <w:sz w:val="28"/>
          <w:szCs w:val="28"/>
        </w:rPr>
        <w:t>（8）甲方支付预付款之日起10日内，乙方需将工程所需材料运至合同约定的工程地点，所有材料在工程验收合格前的保护工作均由乙方承担。</w:t>
      </w:r>
    </w:p>
    <w:p>
      <w:pPr>
        <w:spacing w:line="120" w:lineRule="auto"/>
        <w:ind w:firstLine="560" w:firstLineChars="200"/>
        <w:rPr>
          <w:rFonts w:hint="eastAsia" w:ascii="宋体" w:hAnsi="宋体" w:cs="宋体"/>
          <w:sz w:val="28"/>
          <w:szCs w:val="28"/>
        </w:rPr>
      </w:pPr>
      <w:r>
        <w:rPr>
          <w:rFonts w:hint="eastAsia" w:ascii="宋体" w:hAnsi="宋体" w:cs="宋体"/>
          <w:sz w:val="28"/>
          <w:szCs w:val="28"/>
        </w:rPr>
        <w:t>（9）工程完工竣工验收后10日内，乙方须将其人员、材料、设施等清离。</w:t>
      </w:r>
    </w:p>
    <w:p>
      <w:pPr>
        <w:spacing w:line="120" w:lineRule="auto"/>
        <w:ind w:firstLine="560" w:firstLineChars="200"/>
        <w:rPr>
          <w:rFonts w:hint="eastAsia" w:ascii="宋体" w:hAnsi="宋体" w:cs="宋体"/>
          <w:sz w:val="28"/>
          <w:szCs w:val="28"/>
        </w:rPr>
      </w:pPr>
      <w:r>
        <w:rPr>
          <w:rFonts w:hint="eastAsia" w:ascii="宋体" w:hAnsi="宋体" w:cs="宋体"/>
          <w:sz w:val="28"/>
          <w:szCs w:val="28"/>
        </w:rPr>
        <w:t>（10）乙方必须在竣工验收合格后三个月内办理工程结算相关手续，逾期不办理，且甲方有权无条件单方面终止合同，由此造成的一切责任和损失，全部由乙方独自承担。</w:t>
      </w:r>
    </w:p>
    <w:p>
      <w:pPr>
        <w:spacing w:line="120" w:lineRule="auto"/>
        <w:ind w:firstLine="560" w:firstLineChars="200"/>
        <w:rPr>
          <w:rFonts w:hint="eastAsia" w:ascii="宋体" w:hAnsi="宋体" w:cs="宋体"/>
          <w:sz w:val="28"/>
          <w:szCs w:val="28"/>
        </w:rPr>
      </w:pPr>
      <w:r>
        <w:rPr>
          <w:rFonts w:hint="eastAsia" w:ascii="宋体" w:hAnsi="宋体" w:cs="宋体"/>
          <w:sz w:val="28"/>
          <w:szCs w:val="28"/>
        </w:rPr>
        <w:t>（11）保修期期间，乙方收到甲方通知之时起48小时内须回复甲方，并予以动工维修，如乙方未回复的，甲方有权自行处理，费用由乙方承担，甲方可从保修金中扣除乙方应当承担的费用，不足的甲方有权向乙方继续追偿。</w:t>
      </w:r>
    </w:p>
    <w:p>
      <w:pPr>
        <w:spacing w:line="120" w:lineRule="auto"/>
        <w:ind w:firstLine="560" w:firstLineChars="200"/>
        <w:rPr>
          <w:rFonts w:hint="eastAsia" w:ascii="宋体" w:hAnsi="宋体" w:cs="宋体"/>
          <w:sz w:val="28"/>
          <w:szCs w:val="28"/>
        </w:rPr>
      </w:pPr>
      <w:r>
        <w:rPr>
          <w:rFonts w:hint="eastAsia" w:ascii="宋体" w:hAnsi="宋体" w:cs="宋体"/>
          <w:sz w:val="28"/>
          <w:szCs w:val="28"/>
        </w:rPr>
        <w:t>（12）未经甲方书面同意，乙方不得将本合同项下得权利、义务转让他人，否则甲方有权解除合同，乙方应向甲方支付合同价的20%的违约金。</w:t>
      </w:r>
    </w:p>
    <w:p>
      <w:pPr>
        <w:spacing w:line="120" w:lineRule="auto"/>
        <w:rPr>
          <w:rFonts w:hint="eastAsia" w:ascii="宋体" w:hAnsi="宋体" w:cs="宋体"/>
          <w:spacing w:val="20"/>
          <w:w w:val="109"/>
          <w:sz w:val="24"/>
        </w:rPr>
      </w:pPr>
      <w:r>
        <w:rPr>
          <w:rFonts w:hint="eastAsia" w:ascii="宋体" w:hAnsi="宋体" w:cs="宋体"/>
          <w:b/>
          <w:bCs/>
          <w:spacing w:val="20"/>
          <w:w w:val="109"/>
          <w:sz w:val="24"/>
        </w:rPr>
        <w:t>十</w:t>
      </w:r>
      <w:r>
        <w:rPr>
          <w:rFonts w:hint="eastAsia" w:ascii="宋体" w:hAnsi="宋体" w:cs="宋体"/>
          <w:b/>
          <w:sz w:val="28"/>
          <w:szCs w:val="28"/>
        </w:rPr>
        <w:t>、隐蔽工程检查和返工</w:t>
      </w:r>
    </w:p>
    <w:p>
      <w:pPr>
        <w:spacing w:line="120" w:lineRule="auto"/>
        <w:ind w:firstLine="560" w:firstLineChars="200"/>
        <w:rPr>
          <w:rFonts w:hint="eastAsia" w:ascii="宋体" w:hAnsi="宋体" w:cs="宋体"/>
          <w:sz w:val="28"/>
          <w:szCs w:val="28"/>
        </w:rPr>
      </w:pPr>
      <w:r>
        <w:rPr>
          <w:rFonts w:hint="eastAsia" w:ascii="宋体" w:hAnsi="宋体" w:cs="宋体"/>
          <w:sz w:val="28"/>
          <w:szCs w:val="28"/>
        </w:rPr>
        <w:t xml:space="preserve"> 乙方应认真按照标准、规范和设计的要求以及甲方代表依据合同发出的指令施工，并在前道工序完成、下道工序开始之前，向甲方代表提出检查检验申请。甲方代表在接到申请后的48小时内必须到现场检验。如检验不合格，按甲方代表及委派人员的要求返工、修改，承担由自身原因导致返工、修改的费用。乙方在收到甲方代表的检验合格签字后，方能进行下道工序的施工，否则产生的返工费用乙方承担。因甲方不正确纠正引起的费用支出，由甲方承担。以上检查检验合格后，又发现由乙方原因引起的质量问题，仍由乙方承担责任和发生的费用，赔偿甲方的有关损失。以上检查检验不影响施工正常进行，如影响施工正常进行，检查检验不合格，影响正常施工的费用由乙方承担。除此之外影响正常施工的费用支出由甲方承担。</w:t>
      </w:r>
    </w:p>
    <w:p>
      <w:pPr>
        <w:spacing w:line="120" w:lineRule="auto"/>
        <w:rPr>
          <w:rFonts w:hint="eastAsia" w:ascii="宋体" w:hAnsi="宋体" w:cs="宋体"/>
          <w:b/>
          <w:sz w:val="28"/>
          <w:szCs w:val="28"/>
        </w:rPr>
      </w:pPr>
      <w:r>
        <w:rPr>
          <w:rFonts w:hint="eastAsia" w:ascii="宋体" w:hAnsi="宋体" w:cs="宋体"/>
          <w:b/>
          <w:sz w:val="28"/>
          <w:szCs w:val="28"/>
        </w:rPr>
        <w:t>十一、违约责任</w:t>
      </w:r>
    </w:p>
    <w:p>
      <w:pPr>
        <w:snapToGrid w:val="0"/>
        <w:spacing w:line="360" w:lineRule="auto"/>
        <w:ind w:firstLine="560" w:firstLineChars="200"/>
        <w:rPr>
          <w:rFonts w:hint="eastAsia" w:ascii="宋体" w:hAnsi="宋体" w:cs="宋体"/>
          <w:sz w:val="28"/>
          <w:szCs w:val="28"/>
        </w:rPr>
      </w:pPr>
      <w:r>
        <w:rPr>
          <w:rFonts w:hint="eastAsia" w:ascii="宋体" w:hAnsi="宋体" w:cs="宋体"/>
          <w:sz w:val="28"/>
          <w:szCs w:val="28"/>
        </w:rPr>
        <w:t>1、双方在合同执行过程中，任何一方违反本合同约定的（不包含本违约责任第二款之约定），另一方有权解除本合同，违约方应赔偿守约方包括维权成本在内的全部损失，并向守约方支付合同价5%的违约金。如乙方违反的本合同约定的，还应将甲方已支付的费用退还甲方。</w:t>
      </w:r>
    </w:p>
    <w:p>
      <w:pPr>
        <w:snapToGrid w:val="0"/>
        <w:spacing w:line="360" w:lineRule="auto"/>
        <w:ind w:firstLine="560" w:firstLineChars="200"/>
        <w:rPr>
          <w:rFonts w:hint="eastAsia" w:ascii="宋体" w:hAnsi="宋体" w:cs="宋体"/>
          <w:sz w:val="28"/>
          <w:szCs w:val="28"/>
        </w:rPr>
      </w:pPr>
      <w:r>
        <w:rPr>
          <w:rFonts w:hint="eastAsia" w:ascii="宋体" w:hAnsi="宋体" w:cs="宋体"/>
          <w:sz w:val="28"/>
          <w:szCs w:val="28"/>
        </w:rPr>
        <w:t>2、由乙方自身原因造成工期拖延，乙方每逾期一日则向甲方支付合同总价0.5‰的违约金，逾期超过15日，甲方有权单方面终止合同，乙方将甲方已付款全部退还甲方，并应向甲方支付合同价5</w:t>
      </w:r>
      <w:r>
        <w:rPr>
          <w:rFonts w:hint="eastAsia" w:ascii="宋体" w:hAnsi="宋体" w:cs="宋体"/>
        </w:rPr>
        <w:t xml:space="preserve"> </w:t>
      </w:r>
      <w:r>
        <w:rPr>
          <w:rFonts w:hint="eastAsia" w:ascii="宋体" w:hAnsi="宋体" w:cs="宋体"/>
          <w:sz w:val="28"/>
          <w:szCs w:val="28"/>
        </w:rPr>
        <w:t>%的违约金。</w:t>
      </w:r>
    </w:p>
    <w:p>
      <w:pPr>
        <w:spacing w:line="120" w:lineRule="auto"/>
        <w:ind w:firstLine="560" w:firstLineChars="200"/>
        <w:rPr>
          <w:rFonts w:hint="eastAsia" w:ascii="宋体" w:hAnsi="宋体" w:cs="宋体"/>
          <w:sz w:val="28"/>
          <w:szCs w:val="28"/>
        </w:rPr>
      </w:pPr>
      <w:r>
        <w:rPr>
          <w:rFonts w:hint="eastAsia" w:ascii="宋体" w:hAnsi="宋体" w:cs="宋体"/>
          <w:sz w:val="28"/>
          <w:szCs w:val="28"/>
        </w:rPr>
        <w:t>3、在合同履行过程中，任何一方无正当理由而单方面提出终止合同均属单方毁约，毁约方应承担由此造成的一切后果及责任。</w:t>
      </w:r>
    </w:p>
    <w:p>
      <w:pPr>
        <w:spacing w:line="120" w:lineRule="auto"/>
        <w:rPr>
          <w:rFonts w:hint="eastAsia" w:ascii="宋体" w:hAnsi="宋体" w:cs="宋体"/>
          <w:b/>
          <w:sz w:val="28"/>
          <w:szCs w:val="28"/>
        </w:rPr>
      </w:pPr>
      <w:r>
        <w:rPr>
          <w:rFonts w:hint="eastAsia" w:ascii="宋体" w:hAnsi="宋体" w:cs="宋体"/>
          <w:b/>
          <w:sz w:val="28"/>
          <w:szCs w:val="28"/>
        </w:rPr>
        <w:t>十二、工程竣工验收</w:t>
      </w:r>
    </w:p>
    <w:p>
      <w:pPr>
        <w:spacing w:line="120" w:lineRule="auto"/>
        <w:ind w:firstLine="560" w:firstLineChars="200"/>
        <w:rPr>
          <w:rFonts w:hint="eastAsia" w:ascii="宋体" w:hAnsi="宋体" w:cs="宋体"/>
          <w:sz w:val="28"/>
          <w:szCs w:val="28"/>
        </w:rPr>
      </w:pPr>
      <w:r>
        <w:rPr>
          <w:rFonts w:hint="eastAsia" w:ascii="宋体" w:hAnsi="宋体" w:cs="宋体"/>
          <w:sz w:val="28"/>
          <w:szCs w:val="28"/>
        </w:rPr>
        <w:t>1、甲方收到竣工验收报告后</w:t>
      </w:r>
      <w:r>
        <w:rPr>
          <w:rFonts w:hint="eastAsia" w:ascii="宋体" w:hAnsi="宋体" w:cs="宋体"/>
          <w:sz w:val="28"/>
          <w:szCs w:val="28"/>
          <w:u w:val="single"/>
        </w:rPr>
        <w:t>七日内</w:t>
      </w:r>
      <w:r>
        <w:rPr>
          <w:rFonts w:hint="eastAsia" w:ascii="宋体" w:hAnsi="宋体" w:cs="宋体"/>
          <w:sz w:val="28"/>
          <w:szCs w:val="28"/>
        </w:rPr>
        <w:t>组织有关单位验收，并在验收后5日内给予认可或提出整改意见。乙方按要求整改，并承担由自身原因造成整改的费用。</w:t>
      </w:r>
    </w:p>
    <w:p>
      <w:pPr>
        <w:spacing w:line="120" w:lineRule="auto"/>
        <w:ind w:firstLine="560" w:firstLineChars="200"/>
        <w:rPr>
          <w:rFonts w:hint="eastAsia" w:ascii="宋体" w:hAnsi="宋体" w:cs="宋体"/>
          <w:sz w:val="28"/>
          <w:szCs w:val="28"/>
        </w:rPr>
      </w:pPr>
      <w:r>
        <w:rPr>
          <w:rFonts w:hint="eastAsia" w:ascii="宋体" w:hAnsi="宋体" w:cs="宋体"/>
          <w:sz w:val="28"/>
          <w:szCs w:val="28"/>
        </w:rPr>
        <w:t>2、甲方收到乙方送交的竣工验收报告后</w:t>
      </w:r>
      <w:r>
        <w:rPr>
          <w:rFonts w:hint="eastAsia" w:ascii="宋体" w:hAnsi="宋体" w:cs="宋体"/>
          <w:sz w:val="28"/>
          <w:szCs w:val="28"/>
          <w:u w:val="single"/>
        </w:rPr>
        <w:t>七日内</w:t>
      </w:r>
      <w:r>
        <w:rPr>
          <w:rFonts w:hint="eastAsia" w:ascii="宋体" w:hAnsi="宋体" w:cs="宋体"/>
          <w:sz w:val="28"/>
          <w:szCs w:val="28"/>
        </w:rPr>
        <w:t>不组织验收，或验收后5日内不提出整改意见，如无特殊事由，视为竣工验收报告已被认可。</w:t>
      </w:r>
    </w:p>
    <w:p>
      <w:pPr>
        <w:spacing w:line="120" w:lineRule="auto"/>
        <w:rPr>
          <w:rFonts w:hint="eastAsia" w:ascii="宋体" w:hAnsi="宋体" w:cs="宋体"/>
          <w:sz w:val="28"/>
          <w:szCs w:val="28"/>
        </w:rPr>
      </w:pPr>
      <w:r>
        <w:rPr>
          <w:rFonts w:hint="eastAsia" w:ascii="宋体" w:hAnsi="宋体" w:cs="宋体"/>
          <w:sz w:val="28"/>
          <w:szCs w:val="28"/>
        </w:rPr>
        <w:t xml:space="preserve">    3、工程竣工验收通过，乙方送交竣工验收报告的日期为实际竣工日期。工程按甲方要求整改后通过竣工验收的，实际竣工日期为乙方整改后提请甲方验收合格的日期。</w:t>
      </w:r>
    </w:p>
    <w:p>
      <w:pPr>
        <w:spacing w:line="120" w:lineRule="auto"/>
        <w:ind w:left="420" w:leftChars="200"/>
        <w:rPr>
          <w:rFonts w:hint="eastAsia" w:ascii="宋体" w:hAnsi="宋体" w:cs="宋体"/>
          <w:sz w:val="28"/>
          <w:szCs w:val="28"/>
        </w:rPr>
      </w:pPr>
      <w:r>
        <w:rPr>
          <w:rFonts w:hint="eastAsia" w:ascii="宋体" w:hAnsi="宋体" w:cs="宋体"/>
          <w:sz w:val="28"/>
          <w:szCs w:val="28"/>
        </w:rPr>
        <w:t>4、工程未经竣工验收或竣工验收未通过的，甲方不得使用。甲方强行使用时，由此发生的质量问题及其他问题，由甲方承担责任。</w:t>
      </w:r>
    </w:p>
    <w:p>
      <w:pPr>
        <w:spacing w:line="120" w:lineRule="auto"/>
        <w:rPr>
          <w:rFonts w:hint="eastAsia" w:ascii="宋体" w:hAnsi="宋体" w:cs="宋体"/>
          <w:b/>
          <w:sz w:val="28"/>
          <w:szCs w:val="28"/>
        </w:rPr>
      </w:pPr>
      <w:r>
        <w:rPr>
          <w:rFonts w:hint="eastAsia" w:ascii="宋体" w:hAnsi="宋体" w:cs="宋体"/>
          <w:b/>
          <w:sz w:val="28"/>
          <w:szCs w:val="28"/>
        </w:rPr>
        <w:t>十三、工程保修</w:t>
      </w:r>
    </w:p>
    <w:p>
      <w:pPr>
        <w:spacing w:line="120" w:lineRule="auto"/>
        <w:rPr>
          <w:rFonts w:hint="eastAsia" w:ascii="宋体" w:hAnsi="宋体" w:cs="宋体"/>
          <w:sz w:val="28"/>
          <w:szCs w:val="28"/>
        </w:rPr>
      </w:pPr>
      <w:r>
        <w:rPr>
          <w:rFonts w:hint="eastAsia" w:ascii="宋体" w:hAnsi="宋体" w:cs="宋体"/>
          <w:sz w:val="28"/>
          <w:szCs w:val="28"/>
        </w:rPr>
        <w:t xml:space="preserve">    1、本工程保修按国家有关工程质量保修的有关规定执行。乙方对交付使用的工程在质量保修期内承担责任。</w:t>
      </w:r>
    </w:p>
    <w:p>
      <w:pPr>
        <w:spacing w:line="120" w:lineRule="auto"/>
        <w:rPr>
          <w:rFonts w:hint="eastAsia" w:ascii="宋体" w:hAnsi="宋体" w:cs="宋体"/>
          <w:b/>
          <w:sz w:val="28"/>
          <w:szCs w:val="28"/>
        </w:rPr>
      </w:pPr>
      <w:r>
        <w:rPr>
          <w:rFonts w:hint="eastAsia" w:ascii="宋体" w:hAnsi="宋体" w:cs="宋体"/>
          <w:sz w:val="28"/>
          <w:szCs w:val="28"/>
        </w:rPr>
        <w:t xml:space="preserve">    2、本工程保修期为一年，保修期自竣工验收合格之日起计算。</w:t>
      </w:r>
      <w:r>
        <w:rPr>
          <w:rFonts w:hint="eastAsia" w:ascii="宋体" w:hAnsi="宋体" w:cs="宋体"/>
          <w:b/>
          <w:sz w:val="28"/>
          <w:szCs w:val="28"/>
        </w:rPr>
        <w:t>十四、其它条款</w:t>
      </w:r>
    </w:p>
    <w:p>
      <w:pPr>
        <w:spacing w:line="120" w:lineRule="auto"/>
        <w:rPr>
          <w:rFonts w:hint="eastAsia" w:ascii="宋体" w:hAnsi="宋体" w:cs="宋体"/>
          <w:b/>
          <w:sz w:val="28"/>
          <w:szCs w:val="28"/>
        </w:rPr>
      </w:pPr>
      <w:r>
        <w:rPr>
          <w:rFonts w:hint="eastAsia" w:ascii="宋体" w:hAnsi="宋体" w:cs="宋体"/>
          <w:b/>
          <w:sz w:val="28"/>
          <w:szCs w:val="28"/>
        </w:rPr>
        <w:t xml:space="preserve">   </w:t>
      </w:r>
      <w:r>
        <w:rPr>
          <w:rFonts w:hint="eastAsia" w:ascii="宋体" w:hAnsi="宋体" w:cs="宋体"/>
          <w:bCs/>
          <w:sz w:val="28"/>
          <w:szCs w:val="28"/>
        </w:rPr>
        <w:t xml:space="preserve"> 1、因不可抗力导致合同无法正常履行，双方另行协商解决，责任各自承担。</w:t>
      </w:r>
    </w:p>
    <w:p>
      <w:pPr>
        <w:spacing w:line="120" w:lineRule="auto"/>
        <w:ind w:firstLine="560" w:firstLineChars="200"/>
        <w:rPr>
          <w:rFonts w:hint="eastAsia" w:ascii="宋体" w:hAnsi="宋体" w:cs="宋体"/>
          <w:sz w:val="28"/>
          <w:szCs w:val="28"/>
        </w:rPr>
      </w:pPr>
      <w:r>
        <w:rPr>
          <w:rFonts w:hint="eastAsia" w:ascii="宋体" w:hAnsi="宋体" w:cs="宋体"/>
          <w:sz w:val="28"/>
          <w:szCs w:val="28"/>
        </w:rPr>
        <w:t>2、本合同未尽事宜，经双方协商，可以签订补充协议，补充协议与本合同具有同等法律效力。</w:t>
      </w:r>
    </w:p>
    <w:p>
      <w:pPr>
        <w:spacing w:line="120" w:lineRule="auto"/>
        <w:ind w:firstLine="560" w:firstLineChars="200"/>
        <w:rPr>
          <w:rFonts w:hint="eastAsia" w:ascii="宋体" w:hAnsi="宋体" w:cs="宋体"/>
          <w:sz w:val="28"/>
          <w:szCs w:val="28"/>
        </w:rPr>
      </w:pPr>
      <w:r>
        <w:rPr>
          <w:rFonts w:hint="eastAsia" w:ascii="宋体" w:hAnsi="宋体" w:cs="宋体"/>
          <w:sz w:val="28"/>
          <w:szCs w:val="28"/>
        </w:rPr>
        <w:t>3、本合同在执行过程中如发生争议，双方应友好协商解决，如协商不成，任何一方有权向不动产所在地人民法院提起诉讼。</w:t>
      </w:r>
    </w:p>
    <w:p>
      <w:pPr>
        <w:spacing w:line="120" w:lineRule="auto"/>
        <w:ind w:firstLine="560" w:firstLineChars="200"/>
        <w:rPr>
          <w:rFonts w:hint="eastAsia" w:ascii="宋体" w:hAnsi="宋体" w:cs="宋体"/>
          <w:sz w:val="28"/>
          <w:szCs w:val="28"/>
        </w:rPr>
      </w:pPr>
      <w:r>
        <w:rPr>
          <w:rFonts w:hint="eastAsia" w:ascii="宋体" w:hAnsi="宋体" w:cs="宋体"/>
          <w:sz w:val="28"/>
          <w:szCs w:val="28"/>
        </w:rPr>
        <w:t>4、本合同及附件经双方签字盖章之日起生效，款项结清后合同自行终止。</w:t>
      </w:r>
    </w:p>
    <w:p>
      <w:pPr>
        <w:spacing w:line="120" w:lineRule="auto"/>
        <w:ind w:firstLine="560" w:firstLineChars="200"/>
        <w:rPr>
          <w:rFonts w:hint="eastAsia" w:ascii="宋体" w:hAnsi="宋体" w:cs="宋体"/>
          <w:sz w:val="28"/>
          <w:szCs w:val="28"/>
        </w:rPr>
      </w:pPr>
      <w:r>
        <w:rPr>
          <w:rFonts w:hint="eastAsia" w:ascii="宋体" w:hAnsi="宋体" w:cs="宋体"/>
          <w:sz w:val="28"/>
          <w:szCs w:val="28"/>
        </w:rPr>
        <w:t>5、本合同一式肆份，甲方执贰份，乙方执贰份。</w:t>
      </w:r>
    </w:p>
    <w:p>
      <w:pPr>
        <w:spacing w:line="120" w:lineRule="auto"/>
        <w:ind w:firstLine="560" w:firstLineChars="200"/>
        <w:rPr>
          <w:rFonts w:hint="eastAsia" w:ascii="宋体" w:hAnsi="宋体" w:cs="宋体"/>
          <w:sz w:val="28"/>
          <w:szCs w:val="28"/>
        </w:rPr>
      </w:pPr>
      <w:r>
        <w:rPr>
          <w:rFonts w:hint="eastAsia" w:ascii="宋体" w:hAnsi="宋体" w:cs="宋体"/>
          <w:sz w:val="28"/>
          <w:szCs w:val="28"/>
        </w:rPr>
        <w:t>（以下无正文）</w:t>
      </w:r>
    </w:p>
    <w:p>
      <w:pPr>
        <w:snapToGrid w:val="0"/>
        <w:spacing w:line="360" w:lineRule="auto"/>
        <w:ind w:left="5460" w:hanging="5460" w:hangingChars="1950"/>
        <w:jc w:val="left"/>
        <w:rPr>
          <w:rFonts w:hint="eastAsia" w:ascii="宋体" w:hAnsi="宋体" w:cs="宋体"/>
          <w:sz w:val="28"/>
          <w:szCs w:val="28"/>
        </w:rPr>
      </w:pPr>
      <w:r>
        <w:rPr>
          <w:rFonts w:hint="eastAsia" w:ascii="宋体" w:hAnsi="宋体" w:cs="宋体"/>
          <w:sz w:val="28"/>
          <w:szCs w:val="28"/>
        </w:rPr>
        <w:t>甲方：</w:t>
      </w:r>
      <w:r>
        <w:rPr>
          <w:rFonts w:hint="eastAsia" w:ascii="宋体" w:hAnsi="宋体" w:cs="宋体"/>
          <w:sz w:val="28"/>
          <w:szCs w:val="28"/>
          <w:lang w:val="en-US" w:eastAsia="zh-CN"/>
        </w:rPr>
        <w:t xml:space="preserve">                            </w:t>
      </w:r>
      <w:r>
        <w:rPr>
          <w:rFonts w:hint="eastAsia" w:ascii="宋体" w:hAnsi="宋体" w:cs="宋体"/>
          <w:bCs/>
          <w:sz w:val="28"/>
          <w:szCs w:val="28"/>
        </w:rPr>
        <w:t xml:space="preserve">  </w:t>
      </w:r>
      <w:r>
        <w:rPr>
          <w:rFonts w:hint="eastAsia" w:ascii="宋体" w:hAnsi="宋体" w:cs="宋体"/>
          <w:sz w:val="28"/>
          <w:szCs w:val="28"/>
        </w:rPr>
        <w:t>乙方：</w:t>
      </w:r>
    </w:p>
    <w:p>
      <w:pPr>
        <w:snapToGrid w:val="0"/>
        <w:spacing w:line="360" w:lineRule="auto"/>
        <w:rPr>
          <w:rFonts w:hint="eastAsia" w:ascii="宋体" w:hAnsi="宋体" w:cs="宋体"/>
          <w:sz w:val="28"/>
          <w:szCs w:val="28"/>
        </w:rPr>
      </w:pPr>
      <w:r>
        <w:rPr>
          <w:rFonts w:hint="eastAsia" w:ascii="宋体" w:hAnsi="宋体" w:cs="宋体"/>
          <w:sz w:val="28"/>
          <w:szCs w:val="28"/>
        </w:rPr>
        <w:t>法定代表人：                  法定代表人：</w:t>
      </w:r>
    </w:p>
    <w:p>
      <w:pPr>
        <w:snapToGrid w:val="0"/>
        <w:spacing w:line="360" w:lineRule="auto"/>
        <w:rPr>
          <w:rFonts w:hint="eastAsia" w:ascii="宋体" w:hAnsi="宋体" w:cs="宋体"/>
          <w:sz w:val="28"/>
          <w:szCs w:val="28"/>
        </w:rPr>
      </w:pPr>
      <w:r>
        <w:rPr>
          <w:rFonts w:hint="eastAsia" w:ascii="宋体" w:hAnsi="宋体" w:cs="宋体"/>
          <w:sz w:val="28"/>
          <w:szCs w:val="28"/>
        </w:rPr>
        <w:t>委托代理人：                  委托代理人：</w:t>
      </w:r>
    </w:p>
    <w:p>
      <w:pPr>
        <w:snapToGrid w:val="0"/>
        <w:spacing w:line="360" w:lineRule="auto"/>
        <w:ind w:left="5600" w:hanging="5600" w:hangingChars="2000"/>
        <w:jc w:val="left"/>
        <w:rPr>
          <w:rFonts w:hint="eastAsia" w:ascii="宋体" w:hAnsi="宋体" w:cs="宋体"/>
          <w:sz w:val="28"/>
          <w:szCs w:val="28"/>
        </w:rPr>
      </w:pPr>
      <w:r>
        <w:rPr>
          <w:rFonts w:hint="eastAsia" w:ascii="宋体" w:hAnsi="宋体" w:cs="宋体"/>
          <w:sz w:val="28"/>
          <w:szCs w:val="28"/>
        </w:rPr>
        <w:t>开户行：                      开户行：</w:t>
      </w:r>
    </w:p>
    <w:p>
      <w:pPr>
        <w:snapToGrid w:val="0"/>
        <w:jc w:val="left"/>
        <w:rPr>
          <w:rFonts w:hint="eastAsia" w:ascii="仿宋" w:hAnsi="仿宋" w:eastAsia="仿宋" w:cs="仿宋"/>
          <w:sz w:val="24"/>
        </w:rPr>
      </w:pPr>
      <w:r>
        <w:rPr>
          <w:rFonts w:hint="eastAsia" w:ascii="宋体" w:hAnsi="宋体" w:cs="宋体"/>
          <w:sz w:val="28"/>
          <w:szCs w:val="28"/>
        </w:rPr>
        <w:t>账  号：                       账  号：</w:t>
      </w:r>
    </w:p>
    <w:p>
      <w:pPr>
        <w:spacing w:line="500" w:lineRule="exact"/>
        <w:ind w:firstLine="480"/>
        <w:jc w:val="center"/>
        <w:rPr>
          <w:rFonts w:ascii="仿宋" w:hAnsi="仿宋" w:eastAsia="仿宋" w:cs="黑体"/>
          <w:bCs/>
          <w:sz w:val="24"/>
          <w:szCs w:val="24"/>
        </w:rPr>
      </w:pPr>
    </w:p>
    <w:p>
      <w:pPr>
        <w:spacing w:line="500" w:lineRule="exact"/>
        <w:ind w:firstLine="480"/>
        <w:jc w:val="center"/>
        <w:rPr>
          <w:rFonts w:ascii="仿宋" w:hAnsi="仿宋" w:eastAsia="仿宋" w:cs="黑体"/>
          <w:bCs/>
          <w:sz w:val="24"/>
          <w:szCs w:val="24"/>
        </w:rPr>
      </w:pPr>
    </w:p>
    <w:p>
      <w:pPr>
        <w:spacing w:line="500" w:lineRule="exact"/>
        <w:ind w:firstLine="480"/>
        <w:jc w:val="center"/>
        <w:rPr>
          <w:rFonts w:ascii="仿宋" w:hAnsi="仿宋" w:eastAsia="仿宋" w:cs="黑体"/>
          <w:bCs/>
          <w:sz w:val="24"/>
          <w:szCs w:val="24"/>
        </w:rPr>
      </w:pPr>
    </w:p>
    <w:p>
      <w:pPr>
        <w:spacing w:line="500" w:lineRule="exact"/>
        <w:ind w:firstLine="480"/>
        <w:jc w:val="center"/>
        <w:rPr>
          <w:rFonts w:ascii="仿宋" w:hAnsi="仿宋" w:eastAsia="仿宋" w:cs="黑体"/>
          <w:bCs/>
          <w:sz w:val="24"/>
          <w:szCs w:val="24"/>
        </w:rPr>
      </w:pPr>
    </w:p>
    <w:p>
      <w:pPr>
        <w:spacing w:line="500" w:lineRule="exact"/>
        <w:ind w:firstLine="480"/>
        <w:jc w:val="center"/>
        <w:rPr>
          <w:rFonts w:ascii="仿宋" w:hAnsi="仿宋" w:eastAsia="仿宋" w:cs="黑体"/>
          <w:bCs/>
          <w:sz w:val="24"/>
          <w:szCs w:val="24"/>
        </w:rPr>
      </w:pPr>
    </w:p>
    <w:p>
      <w:pPr>
        <w:widowControl/>
        <w:spacing w:line="240" w:lineRule="auto"/>
        <w:ind w:firstLine="0" w:firstLineChars="0"/>
        <w:jc w:val="center"/>
        <w:rPr>
          <w:rFonts w:ascii="黑体" w:hAnsi="黑体" w:eastAsia="黑体" w:cs="黑体"/>
          <w:bCs/>
          <w:szCs w:val="28"/>
        </w:rPr>
      </w:pPr>
      <w:r>
        <w:rPr>
          <w:rFonts w:hint="eastAsia" w:ascii="黑体" w:hAnsi="黑体" w:eastAsia="黑体" w:cs="黑体"/>
          <w:bCs/>
          <w:szCs w:val="28"/>
        </w:rPr>
        <w:t>第二部分 通用合同条款</w:t>
      </w:r>
    </w:p>
    <w:p>
      <w:pPr>
        <w:spacing w:line="500" w:lineRule="exact"/>
        <w:ind w:firstLine="482"/>
        <w:rPr>
          <w:rFonts w:ascii="仿宋" w:hAnsi="仿宋" w:eastAsia="仿宋"/>
          <w:b/>
          <w:sz w:val="24"/>
          <w:szCs w:val="24"/>
        </w:rPr>
      </w:pPr>
    </w:p>
    <w:p>
      <w:pPr>
        <w:spacing w:line="500" w:lineRule="exact"/>
        <w:ind w:firstLine="482"/>
        <w:rPr>
          <w:rFonts w:ascii="仿宋" w:hAnsi="仿宋" w:eastAsia="仿宋"/>
          <w:b/>
          <w:sz w:val="24"/>
          <w:szCs w:val="24"/>
        </w:rPr>
      </w:pPr>
      <w:r>
        <w:rPr>
          <w:rFonts w:hint="eastAsia" w:ascii="仿宋" w:hAnsi="仿宋" w:eastAsia="仿宋"/>
          <w:b/>
          <w:sz w:val="24"/>
          <w:szCs w:val="24"/>
        </w:rPr>
        <w:t>1.一般约定</w:t>
      </w:r>
      <w:r>
        <w:rPr>
          <w:rFonts w:ascii="仿宋" w:hAnsi="仿宋" w:eastAsia="仿宋"/>
          <w:b/>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1.1</w:t>
      </w:r>
      <w:r>
        <w:rPr>
          <w:rFonts w:hint="eastAsia" w:ascii="仿宋" w:hAnsi="仿宋" w:eastAsia="仿宋"/>
          <w:b/>
          <w:sz w:val="24"/>
          <w:szCs w:val="24"/>
        </w:rPr>
        <w:t>词语定义</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通用合同条款、专用合同条款中的下列词语应具有本款所赋予的含义。</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1.1.1 </w:t>
      </w:r>
      <w:r>
        <w:rPr>
          <w:rFonts w:hint="eastAsia" w:ascii="仿宋" w:hAnsi="仿宋" w:eastAsia="仿宋"/>
          <w:sz w:val="24"/>
          <w:szCs w:val="24"/>
        </w:rPr>
        <w:t>合同</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1.1.1.1 </w:t>
      </w:r>
      <w:r>
        <w:rPr>
          <w:rFonts w:hint="eastAsia" w:ascii="仿宋" w:hAnsi="仿宋" w:eastAsia="仿宋"/>
          <w:sz w:val="24"/>
          <w:szCs w:val="24"/>
        </w:rPr>
        <w:t>合同文件（或称合同）：指合同协议书、中标通知书、投标函及投标函附录、专用合同条款、通用合同条款、技术标准和要求、图纸、已标价工程量清单，以及其他合同文件。</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1.1.1.2 </w:t>
      </w:r>
      <w:r>
        <w:rPr>
          <w:rFonts w:hint="eastAsia" w:ascii="仿宋" w:hAnsi="仿宋" w:eastAsia="仿宋"/>
          <w:sz w:val="24"/>
          <w:szCs w:val="24"/>
        </w:rPr>
        <w:t>合同协议书：指第</w:t>
      </w:r>
      <w:r>
        <w:rPr>
          <w:rFonts w:ascii="仿宋" w:hAnsi="仿宋" w:eastAsia="仿宋"/>
          <w:sz w:val="24"/>
          <w:szCs w:val="24"/>
        </w:rPr>
        <w:t>1.5</w:t>
      </w:r>
      <w:r>
        <w:rPr>
          <w:rFonts w:hint="eastAsia" w:ascii="仿宋" w:hAnsi="仿宋" w:eastAsia="仿宋"/>
          <w:sz w:val="24"/>
          <w:szCs w:val="24"/>
        </w:rPr>
        <w:t>款所指的合同协议书。</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1.1.1.3 </w:t>
      </w:r>
      <w:r>
        <w:rPr>
          <w:rFonts w:hint="eastAsia" w:ascii="仿宋" w:hAnsi="仿宋" w:eastAsia="仿宋"/>
          <w:sz w:val="24"/>
          <w:szCs w:val="24"/>
        </w:rPr>
        <w:t>中标通知书：指发包人通知承包人中标的函件。</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1.1.1.4 </w:t>
      </w:r>
      <w:r>
        <w:rPr>
          <w:rFonts w:hint="eastAsia" w:ascii="仿宋" w:hAnsi="仿宋" w:eastAsia="仿宋"/>
          <w:sz w:val="24"/>
          <w:szCs w:val="24"/>
        </w:rPr>
        <w:t>投标函：指构成合同文件组成部分的由承包人填写并签署的投标函。</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1.1.1.5 </w:t>
      </w:r>
      <w:r>
        <w:rPr>
          <w:rFonts w:hint="eastAsia" w:ascii="仿宋" w:hAnsi="仿宋" w:eastAsia="仿宋"/>
          <w:sz w:val="24"/>
          <w:szCs w:val="24"/>
        </w:rPr>
        <w:t>投标函附录：指附在投标函后构成合同文件的投标函附录。</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1.1.1.6 </w:t>
      </w:r>
      <w:r>
        <w:rPr>
          <w:rFonts w:hint="eastAsia" w:ascii="仿宋" w:hAnsi="仿宋" w:eastAsia="仿宋"/>
          <w:sz w:val="24"/>
          <w:szCs w:val="24"/>
        </w:rPr>
        <w:t>技术标准和要求：指构成合同文件组成部分的名为技术标准和要求（合同技术条款）的文件，包括合同双方当事人约定对其所作的修改或补充。</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1.1.1.7 </w:t>
      </w:r>
      <w:r>
        <w:rPr>
          <w:rFonts w:hint="eastAsia" w:ascii="仿宋" w:hAnsi="仿宋" w:eastAsia="仿宋"/>
          <w:sz w:val="24"/>
          <w:szCs w:val="24"/>
        </w:rPr>
        <w:t>图纸：</w:t>
      </w:r>
      <w:r>
        <w:rPr>
          <w:rFonts w:ascii="仿宋" w:hAnsi="仿宋" w:eastAsia="仿宋"/>
          <w:sz w:val="24"/>
          <w:szCs w:val="24"/>
        </w:rPr>
        <w:t xml:space="preserve"> </w:t>
      </w:r>
      <w:r>
        <w:rPr>
          <w:rFonts w:hint="eastAsia" w:ascii="仿宋" w:hAnsi="仿宋" w:eastAsia="仿宋"/>
          <w:sz w:val="24"/>
          <w:szCs w:val="24"/>
        </w:rPr>
        <w:t>指列入合同的招标图纸、投标图纸和发包人按合同约定向承包人提供的施工图纸和其它图纸（包括配套说明和有关资料）。列入合同的招标图纸已成为合同文件的一部分，</w:t>
      </w:r>
      <w:r>
        <w:rPr>
          <w:rFonts w:ascii="仿宋" w:hAnsi="仿宋" w:eastAsia="仿宋"/>
          <w:sz w:val="24"/>
          <w:szCs w:val="24"/>
        </w:rPr>
        <w:t xml:space="preserve"> </w:t>
      </w:r>
      <w:r>
        <w:rPr>
          <w:rFonts w:hint="eastAsia" w:ascii="仿宋" w:hAnsi="仿宋" w:eastAsia="仿宋"/>
          <w:sz w:val="24"/>
          <w:szCs w:val="24"/>
        </w:rPr>
        <w:t>具有合同效力，</w:t>
      </w:r>
      <w:r>
        <w:rPr>
          <w:rFonts w:ascii="仿宋" w:hAnsi="仿宋" w:eastAsia="仿宋"/>
          <w:sz w:val="24"/>
          <w:szCs w:val="24"/>
        </w:rPr>
        <w:t xml:space="preserve"> </w:t>
      </w:r>
      <w:r>
        <w:rPr>
          <w:rFonts w:hint="eastAsia" w:ascii="仿宋" w:hAnsi="仿宋" w:eastAsia="仿宋"/>
          <w:sz w:val="24"/>
          <w:szCs w:val="24"/>
        </w:rPr>
        <w:t>主要用于在履行合同中作为衡量变更的依据，</w:t>
      </w:r>
      <w:r>
        <w:rPr>
          <w:rFonts w:ascii="仿宋" w:hAnsi="仿宋" w:eastAsia="仿宋"/>
          <w:sz w:val="24"/>
          <w:szCs w:val="24"/>
        </w:rPr>
        <w:t xml:space="preserve"> </w:t>
      </w:r>
      <w:r>
        <w:rPr>
          <w:rFonts w:hint="eastAsia" w:ascii="仿宋" w:hAnsi="仿宋" w:eastAsia="仿宋"/>
          <w:sz w:val="24"/>
          <w:szCs w:val="24"/>
        </w:rPr>
        <w:t>但不能直接用于施工。经发包人确认进入合同的投标图纸亦成为合同文件的一部分，</w:t>
      </w:r>
      <w:r>
        <w:rPr>
          <w:rFonts w:ascii="仿宋" w:hAnsi="仿宋" w:eastAsia="仿宋"/>
          <w:sz w:val="24"/>
          <w:szCs w:val="24"/>
        </w:rPr>
        <w:t xml:space="preserve"> </w:t>
      </w:r>
      <w:r>
        <w:rPr>
          <w:rFonts w:hint="eastAsia" w:ascii="仿宋" w:hAnsi="仿宋" w:eastAsia="仿宋"/>
          <w:sz w:val="24"/>
          <w:szCs w:val="24"/>
        </w:rPr>
        <w:t>用于在履行合同中检验承包人是否按其投标时承诺的条件进行施工的依据，</w:t>
      </w:r>
      <w:r>
        <w:rPr>
          <w:rFonts w:ascii="仿宋" w:hAnsi="仿宋" w:eastAsia="仿宋"/>
          <w:sz w:val="24"/>
          <w:szCs w:val="24"/>
        </w:rPr>
        <w:t xml:space="preserve"> </w:t>
      </w:r>
      <w:r>
        <w:rPr>
          <w:rFonts w:hint="eastAsia" w:ascii="仿宋" w:hAnsi="仿宋" w:eastAsia="仿宋"/>
          <w:sz w:val="24"/>
          <w:szCs w:val="24"/>
        </w:rPr>
        <w:t>亦不能直接用于施工。</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1.1.1.8 </w:t>
      </w:r>
      <w:r>
        <w:rPr>
          <w:rFonts w:hint="eastAsia" w:ascii="仿宋" w:hAnsi="仿宋" w:eastAsia="仿宋"/>
          <w:sz w:val="24"/>
          <w:szCs w:val="24"/>
        </w:rPr>
        <w:t>已标价工程量清单：指构成合同文件组成部分的由承包人按照规定的格式和要求填写并标明价格的工程量清单。</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1.1.1.9 </w:t>
      </w:r>
      <w:r>
        <w:rPr>
          <w:rFonts w:hint="eastAsia" w:ascii="仿宋" w:hAnsi="仿宋" w:eastAsia="仿宋"/>
          <w:sz w:val="24"/>
          <w:szCs w:val="24"/>
        </w:rPr>
        <w:t>其他合同文件：指经合同双方当事人确认构成合同文件的其他文件。</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1.1.2 </w:t>
      </w:r>
      <w:r>
        <w:rPr>
          <w:rFonts w:hint="eastAsia" w:ascii="仿宋" w:hAnsi="仿宋" w:eastAsia="仿宋"/>
          <w:sz w:val="24"/>
          <w:szCs w:val="24"/>
        </w:rPr>
        <w:t>合同当事人和人员</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1.1.2.1 </w:t>
      </w:r>
      <w:r>
        <w:rPr>
          <w:rFonts w:hint="eastAsia" w:ascii="仿宋" w:hAnsi="仿宋" w:eastAsia="仿宋"/>
          <w:sz w:val="24"/>
          <w:szCs w:val="24"/>
        </w:rPr>
        <w:t>合同当事人</w:t>
      </w:r>
      <w:r>
        <w:rPr>
          <w:rFonts w:ascii="仿宋" w:hAnsi="仿宋" w:eastAsia="仿宋"/>
          <w:sz w:val="24"/>
          <w:szCs w:val="24"/>
        </w:rPr>
        <w:t>:</w:t>
      </w:r>
      <w:r>
        <w:rPr>
          <w:rFonts w:hint="eastAsia" w:ascii="仿宋" w:hAnsi="仿宋" w:eastAsia="仿宋"/>
          <w:sz w:val="24"/>
          <w:szCs w:val="24"/>
        </w:rPr>
        <w:t>指发包人和（或）承包人。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1.1.2.2 </w:t>
      </w:r>
      <w:r>
        <w:rPr>
          <w:rFonts w:hint="eastAsia" w:ascii="仿宋" w:hAnsi="仿宋" w:eastAsia="仿宋"/>
          <w:sz w:val="24"/>
          <w:szCs w:val="24"/>
        </w:rPr>
        <w:t>发包人：指专用合同条款中指明并与承包人在合同协议书中签字的当事人。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1.1.2.3 </w:t>
      </w:r>
      <w:r>
        <w:rPr>
          <w:rFonts w:hint="eastAsia" w:ascii="仿宋" w:hAnsi="仿宋" w:eastAsia="仿宋"/>
          <w:sz w:val="24"/>
          <w:szCs w:val="24"/>
        </w:rPr>
        <w:t>承包人：指专用合同条款中指明并与发包人在合同协议书中签字的当事人。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1.1.2.4 </w:t>
      </w:r>
      <w:r>
        <w:rPr>
          <w:rFonts w:hint="eastAsia" w:ascii="仿宋" w:hAnsi="仿宋" w:eastAsia="仿宋"/>
          <w:sz w:val="24"/>
          <w:szCs w:val="24"/>
        </w:rPr>
        <w:t>承包人项目经理：指承包人派驻施工场地的全权负责人。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1.1.2.5 </w:t>
      </w:r>
      <w:r>
        <w:rPr>
          <w:rFonts w:hint="eastAsia" w:ascii="仿宋" w:hAnsi="仿宋" w:eastAsia="仿宋"/>
          <w:sz w:val="24"/>
          <w:szCs w:val="24"/>
        </w:rPr>
        <w:t>分包人：指专用合同条款中指明的，从承包人处分包合同中某一部分工程，并与其签订分包合同的分包人。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1.1.2.6 </w:t>
      </w:r>
      <w:r>
        <w:rPr>
          <w:rFonts w:hint="eastAsia" w:ascii="仿宋" w:hAnsi="仿宋" w:eastAsia="仿宋"/>
          <w:sz w:val="24"/>
          <w:szCs w:val="24"/>
        </w:rPr>
        <w:t>监理人：指在专用合同条款中指明的，受发包人委托对合同履行实施管理的法人或其他组织。</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1.1.2.7 </w:t>
      </w:r>
      <w:r>
        <w:rPr>
          <w:rFonts w:hint="eastAsia" w:ascii="仿宋" w:hAnsi="仿宋" w:eastAsia="仿宋"/>
          <w:sz w:val="24"/>
          <w:szCs w:val="24"/>
        </w:rPr>
        <w:t>总监理工程师（总监）：指由监理人委派常驻施工场地对合同履行实施管理的全权负责人。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1.1.3 </w:t>
      </w:r>
      <w:r>
        <w:rPr>
          <w:rFonts w:hint="eastAsia" w:ascii="仿宋" w:hAnsi="仿宋" w:eastAsia="仿宋"/>
          <w:sz w:val="24"/>
          <w:szCs w:val="24"/>
        </w:rPr>
        <w:t>工程和设备</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1.1.3.1 </w:t>
      </w:r>
      <w:r>
        <w:rPr>
          <w:rFonts w:hint="eastAsia" w:ascii="仿宋" w:hAnsi="仿宋" w:eastAsia="仿宋"/>
          <w:sz w:val="24"/>
          <w:szCs w:val="24"/>
        </w:rPr>
        <w:t>工程：指永久工程和（或）临时工程</w:t>
      </w:r>
    </w:p>
    <w:p>
      <w:pPr>
        <w:numPr>
          <w:ilvl w:val="3"/>
          <w:numId w:val="3"/>
        </w:numPr>
        <w:spacing w:line="500" w:lineRule="exact"/>
        <w:ind w:left="0" w:firstLine="480"/>
        <w:rPr>
          <w:rFonts w:ascii="仿宋" w:hAnsi="仿宋" w:eastAsia="仿宋"/>
          <w:sz w:val="24"/>
          <w:szCs w:val="24"/>
        </w:rPr>
      </w:pPr>
      <w:r>
        <w:rPr>
          <w:rFonts w:hint="eastAsia" w:ascii="仿宋" w:hAnsi="仿宋" w:eastAsia="仿宋"/>
          <w:sz w:val="24"/>
          <w:szCs w:val="24"/>
        </w:rPr>
        <w:t>永久工程：指按合同约定建造并移交给发包人的工程，包括工程设备。</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1.1.3.3 </w:t>
      </w:r>
      <w:r>
        <w:rPr>
          <w:rFonts w:hint="eastAsia" w:ascii="仿宋" w:hAnsi="仿宋" w:eastAsia="仿宋"/>
          <w:sz w:val="24"/>
          <w:szCs w:val="24"/>
        </w:rPr>
        <w:t>临时工程：指为完成合同约定的永久工程所修建的各类临时性工程，不包括施工设备。</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1.1.3.4 </w:t>
      </w:r>
      <w:r>
        <w:rPr>
          <w:rFonts w:hint="eastAsia" w:ascii="仿宋" w:hAnsi="仿宋" w:eastAsia="仿宋"/>
          <w:sz w:val="24"/>
          <w:szCs w:val="24"/>
        </w:rPr>
        <w:t>单位工程：指专用合同条款中指明特定范围的永久工程。</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1.1.3.5 </w:t>
      </w:r>
      <w:r>
        <w:rPr>
          <w:rFonts w:hint="eastAsia" w:ascii="仿宋" w:hAnsi="仿宋" w:eastAsia="仿宋"/>
          <w:sz w:val="24"/>
          <w:szCs w:val="24"/>
        </w:rPr>
        <w:t>工程设备：指构成或计划构成永久工程一部分的机电设备、金属结构设备、仪器装置及其他类似的设备和装置。</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1.1.3.6 </w:t>
      </w:r>
      <w:r>
        <w:rPr>
          <w:rFonts w:hint="eastAsia" w:ascii="仿宋" w:hAnsi="仿宋" w:eastAsia="仿宋"/>
          <w:sz w:val="24"/>
          <w:szCs w:val="24"/>
        </w:rPr>
        <w:t>施工设备：指为完成合同约定的各项工作所需的设备、器具和其他物品，不包括临时工程和材料。</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1.1.3.7 </w:t>
      </w:r>
      <w:r>
        <w:rPr>
          <w:rFonts w:hint="eastAsia" w:ascii="仿宋" w:hAnsi="仿宋" w:eastAsia="仿宋"/>
          <w:sz w:val="24"/>
          <w:szCs w:val="24"/>
        </w:rPr>
        <w:t>临时设施：指为完成合同约定的各项工作所服务的临时性生产和生活设施。</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1.1.3.8 </w:t>
      </w:r>
      <w:r>
        <w:rPr>
          <w:rFonts w:hint="eastAsia" w:ascii="仿宋" w:hAnsi="仿宋" w:eastAsia="仿宋"/>
          <w:sz w:val="24"/>
          <w:szCs w:val="24"/>
        </w:rPr>
        <w:t>承包人设备：指承包人自带的施工设备。</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1.1.3.9 </w:t>
      </w:r>
      <w:r>
        <w:rPr>
          <w:rFonts w:hint="eastAsia" w:ascii="仿宋" w:hAnsi="仿宋" w:eastAsia="仿宋"/>
          <w:sz w:val="24"/>
          <w:szCs w:val="24"/>
        </w:rPr>
        <w:t>施工场地（或称工地、现场）：指用于合同工程施工的场所，以及在合同中指定作为施工场地组成部分的其他场所，包括永久占地和临时占地。</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1.1.3.10 </w:t>
      </w:r>
      <w:r>
        <w:rPr>
          <w:rFonts w:hint="eastAsia" w:ascii="仿宋" w:hAnsi="仿宋" w:eastAsia="仿宋"/>
          <w:sz w:val="24"/>
          <w:szCs w:val="24"/>
        </w:rPr>
        <w:t>永久占地：指发包人为建设本合同工程永久征用的场地。</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1.1.3.11 </w:t>
      </w:r>
      <w:r>
        <w:rPr>
          <w:rFonts w:hint="eastAsia" w:ascii="仿宋" w:hAnsi="仿宋" w:eastAsia="仿宋"/>
          <w:sz w:val="24"/>
          <w:szCs w:val="24"/>
        </w:rPr>
        <w:t>临时占地：指发包人为建设本合同工程临时征用，承包人在完工后须按合同要求退还的场地。</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1.1.4 </w:t>
      </w:r>
      <w:r>
        <w:rPr>
          <w:rFonts w:hint="eastAsia" w:ascii="仿宋" w:hAnsi="仿宋" w:eastAsia="仿宋"/>
          <w:sz w:val="24"/>
          <w:szCs w:val="24"/>
        </w:rPr>
        <w:t>日期</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1.1.4.1 </w:t>
      </w:r>
      <w:r>
        <w:rPr>
          <w:rFonts w:hint="eastAsia" w:ascii="仿宋" w:hAnsi="仿宋" w:eastAsia="仿宋"/>
          <w:sz w:val="24"/>
          <w:szCs w:val="24"/>
        </w:rPr>
        <w:t>开工通知：指监理人按第</w:t>
      </w:r>
      <w:r>
        <w:rPr>
          <w:rFonts w:ascii="仿宋" w:hAnsi="仿宋" w:eastAsia="仿宋"/>
          <w:sz w:val="24"/>
          <w:szCs w:val="24"/>
        </w:rPr>
        <w:t>11.1</w:t>
      </w:r>
      <w:r>
        <w:rPr>
          <w:rFonts w:hint="eastAsia" w:ascii="仿宋" w:hAnsi="仿宋" w:eastAsia="仿宋"/>
          <w:sz w:val="24"/>
          <w:szCs w:val="24"/>
        </w:rPr>
        <w:t>款通知承包人开工的函件。</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1.1.4.2 </w:t>
      </w:r>
      <w:r>
        <w:rPr>
          <w:rFonts w:hint="eastAsia" w:ascii="仿宋" w:hAnsi="仿宋" w:eastAsia="仿宋"/>
          <w:sz w:val="24"/>
          <w:szCs w:val="24"/>
        </w:rPr>
        <w:t>开工日期：指监理人按第</w:t>
      </w:r>
      <w:r>
        <w:rPr>
          <w:rFonts w:ascii="仿宋" w:hAnsi="仿宋" w:eastAsia="仿宋"/>
          <w:sz w:val="24"/>
          <w:szCs w:val="24"/>
        </w:rPr>
        <w:t>11.1</w:t>
      </w:r>
      <w:r>
        <w:rPr>
          <w:rFonts w:hint="eastAsia" w:ascii="仿宋" w:hAnsi="仿宋" w:eastAsia="仿宋"/>
          <w:sz w:val="24"/>
          <w:szCs w:val="24"/>
        </w:rPr>
        <w:t>款发出的开工通知中写明的开工日期。</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1.1.4.3 </w:t>
      </w:r>
      <w:r>
        <w:rPr>
          <w:rFonts w:hint="eastAsia" w:ascii="仿宋" w:hAnsi="仿宋" w:eastAsia="仿宋"/>
          <w:sz w:val="24"/>
          <w:szCs w:val="24"/>
        </w:rPr>
        <w:t>工期：指承包人在投标函中承诺的完成合同工程所需的期限，包括按第</w:t>
      </w:r>
      <w:r>
        <w:rPr>
          <w:rFonts w:ascii="仿宋" w:hAnsi="仿宋" w:eastAsia="仿宋"/>
          <w:sz w:val="24"/>
          <w:szCs w:val="24"/>
        </w:rPr>
        <w:t>11.3</w:t>
      </w:r>
      <w:r>
        <w:rPr>
          <w:rFonts w:hint="eastAsia" w:ascii="仿宋" w:hAnsi="仿宋" w:eastAsia="仿宋"/>
          <w:sz w:val="24"/>
          <w:szCs w:val="24"/>
        </w:rPr>
        <w:t>款、第</w:t>
      </w:r>
      <w:r>
        <w:rPr>
          <w:rFonts w:ascii="仿宋" w:hAnsi="仿宋" w:eastAsia="仿宋"/>
          <w:sz w:val="24"/>
          <w:szCs w:val="24"/>
        </w:rPr>
        <w:t xml:space="preserve">11.4 </w:t>
      </w:r>
      <w:r>
        <w:rPr>
          <w:rFonts w:hint="eastAsia" w:ascii="仿宋" w:hAnsi="仿宋" w:eastAsia="仿宋"/>
          <w:sz w:val="24"/>
          <w:szCs w:val="24"/>
        </w:rPr>
        <w:t>款和第</w:t>
      </w:r>
      <w:r>
        <w:rPr>
          <w:rFonts w:ascii="仿宋" w:hAnsi="仿宋" w:eastAsia="仿宋"/>
          <w:sz w:val="24"/>
          <w:szCs w:val="24"/>
        </w:rPr>
        <w:t xml:space="preserve">11.6 </w:t>
      </w:r>
      <w:r>
        <w:rPr>
          <w:rFonts w:hint="eastAsia" w:ascii="仿宋" w:hAnsi="仿宋" w:eastAsia="仿宋"/>
          <w:sz w:val="24"/>
          <w:szCs w:val="24"/>
        </w:rPr>
        <w:t>款约定所作的变更。</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1.1.4.4 </w:t>
      </w:r>
      <w:r>
        <w:rPr>
          <w:rFonts w:hint="eastAsia" w:ascii="仿宋" w:hAnsi="仿宋" w:eastAsia="仿宋"/>
          <w:sz w:val="24"/>
          <w:szCs w:val="24"/>
        </w:rPr>
        <w:t>竣工日期：即合同工程完工日期，指第</w:t>
      </w:r>
      <w:r>
        <w:rPr>
          <w:rFonts w:ascii="仿宋" w:hAnsi="仿宋" w:eastAsia="仿宋"/>
          <w:sz w:val="24"/>
          <w:szCs w:val="24"/>
        </w:rPr>
        <w:t>1.1.4.3</w:t>
      </w:r>
      <w:r>
        <w:rPr>
          <w:rFonts w:hint="eastAsia" w:ascii="仿宋" w:hAnsi="仿宋" w:eastAsia="仿宋"/>
          <w:sz w:val="24"/>
          <w:szCs w:val="24"/>
        </w:rPr>
        <w:t>目约定工期届满时的日期。实际完工日期以合同工程完工证书中写明的日期为准。</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1.1.4.5 </w:t>
      </w:r>
      <w:r>
        <w:rPr>
          <w:rFonts w:hint="eastAsia" w:ascii="仿宋" w:hAnsi="仿宋" w:eastAsia="仿宋"/>
          <w:sz w:val="24"/>
          <w:szCs w:val="24"/>
        </w:rPr>
        <w:t>缺陷责任期：即工程质量保修期，指履行第</w:t>
      </w:r>
      <w:r>
        <w:rPr>
          <w:rFonts w:ascii="仿宋" w:hAnsi="仿宋" w:eastAsia="仿宋"/>
          <w:sz w:val="24"/>
          <w:szCs w:val="24"/>
        </w:rPr>
        <w:t>19</w:t>
      </w: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款约定的缺陷责任的期限，包括根据第</w:t>
      </w:r>
      <w:r>
        <w:rPr>
          <w:rFonts w:ascii="仿宋" w:hAnsi="仿宋" w:eastAsia="仿宋"/>
          <w:sz w:val="24"/>
          <w:szCs w:val="24"/>
        </w:rPr>
        <w:t>19</w:t>
      </w: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款约定所作的延长，具体期限由专用合同条款约定。</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1.1.4.6 </w:t>
      </w:r>
      <w:r>
        <w:rPr>
          <w:rFonts w:hint="eastAsia" w:ascii="仿宋" w:hAnsi="仿宋" w:eastAsia="仿宋"/>
          <w:sz w:val="24"/>
          <w:szCs w:val="24"/>
        </w:rPr>
        <w:t>基准日期：指投标截止时间前</w:t>
      </w:r>
      <w:r>
        <w:rPr>
          <w:rFonts w:ascii="仿宋" w:hAnsi="仿宋" w:eastAsia="仿宋"/>
          <w:sz w:val="24"/>
          <w:szCs w:val="24"/>
        </w:rPr>
        <w:t>28</w:t>
      </w:r>
      <w:r>
        <w:rPr>
          <w:rFonts w:hint="eastAsia" w:ascii="仿宋" w:hAnsi="仿宋" w:eastAsia="仿宋"/>
          <w:sz w:val="24"/>
          <w:szCs w:val="24"/>
        </w:rPr>
        <w:t>天的日期。</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1.1.4.7 </w:t>
      </w:r>
      <w:r>
        <w:rPr>
          <w:rFonts w:hint="eastAsia" w:ascii="仿宋" w:hAnsi="仿宋" w:eastAsia="仿宋"/>
          <w:sz w:val="24"/>
          <w:szCs w:val="24"/>
        </w:rPr>
        <w:t>天：除特别指明外，指日历天。合同中按天计算时间的，开始当天不计入，从次日开始计算。期限最后一天的截止时间为当天</w:t>
      </w:r>
      <w:r>
        <w:rPr>
          <w:rFonts w:ascii="仿宋" w:hAnsi="仿宋" w:eastAsia="仿宋"/>
          <w:sz w:val="24"/>
          <w:szCs w:val="24"/>
        </w:rPr>
        <w:t>24:00</w:t>
      </w:r>
      <w:r>
        <w:rPr>
          <w:rFonts w:hint="eastAsia" w:ascii="仿宋" w:hAnsi="仿宋" w:eastAsia="仿宋"/>
          <w:sz w:val="24"/>
          <w:szCs w:val="24"/>
        </w:rPr>
        <w:t>。</w:t>
      </w:r>
    </w:p>
    <w:p>
      <w:pPr>
        <w:spacing w:line="500" w:lineRule="exact"/>
        <w:ind w:firstLine="480"/>
        <w:rPr>
          <w:rFonts w:ascii="仿宋" w:hAnsi="仿宋" w:eastAsia="仿宋"/>
          <w:sz w:val="24"/>
          <w:szCs w:val="24"/>
        </w:rPr>
      </w:pPr>
      <w:r>
        <w:rPr>
          <w:rFonts w:ascii="仿宋" w:hAnsi="仿宋" w:eastAsia="仿宋"/>
          <w:sz w:val="24"/>
          <w:szCs w:val="24"/>
        </w:rPr>
        <w:t xml:space="preserve">1.1.5 </w:t>
      </w:r>
      <w:r>
        <w:rPr>
          <w:rFonts w:hint="eastAsia" w:ascii="仿宋" w:hAnsi="仿宋" w:eastAsia="仿宋"/>
          <w:sz w:val="24"/>
          <w:szCs w:val="24"/>
        </w:rPr>
        <w:t>合同价格和费用</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1.1.5.1 </w:t>
      </w:r>
      <w:r>
        <w:rPr>
          <w:rFonts w:hint="eastAsia" w:ascii="仿宋" w:hAnsi="仿宋" w:eastAsia="仿宋"/>
          <w:sz w:val="24"/>
          <w:szCs w:val="24"/>
        </w:rPr>
        <w:t>签约合同价：指签定合同时合同协议书中写明的，包括了暂列金额、暂估价的合同总金额。</w:t>
      </w:r>
      <w:r>
        <w:rPr>
          <w:rFonts w:ascii="仿宋" w:hAnsi="仿宋" w:eastAsia="仿宋"/>
          <w:sz w:val="24"/>
          <w:szCs w:val="24"/>
        </w:rPr>
        <w:t xml:space="preserve">  </w:t>
      </w:r>
    </w:p>
    <w:p>
      <w:pPr>
        <w:spacing w:line="500" w:lineRule="exact"/>
        <w:ind w:firstLine="480"/>
        <w:rPr>
          <w:rFonts w:hint="eastAsia" w:ascii="仿宋" w:hAnsi="仿宋" w:eastAsia="仿宋"/>
          <w:sz w:val="24"/>
          <w:szCs w:val="24"/>
          <w:lang w:val="en-US" w:eastAsia="zh-CN"/>
        </w:rPr>
      </w:pPr>
      <w:r>
        <w:rPr>
          <w:rFonts w:ascii="仿宋" w:hAnsi="仿宋" w:eastAsia="仿宋"/>
          <w:sz w:val="24"/>
          <w:szCs w:val="24"/>
        </w:rPr>
        <w:t xml:space="preserve">1.1.5.2 </w:t>
      </w:r>
      <w:r>
        <w:rPr>
          <w:rFonts w:hint="eastAsia" w:ascii="仿宋" w:hAnsi="仿宋" w:eastAsia="仿宋"/>
          <w:sz w:val="24"/>
          <w:szCs w:val="24"/>
        </w:rPr>
        <w:t>合同价格：指承包人按合同约定完成了包括缺陷责任期内的全部承包工作后，发包人应付给承包人的金额，包括在履行合同过程中按合同约定进行的变更和调整。</w:t>
      </w:r>
      <w:r>
        <w:rPr>
          <w:rFonts w:hint="eastAsia" w:ascii="仿宋" w:hAnsi="仿宋" w:eastAsia="仿宋"/>
          <w:sz w:val="24"/>
          <w:szCs w:val="24"/>
          <w:lang w:val="en-US" w:eastAsia="zh-CN"/>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1.1.5.3 </w:t>
      </w:r>
      <w:r>
        <w:rPr>
          <w:rFonts w:hint="eastAsia" w:ascii="仿宋" w:hAnsi="仿宋" w:eastAsia="仿宋"/>
          <w:sz w:val="24"/>
          <w:szCs w:val="24"/>
        </w:rPr>
        <w:t>费用：指为履行合同所发生的或将要发生的所有合理开支，包括管理费和应分摊的其他费用，但不包括利润。</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1.1.5.4 </w:t>
      </w:r>
      <w:r>
        <w:rPr>
          <w:rFonts w:hint="eastAsia" w:ascii="仿宋" w:hAnsi="仿宋" w:eastAsia="仿宋"/>
          <w:sz w:val="24"/>
          <w:szCs w:val="24"/>
        </w:rPr>
        <w:t>暂列金额：指已标价工程量清单中所列的暂列金额，用于在签订协议书时尚未确定或不可预见变更的施工及其所需材料、工程设备、服务等的金额，包括以计日工方式支付的金额。</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1.1.5.5 </w:t>
      </w:r>
      <w:r>
        <w:rPr>
          <w:rFonts w:hint="eastAsia" w:ascii="仿宋" w:hAnsi="仿宋" w:eastAsia="仿宋"/>
          <w:sz w:val="24"/>
          <w:szCs w:val="24"/>
        </w:rPr>
        <w:t>暂估价：指发包人在工程量清单中给定的用于支付必然发生但暂时不能确定价格的材料、设备以及专业工程的金额。</w:t>
      </w:r>
    </w:p>
    <w:p>
      <w:pPr>
        <w:spacing w:line="500" w:lineRule="exact"/>
        <w:ind w:firstLine="480"/>
        <w:rPr>
          <w:rFonts w:ascii="仿宋" w:hAnsi="仿宋" w:eastAsia="仿宋"/>
          <w:sz w:val="24"/>
          <w:szCs w:val="24"/>
        </w:rPr>
      </w:pPr>
      <w:r>
        <w:rPr>
          <w:rFonts w:ascii="仿宋" w:eastAsia="仿宋"/>
          <w:sz w:val="24"/>
          <w:szCs w:val="24"/>
        </w:rPr>
        <w:t> </w:t>
      </w:r>
      <w:r>
        <w:rPr>
          <w:rFonts w:ascii="仿宋" w:hAnsi="仿宋" w:eastAsia="仿宋"/>
          <w:sz w:val="24"/>
          <w:szCs w:val="24"/>
        </w:rPr>
        <w:t xml:space="preserve">1.1.5.6 </w:t>
      </w:r>
      <w:r>
        <w:rPr>
          <w:rFonts w:hint="eastAsia" w:ascii="仿宋" w:hAnsi="仿宋" w:eastAsia="仿宋"/>
          <w:sz w:val="24"/>
          <w:szCs w:val="24"/>
        </w:rPr>
        <w:t>计日工：指对零星工作采取的一种计价方式，按合同中的计日工子目及其单价计价付款。</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1.1.5.7 </w:t>
      </w:r>
      <w:r>
        <w:rPr>
          <w:rFonts w:hint="eastAsia" w:ascii="仿宋" w:hAnsi="仿宋" w:eastAsia="仿宋"/>
          <w:sz w:val="24"/>
          <w:szCs w:val="24"/>
        </w:rPr>
        <w:t>质量保证金（或称保留金）：指按第</w:t>
      </w:r>
      <w:r>
        <w:rPr>
          <w:rFonts w:ascii="仿宋" w:hAnsi="仿宋" w:eastAsia="仿宋"/>
          <w:sz w:val="24"/>
          <w:szCs w:val="24"/>
        </w:rPr>
        <w:t>17.4.1</w:t>
      </w:r>
      <w:r>
        <w:rPr>
          <w:rFonts w:hint="eastAsia" w:ascii="仿宋" w:hAnsi="仿宋" w:eastAsia="仿宋"/>
          <w:sz w:val="24"/>
          <w:szCs w:val="24"/>
        </w:rPr>
        <w:t>项约定用于保证在缺陷责任期内履行缺陷修复义务的金额。</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1.1.6 </w:t>
      </w:r>
      <w:r>
        <w:rPr>
          <w:rFonts w:hint="eastAsia" w:ascii="仿宋" w:hAnsi="仿宋" w:eastAsia="仿宋"/>
          <w:sz w:val="24"/>
          <w:szCs w:val="24"/>
        </w:rPr>
        <w:t>其他</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1.1.6.1 </w:t>
      </w:r>
      <w:r>
        <w:rPr>
          <w:rFonts w:hint="eastAsia" w:ascii="仿宋" w:hAnsi="仿宋" w:eastAsia="仿宋"/>
          <w:sz w:val="24"/>
          <w:szCs w:val="24"/>
        </w:rPr>
        <w:t>书面形式：指合同文件、信函、电报、传真等可以有形地表现所载内容的形式。</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b/>
          <w:sz w:val="24"/>
          <w:szCs w:val="24"/>
        </w:rPr>
        <w:t xml:space="preserve">1.2 </w:t>
      </w:r>
      <w:r>
        <w:rPr>
          <w:rFonts w:hint="eastAsia" w:ascii="仿宋" w:hAnsi="仿宋" w:eastAsia="仿宋"/>
          <w:b/>
          <w:sz w:val="24"/>
          <w:szCs w:val="24"/>
        </w:rPr>
        <w:t>语言文字</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除专用术语外，合同使用的语言文字为中文。必要时专用术语应附有中文注释。</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1.3 </w:t>
      </w:r>
      <w:r>
        <w:rPr>
          <w:rFonts w:hint="eastAsia" w:ascii="仿宋" w:hAnsi="仿宋" w:eastAsia="仿宋"/>
          <w:b/>
          <w:sz w:val="24"/>
          <w:szCs w:val="24"/>
        </w:rPr>
        <w:t>法律</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适用于合同的法律包括中华人民共和国法律、行政法规、部门规章，以及工程所在地的地方法规、自治条例、单行条例和地方政府规章。</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1.4 </w:t>
      </w:r>
      <w:r>
        <w:rPr>
          <w:rFonts w:hint="eastAsia" w:ascii="仿宋" w:hAnsi="仿宋" w:eastAsia="仿宋"/>
          <w:b/>
          <w:sz w:val="24"/>
          <w:szCs w:val="24"/>
        </w:rPr>
        <w:t>合同文件的优先顺序</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组成合同的各项文件应互相解释，互为说明。除专用合同条款另有约定外，解释合同文件的优先顺序如下：</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）合同协议书；</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）中标通知书；</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）投标函及投标函附录；</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4</w:t>
      </w:r>
      <w:r>
        <w:rPr>
          <w:rFonts w:hint="eastAsia" w:ascii="仿宋" w:hAnsi="仿宋" w:eastAsia="仿宋"/>
          <w:sz w:val="24"/>
          <w:szCs w:val="24"/>
        </w:rPr>
        <w:t>）专用合同条款；</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5</w:t>
      </w:r>
      <w:r>
        <w:rPr>
          <w:rFonts w:hint="eastAsia" w:ascii="仿宋" w:hAnsi="仿宋" w:eastAsia="仿宋"/>
          <w:sz w:val="24"/>
          <w:szCs w:val="24"/>
        </w:rPr>
        <w:t>）通用合同条款；</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6</w:t>
      </w:r>
      <w:r>
        <w:rPr>
          <w:rFonts w:hint="eastAsia" w:ascii="仿宋" w:hAnsi="仿宋" w:eastAsia="仿宋"/>
          <w:sz w:val="24"/>
          <w:szCs w:val="24"/>
        </w:rPr>
        <w:t>）技术标准和要求；</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7</w:t>
      </w:r>
      <w:r>
        <w:rPr>
          <w:rFonts w:hint="eastAsia" w:ascii="仿宋" w:hAnsi="仿宋" w:eastAsia="仿宋"/>
          <w:sz w:val="24"/>
          <w:szCs w:val="24"/>
        </w:rPr>
        <w:t>）图纸；</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8</w:t>
      </w:r>
      <w:r>
        <w:rPr>
          <w:rFonts w:hint="eastAsia" w:ascii="仿宋" w:hAnsi="仿宋" w:eastAsia="仿宋"/>
          <w:sz w:val="24"/>
          <w:szCs w:val="24"/>
        </w:rPr>
        <w:t>）已标价工程量清单；</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9</w:t>
      </w:r>
      <w:r>
        <w:rPr>
          <w:rFonts w:hint="eastAsia" w:ascii="仿宋" w:hAnsi="仿宋" w:eastAsia="仿宋"/>
          <w:sz w:val="24"/>
          <w:szCs w:val="24"/>
        </w:rPr>
        <w:t>）其他合同文件。</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1.5 </w:t>
      </w:r>
      <w:r>
        <w:rPr>
          <w:rFonts w:hint="eastAsia" w:ascii="仿宋" w:hAnsi="仿宋" w:eastAsia="仿宋"/>
          <w:b/>
          <w:sz w:val="24"/>
          <w:szCs w:val="24"/>
        </w:rPr>
        <w:t>合同协议书</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承包人按中标通知书规定的时间与发包人签订合同协议书。除法律另有规定或合同另有约定外，发包人和承包人的法定代表人或其委托代理人在合同协议书上签字并盖单位章后，</w:t>
      </w:r>
      <w:r>
        <w:rPr>
          <w:rFonts w:ascii="仿宋" w:hAnsi="仿宋" w:eastAsia="仿宋"/>
          <w:sz w:val="24"/>
          <w:szCs w:val="24"/>
        </w:rPr>
        <w:t xml:space="preserve"> </w:t>
      </w:r>
      <w:r>
        <w:rPr>
          <w:rFonts w:hint="eastAsia" w:ascii="仿宋" w:hAnsi="仿宋" w:eastAsia="仿宋"/>
          <w:sz w:val="24"/>
          <w:szCs w:val="24"/>
        </w:rPr>
        <w:t>合同生效。</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1.6 </w:t>
      </w:r>
      <w:r>
        <w:rPr>
          <w:rFonts w:hint="eastAsia" w:ascii="仿宋" w:hAnsi="仿宋" w:eastAsia="仿宋"/>
          <w:b/>
          <w:sz w:val="24"/>
          <w:szCs w:val="24"/>
        </w:rPr>
        <w:t>图纸和承包人文件</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1.6.1 </w:t>
      </w:r>
      <w:r>
        <w:rPr>
          <w:rFonts w:hint="eastAsia" w:ascii="仿宋" w:hAnsi="仿宋" w:eastAsia="仿宋"/>
          <w:sz w:val="24"/>
          <w:szCs w:val="24"/>
        </w:rPr>
        <w:t>图纸的提供</w:t>
      </w:r>
      <w:r>
        <w:rPr>
          <w:rFonts w:ascii="仿宋" w:hAnsi="仿宋" w:eastAsia="仿宋"/>
          <w:sz w:val="24"/>
          <w:szCs w:val="24"/>
        </w:rPr>
        <w:t xml:space="preserve">  </w:t>
      </w:r>
      <w:r>
        <w:rPr>
          <w:rFonts w:hint="eastAsia" w:ascii="仿宋" w:hAnsi="仿宋" w:eastAsia="仿宋"/>
          <w:sz w:val="24"/>
          <w:szCs w:val="24"/>
        </w:rPr>
        <w:t>发包人应按技术标准和要求（合同技术条款）约定的期限和数量将施工图纸以及其它图纸（包括配套说明和有关资料）提供给承包人。由于发包人未按时提供图纸造成工期延误的，按第</w:t>
      </w:r>
      <w:r>
        <w:rPr>
          <w:rFonts w:ascii="仿宋" w:hAnsi="仿宋" w:eastAsia="仿宋"/>
          <w:sz w:val="24"/>
          <w:szCs w:val="24"/>
        </w:rPr>
        <w:t>11</w:t>
      </w: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款的约定办理。</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1.6.2 </w:t>
      </w:r>
      <w:r>
        <w:rPr>
          <w:rFonts w:hint="eastAsia" w:ascii="仿宋" w:hAnsi="仿宋" w:eastAsia="仿宋"/>
          <w:sz w:val="24"/>
          <w:szCs w:val="24"/>
        </w:rPr>
        <w:t>承包人提供的文件</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承包人提供的文件应按技术标准和要求（合同技术条款）约定的期限和数量提供给监理人。监理人应按技术标准和要求（合同技术条款）约定的期限批复承包人。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1.6.3 </w:t>
      </w:r>
      <w:r>
        <w:rPr>
          <w:rFonts w:hint="eastAsia" w:ascii="仿宋" w:hAnsi="仿宋" w:eastAsia="仿宋"/>
          <w:sz w:val="24"/>
          <w:szCs w:val="24"/>
        </w:rPr>
        <w:t>图纸的修改</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设计人需要对已发给承包人的施工图纸进行修改时，监理人应在技术标准和要求（合同技术条款）约定的期限内签发施工图纸的修改图给承包人。承包人应按技术标准和要求（合同技术条款）的约定编制一份承包人实施计划提交监理人批准后执行。</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1.6.4 </w:t>
      </w:r>
      <w:r>
        <w:rPr>
          <w:rFonts w:hint="eastAsia" w:ascii="仿宋" w:hAnsi="仿宋" w:eastAsia="仿宋"/>
          <w:sz w:val="24"/>
          <w:szCs w:val="24"/>
        </w:rPr>
        <w:t>图纸的错误</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承包人发现发包人提供的图纸存在明显错误或疏忽，应及时通知监理人。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1.6.5 </w:t>
      </w:r>
      <w:r>
        <w:rPr>
          <w:rFonts w:hint="eastAsia" w:ascii="仿宋" w:hAnsi="仿宋" w:eastAsia="仿宋"/>
          <w:sz w:val="24"/>
          <w:szCs w:val="24"/>
        </w:rPr>
        <w:t>图纸和承包人文件的保管</w:t>
      </w:r>
      <w:r>
        <w:rPr>
          <w:rFonts w:ascii="仿宋" w:hAnsi="仿宋" w:eastAsia="仿宋"/>
          <w:sz w:val="24"/>
          <w:szCs w:val="24"/>
        </w:rPr>
        <w:t xml:space="preserve">  </w:t>
      </w:r>
      <w:r>
        <w:rPr>
          <w:rFonts w:hint="eastAsia" w:ascii="仿宋" w:hAnsi="仿宋" w:eastAsia="仿宋"/>
          <w:sz w:val="24"/>
          <w:szCs w:val="24"/>
        </w:rPr>
        <w:t>监理人和承包人均应在施工场地各保存一套完整的包含第</w:t>
      </w:r>
      <w:r>
        <w:rPr>
          <w:rFonts w:ascii="仿宋" w:hAnsi="仿宋" w:eastAsia="仿宋"/>
          <w:sz w:val="24"/>
          <w:szCs w:val="24"/>
        </w:rPr>
        <w:t xml:space="preserve">1.6.1 </w:t>
      </w:r>
      <w:r>
        <w:rPr>
          <w:rFonts w:hint="eastAsia" w:ascii="仿宋" w:hAnsi="仿宋" w:eastAsia="仿宋"/>
          <w:sz w:val="24"/>
          <w:szCs w:val="24"/>
        </w:rPr>
        <w:t>项、第</w:t>
      </w:r>
      <w:r>
        <w:rPr>
          <w:rFonts w:ascii="仿宋" w:hAnsi="仿宋" w:eastAsia="仿宋"/>
          <w:sz w:val="24"/>
          <w:szCs w:val="24"/>
        </w:rPr>
        <w:t xml:space="preserve">1.6.2 </w:t>
      </w:r>
      <w:r>
        <w:rPr>
          <w:rFonts w:hint="eastAsia" w:ascii="仿宋" w:hAnsi="仿宋" w:eastAsia="仿宋"/>
          <w:sz w:val="24"/>
          <w:szCs w:val="24"/>
        </w:rPr>
        <w:t>项、第</w:t>
      </w:r>
      <w:r>
        <w:rPr>
          <w:rFonts w:ascii="仿宋" w:hAnsi="仿宋" w:eastAsia="仿宋"/>
          <w:sz w:val="24"/>
          <w:szCs w:val="24"/>
        </w:rPr>
        <w:t xml:space="preserve">1.6.3 </w:t>
      </w:r>
      <w:r>
        <w:rPr>
          <w:rFonts w:hint="eastAsia" w:ascii="仿宋" w:hAnsi="仿宋" w:eastAsia="仿宋"/>
          <w:sz w:val="24"/>
          <w:szCs w:val="24"/>
        </w:rPr>
        <w:t>项约定内容的图纸和承包人文件。</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1.7 </w:t>
      </w:r>
      <w:r>
        <w:rPr>
          <w:rFonts w:hint="eastAsia" w:ascii="仿宋" w:hAnsi="仿宋" w:eastAsia="仿宋"/>
          <w:b/>
          <w:sz w:val="24"/>
          <w:szCs w:val="24"/>
        </w:rPr>
        <w:t>联络</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1.7.1 </w:t>
      </w:r>
      <w:r>
        <w:rPr>
          <w:rFonts w:hint="eastAsia" w:ascii="仿宋" w:hAnsi="仿宋" w:eastAsia="仿宋"/>
          <w:sz w:val="24"/>
          <w:szCs w:val="24"/>
        </w:rPr>
        <w:t>与合同有关的通知、批准、证明、证书、指示、要求、请求、同意、意见、确定和决定等，均应采用书面形式。</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1.7.2 </w:t>
      </w:r>
      <w:r>
        <w:rPr>
          <w:rFonts w:hint="eastAsia" w:ascii="仿宋" w:hAnsi="仿宋" w:eastAsia="仿宋"/>
          <w:sz w:val="24"/>
          <w:szCs w:val="24"/>
        </w:rPr>
        <w:t>第</w:t>
      </w:r>
      <w:r>
        <w:rPr>
          <w:rFonts w:ascii="仿宋" w:hAnsi="仿宋" w:eastAsia="仿宋"/>
          <w:sz w:val="24"/>
          <w:szCs w:val="24"/>
        </w:rPr>
        <w:t>1.7.1</w:t>
      </w:r>
      <w:r>
        <w:rPr>
          <w:rFonts w:hint="eastAsia" w:ascii="仿宋" w:hAnsi="仿宋" w:eastAsia="仿宋"/>
          <w:sz w:val="24"/>
          <w:szCs w:val="24"/>
        </w:rPr>
        <w:t>项中的通知、批准、证明、证书、指示、要求、请求、同意、意见、确定和决定等来往函件，均应在合同约定的期限内送达指定地点和接收人，并办理签收手续。来往函件的送达期限在技术标准和要求（合同技术条款）中约定，送达地点在专用合同条款中约定。</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1.7.3 </w:t>
      </w:r>
      <w:r>
        <w:rPr>
          <w:rFonts w:hint="eastAsia" w:ascii="仿宋" w:hAnsi="仿宋" w:eastAsia="仿宋"/>
          <w:sz w:val="24"/>
          <w:szCs w:val="24"/>
        </w:rPr>
        <w:t>来往函件均应按合同约定的期限及时发出和答复，不得无故扣压和拖延，亦不得拒收。否则，由此造成的后果由责任方负责。</w:t>
      </w:r>
    </w:p>
    <w:p>
      <w:pPr>
        <w:spacing w:line="500" w:lineRule="exact"/>
        <w:ind w:firstLine="482"/>
        <w:rPr>
          <w:rFonts w:ascii="仿宋" w:hAnsi="仿宋" w:eastAsia="仿宋"/>
          <w:b/>
          <w:sz w:val="24"/>
          <w:szCs w:val="24"/>
        </w:rPr>
      </w:pPr>
      <w:r>
        <w:rPr>
          <w:rFonts w:ascii="仿宋" w:hAnsi="仿宋" w:eastAsia="仿宋"/>
          <w:b/>
          <w:sz w:val="24"/>
          <w:szCs w:val="24"/>
        </w:rPr>
        <w:t xml:space="preserve">1.8 </w:t>
      </w:r>
      <w:r>
        <w:rPr>
          <w:rFonts w:hint="eastAsia" w:ascii="仿宋" w:hAnsi="仿宋" w:eastAsia="仿宋"/>
          <w:b/>
          <w:sz w:val="24"/>
          <w:szCs w:val="24"/>
        </w:rPr>
        <w:t>转让</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除合同另有约定外，未经对方当事人同意，一方当事人不得将合同权利全部或部分转让给第三人，也不得全部或部分转移合同义务。</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1.9 </w:t>
      </w:r>
      <w:r>
        <w:rPr>
          <w:rFonts w:hint="eastAsia" w:ascii="仿宋" w:hAnsi="仿宋" w:eastAsia="仿宋"/>
          <w:b/>
          <w:sz w:val="24"/>
          <w:szCs w:val="24"/>
        </w:rPr>
        <w:t>严禁贿赂</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合同双方当事人不得以贿赂或变相贿赂的方式，谋取不当利益或损害对方权益。因贿赂造成对方损失的，行为人应赔偿损失，并承担相应的法律责任。</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1.10 </w:t>
      </w:r>
      <w:r>
        <w:rPr>
          <w:rFonts w:hint="eastAsia" w:ascii="仿宋" w:hAnsi="仿宋" w:eastAsia="仿宋"/>
          <w:b/>
          <w:sz w:val="24"/>
          <w:szCs w:val="24"/>
        </w:rPr>
        <w:t>化石、文物</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1.10.1 </w:t>
      </w:r>
      <w:r>
        <w:rPr>
          <w:rFonts w:hint="eastAsia" w:ascii="仿宋" w:hAnsi="仿宋" w:eastAsia="仿宋"/>
          <w:sz w:val="24"/>
          <w:szCs w:val="24"/>
        </w:rPr>
        <w:t>在施工场地发掘的所有文物、古迹以及具有地质研究或考古价值的其他遗迹、化石、钱币或物品属于国家所有。一旦发现上述文物，承包人应采取有效合理的保护措施，防止任何人员移动或损坏上述物品，并立即报告当地文物行政部门，同时通知监理人。发包人、监理人和承包人应按文物行政部门要求采取妥善保护措施，由此导致费用增加和（或）工期延误由发包人承担。</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1.10.2 </w:t>
      </w:r>
      <w:r>
        <w:rPr>
          <w:rFonts w:hint="eastAsia" w:ascii="仿宋" w:hAnsi="仿宋" w:eastAsia="仿宋"/>
          <w:sz w:val="24"/>
          <w:szCs w:val="24"/>
        </w:rPr>
        <w:t>承包人发现文物后不及时报告或隐瞒不报，致使文物丢失或损坏的，应赔偿损失，并承担相应的法律责任。</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1.11 </w:t>
      </w:r>
      <w:r>
        <w:rPr>
          <w:rFonts w:hint="eastAsia" w:ascii="仿宋" w:hAnsi="仿宋" w:eastAsia="仿宋"/>
          <w:b/>
          <w:sz w:val="24"/>
          <w:szCs w:val="24"/>
        </w:rPr>
        <w:t>专利技术</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1.11.1 </w:t>
      </w:r>
      <w:r>
        <w:rPr>
          <w:rFonts w:hint="eastAsia" w:ascii="仿宋" w:hAnsi="仿宋" w:eastAsia="仿宋"/>
          <w:sz w:val="24"/>
          <w:szCs w:val="24"/>
        </w:rPr>
        <w:t>承包人在使用任何材料、承包人设备、工程设备或采用施工工艺时，因侵犯专利权或其他知识产权所引起的责任，由承包人承担，但由于遵照发包人提供的设计或技术标准和要求引起的除外。</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1.11.2 </w:t>
      </w:r>
      <w:r>
        <w:rPr>
          <w:rFonts w:hint="eastAsia" w:ascii="仿宋" w:hAnsi="仿宋" w:eastAsia="仿宋"/>
          <w:sz w:val="24"/>
          <w:szCs w:val="24"/>
        </w:rPr>
        <w:t>承包人在投标文件中采用专利技术的，专利技术的使用费包含在投标报价内。</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1.11.3 </w:t>
      </w:r>
      <w:r>
        <w:rPr>
          <w:rFonts w:hint="eastAsia" w:ascii="仿宋" w:hAnsi="仿宋" w:eastAsia="仿宋"/>
          <w:sz w:val="24"/>
          <w:szCs w:val="24"/>
        </w:rPr>
        <w:t>承包人的技术秘密和声明需要保密的资料和信息，发包人和监理人不得为合同以外的目的泄露给他人。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1.11.4 </w:t>
      </w:r>
      <w:r>
        <w:rPr>
          <w:rFonts w:hint="eastAsia" w:ascii="仿宋" w:hAnsi="仿宋" w:eastAsia="仿宋"/>
          <w:sz w:val="24"/>
          <w:szCs w:val="24"/>
        </w:rPr>
        <w:t>合同实施过程中，发包人要求承包人采用专利技术的，发包人应办理相应的使用手续，承包人应按发包人约定的条件使用，并承担使用专利技术的相关试验工作，所需费用由发包人承担。</w:t>
      </w:r>
    </w:p>
    <w:p>
      <w:pPr>
        <w:spacing w:line="500" w:lineRule="exact"/>
        <w:ind w:firstLine="482"/>
        <w:rPr>
          <w:rFonts w:ascii="仿宋" w:hAnsi="仿宋" w:eastAsia="仿宋"/>
          <w:b/>
          <w:sz w:val="24"/>
          <w:szCs w:val="24"/>
        </w:rPr>
      </w:pPr>
      <w:r>
        <w:rPr>
          <w:rFonts w:ascii="仿宋" w:hAnsi="仿宋" w:eastAsia="仿宋"/>
          <w:b/>
          <w:sz w:val="24"/>
          <w:szCs w:val="24"/>
        </w:rPr>
        <w:t xml:space="preserve">1.12 </w:t>
      </w:r>
      <w:r>
        <w:rPr>
          <w:rFonts w:hint="eastAsia" w:ascii="仿宋" w:hAnsi="仿宋" w:eastAsia="仿宋"/>
          <w:b/>
          <w:sz w:val="24"/>
          <w:szCs w:val="24"/>
        </w:rPr>
        <w:t>图纸和文件的保密</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1.12.1 </w:t>
      </w:r>
      <w:r>
        <w:rPr>
          <w:rFonts w:hint="eastAsia" w:ascii="仿宋" w:hAnsi="仿宋" w:eastAsia="仿宋"/>
          <w:sz w:val="24"/>
          <w:szCs w:val="24"/>
        </w:rPr>
        <w:t>发包人提供的图纸和文件，未经发包人同意，承包人不得为合同以外的目的泄露给他人或公开发表与引用。</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1.12.2 </w:t>
      </w:r>
      <w:r>
        <w:rPr>
          <w:rFonts w:hint="eastAsia" w:ascii="仿宋" w:hAnsi="仿宋" w:eastAsia="仿宋"/>
          <w:sz w:val="24"/>
          <w:szCs w:val="24"/>
        </w:rPr>
        <w:t>承包人提供的文件，未经承包人同意，发包人和监理人不得为合同以外的目的泄露给他人或公开发表与引用。</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2. </w:t>
      </w:r>
      <w:r>
        <w:rPr>
          <w:rFonts w:hint="eastAsia" w:ascii="仿宋" w:hAnsi="仿宋" w:eastAsia="仿宋"/>
          <w:b/>
          <w:sz w:val="24"/>
          <w:szCs w:val="24"/>
        </w:rPr>
        <w:t>发包人义务</w:t>
      </w:r>
      <w:r>
        <w:rPr>
          <w:rFonts w:ascii="仿宋" w:hAnsi="仿宋" w:eastAsia="仿宋"/>
          <w:b/>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2.1 </w:t>
      </w:r>
      <w:r>
        <w:rPr>
          <w:rFonts w:hint="eastAsia" w:ascii="仿宋" w:hAnsi="仿宋" w:eastAsia="仿宋"/>
          <w:b/>
          <w:sz w:val="24"/>
          <w:szCs w:val="24"/>
        </w:rPr>
        <w:t>遵守法律</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发包人在履行合同过程中应遵守法律，并保证承包人免于承担因发包人违反法律而引起的任何责任。</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2.2 </w:t>
      </w:r>
      <w:r>
        <w:rPr>
          <w:rFonts w:hint="eastAsia" w:ascii="仿宋" w:hAnsi="仿宋" w:eastAsia="仿宋"/>
          <w:b/>
          <w:sz w:val="24"/>
          <w:szCs w:val="24"/>
        </w:rPr>
        <w:t>发出开工通知</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发包人应委托监理人按第</w:t>
      </w:r>
      <w:r>
        <w:rPr>
          <w:rFonts w:ascii="仿宋" w:hAnsi="仿宋" w:eastAsia="仿宋"/>
          <w:sz w:val="24"/>
          <w:szCs w:val="24"/>
        </w:rPr>
        <w:t xml:space="preserve">11.1 </w:t>
      </w:r>
      <w:r>
        <w:rPr>
          <w:rFonts w:hint="eastAsia" w:ascii="仿宋" w:hAnsi="仿宋" w:eastAsia="仿宋"/>
          <w:sz w:val="24"/>
          <w:szCs w:val="24"/>
        </w:rPr>
        <w:t>款的约定向承包人发出开工通知。</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2.3 </w:t>
      </w:r>
      <w:r>
        <w:rPr>
          <w:rFonts w:hint="eastAsia" w:ascii="仿宋" w:hAnsi="仿宋" w:eastAsia="仿宋"/>
          <w:b/>
          <w:sz w:val="24"/>
          <w:szCs w:val="24"/>
        </w:rPr>
        <w:t>提供施工场地</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2.3.1 </w:t>
      </w:r>
      <w:r>
        <w:rPr>
          <w:rFonts w:hint="eastAsia" w:ascii="仿宋" w:hAnsi="仿宋" w:eastAsia="仿宋"/>
          <w:sz w:val="24"/>
          <w:szCs w:val="24"/>
        </w:rPr>
        <w:t>发包人应在合同双方签订合同协议书后的14天内，将本合同工程的施工场地范围图提交给承包人。发包人提供的施工场地范围图应标明场地范围内永久占地与临时占地的范围和界限，以及指明提供给承包人用于施工场地布置的范围和界限及其有关资料。</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2.3.2 </w:t>
      </w:r>
      <w:r>
        <w:rPr>
          <w:rFonts w:hint="eastAsia" w:ascii="仿宋" w:hAnsi="仿宋" w:eastAsia="仿宋"/>
          <w:sz w:val="24"/>
          <w:szCs w:val="24"/>
        </w:rPr>
        <w:t>发包人提供的施工用地范围在专用合同条款中约定。</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2.3.3 </w:t>
      </w:r>
      <w:r>
        <w:rPr>
          <w:rFonts w:hint="eastAsia" w:ascii="仿宋" w:hAnsi="仿宋" w:eastAsia="仿宋"/>
          <w:sz w:val="24"/>
          <w:szCs w:val="24"/>
        </w:rPr>
        <w:t>除专用合同条款另有约定外，发包人应按技术标准和要求（合同技术条款）的约定，向承包人提供施工场地内的工程地质图纸和报告，以及地下障碍物图纸等施工场地有关资料，并保证资料的真实、准确、完整。</w:t>
      </w:r>
      <w:r>
        <w:rPr>
          <w:rFonts w:ascii="仿宋" w:hAnsi="仿宋" w:eastAsia="仿宋"/>
          <w:sz w:val="24"/>
          <w:szCs w:val="24"/>
        </w:rPr>
        <w:t xml:space="preserve">  </w:t>
      </w:r>
    </w:p>
    <w:p>
      <w:pPr>
        <w:spacing w:line="500" w:lineRule="exact"/>
        <w:ind w:firstLine="482"/>
        <w:rPr>
          <w:rFonts w:ascii="仿宋" w:hAnsi="仿宋" w:eastAsia="仿宋"/>
          <w:sz w:val="24"/>
          <w:szCs w:val="24"/>
        </w:rPr>
      </w:pPr>
      <w:r>
        <w:rPr>
          <w:rFonts w:ascii="仿宋" w:hAnsi="仿宋" w:eastAsia="仿宋"/>
          <w:b/>
          <w:sz w:val="24"/>
          <w:szCs w:val="24"/>
        </w:rPr>
        <w:t xml:space="preserve">2.4 </w:t>
      </w:r>
      <w:r>
        <w:rPr>
          <w:rFonts w:hint="eastAsia" w:ascii="仿宋" w:hAnsi="仿宋" w:eastAsia="仿宋"/>
          <w:b/>
          <w:sz w:val="24"/>
          <w:szCs w:val="24"/>
        </w:rPr>
        <w:t>协助承包人办理证件和批件</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发包人应协助承包人办理法律规定的有关施工证件和批件。</w:t>
      </w:r>
      <w:r>
        <w:rPr>
          <w:rFonts w:ascii="仿宋" w:hAnsi="仿宋" w:eastAsia="仿宋"/>
          <w:sz w:val="24"/>
          <w:szCs w:val="24"/>
        </w:rPr>
        <w:t xml:space="preserve"> </w:t>
      </w:r>
    </w:p>
    <w:p>
      <w:pPr>
        <w:spacing w:line="500" w:lineRule="exact"/>
        <w:ind w:firstLine="482"/>
        <w:rPr>
          <w:rFonts w:ascii="仿宋" w:hAnsi="仿宋" w:eastAsia="仿宋"/>
          <w:sz w:val="24"/>
          <w:szCs w:val="24"/>
        </w:rPr>
      </w:pPr>
      <w:r>
        <w:rPr>
          <w:rFonts w:ascii="仿宋" w:hAnsi="仿宋" w:eastAsia="仿宋"/>
          <w:b/>
          <w:sz w:val="24"/>
          <w:szCs w:val="24"/>
        </w:rPr>
        <w:t xml:space="preserve">2.5 </w:t>
      </w:r>
      <w:r>
        <w:rPr>
          <w:rFonts w:hint="eastAsia" w:ascii="仿宋" w:hAnsi="仿宋" w:eastAsia="仿宋"/>
          <w:b/>
          <w:sz w:val="24"/>
          <w:szCs w:val="24"/>
        </w:rPr>
        <w:t>组织设计交底</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发包人应根据合同进度计划，组织设计单位向承包人进行设计交底。</w:t>
      </w:r>
      <w:r>
        <w:rPr>
          <w:rFonts w:ascii="仿宋" w:hAnsi="仿宋" w:eastAsia="仿宋"/>
          <w:sz w:val="24"/>
          <w:szCs w:val="24"/>
        </w:rPr>
        <w:t xml:space="preserve"> </w:t>
      </w:r>
    </w:p>
    <w:p>
      <w:pPr>
        <w:spacing w:line="500" w:lineRule="exact"/>
        <w:ind w:firstLine="482"/>
        <w:rPr>
          <w:rFonts w:ascii="仿宋" w:hAnsi="仿宋" w:eastAsia="仿宋"/>
          <w:sz w:val="24"/>
          <w:szCs w:val="24"/>
        </w:rPr>
      </w:pPr>
      <w:r>
        <w:rPr>
          <w:rFonts w:ascii="仿宋" w:hAnsi="仿宋" w:eastAsia="仿宋"/>
          <w:b/>
          <w:sz w:val="24"/>
          <w:szCs w:val="24"/>
        </w:rPr>
        <w:t xml:space="preserve">2.6 </w:t>
      </w:r>
      <w:r>
        <w:rPr>
          <w:rFonts w:hint="eastAsia" w:ascii="仿宋" w:hAnsi="仿宋" w:eastAsia="仿宋"/>
          <w:b/>
          <w:sz w:val="24"/>
          <w:szCs w:val="24"/>
        </w:rPr>
        <w:t>支付合同价款</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发包人应按合同约定向承包人及时支付合同价款。</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2.7 </w:t>
      </w:r>
      <w:r>
        <w:rPr>
          <w:rFonts w:hint="eastAsia" w:ascii="仿宋" w:hAnsi="仿宋" w:eastAsia="仿宋"/>
          <w:b/>
          <w:sz w:val="24"/>
          <w:szCs w:val="24"/>
        </w:rPr>
        <w:t>组织竣工验收</w:t>
      </w:r>
      <w:r>
        <w:rPr>
          <w:rFonts w:ascii="仿宋" w:hAnsi="仿宋" w:eastAsia="仿宋"/>
          <w:b/>
          <w:sz w:val="24"/>
          <w:szCs w:val="24"/>
        </w:rPr>
        <w:t>(</w:t>
      </w:r>
      <w:r>
        <w:rPr>
          <w:rFonts w:hint="eastAsia" w:ascii="仿宋" w:hAnsi="仿宋" w:eastAsia="仿宋"/>
          <w:b/>
          <w:sz w:val="24"/>
          <w:szCs w:val="24"/>
        </w:rPr>
        <w:t>组织法人验收</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发包人应按合同约定及时组织法人验收。</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2.8 </w:t>
      </w:r>
      <w:r>
        <w:rPr>
          <w:rFonts w:hint="eastAsia" w:ascii="仿宋" w:hAnsi="仿宋" w:eastAsia="仿宋"/>
          <w:b/>
          <w:sz w:val="24"/>
          <w:szCs w:val="24"/>
        </w:rPr>
        <w:t>其他义务</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其它义务在专用合同条款中补充约定。</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3. </w:t>
      </w:r>
      <w:r>
        <w:rPr>
          <w:rFonts w:hint="eastAsia" w:ascii="仿宋" w:hAnsi="仿宋" w:eastAsia="仿宋"/>
          <w:b/>
          <w:sz w:val="24"/>
          <w:szCs w:val="24"/>
        </w:rPr>
        <w:t>监理人</w:t>
      </w:r>
      <w:r>
        <w:rPr>
          <w:rFonts w:ascii="仿宋" w:hAnsi="仿宋" w:eastAsia="仿宋"/>
          <w:b/>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3.1 </w:t>
      </w:r>
      <w:r>
        <w:rPr>
          <w:rFonts w:hint="eastAsia" w:ascii="仿宋" w:hAnsi="仿宋" w:eastAsia="仿宋"/>
          <w:b/>
          <w:sz w:val="24"/>
          <w:szCs w:val="24"/>
        </w:rPr>
        <w:t>监理人的职责和权力</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3.1.1 </w:t>
      </w:r>
      <w:r>
        <w:rPr>
          <w:rFonts w:hint="eastAsia" w:ascii="仿宋" w:hAnsi="仿宋" w:eastAsia="仿宋"/>
          <w:sz w:val="24"/>
          <w:szCs w:val="24"/>
        </w:rPr>
        <w:t>监理人受发包人的委托，享有合同约定的权力。监理人的权力范围在专用合同条款中明确。当监理人认为出现了危及生命、工程或毗邻财产等安全的紧急事件时，在不免除合同约定的承包人责任的情况下，监理人可以指示承包人实施为消除或减少这种危险所必须进行的工作，即使没有发包人的事先批准，承包人也应立即遵照执行。监理人应按第</w:t>
      </w:r>
      <w:r>
        <w:rPr>
          <w:rFonts w:ascii="仿宋" w:hAnsi="仿宋" w:eastAsia="仿宋"/>
          <w:sz w:val="24"/>
          <w:szCs w:val="24"/>
        </w:rPr>
        <w:t>15</w:t>
      </w:r>
      <w:r>
        <w:rPr>
          <w:rFonts w:hint="eastAsia" w:ascii="仿宋" w:hAnsi="仿宋" w:eastAsia="仿宋"/>
          <w:sz w:val="24"/>
          <w:szCs w:val="24"/>
        </w:rPr>
        <w:t>条的约定增加相应的费用，并通知承包人。</w:t>
      </w:r>
    </w:p>
    <w:p>
      <w:pPr>
        <w:spacing w:line="500" w:lineRule="exact"/>
        <w:ind w:firstLine="480"/>
        <w:rPr>
          <w:rFonts w:ascii="仿宋" w:hAnsi="仿宋" w:eastAsia="仿宋"/>
          <w:sz w:val="24"/>
          <w:szCs w:val="24"/>
        </w:rPr>
      </w:pPr>
      <w:r>
        <w:rPr>
          <w:rFonts w:ascii="仿宋" w:hAnsi="仿宋" w:eastAsia="仿宋"/>
          <w:sz w:val="24"/>
          <w:szCs w:val="24"/>
        </w:rPr>
        <w:t xml:space="preserve">3.1.2 </w:t>
      </w:r>
      <w:r>
        <w:rPr>
          <w:rFonts w:hint="eastAsia" w:ascii="仿宋" w:hAnsi="仿宋" w:eastAsia="仿宋"/>
          <w:sz w:val="24"/>
          <w:szCs w:val="24"/>
        </w:rPr>
        <w:t>监理人发出的任何指示应视为已得到发包人的批准，但监理人无权免除或变更合同约定的发包人和承包人的权利、义务和责任。</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3.1.3 </w:t>
      </w:r>
      <w:r>
        <w:rPr>
          <w:rFonts w:hint="eastAsia" w:ascii="仿宋" w:hAnsi="仿宋" w:eastAsia="仿宋"/>
          <w:sz w:val="24"/>
          <w:szCs w:val="24"/>
        </w:rPr>
        <w:t>合同约定应由承包人承担的义务和责任，不因监理人对承包人提交文件的审查或批准，对工程、材料和设备的检查和检验，以及为实施监理作出的指示等职务行为而减轻或解除。</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3.2 </w:t>
      </w:r>
      <w:r>
        <w:rPr>
          <w:rFonts w:hint="eastAsia" w:ascii="仿宋" w:hAnsi="仿宋" w:eastAsia="仿宋"/>
          <w:b/>
          <w:sz w:val="24"/>
          <w:szCs w:val="24"/>
        </w:rPr>
        <w:t>总监理工程师</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发包人应在发出开工通知前将总监理工程师的任命通知承包人。总监理工程师更换时，应在调离</w:t>
      </w:r>
      <w:r>
        <w:rPr>
          <w:rFonts w:ascii="仿宋" w:hAnsi="仿宋" w:eastAsia="仿宋"/>
          <w:sz w:val="24"/>
          <w:szCs w:val="24"/>
        </w:rPr>
        <w:t xml:space="preserve">14 </w:t>
      </w:r>
      <w:r>
        <w:rPr>
          <w:rFonts w:hint="eastAsia" w:ascii="仿宋" w:hAnsi="仿宋" w:eastAsia="仿宋"/>
          <w:sz w:val="24"/>
          <w:szCs w:val="24"/>
        </w:rPr>
        <w:t>天前通知承包人。总监理工程师短期离开施工场地的，应委派代表代行其职责，并通知承包人。</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3.3 </w:t>
      </w:r>
      <w:r>
        <w:rPr>
          <w:rFonts w:hint="eastAsia" w:ascii="仿宋" w:hAnsi="仿宋" w:eastAsia="仿宋"/>
          <w:b/>
          <w:sz w:val="24"/>
          <w:szCs w:val="24"/>
        </w:rPr>
        <w:t>监理人员</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3.3.1 </w:t>
      </w:r>
      <w:r>
        <w:rPr>
          <w:rFonts w:hint="eastAsia" w:ascii="仿宋" w:hAnsi="仿宋" w:eastAsia="仿宋"/>
          <w:sz w:val="24"/>
          <w:szCs w:val="24"/>
        </w:rPr>
        <w:t>总监理工程师可以授权其他监理人员负责执行其指派的一项或多项监理工作。总监理工程师应将被授权监理人员的姓名及其授权范围通知承包人。被授权的监理人员在授权范围内发出的指示视为已得到总监理工程师的同意，与总监理工程师发出的指示具有同等效力。总监理工程师撤销某项授权时，应将撤销授权的决定及时通知承包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3.3.2 </w:t>
      </w:r>
      <w:r>
        <w:rPr>
          <w:rFonts w:hint="eastAsia" w:ascii="仿宋" w:hAnsi="仿宋" w:eastAsia="仿宋"/>
          <w:sz w:val="24"/>
          <w:szCs w:val="24"/>
        </w:rPr>
        <w:t>监理人员对承包人的任何工作、工程或其采用的材料和工程设备未在约定的或合理的期限内提出否定意见的，视为已获批准，但不影响监理人在以后拒绝该项工作、工程、材料或工程设备的权利。</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3.3.3 </w:t>
      </w:r>
      <w:r>
        <w:rPr>
          <w:rFonts w:hint="eastAsia" w:ascii="仿宋" w:hAnsi="仿宋" w:eastAsia="仿宋"/>
          <w:sz w:val="24"/>
          <w:szCs w:val="24"/>
        </w:rPr>
        <w:t>承包人对总监理工程师授权的监理人员发出的指示有疑问的，可向总监理工程师提出书面异议，总监理工程师应在</w:t>
      </w:r>
      <w:r>
        <w:rPr>
          <w:rFonts w:ascii="仿宋" w:hAnsi="仿宋" w:eastAsia="仿宋"/>
          <w:sz w:val="24"/>
          <w:szCs w:val="24"/>
        </w:rPr>
        <w:t xml:space="preserve">48 </w:t>
      </w:r>
      <w:r>
        <w:rPr>
          <w:rFonts w:hint="eastAsia" w:ascii="仿宋" w:hAnsi="仿宋" w:eastAsia="仿宋"/>
          <w:sz w:val="24"/>
          <w:szCs w:val="24"/>
        </w:rPr>
        <w:t>小时内对该指示予以确认、更改或撤销。</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3.3.4 </w:t>
      </w:r>
      <w:r>
        <w:rPr>
          <w:rFonts w:hint="eastAsia" w:ascii="仿宋" w:hAnsi="仿宋" w:eastAsia="仿宋"/>
          <w:sz w:val="24"/>
          <w:szCs w:val="24"/>
        </w:rPr>
        <w:t>除专用合同条款另有约定外，总监理工程师不应将第</w:t>
      </w:r>
      <w:r>
        <w:rPr>
          <w:rFonts w:ascii="仿宋" w:hAnsi="仿宋" w:eastAsia="仿宋"/>
          <w:sz w:val="24"/>
          <w:szCs w:val="24"/>
        </w:rPr>
        <w:t xml:space="preserve">3.5 </w:t>
      </w:r>
      <w:r>
        <w:rPr>
          <w:rFonts w:hint="eastAsia" w:ascii="仿宋" w:hAnsi="仿宋" w:eastAsia="仿宋"/>
          <w:sz w:val="24"/>
          <w:szCs w:val="24"/>
        </w:rPr>
        <w:t>款约定应由总监理工程师作出确定的权力授权或委托给其他监理人员。</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3.4 </w:t>
      </w:r>
      <w:r>
        <w:rPr>
          <w:rFonts w:hint="eastAsia" w:ascii="仿宋" w:hAnsi="仿宋" w:eastAsia="仿宋"/>
          <w:b/>
          <w:sz w:val="24"/>
          <w:szCs w:val="24"/>
        </w:rPr>
        <w:t>监理人的指示</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3.4.1 </w:t>
      </w:r>
      <w:r>
        <w:rPr>
          <w:rFonts w:hint="eastAsia" w:ascii="仿宋" w:hAnsi="仿宋" w:eastAsia="仿宋"/>
          <w:sz w:val="24"/>
          <w:szCs w:val="24"/>
        </w:rPr>
        <w:t>监理人应按第</w:t>
      </w:r>
      <w:r>
        <w:rPr>
          <w:rFonts w:ascii="仿宋" w:hAnsi="仿宋" w:eastAsia="仿宋"/>
          <w:sz w:val="24"/>
          <w:szCs w:val="24"/>
        </w:rPr>
        <w:t xml:space="preserve">3.1 </w:t>
      </w:r>
      <w:r>
        <w:rPr>
          <w:rFonts w:hint="eastAsia" w:ascii="仿宋" w:hAnsi="仿宋" w:eastAsia="仿宋"/>
          <w:sz w:val="24"/>
          <w:szCs w:val="24"/>
        </w:rPr>
        <w:t>款的约定向承包人发出指示，监理人的指示应盖有监理人授权的施工场地机构章，并由总监理工程师或总监理工程师按第</w:t>
      </w:r>
      <w:r>
        <w:rPr>
          <w:rFonts w:ascii="仿宋" w:hAnsi="仿宋" w:eastAsia="仿宋"/>
          <w:sz w:val="24"/>
          <w:szCs w:val="24"/>
        </w:rPr>
        <w:t xml:space="preserve">3.3.1 </w:t>
      </w:r>
      <w:r>
        <w:rPr>
          <w:rFonts w:hint="eastAsia" w:ascii="仿宋" w:hAnsi="仿宋" w:eastAsia="仿宋"/>
          <w:sz w:val="24"/>
          <w:szCs w:val="24"/>
        </w:rPr>
        <w:t>项约定授权的监理人员签字。</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3.4.2 </w:t>
      </w:r>
      <w:r>
        <w:rPr>
          <w:rFonts w:hint="eastAsia" w:ascii="仿宋" w:hAnsi="仿宋" w:eastAsia="仿宋"/>
          <w:sz w:val="24"/>
          <w:szCs w:val="24"/>
        </w:rPr>
        <w:t>承包人收到监理人按第</w:t>
      </w:r>
      <w:r>
        <w:rPr>
          <w:rFonts w:ascii="仿宋" w:hAnsi="仿宋" w:eastAsia="仿宋"/>
          <w:sz w:val="24"/>
          <w:szCs w:val="24"/>
        </w:rPr>
        <w:t xml:space="preserve">3.4.1 </w:t>
      </w:r>
      <w:r>
        <w:rPr>
          <w:rFonts w:hint="eastAsia" w:ascii="仿宋" w:hAnsi="仿宋" w:eastAsia="仿宋"/>
          <w:sz w:val="24"/>
          <w:szCs w:val="24"/>
        </w:rPr>
        <w:t>项作出的指示后应遵照执行。指示构成变更的，应按第</w:t>
      </w:r>
      <w:r>
        <w:rPr>
          <w:rFonts w:ascii="仿宋" w:hAnsi="仿宋" w:eastAsia="仿宋"/>
          <w:sz w:val="24"/>
          <w:szCs w:val="24"/>
        </w:rPr>
        <w:t xml:space="preserve">15 </w:t>
      </w:r>
      <w:r>
        <w:rPr>
          <w:rFonts w:hint="eastAsia" w:ascii="仿宋" w:hAnsi="仿宋" w:eastAsia="仿宋"/>
          <w:sz w:val="24"/>
          <w:szCs w:val="24"/>
        </w:rPr>
        <w:t>条处理。</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3.4.3 </w:t>
      </w:r>
      <w:r>
        <w:rPr>
          <w:rFonts w:hint="eastAsia" w:ascii="仿宋" w:hAnsi="仿宋" w:eastAsia="仿宋"/>
          <w:sz w:val="24"/>
          <w:szCs w:val="24"/>
        </w:rPr>
        <w:t>在紧急情况下，总监理工程师或被授权的监理人员可以当场签发临时书面指示，承包人应遵照执行。承包人应在收到上述临时书面指示后</w:t>
      </w:r>
      <w:r>
        <w:rPr>
          <w:rFonts w:ascii="仿宋" w:hAnsi="仿宋" w:eastAsia="仿宋"/>
          <w:sz w:val="24"/>
          <w:szCs w:val="24"/>
        </w:rPr>
        <w:t xml:space="preserve">24 </w:t>
      </w:r>
      <w:r>
        <w:rPr>
          <w:rFonts w:hint="eastAsia" w:ascii="仿宋" w:hAnsi="仿宋" w:eastAsia="仿宋"/>
          <w:sz w:val="24"/>
          <w:szCs w:val="24"/>
        </w:rPr>
        <w:t>小时内，向监理人发出书面确认函。监理人在收到书面确认函后</w:t>
      </w:r>
      <w:r>
        <w:rPr>
          <w:rFonts w:ascii="仿宋" w:hAnsi="仿宋" w:eastAsia="仿宋"/>
          <w:sz w:val="24"/>
          <w:szCs w:val="24"/>
        </w:rPr>
        <w:t xml:space="preserve">24 </w:t>
      </w:r>
      <w:r>
        <w:rPr>
          <w:rFonts w:hint="eastAsia" w:ascii="仿宋" w:hAnsi="仿宋" w:eastAsia="仿宋"/>
          <w:sz w:val="24"/>
          <w:szCs w:val="24"/>
        </w:rPr>
        <w:t>小时内未予答复的，该书面确认函应被视为监理人的正式指示。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3.4.4 </w:t>
      </w:r>
      <w:r>
        <w:rPr>
          <w:rFonts w:hint="eastAsia" w:ascii="仿宋" w:hAnsi="仿宋" w:eastAsia="仿宋"/>
          <w:sz w:val="24"/>
          <w:szCs w:val="24"/>
        </w:rPr>
        <w:t>除合同另有约定外，承包人只从总监理工程师或按第</w:t>
      </w:r>
      <w:r>
        <w:rPr>
          <w:rFonts w:ascii="仿宋" w:hAnsi="仿宋" w:eastAsia="仿宋"/>
          <w:sz w:val="24"/>
          <w:szCs w:val="24"/>
        </w:rPr>
        <w:t xml:space="preserve">3.3.1 </w:t>
      </w:r>
      <w:r>
        <w:rPr>
          <w:rFonts w:hint="eastAsia" w:ascii="仿宋" w:hAnsi="仿宋" w:eastAsia="仿宋"/>
          <w:sz w:val="24"/>
          <w:szCs w:val="24"/>
        </w:rPr>
        <w:t>项被授权的监理人员处</w:t>
      </w:r>
      <w:r>
        <w:rPr>
          <w:rFonts w:ascii="仿宋" w:hAnsi="仿宋" w:eastAsia="仿宋"/>
          <w:sz w:val="24"/>
          <w:szCs w:val="24"/>
        </w:rPr>
        <w:t xml:space="preserve"> </w:t>
      </w:r>
      <w:r>
        <w:rPr>
          <w:rFonts w:hint="eastAsia" w:ascii="仿宋" w:hAnsi="仿宋" w:eastAsia="仿宋"/>
          <w:sz w:val="24"/>
          <w:szCs w:val="24"/>
        </w:rPr>
        <w:t>取得指示。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3.4.5 </w:t>
      </w:r>
      <w:r>
        <w:rPr>
          <w:rFonts w:hint="eastAsia" w:ascii="仿宋" w:hAnsi="仿宋" w:eastAsia="仿宋"/>
          <w:sz w:val="24"/>
          <w:szCs w:val="24"/>
        </w:rPr>
        <w:t>由于监理人未能按合同约定发出指示、指示延误或指示错误而导致承包人费用增加和（或）工期延误的，由发包人承担赔偿责任。</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3.5 </w:t>
      </w:r>
      <w:r>
        <w:rPr>
          <w:rFonts w:hint="eastAsia" w:ascii="仿宋" w:hAnsi="仿宋" w:eastAsia="仿宋"/>
          <w:b/>
          <w:sz w:val="24"/>
          <w:szCs w:val="24"/>
        </w:rPr>
        <w:t>商定或确定</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3.5.1 </w:t>
      </w:r>
      <w:r>
        <w:rPr>
          <w:rFonts w:hint="eastAsia" w:ascii="仿宋" w:hAnsi="仿宋" w:eastAsia="仿宋"/>
          <w:sz w:val="24"/>
          <w:szCs w:val="24"/>
        </w:rPr>
        <w:t>合同约定总监理工程师应按照本款对任何事项进行商定或确定时，总监理工程师应与合同当事人协商，尽量达成一致。不能达成一致的，总监理工程师应认真研究后审慎确定。</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3.5.2 </w:t>
      </w:r>
      <w:r>
        <w:rPr>
          <w:rFonts w:hint="eastAsia" w:ascii="仿宋" w:hAnsi="仿宋" w:eastAsia="仿宋"/>
          <w:sz w:val="24"/>
          <w:szCs w:val="24"/>
        </w:rPr>
        <w:t>总监理工程师应将商定或确定的事项通知合同当事人，并附详细依据。对总监理工程师的确定有异议的，构成争议，按照第</w:t>
      </w:r>
      <w:r>
        <w:rPr>
          <w:rFonts w:ascii="仿宋" w:hAnsi="仿宋" w:eastAsia="仿宋"/>
          <w:sz w:val="24"/>
          <w:szCs w:val="24"/>
        </w:rPr>
        <w:t>24</w:t>
      </w:r>
      <w:r>
        <w:rPr>
          <w:rFonts w:hint="eastAsia" w:ascii="仿宋" w:hAnsi="仿宋" w:eastAsia="仿宋"/>
          <w:sz w:val="24"/>
          <w:szCs w:val="24"/>
        </w:rPr>
        <w:t>条的约定处理。在争议解决前，双方应暂按总监理工程师的确定执行，按照第</w:t>
      </w:r>
      <w:r>
        <w:rPr>
          <w:rFonts w:ascii="仿宋" w:hAnsi="仿宋" w:eastAsia="仿宋"/>
          <w:sz w:val="24"/>
          <w:szCs w:val="24"/>
        </w:rPr>
        <w:t>24</w:t>
      </w:r>
      <w:r>
        <w:rPr>
          <w:rFonts w:hint="eastAsia" w:ascii="仿宋" w:hAnsi="仿宋" w:eastAsia="仿宋"/>
          <w:sz w:val="24"/>
          <w:szCs w:val="24"/>
        </w:rPr>
        <w:t>条的约定对总监理工程师的确定作出修改的，按修改后的结果执行。</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4. </w:t>
      </w:r>
      <w:r>
        <w:rPr>
          <w:rFonts w:hint="eastAsia" w:ascii="仿宋" w:hAnsi="仿宋" w:eastAsia="仿宋"/>
          <w:b/>
          <w:sz w:val="24"/>
          <w:szCs w:val="24"/>
        </w:rPr>
        <w:t>承包人</w:t>
      </w:r>
      <w:r>
        <w:rPr>
          <w:rFonts w:ascii="仿宋" w:hAnsi="仿宋" w:eastAsia="仿宋"/>
          <w:b/>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4.1 </w:t>
      </w:r>
      <w:r>
        <w:rPr>
          <w:rFonts w:hint="eastAsia" w:ascii="仿宋" w:hAnsi="仿宋" w:eastAsia="仿宋"/>
          <w:b/>
          <w:sz w:val="24"/>
          <w:szCs w:val="24"/>
        </w:rPr>
        <w:t>承包人的一般义务</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4.1.1 </w:t>
      </w:r>
      <w:r>
        <w:rPr>
          <w:rFonts w:hint="eastAsia" w:ascii="仿宋" w:hAnsi="仿宋" w:eastAsia="仿宋"/>
          <w:sz w:val="24"/>
          <w:szCs w:val="24"/>
        </w:rPr>
        <w:t>遵守法律 承包人在履行合同过程中应遵守法律，并保证发包人免于承担因承包人违反法律而引起的任何责任。</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4.1.2 </w:t>
      </w:r>
      <w:r>
        <w:rPr>
          <w:rFonts w:hint="eastAsia" w:ascii="仿宋" w:hAnsi="仿宋" w:eastAsia="仿宋"/>
          <w:sz w:val="24"/>
          <w:szCs w:val="24"/>
        </w:rPr>
        <w:t>依法纳税</w:t>
      </w:r>
      <w:r>
        <w:rPr>
          <w:rFonts w:ascii="仿宋" w:hAnsi="仿宋" w:eastAsia="仿宋"/>
          <w:sz w:val="24"/>
          <w:szCs w:val="24"/>
        </w:rPr>
        <w:t xml:space="preserve"> </w:t>
      </w:r>
      <w:r>
        <w:rPr>
          <w:rFonts w:hint="eastAsia" w:ascii="仿宋" w:hAnsi="仿宋" w:eastAsia="仿宋"/>
          <w:sz w:val="24"/>
          <w:szCs w:val="24"/>
        </w:rPr>
        <w:t>承包人应按有关法律规定纳税，应缴纳的税金包括在合同价格内。</w:t>
      </w:r>
    </w:p>
    <w:p>
      <w:pPr>
        <w:spacing w:line="500" w:lineRule="exact"/>
        <w:ind w:firstLine="480"/>
        <w:rPr>
          <w:rFonts w:ascii="仿宋" w:hAnsi="仿宋" w:eastAsia="仿宋"/>
          <w:sz w:val="24"/>
          <w:szCs w:val="24"/>
        </w:rPr>
      </w:pPr>
      <w:r>
        <w:rPr>
          <w:rFonts w:ascii="仿宋" w:hAnsi="仿宋" w:eastAsia="仿宋"/>
          <w:sz w:val="24"/>
          <w:szCs w:val="24"/>
        </w:rPr>
        <w:t xml:space="preserve">4.1.3 </w:t>
      </w:r>
      <w:r>
        <w:rPr>
          <w:rFonts w:hint="eastAsia" w:ascii="仿宋" w:hAnsi="仿宋" w:eastAsia="仿宋"/>
          <w:sz w:val="24"/>
          <w:szCs w:val="24"/>
        </w:rPr>
        <w:t>完成各项承包工作</w:t>
      </w:r>
      <w:r>
        <w:rPr>
          <w:rFonts w:ascii="仿宋" w:hAnsi="仿宋" w:eastAsia="仿宋"/>
          <w:sz w:val="24"/>
          <w:szCs w:val="24"/>
        </w:rPr>
        <w:t xml:space="preserve"> </w:t>
      </w:r>
      <w:r>
        <w:rPr>
          <w:rFonts w:hint="eastAsia" w:ascii="仿宋" w:hAnsi="仿宋" w:eastAsia="仿宋"/>
          <w:sz w:val="24"/>
          <w:szCs w:val="24"/>
        </w:rPr>
        <w:t>承包人应按合同约定以及监理人根据第３．４款作出的指示，实施、完成全部工程，并修补工程中的任何缺陷。除第５.２款、第６.２款另有约定外，承包人应提供为完成合同工作所需的劳务、材料、施工设备、工程设备和其它物品，并按合同约定负责临时设施的设计、建造、运行、维护、管理和拆除。</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4.1.4 </w:t>
      </w:r>
      <w:r>
        <w:rPr>
          <w:rFonts w:hint="eastAsia" w:ascii="仿宋" w:hAnsi="仿宋" w:eastAsia="仿宋"/>
          <w:sz w:val="24"/>
          <w:szCs w:val="24"/>
        </w:rPr>
        <w:t>对施工作业和施工方法的完备性负责</w:t>
      </w:r>
      <w:r>
        <w:rPr>
          <w:rFonts w:ascii="仿宋" w:hAnsi="仿宋" w:eastAsia="仿宋"/>
          <w:sz w:val="24"/>
          <w:szCs w:val="24"/>
        </w:rPr>
        <w:t xml:space="preserve"> </w:t>
      </w:r>
      <w:r>
        <w:rPr>
          <w:rFonts w:hint="eastAsia" w:ascii="仿宋" w:hAnsi="仿宋" w:eastAsia="仿宋"/>
          <w:sz w:val="24"/>
          <w:szCs w:val="24"/>
        </w:rPr>
        <w:t>承包人应按合同约定的工作内容和施工进度要求，编制施工组织设计和施工措施计划，并对所有施工作业和施工方法的完备性和安全可靠性负责。</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4.1.5 </w:t>
      </w:r>
      <w:r>
        <w:rPr>
          <w:rFonts w:hint="eastAsia" w:ascii="仿宋" w:hAnsi="仿宋" w:eastAsia="仿宋"/>
          <w:sz w:val="24"/>
          <w:szCs w:val="24"/>
        </w:rPr>
        <w:t>保证工程施工和人员的安全</w:t>
      </w:r>
      <w:r>
        <w:rPr>
          <w:rFonts w:ascii="仿宋" w:hAnsi="仿宋" w:eastAsia="仿宋"/>
          <w:sz w:val="24"/>
          <w:szCs w:val="24"/>
        </w:rPr>
        <w:t xml:space="preserve"> </w:t>
      </w:r>
      <w:r>
        <w:rPr>
          <w:rFonts w:hint="eastAsia" w:ascii="仿宋" w:hAnsi="仿宋" w:eastAsia="仿宋"/>
          <w:sz w:val="24"/>
          <w:szCs w:val="24"/>
        </w:rPr>
        <w:t>承包人应按第</w:t>
      </w:r>
      <w:r>
        <w:rPr>
          <w:rFonts w:ascii="仿宋" w:hAnsi="仿宋" w:eastAsia="仿宋"/>
          <w:sz w:val="24"/>
          <w:szCs w:val="24"/>
        </w:rPr>
        <w:t xml:space="preserve">9.2 </w:t>
      </w:r>
      <w:r>
        <w:rPr>
          <w:rFonts w:hint="eastAsia" w:ascii="仿宋" w:hAnsi="仿宋" w:eastAsia="仿宋"/>
          <w:sz w:val="24"/>
          <w:szCs w:val="24"/>
        </w:rPr>
        <w:t>款约定采取施工安全措施，确保工程及其人员、材料、设备和设施的安全，防止因工程施工造成的人身伤害和财产损失。</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4.1.6 </w:t>
      </w:r>
      <w:r>
        <w:rPr>
          <w:rFonts w:hint="eastAsia" w:ascii="仿宋" w:hAnsi="仿宋" w:eastAsia="仿宋"/>
          <w:sz w:val="24"/>
          <w:szCs w:val="24"/>
        </w:rPr>
        <w:t>负责施工场地及其周边环境与生态的保护工作</w:t>
      </w:r>
      <w:r>
        <w:rPr>
          <w:rFonts w:ascii="仿宋" w:hAnsi="仿宋" w:eastAsia="仿宋"/>
          <w:sz w:val="24"/>
          <w:szCs w:val="24"/>
        </w:rPr>
        <w:t xml:space="preserve"> </w:t>
      </w:r>
      <w:r>
        <w:rPr>
          <w:rFonts w:hint="eastAsia" w:ascii="仿宋" w:hAnsi="仿宋" w:eastAsia="仿宋"/>
          <w:sz w:val="24"/>
          <w:szCs w:val="24"/>
        </w:rPr>
        <w:t>承包人应按照第</w:t>
      </w:r>
      <w:r>
        <w:rPr>
          <w:rFonts w:ascii="仿宋" w:hAnsi="仿宋" w:eastAsia="仿宋"/>
          <w:sz w:val="24"/>
          <w:szCs w:val="24"/>
        </w:rPr>
        <w:t xml:space="preserve">9.4 </w:t>
      </w:r>
      <w:r>
        <w:rPr>
          <w:rFonts w:hint="eastAsia" w:ascii="仿宋" w:hAnsi="仿宋" w:eastAsia="仿宋"/>
          <w:sz w:val="24"/>
          <w:szCs w:val="24"/>
        </w:rPr>
        <w:t>款约定负责施工场地及其周边环境与生态的保护工作。</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4.1.7 </w:t>
      </w:r>
      <w:r>
        <w:rPr>
          <w:rFonts w:hint="eastAsia" w:ascii="仿宋" w:hAnsi="仿宋" w:eastAsia="仿宋"/>
          <w:sz w:val="24"/>
          <w:szCs w:val="24"/>
        </w:rPr>
        <w:t>避免施工对公众与他人的利益造成损害</w:t>
      </w:r>
      <w:r>
        <w:rPr>
          <w:rFonts w:ascii="仿宋" w:hAnsi="仿宋" w:eastAsia="仿宋"/>
          <w:sz w:val="24"/>
          <w:szCs w:val="24"/>
        </w:rPr>
        <w:t xml:space="preserve"> </w:t>
      </w:r>
      <w:r>
        <w:rPr>
          <w:rFonts w:hint="eastAsia" w:ascii="仿宋" w:hAnsi="仿宋" w:eastAsia="仿宋"/>
          <w:sz w:val="24"/>
          <w:szCs w:val="24"/>
        </w:rPr>
        <w:t>承包人在进行合同约定的各项工作时，不得侵害发包人与他人使用公用道路、水源、市政管网等公共设施的权利，避免对邻近的公共设施产生干扰。承包人占用或使用他人的施工场地，影响他人作业或生活的，应承担相应责任。</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4.1.8 </w:t>
      </w:r>
      <w:r>
        <w:rPr>
          <w:rFonts w:hint="eastAsia" w:ascii="仿宋" w:hAnsi="仿宋" w:eastAsia="仿宋"/>
          <w:sz w:val="24"/>
          <w:szCs w:val="24"/>
        </w:rPr>
        <w:t>为他人提供方便</w:t>
      </w:r>
      <w:r>
        <w:rPr>
          <w:rFonts w:ascii="仿宋" w:hAnsi="仿宋" w:eastAsia="仿宋"/>
          <w:sz w:val="24"/>
          <w:szCs w:val="24"/>
        </w:rPr>
        <w:t xml:space="preserve"> </w:t>
      </w:r>
      <w:r>
        <w:rPr>
          <w:rFonts w:hint="eastAsia" w:ascii="仿宋" w:hAnsi="仿宋" w:eastAsia="仿宋"/>
          <w:sz w:val="24"/>
          <w:szCs w:val="24"/>
        </w:rPr>
        <w:t>承包人应按监理人的指示为他人在施工场地或附近实施与工程有关的其他各项工作提供可能的条件。除合同另有约定外，提供有关条件的内容和可能发生的费用，由监理人按第</w:t>
      </w:r>
      <w:r>
        <w:rPr>
          <w:rFonts w:ascii="仿宋" w:hAnsi="仿宋" w:eastAsia="仿宋"/>
          <w:sz w:val="24"/>
          <w:szCs w:val="24"/>
        </w:rPr>
        <w:t xml:space="preserve">3.5 </w:t>
      </w:r>
      <w:r>
        <w:rPr>
          <w:rFonts w:hint="eastAsia" w:ascii="仿宋" w:hAnsi="仿宋" w:eastAsia="仿宋"/>
          <w:sz w:val="24"/>
          <w:szCs w:val="24"/>
        </w:rPr>
        <w:t>款商定或确定。</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4.1.9 </w:t>
      </w:r>
      <w:r>
        <w:rPr>
          <w:rFonts w:hint="eastAsia" w:ascii="仿宋" w:hAnsi="仿宋" w:eastAsia="仿宋"/>
          <w:sz w:val="24"/>
          <w:szCs w:val="24"/>
        </w:rPr>
        <w:t>工程的维护和照管</w:t>
      </w:r>
      <w:r>
        <w:rPr>
          <w:rFonts w:ascii="仿宋" w:hAnsi="仿宋" w:eastAsia="仿宋"/>
          <w:sz w:val="24"/>
          <w:szCs w:val="24"/>
        </w:rPr>
        <w:t xml:space="preserve"> </w:t>
      </w:r>
      <w:r>
        <w:rPr>
          <w:rFonts w:hint="eastAsia" w:ascii="仿宋" w:hAnsi="仿宋" w:eastAsia="仿宋"/>
          <w:sz w:val="24"/>
          <w:szCs w:val="24"/>
        </w:rPr>
        <w:t>除合同另有约定外，合同工程完工证书颁发前，承包人应负责照管和维护工程。合同工程完工证书颁发时尚有部分未完工程的，承包人还应负责该未完工程的照管和维护工作，直至完工后移交给发包人为止。</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4.1.10 </w:t>
      </w:r>
      <w:r>
        <w:rPr>
          <w:rFonts w:hint="eastAsia" w:ascii="仿宋" w:hAnsi="仿宋" w:eastAsia="仿宋"/>
          <w:sz w:val="24"/>
          <w:szCs w:val="24"/>
        </w:rPr>
        <w:t>其他义务</w:t>
      </w:r>
      <w:r>
        <w:rPr>
          <w:rFonts w:ascii="仿宋" w:hAnsi="仿宋" w:eastAsia="仿宋"/>
          <w:sz w:val="24"/>
          <w:szCs w:val="24"/>
        </w:rPr>
        <w:t xml:space="preserve">  </w:t>
      </w:r>
      <w:r>
        <w:rPr>
          <w:rFonts w:hint="eastAsia" w:ascii="仿宋" w:hAnsi="仿宋" w:eastAsia="仿宋"/>
          <w:sz w:val="24"/>
          <w:szCs w:val="24"/>
        </w:rPr>
        <w:t>其它义务在专用合同条款中补充约定。</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4.2 </w:t>
      </w:r>
      <w:r>
        <w:rPr>
          <w:rFonts w:hint="eastAsia" w:ascii="仿宋" w:hAnsi="仿宋" w:eastAsia="仿宋"/>
          <w:b/>
          <w:sz w:val="24"/>
          <w:szCs w:val="24"/>
        </w:rPr>
        <w:t>履约担保</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承包人应保证其履约担保在发包人颁发合同工程完工证书前一直有效。发包人应在合同工程完工证书颁发后</w:t>
      </w:r>
      <w:r>
        <w:rPr>
          <w:rFonts w:ascii="仿宋" w:hAnsi="仿宋" w:eastAsia="仿宋"/>
          <w:sz w:val="24"/>
          <w:szCs w:val="24"/>
        </w:rPr>
        <w:t>28</w:t>
      </w:r>
      <w:r>
        <w:rPr>
          <w:rFonts w:hint="eastAsia" w:ascii="仿宋" w:hAnsi="仿宋" w:eastAsia="仿宋"/>
          <w:sz w:val="24"/>
          <w:szCs w:val="24"/>
        </w:rPr>
        <w:t>天内将履约担保退还给承包人。</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4.3 </w:t>
      </w:r>
      <w:r>
        <w:rPr>
          <w:rFonts w:hint="eastAsia" w:ascii="仿宋" w:hAnsi="仿宋" w:eastAsia="仿宋"/>
          <w:b/>
          <w:sz w:val="24"/>
          <w:szCs w:val="24"/>
        </w:rPr>
        <w:t>分包</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4.3.1 </w:t>
      </w:r>
      <w:r>
        <w:rPr>
          <w:rFonts w:hint="eastAsia" w:ascii="仿宋" w:hAnsi="仿宋" w:eastAsia="仿宋"/>
          <w:sz w:val="24"/>
          <w:szCs w:val="24"/>
        </w:rPr>
        <w:t>承包人不得将其承包的全部工程转包给第三人，或将其承包的全部工程肢解后以</w:t>
      </w:r>
      <w:r>
        <w:rPr>
          <w:rFonts w:ascii="仿宋" w:hAnsi="仿宋" w:eastAsia="仿宋"/>
          <w:sz w:val="24"/>
          <w:szCs w:val="24"/>
        </w:rPr>
        <w:t xml:space="preserve"> </w:t>
      </w:r>
      <w:r>
        <w:rPr>
          <w:rFonts w:hint="eastAsia" w:ascii="仿宋" w:hAnsi="仿宋" w:eastAsia="仿宋"/>
          <w:sz w:val="24"/>
          <w:szCs w:val="24"/>
        </w:rPr>
        <w:t>分包的名义转包给第三人。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4.3.2 </w:t>
      </w:r>
      <w:r>
        <w:rPr>
          <w:rFonts w:hint="eastAsia" w:ascii="仿宋" w:hAnsi="仿宋" w:eastAsia="仿宋"/>
          <w:sz w:val="24"/>
          <w:szCs w:val="24"/>
        </w:rPr>
        <w:t>承包人不得将工程主体、关键性工作分包给第三人。除专用合同条款另有约定外，未经发包人同意，承包人不得将工程的其他部分或工作分包给第三人。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4.3.3 </w:t>
      </w:r>
      <w:r>
        <w:rPr>
          <w:rFonts w:hint="eastAsia" w:ascii="仿宋" w:hAnsi="仿宋" w:eastAsia="仿宋"/>
          <w:sz w:val="24"/>
          <w:szCs w:val="24"/>
        </w:rPr>
        <w:t>分包人的资格能力应与其分包工程的标准和规模相适应。</w:t>
      </w:r>
      <w:r>
        <w:rPr>
          <w:rFonts w:ascii="仿宋" w:hAnsi="仿宋" w:eastAsia="仿宋"/>
          <w:sz w:val="24"/>
          <w:szCs w:val="24"/>
        </w:rPr>
        <w:t xml:space="preserve">  </w:t>
      </w:r>
    </w:p>
    <w:p>
      <w:pPr>
        <w:spacing w:line="500" w:lineRule="exact"/>
        <w:ind w:firstLine="480" w:firstLineChars="200"/>
        <w:rPr>
          <w:rFonts w:hint="eastAsia" w:ascii="仿宋" w:hAnsi="仿宋" w:eastAsia="仿宋"/>
          <w:sz w:val="24"/>
          <w:szCs w:val="24"/>
        </w:rPr>
      </w:pPr>
      <w:r>
        <w:rPr>
          <w:rFonts w:ascii="仿宋" w:hAnsi="仿宋" w:eastAsia="仿宋"/>
          <w:sz w:val="24"/>
          <w:szCs w:val="24"/>
        </w:rPr>
        <w:t xml:space="preserve">4.3.4 </w:t>
      </w:r>
      <w:r>
        <w:rPr>
          <w:rFonts w:hint="eastAsia" w:ascii="仿宋" w:hAnsi="仿宋" w:eastAsia="仿宋"/>
          <w:sz w:val="24"/>
          <w:szCs w:val="24"/>
        </w:rPr>
        <w:t>按投标函附录约定分包工程的，承包人应向发包人和监理人提交分包合同副本。</w:t>
      </w:r>
    </w:p>
    <w:p>
      <w:pPr>
        <w:spacing w:line="500" w:lineRule="exact"/>
        <w:ind w:left="0" w:leftChars="0" w:firstLine="480" w:firstLineChars="200"/>
        <w:rPr>
          <w:rFonts w:ascii="仿宋" w:hAnsi="仿宋" w:eastAsia="仿宋"/>
          <w:sz w:val="24"/>
          <w:szCs w:val="24"/>
        </w:rPr>
      </w:pPr>
      <w:r>
        <w:rPr>
          <w:rFonts w:ascii="仿宋" w:hAnsi="仿宋" w:eastAsia="仿宋"/>
          <w:sz w:val="24"/>
          <w:szCs w:val="24"/>
        </w:rPr>
        <w:t xml:space="preserve">4.3.5 </w:t>
      </w:r>
      <w:r>
        <w:rPr>
          <w:rFonts w:hint="eastAsia" w:ascii="仿宋" w:hAnsi="仿宋" w:eastAsia="仿宋"/>
          <w:sz w:val="24"/>
          <w:szCs w:val="24"/>
        </w:rPr>
        <w:t>承包人应与分包人就分包工程向发包人承担连带责任。</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4.3.6 </w:t>
      </w:r>
      <w:r>
        <w:rPr>
          <w:rFonts w:hint="eastAsia" w:ascii="仿宋" w:hAnsi="仿宋" w:eastAsia="仿宋"/>
          <w:sz w:val="24"/>
          <w:szCs w:val="24"/>
        </w:rPr>
        <w:t>分包分为工程分包和劳务作业分包。工程分包应遵循合同约定或者经发包人书</w:t>
      </w:r>
      <w:r>
        <w:rPr>
          <w:rFonts w:ascii="仿宋" w:hAnsi="仿宋" w:eastAsia="仿宋"/>
          <w:sz w:val="24"/>
          <w:szCs w:val="24"/>
        </w:rPr>
        <w:t xml:space="preserve">  </w:t>
      </w:r>
      <w:r>
        <w:rPr>
          <w:rFonts w:hint="eastAsia" w:ascii="仿宋" w:hAnsi="仿宋" w:eastAsia="仿宋"/>
          <w:sz w:val="24"/>
          <w:szCs w:val="24"/>
        </w:rPr>
        <w:t>面认可。禁止承包人将本合同工程进行违法分包。分包人应具备与分包工程规模和标准相适</w:t>
      </w:r>
      <w:r>
        <w:rPr>
          <w:rFonts w:ascii="仿宋" w:hAnsi="仿宋" w:eastAsia="仿宋"/>
          <w:sz w:val="24"/>
          <w:szCs w:val="24"/>
        </w:rPr>
        <w:t xml:space="preserve"> </w:t>
      </w:r>
      <w:r>
        <w:rPr>
          <w:rFonts w:hint="eastAsia" w:ascii="仿宋" w:hAnsi="仿宋" w:eastAsia="仿宋"/>
          <w:sz w:val="24"/>
          <w:szCs w:val="24"/>
        </w:rPr>
        <w:t>应的资质和业绩，在人力、设备、资金等方面具有承担分包工程施工的能力。分包人应自行</w:t>
      </w:r>
      <w:r>
        <w:rPr>
          <w:rFonts w:ascii="仿宋" w:hAnsi="仿宋" w:eastAsia="仿宋"/>
          <w:sz w:val="24"/>
          <w:szCs w:val="24"/>
        </w:rPr>
        <w:t xml:space="preserve"> </w:t>
      </w:r>
      <w:r>
        <w:rPr>
          <w:rFonts w:hint="eastAsia" w:ascii="仿宋" w:hAnsi="仿宋" w:eastAsia="仿宋"/>
          <w:sz w:val="24"/>
          <w:szCs w:val="24"/>
        </w:rPr>
        <w:t>完成所承包的任务。</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4.3.7 </w:t>
      </w:r>
      <w:r>
        <w:rPr>
          <w:rFonts w:hint="eastAsia" w:ascii="仿宋" w:hAnsi="仿宋" w:eastAsia="仿宋"/>
          <w:sz w:val="24"/>
          <w:szCs w:val="24"/>
        </w:rPr>
        <w:t>在合同实施过程中，如承包人无力在合同规定的期限内完成合同中的应急防汛、抢险等危及公共安全和工程安全的项目，发包人可对该应急防汛、抢险等项目的部分工程指定分包人。因非承包人原因形成指定分包条件的，发包人的指定分包不应增加承包人的额外费用；因承包人原因形成指定分包条件的，承包人应承担指定分包所增加的费用。由指定分包人造成的与其分包工作有关的一切索赔、诉讼和损失赔偿由指定分包人直接对发包人负责，承包人不对此承担责任。</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4.3.8 </w:t>
      </w:r>
      <w:r>
        <w:rPr>
          <w:rFonts w:hint="eastAsia" w:ascii="仿宋" w:hAnsi="仿宋" w:eastAsia="仿宋"/>
          <w:sz w:val="24"/>
          <w:szCs w:val="24"/>
        </w:rPr>
        <w:t>承包人和分包人应当签订分包合同，并履行合同约定的义务。分包合同必须遵循承包合同的各项原则，满足承包合同中相应条款的要求。发包人可以对分包合同实施情况进行监督检查。承包人应将分包合同副本提交发包人和监理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4.3.9 </w:t>
      </w:r>
      <w:r>
        <w:rPr>
          <w:rFonts w:hint="eastAsia" w:ascii="仿宋" w:hAnsi="仿宋" w:eastAsia="仿宋"/>
          <w:sz w:val="24"/>
          <w:szCs w:val="24"/>
        </w:rPr>
        <w:t>除第</w:t>
      </w:r>
      <w:r>
        <w:rPr>
          <w:rFonts w:ascii="仿宋" w:hAnsi="仿宋" w:eastAsia="仿宋"/>
          <w:sz w:val="24"/>
          <w:szCs w:val="24"/>
        </w:rPr>
        <w:t>4.3.7</w:t>
      </w:r>
      <w:r>
        <w:rPr>
          <w:rFonts w:hint="eastAsia" w:ascii="仿宋" w:hAnsi="仿宋" w:eastAsia="仿宋"/>
          <w:sz w:val="24"/>
          <w:szCs w:val="24"/>
        </w:rPr>
        <w:t>项规定的指定分包外，承包人对其分包项目的实施以及分包人的行为向发包人负全部责任。承包人应对分包项目的工程进度、质量、安全、计量和验收等实施监督和管理。</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4.3.10 </w:t>
      </w:r>
      <w:r>
        <w:rPr>
          <w:rFonts w:hint="eastAsia" w:ascii="仿宋" w:hAnsi="仿宋" w:eastAsia="仿宋"/>
          <w:sz w:val="24"/>
          <w:szCs w:val="24"/>
        </w:rPr>
        <w:t>分包人应按专用合同条款的约定设立项目管理机构组织管理分包工程的施工活动。</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4.4 </w:t>
      </w:r>
      <w:r>
        <w:rPr>
          <w:rFonts w:hint="eastAsia" w:ascii="仿宋" w:hAnsi="仿宋" w:eastAsia="仿宋"/>
          <w:b/>
          <w:sz w:val="24"/>
          <w:szCs w:val="24"/>
        </w:rPr>
        <w:t>联合体</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4.4.1 </w:t>
      </w:r>
      <w:r>
        <w:rPr>
          <w:rFonts w:hint="eastAsia" w:ascii="仿宋" w:hAnsi="仿宋" w:eastAsia="仿宋"/>
          <w:sz w:val="24"/>
          <w:szCs w:val="24"/>
        </w:rPr>
        <w:t>联合体各方应共同与发包人签订合同协议书。联合体各方应为履行合同承担连带责任。</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4.4.2 </w:t>
      </w:r>
      <w:r>
        <w:rPr>
          <w:rFonts w:hint="eastAsia" w:ascii="仿宋" w:hAnsi="仿宋" w:eastAsia="仿宋"/>
          <w:sz w:val="24"/>
          <w:szCs w:val="24"/>
        </w:rPr>
        <w:t>联合体协议经发包人确认后作为合同附件。在履行合同过程中，未经发包人同意，不得修改联合体协议。</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4.4.3 </w:t>
      </w:r>
      <w:r>
        <w:rPr>
          <w:rFonts w:hint="eastAsia" w:ascii="仿宋" w:hAnsi="仿宋" w:eastAsia="仿宋"/>
          <w:sz w:val="24"/>
          <w:szCs w:val="24"/>
        </w:rPr>
        <w:t>联合体牵头人负责与发包人和监理人联系，并接受指示，负责组织联合体各成员全面履行合同。</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4.5 </w:t>
      </w:r>
      <w:r>
        <w:rPr>
          <w:rFonts w:hint="eastAsia" w:ascii="仿宋" w:hAnsi="仿宋" w:eastAsia="仿宋"/>
          <w:b/>
          <w:sz w:val="24"/>
          <w:szCs w:val="24"/>
        </w:rPr>
        <w:t>承包人项目经理</w:t>
      </w:r>
      <w:r>
        <w:rPr>
          <w:rFonts w:ascii="仿宋" w:hAnsi="仿宋" w:eastAsia="仿宋"/>
          <w:b/>
          <w:sz w:val="24"/>
          <w:szCs w:val="24"/>
        </w:rPr>
        <w:t xml:space="preserve">  </w:t>
      </w:r>
    </w:p>
    <w:p>
      <w:pPr>
        <w:spacing w:line="500" w:lineRule="exact"/>
        <w:ind w:firstLine="480"/>
        <w:rPr>
          <w:rFonts w:ascii="仿宋" w:hAnsi="仿宋" w:eastAsia="仿宋" w:cs="宋体"/>
          <w:kern w:val="0"/>
          <w:sz w:val="24"/>
          <w:szCs w:val="24"/>
        </w:rPr>
      </w:pPr>
      <w:r>
        <w:rPr>
          <w:rFonts w:hint="eastAsia" w:ascii="仿宋" w:hAnsi="仿宋" w:eastAsia="仿宋" w:cs="宋体"/>
          <w:kern w:val="0"/>
          <w:sz w:val="24"/>
          <w:szCs w:val="24"/>
        </w:rPr>
        <w:t xml:space="preserve">4.5.1 </w:t>
      </w:r>
      <w:bookmarkStart w:id="421" w:name="_Ref532351726"/>
      <w:r>
        <w:rPr>
          <w:rFonts w:hint="eastAsia" w:ascii="仿宋" w:hAnsi="仿宋" w:eastAsia="仿宋" w:cs="宋体"/>
          <w:kern w:val="0"/>
          <w:sz w:val="24"/>
          <w:szCs w:val="24"/>
        </w:rPr>
        <w:t>工程项目经理应为合同当事人所确认的人选，并在专用合同条件中明确项目经理的姓名、注册执业资格或职称、联系方式及授权范围等事项。项目经理应具备履行其职责所需的资格、经验和能力，并为承包人正式聘用的员工，承包人应向发包人提交工程项目经理与承包人之间的劳动合同，以及承包人为项目经理缴纳社会保险的有效证明。承包人不提交上述文件的，工程项目经理无权履行职责，发包人有权要求更换工程项目经理，由此增加的费用和（或）延误的工期由承包人承担。</w:t>
      </w:r>
      <w:bookmarkEnd w:id="421"/>
    </w:p>
    <w:p>
      <w:pPr>
        <w:autoSpaceDE w:val="0"/>
        <w:autoSpaceDN w:val="0"/>
        <w:adjustRightInd w:val="0"/>
        <w:spacing w:line="460" w:lineRule="exact"/>
        <w:ind w:firstLine="480"/>
        <w:jc w:val="left"/>
        <w:rPr>
          <w:rFonts w:ascii="仿宋" w:hAnsi="仿宋" w:eastAsia="仿宋"/>
          <w:kern w:val="0"/>
          <w:sz w:val="24"/>
          <w:szCs w:val="24"/>
        </w:rPr>
      </w:pPr>
      <w:r>
        <w:rPr>
          <w:rFonts w:hint="eastAsia" w:ascii="仿宋" w:hAnsi="仿宋" w:eastAsia="仿宋" w:cs="宋体"/>
          <w:kern w:val="0"/>
          <w:sz w:val="24"/>
          <w:szCs w:val="24"/>
        </w:rPr>
        <w:t xml:space="preserve">4.5.2 </w:t>
      </w:r>
      <w:bookmarkStart w:id="422" w:name="_Ref531952112"/>
      <w:bookmarkStart w:id="423" w:name="_Ref532689178"/>
      <w:r>
        <w:rPr>
          <w:rFonts w:hint="eastAsia" w:ascii="仿宋" w:hAnsi="仿宋" w:eastAsia="仿宋" w:cs="宋体"/>
          <w:kern w:val="0"/>
          <w:sz w:val="24"/>
          <w:szCs w:val="24"/>
        </w:rPr>
        <w:t>承包人应根据本合同的约定授予工程项目经理代表承包人履行合同所需的权利。经承包人授权后，工程项目经理应按合同约定，代表承包人负责组织合同工作的实施。在紧急情况下，且无法与发包人和监理人取得联系时，工程项目经理有权采取必要的措施保证人身、工程和财产的安全，但须在事后48小时内向发包人和监理人送交书面报告。</w:t>
      </w:r>
      <w:bookmarkEnd w:id="422"/>
      <w:bookmarkEnd w:id="423"/>
    </w:p>
    <w:p>
      <w:pPr>
        <w:autoSpaceDE w:val="0"/>
        <w:autoSpaceDN w:val="0"/>
        <w:adjustRightInd w:val="0"/>
        <w:spacing w:line="460" w:lineRule="exact"/>
        <w:ind w:firstLine="480"/>
        <w:jc w:val="left"/>
        <w:rPr>
          <w:rFonts w:ascii="仿宋" w:hAnsi="仿宋" w:eastAsia="仿宋" w:cs="宋体"/>
          <w:kern w:val="0"/>
          <w:sz w:val="24"/>
          <w:szCs w:val="24"/>
        </w:rPr>
      </w:pPr>
      <w:r>
        <w:rPr>
          <w:rFonts w:hint="eastAsia" w:ascii="仿宋" w:hAnsi="仿宋" w:eastAsia="仿宋" w:cs="宋体"/>
          <w:kern w:val="0"/>
          <w:sz w:val="24"/>
          <w:szCs w:val="24"/>
        </w:rPr>
        <w:t>4.5.3</w:t>
      </w:r>
      <w:r>
        <w:rPr>
          <w:rFonts w:ascii="仿宋" w:hAnsi="仿宋" w:eastAsia="仿宋" w:cs="宋体"/>
          <w:kern w:val="0"/>
          <w:sz w:val="24"/>
          <w:szCs w:val="24"/>
        </w:rPr>
        <w:t xml:space="preserve"> </w:t>
      </w:r>
      <w:bookmarkStart w:id="424" w:name="_Ref4426412"/>
      <w:r>
        <w:rPr>
          <w:rFonts w:hint="eastAsia" w:ascii="仿宋" w:hAnsi="仿宋" w:eastAsia="仿宋" w:cs="宋体"/>
          <w:kern w:val="0"/>
          <w:sz w:val="24"/>
          <w:szCs w:val="24"/>
        </w:rPr>
        <w:t>承包人需要更换工程项目经理的，应提前14天书面通知发包人和监理人，征得发包人书面同意。通知中应当载明继任工程项目经理的注册执业资格、管理经验等资料，继任工程项目经理继续履行本合同约定的职责。未经发包人书面同意，承包人不得擅自更换工程项目经理，在发包人未予以书面回复期间内，工程项目经理将继续履行其职务。工程项目经理突发丧失履行职务能力的，承包人应当及时委派一位具有相应资格能力的人员担任临时工程项目经理，履行工程项目经理的职责，临时工程项目经理将履行职责直至发包人同意新的工程项目经理的任命之日止。</w:t>
      </w:r>
      <w:bookmarkEnd w:id="424"/>
    </w:p>
    <w:p>
      <w:pPr>
        <w:autoSpaceDE w:val="0"/>
        <w:autoSpaceDN w:val="0"/>
        <w:adjustRightInd w:val="0"/>
        <w:spacing w:line="460" w:lineRule="exact"/>
        <w:ind w:firstLine="480"/>
        <w:jc w:val="left"/>
        <w:rPr>
          <w:rFonts w:ascii="仿宋" w:hAnsi="仿宋" w:eastAsia="仿宋" w:cs="宋体"/>
          <w:kern w:val="0"/>
          <w:sz w:val="24"/>
          <w:szCs w:val="24"/>
        </w:rPr>
      </w:pPr>
      <w:r>
        <w:rPr>
          <w:rFonts w:hint="eastAsia" w:ascii="仿宋" w:hAnsi="仿宋" w:eastAsia="仿宋" w:cs="宋体"/>
          <w:kern w:val="0"/>
          <w:sz w:val="24"/>
          <w:szCs w:val="24"/>
        </w:rPr>
        <w:t>4.5.4</w:t>
      </w:r>
      <w:r>
        <w:rPr>
          <w:rFonts w:ascii="仿宋" w:hAnsi="仿宋" w:eastAsia="仿宋" w:cs="宋体"/>
          <w:kern w:val="0"/>
          <w:sz w:val="24"/>
          <w:szCs w:val="24"/>
        </w:rPr>
        <w:t xml:space="preserve"> </w:t>
      </w:r>
      <w:r>
        <w:rPr>
          <w:rFonts w:hint="eastAsia" w:ascii="仿宋" w:hAnsi="仿宋" w:eastAsia="仿宋" w:cs="宋体"/>
          <w:kern w:val="0"/>
          <w:sz w:val="24"/>
          <w:szCs w:val="24"/>
        </w:rPr>
        <w:t>发包人有权书面通知承包人更换其认为不称职的项目经理，通知中应当载明要求更换的理由。承包人应在接到更换通知后</w:t>
      </w:r>
      <w:r>
        <w:rPr>
          <w:rFonts w:ascii="仿宋" w:hAnsi="仿宋" w:eastAsia="仿宋" w:cs="宋体"/>
          <w:kern w:val="0"/>
          <w:sz w:val="24"/>
          <w:szCs w:val="24"/>
        </w:rPr>
        <w:t>14</w:t>
      </w:r>
      <w:r>
        <w:rPr>
          <w:rFonts w:hint="eastAsia" w:ascii="仿宋" w:hAnsi="仿宋" w:eastAsia="仿宋" w:cs="宋体"/>
          <w:kern w:val="0"/>
          <w:sz w:val="24"/>
          <w:szCs w:val="24"/>
        </w:rPr>
        <w:t>天内向发包人提出书面的改进报告。发包人收到改进报告后仍要求更换的，承包人应在接到第二次更换通知的</w:t>
      </w:r>
      <w:r>
        <w:rPr>
          <w:rFonts w:ascii="仿宋" w:hAnsi="仿宋" w:eastAsia="仿宋" w:cs="宋体"/>
          <w:kern w:val="0"/>
          <w:sz w:val="24"/>
          <w:szCs w:val="24"/>
        </w:rPr>
        <w:t>28</w:t>
      </w:r>
      <w:r>
        <w:rPr>
          <w:rFonts w:hint="eastAsia" w:ascii="仿宋" w:hAnsi="仿宋" w:eastAsia="仿宋" w:cs="宋体"/>
          <w:kern w:val="0"/>
          <w:sz w:val="24"/>
          <w:szCs w:val="24"/>
        </w:rPr>
        <w:t>天内进行更换，并将新任命的项目经理的注册执业资格、管理经验等资料书面通知发包人。继任项目经理继续履行第4.5.1项约定的职责。</w:t>
      </w:r>
    </w:p>
    <w:p>
      <w:pPr>
        <w:spacing w:line="500" w:lineRule="exact"/>
        <w:ind w:firstLine="480"/>
        <w:rPr>
          <w:rFonts w:ascii="仿宋" w:hAnsi="仿宋" w:eastAsia="仿宋"/>
          <w:b/>
          <w:sz w:val="24"/>
          <w:szCs w:val="24"/>
        </w:rPr>
      </w:pPr>
      <w:r>
        <w:rPr>
          <w:rFonts w:hint="eastAsia" w:ascii="仿宋" w:hAnsi="仿宋" w:eastAsia="仿宋" w:cs="宋体"/>
          <w:kern w:val="0"/>
          <w:sz w:val="24"/>
          <w:szCs w:val="24"/>
        </w:rPr>
        <w:t>4.5.5</w:t>
      </w:r>
      <w:r>
        <w:rPr>
          <w:rFonts w:ascii="仿宋" w:hAnsi="仿宋" w:eastAsia="仿宋" w:cs="宋体"/>
          <w:kern w:val="0"/>
          <w:sz w:val="24"/>
          <w:szCs w:val="24"/>
        </w:rPr>
        <w:t xml:space="preserve"> </w:t>
      </w:r>
      <w:r>
        <w:rPr>
          <w:rFonts w:hint="eastAsia" w:ascii="仿宋" w:hAnsi="仿宋" w:eastAsia="仿宋" w:cs="宋体"/>
          <w:kern w:val="0"/>
          <w:sz w:val="24"/>
          <w:szCs w:val="24"/>
        </w:rPr>
        <w:t>项目经理因特殊情况授权其下属人员履行其某项工作职责的，该下属人员应具备履行相应职责的能力，并应提前</w:t>
      </w:r>
      <w:r>
        <w:rPr>
          <w:rFonts w:ascii="仿宋" w:hAnsi="仿宋" w:eastAsia="仿宋" w:cs="宋体"/>
          <w:kern w:val="0"/>
          <w:sz w:val="24"/>
          <w:szCs w:val="24"/>
        </w:rPr>
        <w:t>7</w:t>
      </w:r>
      <w:r>
        <w:rPr>
          <w:rFonts w:hint="eastAsia" w:ascii="仿宋" w:hAnsi="仿宋" w:eastAsia="仿宋" w:cs="宋体"/>
          <w:kern w:val="0"/>
          <w:sz w:val="24"/>
          <w:szCs w:val="24"/>
        </w:rPr>
        <w:t>天将上述人员的姓名和授权范围书面通知监理人，并征得发包人书面同意。</w:t>
      </w:r>
    </w:p>
    <w:p>
      <w:pPr>
        <w:spacing w:line="500" w:lineRule="exact"/>
        <w:ind w:firstLine="482"/>
        <w:rPr>
          <w:rFonts w:ascii="仿宋" w:hAnsi="仿宋" w:eastAsia="仿宋"/>
          <w:b/>
          <w:sz w:val="24"/>
          <w:szCs w:val="24"/>
        </w:rPr>
      </w:pPr>
      <w:r>
        <w:rPr>
          <w:rFonts w:ascii="仿宋" w:hAnsi="仿宋" w:eastAsia="仿宋"/>
          <w:b/>
          <w:sz w:val="24"/>
          <w:szCs w:val="24"/>
        </w:rPr>
        <w:t xml:space="preserve">4.6 </w:t>
      </w:r>
      <w:r>
        <w:rPr>
          <w:rFonts w:hint="eastAsia" w:ascii="仿宋" w:hAnsi="仿宋" w:eastAsia="仿宋"/>
          <w:b/>
          <w:sz w:val="24"/>
          <w:szCs w:val="24"/>
        </w:rPr>
        <w:t>承包人人员的管理</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4.6.1 </w:t>
      </w:r>
      <w:r>
        <w:rPr>
          <w:rFonts w:hint="eastAsia" w:ascii="仿宋" w:hAnsi="仿宋" w:eastAsia="仿宋"/>
          <w:sz w:val="24"/>
          <w:szCs w:val="24"/>
        </w:rPr>
        <w:t>承包人应在接到开工通知后</w:t>
      </w:r>
      <w:r>
        <w:rPr>
          <w:rFonts w:ascii="仿宋" w:hAnsi="仿宋" w:eastAsia="仿宋"/>
          <w:sz w:val="24"/>
          <w:szCs w:val="24"/>
        </w:rPr>
        <w:t xml:space="preserve">28 </w:t>
      </w:r>
      <w:r>
        <w:rPr>
          <w:rFonts w:hint="eastAsia" w:ascii="仿宋" w:hAnsi="仿宋" w:eastAsia="仿宋"/>
          <w:sz w:val="24"/>
          <w:szCs w:val="24"/>
        </w:rPr>
        <w:t>天内，向监理人提交承包人在施工场地的管理机构以及人员安排的报告，其内容应包括管理机构的设置、各主要岗位的技术和管理人员名单及其资格，以及各工种技术工人的安排状况。承包人应向监理人提交施工场地人员变动情况的报告。</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4.6.2 </w:t>
      </w:r>
      <w:r>
        <w:rPr>
          <w:rFonts w:hint="eastAsia" w:ascii="仿宋" w:hAnsi="仿宋" w:eastAsia="仿宋"/>
          <w:sz w:val="24"/>
          <w:szCs w:val="24"/>
        </w:rPr>
        <w:t>为完成合同约定的各项工作，承包人应向施工场地派遣或雇佣足够数量的下列人员：</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）具有相应资格的专业技工和合格的普工；</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）具有相应施工经验的技术人员；</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）具有相应岗位资格的各级管理人员。</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4.6.3 </w:t>
      </w:r>
      <w:r>
        <w:rPr>
          <w:rFonts w:hint="eastAsia" w:ascii="仿宋" w:hAnsi="仿宋" w:eastAsia="仿宋"/>
          <w:sz w:val="24"/>
          <w:szCs w:val="24"/>
        </w:rPr>
        <w:t>承包人安排在施工场地的主要管理人员和技术骨干应相对稳定。承包人更换主要管理人员和技术骨干时，应取得监理人的同意。</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4.6.4 </w:t>
      </w:r>
      <w:r>
        <w:rPr>
          <w:rFonts w:hint="eastAsia" w:ascii="仿宋" w:hAnsi="仿宋" w:eastAsia="仿宋"/>
          <w:sz w:val="24"/>
          <w:szCs w:val="24"/>
        </w:rPr>
        <w:t>特殊岗位的工作人员均应持有相应的资格证明，监理人有权随时检查。监理人认为有必要时，可进行现场考核。</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4.7 </w:t>
      </w:r>
      <w:r>
        <w:rPr>
          <w:rFonts w:hint="eastAsia" w:ascii="仿宋" w:hAnsi="仿宋" w:eastAsia="仿宋"/>
          <w:b/>
          <w:sz w:val="24"/>
          <w:szCs w:val="24"/>
        </w:rPr>
        <w:t>撤换承包人项目经理和其他人员</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承包人应对其项目经理和其他人员进行有效管理。监理人要求撤换不能胜任本职工作、行为不端或玩忽职守的承包人项目经理和其他人员的，承包人应予以撤换。</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4.8 </w:t>
      </w:r>
      <w:r>
        <w:rPr>
          <w:rFonts w:hint="eastAsia" w:ascii="仿宋" w:hAnsi="仿宋" w:eastAsia="仿宋"/>
          <w:b/>
          <w:sz w:val="24"/>
          <w:szCs w:val="24"/>
        </w:rPr>
        <w:t>保障承包人人员的合法权益</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4.8.1 </w:t>
      </w:r>
      <w:r>
        <w:rPr>
          <w:rFonts w:hint="eastAsia" w:ascii="仿宋" w:hAnsi="仿宋" w:eastAsia="仿宋"/>
          <w:sz w:val="24"/>
          <w:szCs w:val="24"/>
        </w:rPr>
        <w:t>承包人应与其雇佣的人员签订劳动合同，并按时发放工资。</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4.8.2 </w:t>
      </w:r>
      <w:r>
        <w:rPr>
          <w:rFonts w:hint="eastAsia" w:ascii="仿宋" w:hAnsi="仿宋" w:eastAsia="仿宋"/>
          <w:sz w:val="24"/>
          <w:szCs w:val="24"/>
        </w:rPr>
        <w:t>承包人应按劳动法的规定安排工作时间，保证其雇佣人员享有休息和休假的权利。因工程施工的特殊需要占用休假日或延长工作时间的，应不超过法律规定的限度，并按法律规定给予补休或付酬。</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4.8.3 </w:t>
      </w:r>
      <w:r>
        <w:rPr>
          <w:rFonts w:hint="eastAsia" w:ascii="仿宋" w:hAnsi="仿宋" w:eastAsia="仿宋"/>
          <w:sz w:val="24"/>
          <w:szCs w:val="24"/>
        </w:rPr>
        <w:t>承包人应为其雇佣人员提供必要的食宿条件，以及符合环境保护和卫生要求的生活环境，在远离城镇的施工场地，还应配备必要的伤病防治和急救的医务人员与医疗设施。</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4.8.4 </w:t>
      </w:r>
      <w:r>
        <w:rPr>
          <w:rFonts w:hint="eastAsia" w:ascii="仿宋" w:hAnsi="仿宋" w:eastAsia="仿宋"/>
          <w:sz w:val="24"/>
          <w:szCs w:val="24"/>
        </w:rPr>
        <w:t>承包人应按国家有关劳动保护的规定，采取有效的防止粉尘、降低噪声、控制有害气体和保障高温、高寒、高空作业安全等劳动保护措施。其雇佣人员在施工中受到伤害的，承包人应立即采取有效措施进行抢救和治疗。</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4.8.5 </w:t>
      </w:r>
      <w:r>
        <w:rPr>
          <w:rFonts w:hint="eastAsia" w:ascii="仿宋" w:hAnsi="仿宋" w:eastAsia="仿宋"/>
          <w:sz w:val="24"/>
          <w:szCs w:val="24"/>
        </w:rPr>
        <w:t>承包人应按有关法律规定和合同约定，为其雇佣人员办理保险。</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4.8.6 </w:t>
      </w:r>
      <w:r>
        <w:rPr>
          <w:rFonts w:hint="eastAsia" w:ascii="仿宋" w:hAnsi="仿宋" w:eastAsia="仿宋"/>
          <w:sz w:val="24"/>
          <w:szCs w:val="24"/>
        </w:rPr>
        <w:t>承包人应负责处理其雇佣人员因工伤亡事故的善后事宜，工程中承包人员工发生人身损害事故的，均应当由承包人自行妥善处理，产生的相关费用由承包人自行负担。</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4.9 </w:t>
      </w:r>
      <w:r>
        <w:rPr>
          <w:rFonts w:hint="eastAsia" w:ascii="仿宋" w:hAnsi="仿宋" w:eastAsia="仿宋"/>
          <w:b/>
          <w:sz w:val="24"/>
          <w:szCs w:val="24"/>
        </w:rPr>
        <w:t>工程价款应专款专用</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发包人按合同约定支付给承包人的各项价款应专用于合同工程。</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4.10 </w:t>
      </w:r>
      <w:r>
        <w:rPr>
          <w:rFonts w:hint="eastAsia" w:ascii="仿宋" w:hAnsi="仿宋" w:eastAsia="仿宋"/>
          <w:b/>
          <w:sz w:val="24"/>
          <w:szCs w:val="24"/>
        </w:rPr>
        <w:t>承包人现场查勘</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4.10.1 </w:t>
      </w:r>
      <w:r>
        <w:rPr>
          <w:rFonts w:hint="eastAsia" w:ascii="仿宋" w:hAnsi="仿宋" w:eastAsia="仿宋"/>
          <w:sz w:val="24"/>
          <w:szCs w:val="24"/>
        </w:rPr>
        <w:t>发包人应将其持有的现场地质勘探资料、水文气象资料提供给承包人，并对其准确性负责。但承包人应对其阅读上述有关资料后所作出的解释和推断负责。</w:t>
      </w:r>
    </w:p>
    <w:p>
      <w:pPr>
        <w:spacing w:line="500" w:lineRule="exact"/>
        <w:ind w:firstLine="480"/>
        <w:rPr>
          <w:rFonts w:ascii="仿宋" w:hAnsi="仿宋" w:eastAsia="仿宋"/>
          <w:sz w:val="24"/>
          <w:szCs w:val="24"/>
        </w:rPr>
      </w:pPr>
      <w:r>
        <w:rPr>
          <w:rFonts w:ascii="仿宋" w:hAnsi="仿宋" w:eastAsia="仿宋"/>
          <w:sz w:val="24"/>
          <w:szCs w:val="24"/>
        </w:rPr>
        <w:t xml:space="preserve">4.10.2 </w:t>
      </w:r>
      <w:r>
        <w:rPr>
          <w:rFonts w:hint="eastAsia" w:ascii="仿宋" w:hAnsi="仿宋" w:eastAsia="仿宋"/>
          <w:sz w:val="24"/>
          <w:szCs w:val="24"/>
        </w:rPr>
        <w:t>承包人应对施工场地和周围环境进行查勘，并收集有关地质、水文、气象条件、交通条件、风俗习惯以及其他为完成合同工作有关的当地资料。在全部合同工作中，应视为承包人已充分估计了应承担的责任和风险。</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4.11 </w:t>
      </w:r>
      <w:r>
        <w:rPr>
          <w:rFonts w:hint="eastAsia" w:ascii="仿宋" w:hAnsi="仿宋" w:eastAsia="仿宋"/>
          <w:b/>
          <w:sz w:val="24"/>
          <w:szCs w:val="24"/>
        </w:rPr>
        <w:t>不利物质条件</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4.11.1 </w:t>
      </w:r>
      <w:r>
        <w:rPr>
          <w:rFonts w:hint="eastAsia" w:ascii="仿宋" w:hAnsi="仿宋" w:eastAsia="仿宋"/>
          <w:sz w:val="24"/>
          <w:szCs w:val="24"/>
        </w:rPr>
        <w:t>除专用合同条款另有约定外，不利物质条件是指在施工中遭遇不可预见的外界障碍或自然条件造成施工受阻。</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4.11.2 </w:t>
      </w:r>
      <w:r>
        <w:rPr>
          <w:rFonts w:hint="eastAsia" w:ascii="仿宋" w:hAnsi="仿宋" w:eastAsia="仿宋"/>
          <w:sz w:val="24"/>
          <w:szCs w:val="24"/>
        </w:rPr>
        <w:t>承包人遇到不利物质条件时，应采取适应不利物质条件的合理措施继续施工，并及时通知监理人。承包人有权根据第</w:t>
      </w:r>
      <w:r>
        <w:rPr>
          <w:rFonts w:ascii="仿宋" w:hAnsi="仿宋" w:eastAsia="仿宋"/>
          <w:sz w:val="24"/>
          <w:szCs w:val="24"/>
        </w:rPr>
        <w:t>23.1</w:t>
      </w:r>
      <w:r>
        <w:rPr>
          <w:rFonts w:hint="eastAsia" w:ascii="仿宋" w:hAnsi="仿宋" w:eastAsia="仿宋"/>
          <w:sz w:val="24"/>
          <w:szCs w:val="24"/>
        </w:rPr>
        <w:t>款的约定，要求延长工期及增加费用。监理人收到此类要求后，应在分析上述外界障碍或自然条件是否不可预见及不可预见程度的基础上，按照通用合同条款第</w:t>
      </w:r>
      <w:r>
        <w:rPr>
          <w:rFonts w:ascii="仿宋" w:hAnsi="仿宋" w:eastAsia="仿宋"/>
          <w:sz w:val="24"/>
          <w:szCs w:val="24"/>
        </w:rPr>
        <w:t>15</w:t>
      </w:r>
      <w:r>
        <w:rPr>
          <w:rFonts w:hint="eastAsia" w:ascii="仿宋" w:hAnsi="仿宋" w:eastAsia="仿宋"/>
          <w:sz w:val="24"/>
          <w:szCs w:val="24"/>
        </w:rPr>
        <w:t>条的约定办理。</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5. </w:t>
      </w:r>
      <w:r>
        <w:rPr>
          <w:rFonts w:hint="eastAsia" w:ascii="仿宋" w:hAnsi="仿宋" w:eastAsia="仿宋"/>
          <w:b/>
          <w:sz w:val="24"/>
          <w:szCs w:val="24"/>
        </w:rPr>
        <w:t>材料和工程设备</w:t>
      </w:r>
      <w:r>
        <w:rPr>
          <w:rFonts w:ascii="仿宋" w:hAnsi="仿宋" w:eastAsia="仿宋"/>
          <w:b/>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5.1 </w:t>
      </w:r>
      <w:r>
        <w:rPr>
          <w:rFonts w:hint="eastAsia" w:ascii="仿宋" w:hAnsi="仿宋" w:eastAsia="仿宋"/>
          <w:b/>
          <w:sz w:val="24"/>
          <w:szCs w:val="24"/>
        </w:rPr>
        <w:t>承包人提供的材料和工程设备</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5.1.1 </w:t>
      </w:r>
      <w:r>
        <w:rPr>
          <w:rFonts w:hint="eastAsia" w:ascii="仿宋" w:hAnsi="仿宋" w:eastAsia="仿宋"/>
          <w:sz w:val="24"/>
          <w:szCs w:val="24"/>
        </w:rPr>
        <w:t>除第</w:t>
      </w:r>
      <w:r>
        <w:rPr>
          <w:rFonts w:ascii="仿宋" w:hAnsi="仿宋" w:eastAsia="仿宋"/>
          <w:sz w:val="24"/>
          <w:szCs w:val="24"/>
        </w:rPr>
        <w:t>5.2</w:t>
      </w:r>
      <w:r>
        <w:rPr>
          <w:rFonts w:hint="eastAsia" w:ascii="仿宋" w:hAnsi="仿宋" w:eastAsia="仿宋"/>
          <w:sz w:val="24"/>
          <w:szCs w:val="24"/>
        </w:rPr>
        <w:t>款约定由发包人提供的材料和工程设备外，承包人负责采购、运输和保管完成本合同工作所需的材料和工程设备。承包人应对其采购的材料和工程设备负责。</w:t>
      </w:r>
      <w:r>
        <w:rPr>
          <w:rFonts w:ascii="仿宋" w:hAnsi="仿宋" w:eastAsia="仿宋"/>
          <w:sz w:val="24"/>
          <w:szCs w:val="24"/>
        </w:rPr>
        <w:t xml:space="preserve">  </w:t>
      </w:r>
      <w:r>
        <w:rPr>
          <w:rFonts w:hint="eastAsia"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5.1.2 </w:t>
      </w:r>
      <w:r>
        <w:rPr>
          <w:rFonts w:hint="eastAsia" w:ascii="仿宋" w:hAnsi="仿宋" w:eastAsia="仿宋"/>
          <w:sz w:val="24"/>
          <w:szCs w:val="24"/>
        </w:rPr>
        <w:t>承包人应按专用合同条款的约定，将各项材料和工程设备的供货人及品种、规格、数量和供货时间等报送监理人审批。承包人应向监理人提交其负责提供的材料和工程设备的质量证明文件，并满足合同约定的质量标准。</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5.1.3 </w:t>
      </w:r>
      <w:r>
        <w:rPr>
          <w:rFonts w:hint="eastAsia" w:ascii="仿宋" w:hAnsi="仿宋" w:eastAsia="仿宋"/>
          <w:sz w:val="24"/>
          <w:szCs w:val="24"/>
        </w:rPr>
        <w:t>对承包人提供的材料和工程设备，承包人应会同监理人进行检验和交货验收，查验材料合格证明和产品合格证书，并按合同约定和监理人指示，进行材料的抽样检验和工程设备的检验测试，检验和测试结果应提交监理人，所需费用由承包人承担。</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5.2 </w:t>
      </w:r>
      <w:r>
        <w:rPr>
          <w:rFonts w:hint="eastAsia" w:ascii="仿宋" w:hAnsi="仿宋" w:eastAsia="仿宋"/>
          <w:b/>
          <w:sz w:val="24"/>
          <w:szCs w:val="24"/>
        </w:rPr>
        <w:t>发包人提供的材料和工程设备</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5.2.1 </w:t>
      </w:r>
      <w:r>
        <w:rPr>
          <w:rFonts w:hint="eastAsia" w:ascii="仿宋" w:hAnsi="仿宋" w:eastAsia="仿宋"/>
          <w:sz w:val="24"/>
          <w:szCs w:val="24"/>
        </w:rPr>
        <w:t>发包人提供的材料和工程设备，应在专用合同条款中写明材料和工程设备的名称、规格、数量、价格、交货方式、交货地点和计划交货日期等。</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5.2.2 </w:t>
      </w:r>
      <w:r>
        <w:rPr>
          <w:rFonts w:hint="eastAsia" w:ascii="仿宋" w:hAnsi="仿宋" w:eastAsia="仿宋"/>
          <w:sz w:val="24"/>
          <w:szCs w:val="24"/>
        </w:rPr>
        <w:t>承包人应根据合同进度计划的安排，向监理人报送要求发包人交货的日期计划。发包人应按照监理人与合同双方当事人商定的交货日期，向承包人提交材料和工程设备。</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5.2.3 </w:t>
      </w:r>
      <w:r>
        <w:rPr>
          <w:rFonts w:hint="eastAsia" w:ascii="仿宋" w:hAnsi="仿宋" w:eastAsia="仿宋"/>
          <w:sz w:val="24"/>
          <w:szCs w:val="24"/>
        </w:rPr>
        <w:t>发包人应在材料和工程设备到货</w:t>
      </w:r>
      <w:r>
        <w:rPr>
          <w:rFonts w:ascii="仿宋" w:hAnsi="仿宋" w:eastAsia="仿宋"/>
          <w:sz w:val="24"/>
          <w:szCs w:val="24"/>
        </w:rPr>
        <w:t>7</w:t>
      </w:r>
      <w:r>
        <w:rPr>
          <w:rFonts w:hint="eastAsia" w:ascii="仿宋" w:hAnsi="仿宋" w:eastAsia="仿宋"/>
          <w:sz w:val="24"/>
          <w:szCs w:val="24"/>
        </w:rPr>
        <w:t>天前通知承包人，承包人应会同监理人在约定的时间内，赴交货地点共同进行验收。发包人提供的材料和工程设备运至交货地点验收后，由承包人负责接收、卸货、运输和保管。</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5.2.4 </w:t>
      </w:r>
      <w:r>
        <w:rPr>
          <w:rFonts w:hint="eastAsia" w:ascii="仿宋" w:hAnsi="仿宋" w:eastAsia="仿宋"/>
          <w:sz w:val="24"/>
          <w:szCs w:val="24"/>
        </w:rPr>
        <w:t>发包人要求向承包人提前交货的，承包人不得拒绝，但发包人应承担承包人由此增加的费用。</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5.2.5 </w:t>
      </w:r>
      <w:r>
        <w:rPr>
          <w:rFonts w:hint="eastAsia" w:ascii="仿宋" w:hAnsi="仿宋" w:eastAsia="仿宋"/>
          <w:sz w:val="24"/>
          <w:szCs w:val="24"/>
        </w:rPr>
        <w:t>承包人要求更改交货日期或地点的，应事先报请监理人批准。由于承包人要求更改交货时间或地点所增加的费用和（或）工期延误由承包人承担。</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5.2.6 </w:t>
      </w:r>
      <w:r>
        <w:rPr>
          <w:rFonts w:hint="eastAsia" w:ascii="仿宋" w:hAnsi="仿宋" w:eastAsia="仿宋"/>
          <w:sz w:val="24"/>
          <w:szCs w:val="24"/>
        </w:rPr>
        <w:t>发包人提供的材料和工程设备的规格、数量或质量不符合合同要求，或由于发包人原因发生交货日期延误及交货地点变更等情况的，发包人应承担由此增加的费用和（或）工期延误，并向承包人支付合理利润。</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5.3 </w:t>
      </w:r>
      <w:r>
        <w:rPr>
          <w:rFonts w:hint="eastAsia" w:ascii="仿宋" w:hAnsi="仿宋" w:eastAsia="仿宋"/>
          <w:b/>
          <w:sz w:val="24"/>
          <w:szCs w:val="24"/>
        </w:rPr>
        <w:t>材料和工程设备专用于合同工程</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5.3.1 </w:t>
      </w:r>
      <w:r>
        <w:rPr>
          <w:rFonts w:hint="eastAsia" w:ascii="仿宋" w:hAnsi="仿宋" w:eastAsia="仿宋"/>
          <w:sz w:val="24"/>
          <w:szCs w:val="24"/>
        </w:rPr>
        <w:t>运入施工场地的材料、工程设备，包括备品备件、安装专用工器具与随机资料，必须专用于合同工程，未经监理人同意，承包人不得运出施工场地或挪作他用。</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5.3.2 </w:t>
      </w:r>
      <w:r>
        <w:rPr>
          <w:rFonts w:hint="eastAsia" w:ascii="仿宋" w:hAnsi="仿宋" w:eastAsia="仿宋"/>
          <w:sz w:val="24"/>
          <w:szCs w:val="24"/>
        </w:rPr>
        <w:t>随同工程设备运入施工场地的备品备件、专用工器具与随机资料，应由承包人会同监理人按供货人的装箱单清点后共同封存，未经监理人同意不得启用。承包人因合同工作需要使用上述物品时，应向监理人提出申请。</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5.4 </w:t>
      </w:r>
      <w:r>
        <w:rPr>
          <w:rFonts w:hint="eastAsia" w:ascii="仿宋" w:hAnsi="仿宋" w:eastAsia="仿宋"/>
          <w:b/>
          <w:sz w:val="24"/>
          <w:szCs w:val="24"/>
        </w:rPr>
        <w:t>禁止使用不合格的材料和工程设备</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5.4.1 </w:t>
      </w:r>
      <w:r>
        <w:rPr>
          <w:rFonts w:hint="eastAsia" w:ascii="仿宋" w:hAnsi="仿宋" w:eastAsia="仿宋"/>
          <w:sz w:val="24"/>
          <w:szCs w:val="24"/>
        </w:rPr>
        <w:t>监理人有权拒绝承包人提供的不合格材料或工程设备，并要求承包人立即进行更换。监理人应在更换后再次进行检查和检验，由此增加的费用和（或）工期延误由承包人承担。</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5.4.2 </w:t>
      </w:r>
      <w:r>
        <w:rPr>
          <w:rFonts w:hint="eastAsia" w:ascii="仿宋" w:hAnsi="仿宋" w:eastAsia="仿宋"/>
          <w:sz w:val="24"/>
          <w:szCs w:val="24"/>
        </w:rPr>
        <w:t>监理人发现承包人使用了不合格的材料和工程设备，应即时发出指示要求承包人立即改正，并禁止在工程中继续使用不合格的材料和工程设备。</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5.4.3 </w:t>
      </w:r>
      <w:r>
        <w:rPr>
          <w:rFonts w:hint="eastAsia" w:ascii="仿宋" w:hAnsi="仿宋" w:eastAsia="仿宋"/>
          <w:sz w:val="24"/>
          <w:szCs w:val="24"/>
        </w:rPr>
        <w:t>发包人提供的材料或工程设备不符合合同要求的，承包人有权拒绝，并可要求发包人更换，由此增加的费用和（或）工期延误由发包人承担。</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6. </w:t>
      </w:r>
      <w:r>
        <w:rPr>
          <w:rFonts w:hint="eastAsia" w:ascii="仿宋" w:hAnsi="仿宋" w:eastAsia="仿宋"/>
          <w:b/>
          <w:sz w:val="24"/>
          <w:szCs w:val="24"/>
        </w:rPr>
        <w:t>施工设备和临时设施</w:t>
      </w:r>
      <w:r>
        <w:rPr>
          <w:rFonts w:ascii="仿宋" w:hAnsi="仿宋" w:eastAsia="仿宋"/>
          <w:b/>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6.1 </w:t>
      </w:r>
      <w:r>
        <w:rPr>
          <w:rFonts w:hint="eastAsia" w:ascii="仿宋" w:hAnsi="仿宋" w:eastAsia="仿宋"/>
          <w:b/>
          <w:sz w:val="24"/>
          <w:szCs w:val="24"/>
        </w:rPr>
        <w:t>承包人提供的施工设备和临时设施</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6.1.1 </w:t>
      </w:r>
      <w:r>
        <w:rPr>
          <w:rFonts w:hint="eastAsia" w:ascii="仿宋" w:hAnsi="仿宋" w:eastAsia="仿宋"/>
          <w:sz w:val="24"/>
          <w:szCs w:val="24"/>
        </w:rPr>
        <w:t>承包人应按合同进度计划的要求，及时配置施工设备和修建临时设施。进入施工场地的承包人设备需经监理人核查后才能投入使用。承包人更换合同约定的承包人设备的，应报监理人批准。</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6.1.2 </w:t>
      </w:r>
      <w:r>
        <w:rPr>
          <w:rFonts w:hint="eastAsia" w:ascii="仿宋" w:hAnsi="仿宋" w:eastAsia="仿宋"/>
          <w:sz w:val="24"/>
          <w:szCs w:val="24"/>
        </w:rPr>
        <w:t>除专用合同条款另有约定外，承包人应自行承担修建临时设施的费用，需要临时占地的，应由发包人办理申请手续并承担相应费用。</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6.2 </w:t>
      </w:r>
      <w:r>
        <w:rPr>
          <w:rFonts w:hint="eastAsia" w:ascii="仿宋" w:hAnsi="仿宋" w:eastAsia="仿宋"/>
          <w:b/>
          <w:sz w:val="24"/>
          <w:szCs w:val="24"/>
        </w:rPr>
        <w:t>发包人提供的施工设备和临时设施</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发包人提供的施工设备或临时设施在专用合同条款中约定。</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6.3 </w:t>
      </w:r>
      <w:r>
        <w:rPr>
          <w:rFonts w:hint="eastAsia" w:ascii="仿宋" w:hAnsi="仿宋" w:eastAsia="仿宋"/>
          <w:b/>
          <w:sz w:val="24"/>
          <w:szCs w:val="24"/>
        </w:rPr>
        <w:t>要求承包人增加或更换施工设备</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承包人使用的施工设备不能满足合同进度计划和（或）质量要求时，监理人有权要求承包人增加或更换施工设备，承包人应及时增加或更换，由此增加的费用和（或）工期延误由承包人承担。</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6.4 </w:t>
      </w:r>
      <w:r>
        <w:rPr>
          <w:rFonts w:hint="eastAsia" w:ascii="仿宋" w:hAnsi="仿宋" w:eastAsia="仿宋"/>
          <w:b/>
          <w:sz w:val="24"/>
          <w:szCs w:val="24"/>
        </w:rPr>
        <w:t>施工设备和临时设施专用于合同工程</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6.4.1 </w:t>
      </w:r>
      <w:r>
        <w:rPr>
          <w:rFonts w:hint="eastAsia" w:ascii="仿宋" w:hAnsi="仿宋" w:eastAsia="仿宋"/>
          <w:sz w:val="24"/>
          <w:szCs w:val="24"/>
        </w:rPr>
        <w:t>除合同另有约定外，运入施工场地的所有施工设备以及在施工场地建设的临时设施应专用于合同工程。未经监理人同意，不得将上述施工设备和临时设施中的任何部分运出施工场地或挪作他用。</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6.4.2 </w:t>
      </w:r>
      <w:r>
        <w:rPr>
          <w:rFonts w:hint="eastAsia" w:ascii="仿宋" w:hAnsi="仿宋" w:eastAsia="仿宋"/>
          <w:sz w:val="24"/>
          <w:szCs w:val="24"/>
        </w:rPr>
        <w:t>经监理人同意，承包人可根据合同进度计划撤走闲置的施工设备。</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7. </w:t>
      </w:r>
      <w:r>
        <w:rPr>
          <w:rFonts w:hint="eastAsia" w:ascii="仿宋" w:hAnsi="仿宋" w:eastAsia="仿宋"/>
          <w:b/>
          <w:sz w:val="24"/>
          <w:szCs w:val="24"/>
        </w:rPr>
        <w:t>交通运输</w:t>
      </w:r>
      <w:r>
        <w:rPr>
          <w:rFonts w:ascii="仿宋" w:hAnsi="仿宋" w:eastAsia="仿宋"/>
          <w:b/>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7.1 </w:t>
      </w:r>
      <w:r>
        <w:rPr>
          <w:rFonts w:hint="eastAsia" w:ascii="仿宋" w:hAnsi="仿宋" w:eastAsia="仿宋"/>
          <w:b/>
          <w:sz w:val="24"/>
          <w:szCs w:val="24"/>
        </w:rPr>
        <w:t>道路通行权和场外设施</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除专用合同条款另有约定外，承包人应根据合同工程的施工需要，负责办理取得出入施工场地的专用和临时道路的通行权，以及取得为工程建设所需修建场外设施的权利，并承担相关费用。发包人应协助承包人办理上述手续。</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7.2 </w:t>
      </w:r>
      <w:r>
        <w:rPr>
          <w:rFonts w:hint="eastAsia" w:ascii="仿宋" w:hAnsi="仿宋" w:eastAsia="仿宋"/>
          <w:b/>
          <w:sz w:val="24"/>
          <w:szCs w:val="24"/>
        </w:rPr>
        <w:t>场内施工道路</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7.2.1 </w:t>
      </w:r>
      <w:r>
        <w:rPr>
          <w:rFonts w:hint="eastAsia" w:ascii="仿宋" w:hAnsi="仿宋" w:eastAsia="仿宋"/>
          <w:sz w:val="24"/>
          <w:szCs w:val="24"/>
        </w:rPr>
        <w:t>除本合同约定由发包人提供的部分道路和交通设施外，承包人应负责修建、维修、养护和管理其施工所需的全部临时道路和交通设施（包括合同约定由发包人提供的部分道路和交通设施的维修、养护和管理），并承担相应费用。</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7.2.2 </w:t>
      </w:r>
      <w:r>
        <w:rPr>
          <w:rFonts w:hint="eastAsia" w:ascii="仿宋" w:hAnsi="仿宋" w:eastAsia="仿宋"/>
          <w:sz w:val="24"/>
          <w:szCs w:val="24"/>
        </w:rPr>
        <w:t>承包人修建的临时道路和交通设施，应免费提供发包人、监理人以及与本合同有关的其他承包人使用。</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7.3 </w:t>
      </w:r>
      <w:r>
        <w:rPr>
          <w:rFonts w:hint="eastAsia" w:ascii="仿宋" w:hAnsi="仿宋" w:eastAsia="仿宋"/>
          <w:b/>
          <w:sz w:val="24"/>
          <w:szCs w:val="24"/>
        </w:rPr>
        <w:t>场外交通</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7.3.1 </w:t>
      </w:r>
      <w:r>
        <w:rPr>
          <w:rFonts w:hint="eastAsia" w:ascii="仿宋" w:hAnsi="仿宋" w:eastAsia="仿宋"/>
          <w:sz w:val="24"/>
          <w:szCs w:val="24"/>
        </w:rPr>
        <w:t>承包人车辆外出行驶所需的场外公共道路的通行费、养路费和税款等由承包人承</w:t>
      </w:r>
      <w:r>
        <w:rPr>
          <w:rFonts w:ascii="仿宋" w:hAnsi="仿宋" w:eastAsia="仿宋"/>
          <w:sz w:val="24"/>
          <w:szCs w:val="24"/>
        </w:rPr>
        <w:t xml:space="preserve"> </w:t>
      </w:r>
      <w:r>
        <w:rPr>
          <w:rFonts w:hint="eastAsia" w:ascii="仿宋" w:hAnsi="仿宋" w:eastAsia="仿宋"/>
          <w:sz w:val="24"/>
          <w:szCs w:val="24"/>
        </w:rPr>
        <w:t>担。</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7.3.2 </w:t>
      </w:r>
      <w:r>
        <w:rPr>
          <w:rFonts w:hint="eastAsia" w:ascii="仿宋" w:hAnsi="仿宋" w:eastAsia="仿宋"/>
          <w:sz w:val="24"/>
          <w:szCs w:val="24"/>
        </w:rPr>
        <w:t>承包人应遵守有关交通法规，严格按照道路和桥梁的限制荷重安全行驶，并服从</w:t>
      </w:r>
      <w:r>
        <w:rPr>
          <w:rFonts w:ascii="仿宋" w:hAnsi="仿宋" w:eastAsia="仿宋"/>
          <w:sz w:val="24"/>
          <w:szCs w:val="24"/>
        </w:rPr>
        <w:t xml:space="preserve"> </w:t>
      </w:r>
      <w:r>
        <w:rPr>
          <w:rFonts w:hint="eastAsia" w:ascii="仿宋" w:hAnsi="仿宋" w:eastAsia="仿宋"/>
          <w:sz w:val="24"/>
          <w:szCs w:val="24"/>
        </w:rPr>
        <w:t>交通管理部门的检查和监督。</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7.4 </w:t>
      </w:r>
      <w:r>
        <w:rPr>
          <w:rFonts w:hint="eastAsia" w:ascii="仿宋" w:hAnsi="仿宋" w:eastAsia="仿宋"/>
          <w:b/>
          <w:sz w:val="24"/>
          <w:szCs w:val="24"/>
        </w:rPr>
        <w:t>超大件和超重件的运输</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7.5 </w:t>
      </w:r>
      <w:r>
        <w:rPr>
          <w:rFonts w:hint="eastAsia" w:ascii="仿宋" w:hAnsi="仿宋" w:eastAsia="仿宋"/>
          <w:b/>
          <w:sz w:val="24"/>
          <w:szCs w:val="24"/>
        </w:rPr>
        <w:t>道路和桥梁的损坏责任</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 </w:t>
      </w:r>
      <w:r>
        <w:rPr>
          <w:rFonts w:hint="eastAsia" w:ascii="仿宋" w:hAnsi="仿宋" w:eastAsia="仿宋"/>
          <w:sz w:val="24"/>
          <w:szCs w:val="24"/>
        </w:rPr>
        <w:t>因承包人运输造成施工场地内外公共道路和桥梁损坏的，由承包人承担修复损坏的全部费用和可能引起的赔偿。</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7.6 </w:t>
      </w:r>
      <w:r>
        <w:rPr>
          <w:rFonts w:hint="eastAsia" w:ascii="仿宋" w:hAnsi="仿宋" w:eastAsia="仿宋"/>
          <w:b/>
          <w:sz w:val="24"/>
          <w:szCs w:val="24"/>
        </w:rPr>
        <w:t>水路和航空运输</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本条上述各款的内容适用于水路运输和航空运输，其中“道路”一词的涵义包括河道、航线、船闸、机场、码头、堤防以及水路或航空运输中其他相似结构物；“车辆”一词的涵义包括船舶和飞机等。</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8. </w:t>
      </w:r>
      <w:r>
        <w:rPr>
          <w:rFonts w:hint="eastAsia" w:ascii="仿宋" w:hAnsi="仿宋" w:eastAsia="仿宋"/>
          <w:b/>
          <w:sz w:val="24"/>
          <w:szCs w:val="24"/>
        </w:rPr>
        <w:t>测量放线</w:t>
      </w:r>
      <w:r>
        <w:rPr>
          <w:rFonts w:ascii="仿宋" w:hAnsi="仿宋" w:eastAsia="仿宋"/>
          <w:b/>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8.1 </w:t>
      </w:r>
      <w:r>
        <w:rPr>
          <w:rFonts w:hint="eastAsia" w:ascii="仿宋" w:hAnsi="仿宋" w:eastAsia="仿宋"/>
          <w:b/>
          <w:sz w:val="24"/>
          <w:szCs w:val="24"/>
        </w:rPr>
        <w:t>施工控制网</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8.1.1 </w:t>
      </w:r>
      <w:r>
        <w:rPr>
          <w:rFonts w:hint="eastAsia" w:ascii="仿宋" w:hAnsi="仿宋" w:eastAsia="仿宋"/>
          <w:sz w:val="24"/>
          <w:szCs w:val="24"/>
        </w:rPr>
        <w:t>除专用合同条款另有约定外，施工控制网由承包人负责测设，发包人应在本合同协议书签订后的１４天内，向承包人提供测量基准点、基准线和水准点及其相关资料。承包人应在收到上述资料后的２８天内，将施测的施工控制网资料提交监理人审批。监理人应在收到报批件后的</w:t>
      </w:r>
      <w:r>
        <w:rPr>
          <w:rFonts w:ascii="仿宋" w:hAnsi="仿宋" w:eastAsia="仿宋"/>
          <w:sz w:val="24"/>
          <w:szCs w:val="24"/>
        </w:rPr>
        <w:t>14</w:t>
      </w:r>
      <w:r>
        <w:rPr>
          <w:rFonts w:hint="eastAsia" w:ascii="仿宋" w:hAnsi="仿宋" w:eastAsia="仿宋"/>
          <w:sz w:val="24"/>
          <w:szCs w:val="24"/>
        </w:rPr>
        <w:t>天内批复承包人。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8.1.2 </w:t>
      </w:r>
      <w:r>
        <w:rPr>
          <w:rFonts w:hint="eastAsia" w:ascii="仿宋" w:hAnsi="仿宋" w:eastAsia="仿宋"/>
          <w:sz w:val="24"/>
          <w:szCs w:val="24"/>
        </w:rPr>
        <w:t>承包人应负责管理施工控制网点。施工控制网点丢失或损坏的，承包人应及时修复。承包人应承担施工控制网点的管理与修复费用，并在工程竣工后将施工控制网点移交发包人。</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8.2 </w:t>
      </w:r>
      <w:r>
        <w:rPr>
          <w:rFonts w:hint="eastAsia" w:ascii="仿宋" w:hAnsi="仿宋" w:eastAsia="仿宋"/>
          <w:b/>
          <w:sz w:val="24"/>
          <w:szCs w:val="24"/>
        </w:rPr>
        <w:t>施工测量</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8.2.1 </w:t>
      </w:r>
      <w:r>
        <w:rPr>
          <w:rFonts w:hint="eastAsia" w:ascii="仿宋" w:hAnsi="仿宋" w:eastAsia="仿宋"/>
          <w:sz w:val="24"/>
          <w:szCs w:val="24"/>
        </w:rPr>
        <w:t>承包人应负责施工过程中的全部施工测量放线工作，并配置合格的人员、仪器、设备和其他物品。</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8.2.2 </w:t>
      </w:r>
      <w:r>
        <w:rPr>
          <w:rFonts w:hint="eastAsia" w:ascii="仿宋" w:hAnsi="仿宋" w:eastAsia="仿宋"/>
          <w:sz w:val="24"/>
          <w:szCs w:val="24"/>
        </w:rPr>
        <w:t>监理人可以指示承包人进行抽样复测，当复测中发现错误或出现超过合同约定的误差时，承包人应按监理人指示进行修正或补测，并承担相应的复测费用。</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8.3 </w:t>
      </w:r>
      <w:r>
        <w:rPr>
          <w:rFonts w:hint="eastAsia" w:ascii="仿宋" w:hAnsi="仿宋" w:eastAsia="仿宋"/>
          <w:b/>
          <w:sz w:val="24"/>
          <w:szCs w:val="24"/>
        </w:rPr>
        <w:t>基准资料错误的责任</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发包人应对其提供的测量基准点、基准线和水准点及其书面资料的真实性、准确性和完整性负责。发包人提供上述基准资料错误导致承包人测量放线工作的返工或造成工程损失的，发包人应当承担由此增加的费用和（或）工期延误，并向承包人支付合理利润。承包人发现发包人提供的上述基准资料存在明显错误或疏忽的，应及时通知监理人。</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8.4 </w:t>
      </w:r>
      <w:r>
        <w:rPr>
          <w:rFonts w:hint="eastAsia" w:ascii="仿宋" w:hAnsi="仿宋" w:eastAsia="仿宋"/>
          <w:b/>
          <w:sz w:val="24"/>
          <w:szCs w:val="24"/>
        </w:rPr>
        <w:t>监理人使用施工控制网</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监理人需要使用施工控制网的，承包人应提供必要的协助，发包人不再为此支付费用。</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8.5 </w:t>
      </w:r>
      <w:r>
        <w:rPr>
          <w:rFonts w:hint="eastAsia" w:ascii="仿宋" w:hAnsi="仿宋" w:eastAsia="仿宋"/>
          <w:b/>
          <w:sz w:val="24"/>
          <w:szCs w:val="24"/>
        </w:rPr>
        <w:t>补充地质勘探</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在合同实施期间，监理人可以指示承包人进行必要的补充地质勘探并提供有关资料。承包人为本合同永久工程施工的需要进行补充地质勘探时，须经监理人批准，并应向监理人提交有关资料，上述补充勘探的费用由发包人承担。承包人为其临时工程设计及施工的需要进行的补充地质勘探，其费用由承包人承担。</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9. </w:t>
      </w:r>
      <w:r>
        <w:rPr>
          <w:rFonts w:hint="eastAsia" w:ascii="仿宋" w:hAnsi="仿宋" w:eastAsia="仿宋"/>
          <w:b/>
          <w:sz w:val="24"/>
          <w:szCs w:val="24"/>
        </w:rPr>
        <w:t>施工安全、治安保卫和环境保护</w:t>
      </w:r>
      <w:r>
        <w:rPr>
          <w:rFonts w:ascii="仿宋" w:hAnsi="仿宋" w:eastAsia="仿宋"/>
          <w:b/>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9.1 </w:t>
      </w:r>
      <w:r>
        <w:rPr>
          <w:rFonts w:hint="eastAsia" w:ascii="仿宋" w:hAnsi="仿宋" w:eastAsia="仿宋"/>
          <w:b/>
          <w:sz w:val="24"/>
          <w:szCs w:val="24"/>
        </w:rPr>
        <w:t>发包人的施工安全责任</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9.1.1 </w:t>
      </w:r>
      <w:r>
        <w:rPr>
          <w:rFonts w:hint="eastAsia" w:ascii="仿宋" w:hAnsi="仿宋" w:eastAsia="仿宋"/>
          <w:sz w:val="24"/>
          <w:szCs w:val="24"/>
        </w:rPr>
        <w:t>发包人应按合同约定履行安全职责。发包人委托监理人根据国家有关安全的法律、法规、强制性标准以及部门规章，对承包人的安全责任履行情况进行监督和检查。监理人的监督检查不减轻承包人应负的安全责任。</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9.1.2 </w:t>
      </w:r>
      <w:r>
        <w:rPr>
          <w:rFonts w:hint="eastAsia" w:ascii="仿宋" w:hAnsi="仿宋" w:eastAsia="仿宋"/>
          <w:sz w:val="24"/>
          <w:szCs w:val="24"/>
        </w:rPr>
        <w:t>发包人应对其现场机构雇佣的全部人员的工伤事故承担责任，但由于承包人原因造成发包人人员工伤的，应由承包人承担责任。</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9.1.3 </w:t>
      </w:r>
      <w:r>
        <w:rPr>
          <w:rFonts w:hint="eastAsia" w:ascii="仿宋" w:hAnsi="仿宋" w:eastAsia="仿宋"/>
          <w:sz w:val="24"/>
          <w:szCs w:val="24"/>
        </w:rPr>
        <w:t>发包人应负责赔偿以下各种情况造成的第三者人身伤亡和财产损失：</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w:t>
      </w:r>
      <w:r>
        <w:rPr>
          <w:rFonts w:ascii="仿宋" w:hAnsi="仿宋" w:eastAsia="仿宋"/>
          <w:sz w:val="24"/>
          <w:szCs w:val="24"/>
        </w:rPr>
        <w:t xml:space="preserve"> </w:t>
      </w:r>
      <w:r>
        <w:rPr>
          <w:rFonts w:hint="eastAsia" w:ascii="仿宋" w:hAnsi="仿宋" w:eastAsia="仿宋"/>
          <w:sz w:val="24"/>
          <w:szCs w:val="24"/>
        </w:rPr>
        <w:t>工程或工程的任何部分对土地的占用所造成的第三者财产损失；</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w:t>
      </w:r>
      <w:r>
        <w:rPr>
          <w:rFonts w:ascii="仿宋" w:hAnsi="仿宋" w:eastAsia="仿宋"/>
          <w:sz w:val="24"/>
          <w:szCs w:val="24"/>
        </w:rPr>
        <w:t xml:space="preserve"> </w:t>
      </w:r>
      <w:r>
        <w:rPr>
          <w:rFonts w:hint="eastAsia" w:ascii="仿宋" w:hAnsi="仿宋" w:eastAsia="仿宋"/>
          <w:sz w:val="24"/>
          <w:szCs w:val="24"/>
        </w:rPr>
        <w:t>由于发包人原因在施工场地及其毗邻地带造成的第三者人身伤亡和财产损失。</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9.1.4 </w:t>
      </w:r>
      <w:r>
        <w:rPr>
          <w:rFonts w:hint="eastAsia" w:ascii="仿宋" w:hAnsi="仿宋" w:eastAsia="仿宋"/>
          <w:sz w:val="24"/>
          <w:szCs w:val="24"/>
        </w:rPr>
        <w:t>除专用合同条款另有约定外，发包人负责向承包人提供施工现场及施工可能影响的毗邻区域内供水、排水、供电、供气、供热、通信、广播电视等地下管线资料，气象和水文观测资料，拟建工程可能影响的相邻建筑物地下工程的有关资料，并保证有关资料的真实、准确、完整，满足有关技术规程的要求。</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9.1.5 </w:t>
      </w:r>
      <w:r>
        <w:rPr>
          <w:rFonts w:hint="eastAsia" w:ascii="仿宋" w:hAnsi="仿宋" w:eastAsia="仿宋"/>
          <w:sz w:val="24"/>
          <w:szCs w:val="24"/>
        </w:rPr>
        <w:t>发包人按照已标价工程量清单所列金额和合同约定的计量支付规定，支付安全作业环境及安全施工措施所需费用。</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9.1.6 </w:t>
      </w:r>
      <w:r>
        <w:rPr>
          <w:rFonts w:hint="eastAsia" w:ascii="仿宋" w:hAnsi="仿宋" w:eastAsia="仿宋"/>
          <w:sz w:val="24"/>
          <w:szCs w:val="24"/>
        </w:rPr>
        <w:t>发包人负责组织工程参建单位编制保证安全生产的措施方案。工程开工前，就落实保证安全生产的措施进行全面系统的布置，进一步明确承包人的安全生产责任。</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9.1.7 </w:t>
      </w:r>
      <w:r>
        <w:rPr>
          <w:rFonts w:hint="eastAsia" w:ascii="仿宋" w:hAnsi="仿宋" w:eastAsia="仿宋"/>
          <w:sz w:val="24"/>
          <w:szCs w:val="24"/>
        </w:rPr>
        <w:t>发包人负责在拆除工程和爆破工程施工１４天前向有关部门或机构报送相关备案资料。</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9.2 </w:t>
      </w:r>
      <w:r>
        <w:rPr>
          <w:rFonts w:hint="eastAsia" w:ascii="仿宋" w:hAnsi="仿宋" w:eastAsia="仿宋"/>
          <w:b/>
          <w:sz w:val="24"/>
          <w:szCs w:val="24"/>
        </w:rPr>
        <w:t>承包人的施工安全责任</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9.2.1 </w:t>
      </w:r>
      <w:r>
        <w:rPr>
          <w:rFonts w:hint="eastAsia" w:ascii="仿宋" w:hAnsi="仿宋" w:eastAsia="仿宋"/>
          <w:sz w:val="24"/>
          <w:szCs w:val="24"/>
        </w:rPr>
        <w:t>承包人应按合同约定履行安全职责，执行监理人有关安全工作的指示。承包人应按技术标准和要求（合同技术条款）约定的内容和期限，以及监理人的指示，编制施工安全技术措施提交监理人审批。监理人应在技术标准和要求（合同技术条款）约定的期限内批复承包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9.2.2 </w:t>
      </w:r>
      <w:r>
        <w:rPr>
          <w:rFonts w:hint="eastAsia" w:ascii="仿宋" w:hAnsi="仿宋" w:eastAsia="仿宋"/>
          <w:sz w:val="24"/>
          <w:szCs w:val="24"/>
        </w:rPr>
        <w:t>承包人应加强施工作业安全管理，特别应加强易燃、易爆材料、火工器材、有毒与腐蚀性材料和其他危险品的管理，以及对爆破作业和地下工程施工等危险作业的管理。</w:t>
      </w:r>
    </w:p>
    <w:p>
      <w:pPr>
        <w:spacing w:line="500" w:lineRule="exact"/>
        <w:ind w:firstLine="480"/>
        <w:rPr>
          <w:rFonts w:ascii="仿宋" w:hAnsi="仿宋" w:eastAsia="仿宋"/>
          <w:sz w:val="24"/>
          <w:szCs w:val="24"/>
        </w:rPr>
      </w:pPr>
      <w:r>
        <w:rPr>
          <w:rFonts w:ascii="仿宋" w:hAnsi="仿宋" w:eastAsia="仿宋"/>
          <w:sz w:val="24"/>
          <w:szCs w:val="24"/>
        </w:rPr>
        <w:t xml:space="preserve">9.2.3 </w:t>
      </w:r>
      <w:r>
        <w:rPr>
          <w:rFonts w:hint="eastAsia" w:ascii="仿宋" w:hAnsi="仿宋" w:eastAsia="仿宋"/>
          <w:sz w:val="24"/>
          <w:szCs w:val="24"/>
        </w:rPr>
        <w:t>承包人应严格按照国家安全标准制定施工安全操作规程，配备必要的安全生产和劳动保护设施，加强对承包人人员的安全教育，并发放安全工作手册和劳动保护用具。</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9.2.4 </w:t>
      </w:r>
      <w:r>
        <w:rPr>
          <w:rFonts w:hint="eastAsia" w:ascii="仿宋" w:hAnsi="仿宋" w:eastAsia="仿宋"/>
          <w:sz w:val="24"/>
          <w:szCs w:val="24"/>
        </w:rPr>
        <w:t>承包人应按监理人的指示制定应对灾害的紧急预案，报送监理人审批。承包人还应按预案做好安全检查，配置必要的救助物资和器材，切实保护好有关人员的人身和财产安全。</w:t>
      </w:r>
    </w:p>
    <w:p>
      <w:pPr>
        <w:spacing w:line="500" w:lineRule="exact"/>
        <w:ind w:firstLine="480"/>
        <w:rPr>
          <w:rFonts w:ascii="仿宋" w:hAnsi="仿宋" w:eastAsia="仿宋"/>
          <w:sz w:val="24"/>
          <w:szCs w:val="24"/>
        </w:rPr>
      </w:pPr>
      <w:r>
        <w:rPr>
          <w:rFonts w:ascii="仿宋" w:hAnsi="仿宋" w:eastAsia="仿宋"/>
          <w:sz w:val="24"/>
          <w:szCs w:val="24"/>
        </w:rPr>
        <w:t xml:space="preserve">9.2.5 </w:t>
      </w:r>
      <w:r>
        <w:rPr>
          <w:rFonts w:hint="eastAsia" w:ascii="仿宋" w:hAnsi="仿宋" w:eastAsia="仿宋"/>
          <w:sz w:val="24"/>
          <w:szCs w:val="24"/>
        </w:rPr>
        <w:t>合同约定的安全作业环境及安全施工措施所需费用应遵守有关规定，并包括在相关工作的合同价格中。因采取合同未约定的安全作业环境及安全施工措施增加的费用，由监理人按第</w:t>
      </w:r>
      <w:r>
        <w:rPr>
          <w:rFonts w:ascii="仿宋" w:hAnsi="仿宋" w:eastAsia="仿宋"/>
          <w:sz w:val="24"/>
          <w:szCs w:val="24"/>
        </w:rPr>
        <w:t xml:space="preserve">3.5 </w:t>
      </w:r>
      <w:r>
        <w:rPr>
          <w:rFonts w:hint="eastAsia" w:ascii="仿宋" w:hAnsi="仿宋" w:eastAsia="仿宋"/>
          <w:sz w:val="24"/>
          <w:szCs w:val="24"/>
        </w:rPr>
        <w:t>款商定或确定。</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9.2.6 </w:t>
      </w:r>
      <w:r>
        <w:rPr>
          <w:rFonts w:hint="eastAsia" w:ascii="仿宋" w:hAnsi="仿宋" w:eastAsia="仿宋"/>
          <w:sz w:val="24"/>
          <w:szCs w:val="24"/>
        </w:rPr>
        <w:t>承包人应对其履行合同所雇佣的全部人员，包括分包人人员的工伤事故承担责任，但由于发包人原因造成承包人人员工伤事故的，应由发包人承担责任。</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9.2.7 </w:t>
      </w:r>
      <w:r>
        <w:rPr>
          <w:rFonts w:hint="eastAsia" w:ascii="仿宋" w:hAnsi="仿宋" w:eastAsia="仿宋"/>
          <w:sz w:val="24"/>
          <w:szCs w:val="24"/>
        </w:rPr>
        <w:t>由于承包人原因在施工场地内及其毗邻地带造成的第三者人员伤亡和财产损失，由承包人负责赔偿。</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9.2.8 </w:t>
      </w:r>
      <w:r>
        <w:rPr>
          <w:rFonts w:hint="eastAsia" w:ascii="仿宋" w:hAnsi="仿宋" w:eastAsia="仿宋"/>
          <w:sz w:val="24"/>
          <w:szCs w:val="24"/>
        </w:rPr>
        <w:t>承包人已标价工程量清单应包含工程安全作业环境及安全施工措施所需费用。</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9.2.9 </w:t>
      </w:r>
      <w:r>
        <w:rPr>
          <w:rFonts w:hint="eastAsia" w:ascii="仿宋" w:hAnsi="仿宋" w:eastAsia="仿宋"/>
          <w:sz w:val="24"/>
          <w:szCs w:val="24"/>
        </w:rPr>
        <w:t>承包人应建立健全安全生产责任制度和安全生产教育培训制度，制定安全生产规章制度和操作规程，保证本单位建立和完善安全生产条件所需资金的投入，对本工程进行定期和专项安全检查，并做好安全检查记录。</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9.2.10 </w:t>
      </w:r>
      <w:r>
        <w:rPr>
          <w:rFonts w:hint="eastAsia" w:ascii="仿宋" w:hAnsi="仿宋" w:eastAsia="仿宋"/>
          <w:sz w:val="24"/>
          <w:szCs w:val="24"/>
        </w:rPr>
        <w:t>承包人应设立安全生产管理机构，施工现场应有专职安全生产管理人员。</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9.2.11 </w:t>
      </w:r>
      <w:r>
        <w:rPr>
          <w:rFonts w:hint="eastAsia" w:ascii="仿宋" w:hAnsi="仿宋" w:eastAsia="仿宋"/>
          <w:sz w:val="24"/>
          <w:szCs w:val="24"/>
        </w:rPr>
        <w:t>承包人应负责对特种作业人员进行专门的安全作业培训，并保证特种作业人员持证上岗。</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9.2.12 </w:t>
      </w:r>
      <w:r>
        <w:rPr>
          <w:rFonts w:hint="eastAsia" w:ascii="仿宋" w:hAnsi="仿宋" w:eastAsia="仿宋"/>
          <w:sz w:val="24"/>
          <w:szCs w:val="24"/>
        </w:rPr>
        <w:t>承包人应在施工组织设计中编制安全技术措施和施工现场临时用电方案。对专用合同条款约定的工程，应编制专项施工方案报监理人批准。对专用合同条款约定的专项施工方案，还应组织专家进行论证、审查，其中专家１／２人员应经发包人同意。</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9.2.13 </w:t>
      </w:r>
      <w:r>
        <w:rPr>
          <w:rFonts w:hint="eastAsia" w:ascii="仿宋" w:hAnsi="仿宋" w:eastAsia="仿宋"/>
          <w:sz w:val="24"/>
          <w:szCs w:val="24"/>
        </w:rPr>
        <w:t>承包人在使用施工起重机械和整体提升脚手架、模板等自升式架设设施前，应组织有关单位进行验收。</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9.3 </w:t>
      </w:r>
      <w:r>
        <w:rPr>
          <w:rFonts w:hint="eastAsia" w:ascii="仿宋" w:hAnsi="仿宋" w:eastAsia="仿宋"/>
          <w:b/>
          <w:sz w:val="24"/>
          <w:szCs w:val="24"/>
        </w:rPr>
        <w:t>治安保卫</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9.3.1 </w:t>
      </w:r>
      <w:r>
        <w:rPr>
          <w:rFonts w:hint="eastAsia" w:ascii="仿宋" w:hAnsi="仿宋" w:eastAsia="仿宋"/>
          <w:sz w:val="24"/>
          <w:szCs w:val="24"/>
        </w:rPr>
        <w:t>除合同另有约定外，发包人应与当地公安部门协商，在现场建立治安管理机构或联防组织，统一管理施工场地的治安保卫事项，履行合同工程的治安保卫职责。</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9.3.2 </w:t>
      </w:r>
      <w:r>
        <w:rPr>
          <w:rFonts w:hint="eastAsia" w:ascii="仿宋" w:hAnsi="仿宋" w:eastAsia="仿宋"/>
          <w:sz w:val="24"/>
          <w:szCs w:val="24"/>
        </w:rPr>
        <w:t>发包人和承包人除应协助现场治安管理机构或联防组织维护施工场地的社会治安外，还应做好包括生活区在内的各自管辖区的治安保卫工作。</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9.3.3 </w:t>
      </w:r>
      <w:r>
        <w:rPr>
          <w:rFonts w:hint="eastAsia" w:ascii="仿宋" w:hAnsi="仿宋" w:eastAsia="仿宋"/>
          <w:sz w:val="24"/>
          <w:szCs w:val="24"/>
        </w:rPr>
        <w:t>除合同另有约定外，发包人和承包人应在工程开工后，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减少财产损失和避免人员伤亡。</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9.4 </w:t>
      </w:r>
      <w:r>
        <w:rPr>
          <w:rFonts w:hint="eastAsia" w:ascii="仿宋" w:hAnsi="仿宋" w:eastAsia="仿宋"/>
          <w:b/>
          <w:sz w:val="24"/>
          <w:szCs w:val="24"/>
        </w:rPr>
        <w:t>环境保护</w:t>
      </w:r>
      <w:r>
        <w:rPr>
          <w:rFonts w:ascii="仿宋" w:hAnsi="仿宋" w:eastAsia="仿宋"/>
          <w:b/>
          <w:sz w:val="24"/>
          <w:szCs w:val="24"/>
        </w:rPr>
        <w:t xml:space="preserve">  </w:t>
      </w:r>
    </w:p>
    <w:p>
      <w:pPr>
        <w:spacing w:line="500" w:lineRule="exact"/>
        <w:ind w:firstLine="480"/>
        <w:rPr>
          <w:rFonts w:hint="eastAsia" w:ascii="仿宋" w:hAnsi="仿宋" w:eastAsia="仿宋"/>
          <w:sz w:val="24"/>
          <w:szCs w:val="24"/>
          <w:lang w:val="en-US" w:eastAsia="zh-CN"/>
        </w:rPr>
      </w:pPr>
      <w:r>
        <w:rPr>
          <w:rFonts w:ascii="仿宋" w:hAnsi="仿宋" w:eastAsia="仿宋"/>
          <w:sz w:val="24"/>
          <w:szCs w:val="24"/>
        </w:rPr>
        <w:t xml:space="preserve">9.4.1 </w:t>
      </w:r>
      <w:r>
        <w:rPr>
          <w:rFonts w:hint="eastAsia" w:ascii="仿宋" w:hAnsi="仿宋" w:eastAsia="仿宋"/>
          <w:sz w:val="24"/>
          <w:szCs w:val="24"/>
        </w:rPr>
        <w:t>承包人在施工过程中，应遵守有关环境保护的法律，履行合同约定的环境保护义务，并对违反法律和合同约定义务所造成的环境破坏、人身伤害和财产损失负责。</w:t>
      </w:r>
      <w:r>
        <w:rPr>
          <w:rFonts w:ascii="仿宋" w:hAnsi="仿宋" w:eastAsia="仿宋"/>
          <w:sz w:val="24"/>
          <w:szCs w:val="24"/>
        </w:rPr>
        <w:t xml:space="preserve"> </w:t>
      </w:r>
      <w:r>
        <w:rPr>
          <w:rFonts w:hint="eastAsia" w:ascii="仿宋" w:hAnsi="仿宋" w:eastAsia="仿宋"/>
          <w:sz w:val="24"/>
          <w:szCs w:val="24"/>
          <w:lang w:val="en-US" w:eastAsia="zh-CN"/>
        </w:rPr>
        <w:t xml:space="preserve">               </w:t>
      </w:r>
      <w:r>
        <w:rPr>
          <w:rFonts w:ascii="仿宋" w:hAnsi="仿宋" w:eastAsia="仿宋"/>
          <w:sz w:val="24"/>
          <w:szCs w:val="24"/>
        </w:rPr>
        <w:t xml:space="preserve"> </w:t>
      </w:r>
      <w:r>
        <w:rPr>
          <w:rFonts w:hint="eastAsia" w:ascii="仿宋" w:hAnsi="仿宋" w:eastAsia="仿宋"/>
          <w:sz w:val="24"/>
          <w:szCs w:val="24"/>
          <w:lang w:val="en-US" w:eastAsia="zh-CN"/>
        </w:rPr>
        <w:t xml:space="preserve">     </w:t>
      </w:r>
    </w:p>
    <w:p>
      <w:pPr>
        <w:spacing w:line="500" w:lineRule="exact"/>
        <w:ind w:firstLine="480"/>
        <w:rPr>
          <w:rFonts w:hint="eastAsia" w:ascii="仿宋" w:hAnsi="仿宋" w:eastAsia="仿宋"/>
          <w:sz w:val="24"/>
          <w:szCs w:val="24"/>
          <w:lang w:val="en-US" w:eastAsia="zh-CN"/>
        </w:rPr>
      </w:pPr>
      <w:r>
        <w:rPr>
          <w:rFonts w:ascii="仿宋" w:hAnsi="仿宋" w:eastAsia="仿宋"/>
          <w:sz w:val="24"/>
          <w:szCs w:val="24"/>
        </w:rPr>
        <w:t xml:space="preserve">9.4.2 </w:t>
      </w:r>
      <w:r>
        <w:rPr>
          <w:rFonts w:hint="eastAsia" w:ascii="仿宋" w:hAnsi="仿宋" w:eastAsia="仿宋"/>
          <w:sz w:val="24"/>
          <w:szCs w:val="24"/>
        </w:rPr>
        <w:t>承包人应按合同约定的环保工作内容，编制施工环保措施计划，报送监理人审批。</w:t>
      </w:r>
      <w:r>
        <w:rPr>
          <w:rFonts w:ascii="仿宋" w:hAnsi="仿宋" w:eastAsia="仿宋"/>
          <w:sz w:val="24"/>
          <w:szCs w:val="24"/>
        </w:rPr>
        <w:t xml:space="preserve"> </w:t>
      </w:r>
      <w:r>
        <w:rPr>
          <w:rFonts w:hint="eastAsia" w:ascii="仿宋" w:hAnsi="仿宋" w:eastAsia="仿宋"/>
          <w:sz w:val="24"/>
          <w:szCs w:val="24"/>
          <w:lang w:val="en-US" w:eastAsia="zh-CN"/>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9.4.3 </w:t>
      </w:r>
      <w:r>
        <w:rPr>
          <w:rFonts w:hint="eastAsia" w:ascii="仿宋" w:hAnsi="仿宋" w:eastAsia="仿宋"/>
          <w:sz w:val="24"/>
          <w:szCs w:val="24"/>
        </w:rPr>
        <w:t>承包人应按照批准的施工环保措施计划有序地堆放和处理施工废弃物，避免对环境造成破坏。因承包人任意堆放或弃置施工废弃物造成妨碍公共交通、影响城镇居民生活、降低河流行洪能力、危及居民安全、破坏周边环境，或者影响其他承包人施工等后果的，承包人应承担责任。</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9.4.4 </w:t>
      </w:r>
      <w:r>
        <w:rPr>
          <w:rFonts w:hint="eastAsia" w:ascii="仿宋" w:hAnsi="仿宋" w:eastAsia="仿宋"/>
          <w:sz w:val="24"/>
          <w:szCs w:val="24"/>
        </w:rPr>
        <w:t>承包人应按合同约定采取有效措施，对施工开挖的边坡及时进行支护</w:t>
      </w:r>
      <w:r>
        <w:rPr>
          <w:rFonts w:ascii="仿宋" w:hAnsi="仿宋" w:eastAsia="仿宋"/>
          <w:sz w:val="24"/>
          <w:szCs w:val="24"/>
        </w:rPr>
        <w:t>,</w:t>
      </w:r>
      <w:r>
        <w:rPr>
          <w:rFonts w:hint="eastAsia" w:ascii="仿宋" w:hAnsi="仿宋" w:eastAsia="仿宋"/>
          <w:sz w:val="24"/>
          <w:szCs w:val="24"/>
        </w:rPr>
        <w:t>维护排水设施，并进行水土保护，避免因施工造成的地质灾害。</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9.4.5 </w:t>
      </w:r>
      <w:r>
        <w:rPr>
          <w:rFonts w:hint="eastAsia" w:ascii="仿宋" w:hAnsi="仿宋" w:eastAsia="仿宋"/>
          <w:sz w:val="24"/>
          <w:szCs w:val="24"/>
        </w:rPr>
        <w:t>承包人应按国家饮用水管理标准定期对饮用水源进行监测，防止施工活动污染饮用水源。</w:t>
      </w:r>
    </w:p>
    <w:p>
      <w:pPr>
        <w:spacing w:line="500" w:lineRule="exact"/>
        <w:ind w:firstLine="480"/>
        <w:rPr>
          <w:rFonts w:ascii="仿宋" w:hAnsi="仿宋" w:eastAsia="仿宋"/>
          <w:sz w:val="24"/>
          <w:szCs w:val="24"/>
        </w:rPr>
      </w:pPr>
      <w:r>
        <w:rPr>
          <w:rFonts w:ascii="仿宋" w:hAnsi="仿宋" w:eastAsia="仿宋"/>
          <w:sz w:val="24"/>
          <w:szCs w:val="24"/>
        </w:rPr>
        <w:t xml:space="preserve">9.4.6 </w:t>
      </w:r>
      <w:r>
        <w:rPr>
          <w:rFonts w:hint="eastAsia" w:ascii="仿宋" w:hAnsi="仿宋" w:eastAsia="仿宋"/>
          <w:sz w:val="24"/>
          <w:szCs w:val="24"/>
        </w:rPr>
        <w:t>承包人应按合同约定，加强对噪声、粉尘、废气、废水和废油的控制，努力降低噪声，控制粉尘和废气浓度，做好废水和废油的治理和排放。</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9.5 </w:t>
      </w:r>
      <w:r>
        <w:rPr>
          <w:rFonts w:hint="eastAsia" w:ascii="仿宋" w:hAnsi="仿宋" w:eastAsia="仿宋"/>
          <w:b/>
          <w:sz w:val="24"/>
          <w:szCs w:val="24"/>
        </w:rPr>
        <w:t>事故处理</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9.5.1 </w:t>
      </w:r>
      <w:r>
        <w:rPr>
          <w:rFonts w:hint="eastAsia" w:ascii="仿宋" w:hAnsi="仿宋" w:eastAsia="仿宋"/>
          <w:sz w:val="24"/>
          <w:szCs w:val="24"/>
        </w:rPr>
        <w:t>发包人负责组织参建单位制定本工程的质量与安全事故应急预案，建立质量与安全事故应急处置指挥部。</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9.5.2 </w:t>
      </w:r>
      <w:r>
        <w:rPr>
          <w:rFonts w:hint="eastAsia" w:ascii="仿宋" w:hAnsi="仿宋" w:eastAsia="仿宋"/>
          <w:sz w:val="24"/>
          <w:szCs w:val="24"/>
        </w:rPr>
        <w:t>承包人应对施工现场易发生重大事故的部位、环节进行监控，配备救援器材、设备，并定期组织演练。</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9.5.3 </w:t>
      </w:r>
      <w:r>
        <w:rPr>
          <w:rFonts w:hint="eastAsia" w:ascii="仿宋" w:hAnsi="仿宋" w:eastAsia="仿宋"/>
          <w:sz w:val="24"/>
          <w:szCs w:val="24"/>
        </w:rPr>
        <w:t>工程开工前，承包人应根据本工程的特点制定施工现场施工质量与安全事故应急预案，并报发包人备案。</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9.5.4 </w:t>
      </w:r>
      <w:r>
        <w:rPr>
          <w:rFonts w:hint="eastAsia" w:ascii="仿宋" w:hAnsi="仿宋" w:eastAsia="仿宋"/>
          <w:sz w:val="24"/>
          <w:szCs w:val="24"/>
        </w:rPr>
        <w:t>施工过程中发生事故时，发包人、承包人应立即启动应急预案。</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9.5.5 </w:t>
      </w:r>
      <w:r>
        <w:rPr>
          <w:rFonts w:hint="eastAsia" w:ascii="仿宋" w:hAnsi="仿宋" w:eastAsia="仿宋"/>
          <w:sz w:val="24"/>
          <w:szCs w:val="24"/>
        </w:rPr>
        <w:t>事故调查处理由发包人按相关规定履行手续，承包人应配合。</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9.6 </w:t>
      </w:r>
      <w:r>
        <w:rPr>
          <w:rFonts w:hint="eastAsia" w:ascii="仿宋" w:hAnsi="仿宋" w:eastAsia="仿宋"/>
          <w:b/>
          <w:sz w:val="24"/>
          <w:szCs w:val="24"/>
        </w:rPr>
        <w:t>水土保持</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9.6.1 </w:t>
      </w:r>
      <w:r>
        <w:rPr>
          <w:rFonts w:hint="eastAsia" w:ascii="仿宋" w:hAnsi="仿宋" w:eastAsia="仿宋"/>
          <w:sz w:val="24"/>
          <w:szCs w:val="24"/>
        </w:rPr>
        <w:t>发包人应及时向承包人提供水土保持方案。</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9.6.2 </w:t>
      </w:r>
      <w:r>
        <w:rPr>
          <w:rFonts w:hint="eastAsia" w:ascii="仿宋" w:hAnsi="仿宋" w:eastAsia="仿宋"/>
          <w:sz w:val="24"/>
          <w:szCs w:val="24"/>
        </w:rPr>
        <w:t>承包人在施工过程中，应遵守有关水土保持的法律法规和规章，履行合同约定的水土保持义务，并对其违反法律和合同约定义务所造成的水土流失灾害、人身伤害和财产损失负责。</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9.6.3 </w:t>
      </w:r>
      <w:r>
        <w:rPr>
          <w:rFonts w:hint="eastAsia" w:ascii="仿宋" w:hAnsi="仿宋" w:eastAsia="仿宋"/>
          <w:sz w:val="24"/>
          <w:szCs w:val="24"/>
        </w:rPr>
        <w:t>承包人的水土保持措施计划，应满足技术标准和要求（合同技术条款）约定的要求。</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9.7 </w:t>
      </w:r>
      <w:r>
        <w:rPr>
          <w:rFonts w:hint="eastAsia" w:ascii="仿宋" w:hAnsi="仿宋" w:eastAsia="仿宋"/>
          <w:b/>
          <w:sz w:val="24"/>
          <w:szCs w:val="24"/>
        </w:rPr>
        <w:t>文明工地</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9.7.1 </w:t>
      </w:r>
      <w:r>
        <w:rPr>
          <w:rFonts w:hint="eastAsia" w:ascii="仿宋" w:hAnsi="仿宋" w:eastAsia="仿宋"/>
          <w:sz w:val="24"/>
          <w:szCs w:val="24"/>
        </w:rPr>
        <w:t>发包人应按专用合同条款的约定，负责建立创建文明建设工地的组织机构，制定创建文明建设工地的规划和办法。</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9.7.2 </w:t>
      </w:r>
      <w:r>
        <w:rPr>
          <w:rFonts w:hint="eastAsia" w:ascii="仿宋" w:hAnsi="仿宋" w:eastAsia="仿宋"/>
          <w:sz w:val="24"/>
          <w:szCs w:val="24"/>
        </w:rPr>
        <w:t>承包人应按创建文明建设工地的规划和办法，履行职责，承担相应责任。所需费用应含在已标价工程量清单中。</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9.8 </w:t>
      </w:r>
      <w:r>
        <w:rPr>
          <w:rFonts w:hint="eastAsia" w:ascii="仿宋" w:hAnsi="仿宋" w:eastAsia="仿宋"/>
          <w:b/>
          <w:sz w:val="24"/>
          <w:szCs w:val="24"/>
        </w:rPr>
        <w:t>防汛度汛</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9.8.1 </w:t>
      </w:r>
      <w:r>
        <w:rPr>
          <w:rFonts w:hint="eastAsia" w:ascii="仿宋" w:hAnsi="仿宋" w:eastAsia="仿宋"/>
          <w:sz w:val="24"/>
          <w:szCs w:val="24"/>
        </w:rPr>
        <w:t>发包人负责组织工程参建单位编制本工程的度汛方案和措施。</w:t>
      </w:r>
      <w:r>
        <w:rPr>
          <w:rFonts w:ascii="仿宋" w:hAnsi="仿宋" w:eastAsia="仿宋"/>
          <w:sz w:val="24"/>
          <w:szCs w:val="24"/>
        </w:rPr>
        <w:t xml:space="preserve"> </w:t>
      </w:r>
    </w:p>
    <w:p>
      <w:pPr>
        <w:spacing w:line="500" w:lineRule="exact"/>
        <w:ind w:firstLine="480"/>
        <w:rPr>
          <w:rFonts w:ascii="仿宋" w:hAnsi="仿宋" w:eastAsia="仿宋"/>
          <w:b/>
          <w:sz w:val="24"/>
          <w:szCs w:val="24"/>
        </w:rPr>
      </w:pPr>
      <w:r>
        <w:rPr>
          <w:rFonts w:ascii="仿宋" w:hAnsi="仿宋" w:eastAsia="仿宋"/>
          <w:sz w:val="24"/>
          <w:szCs w:val="24"/>
        </w:rPr>
        <w:t xml:space="preserve">9.8.2 </w:t>
      </w:r>
      <w:r>
        <w:rPr>
          <w:rFonts w:hint="eastAsia" w:ascii="仿宋" w:hAnsi="仿宋" w:eastAsia="仿宋"/>
          <w:sz w:val="24"/>
          <w:szCs w:val="24"/>
        </w:rPr>
        <w:t>承包人应根据发包人编制的本工程度汛方案和措施，制定相应的度汛方案，报发包人批准后实施。</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10. </w:t>
      </w:r>
      <w:r>
        <w:rPr>
          <w:rFonts w:hint="eastAsia" w:ascii="仿宋" w:hAnsi="仿宋" w:eastAsia="仿宋"/>
          <w:b/>
          <w:sz w:val="24"/>
          <w:szCs w:val="24"/>
        </w:rPr>
        <w:t>进度计划</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10.1 </w:t>
      </w:r>
      <w:r>
        <w:rPr>
          <w:rFonts w:hint="eastAsia" w:ascii="仿宋" w:hAnsi="仿宋" w:eastAsia="仿宋"/>
          <w:b/>
          <w:bCs/>
          <w:sz w:val="24"/>
          <w:szCs w:val="24"/>
        </w:rPr>
        <w:t>合同进度计划</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承包人应按技术标准和要求（合同技术条款）约定的内容和期限以及监理人的指示，编制详细的施工总进度计划及其说明提交监理人审批。监理人应在技术标准和要求（合同技术条款）约定的期限内批复承包人，否则该进度计划视为已得到批准。经监理人批准的施工进度计划称为合同进度计划，是控制合同工程进度的依据。承包人还应根据合同进度计划，编制更为详细的分阶段或单位工程或分部工程进度计划，报监理人审批。</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10.2 </w:t>
      </w:r>
      <w:r>
        <w:rPr>
          <w:rFonts w:hint="eastAsia" w:ascii="仿宋" w:hAnsi="仿宋" w:eastAsia="仿宋"/>
          <w:b/>
          <w:bCs/>
          <w:sz w:val="24"/>
          <w:szCs w:val="24"/>
        </w:rPr>
        <w:t>合同进度计划的修订</w:t>
      </w:r>
      <w:r>
        <w:rPr>
          <w:rFonts w:ascii="仿宋" w:hAnsi="仿宋" w:eastAsia="仿宋"/>
          <w:b/>
          <w:bCs/>
          <w:sz w:val="24"/>
          <w:szCs w:val="24"/>
        </w:rPr>
        <w:t xml:space="preserve"> </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不论何种原因造成工程的实际进度与第１０．１款的合同进度计划不符时，承包人均应在</w:t>
      </w:r>
      <w:r>
        <w:rPr>
          <w:rFonts w:ascii="仿宋" w:hAnsi="仿宋" w:eastAsia="仿宋"/>
          <w:sz w:val="24"/>
          <w:szCs w:val="24"/>
        </w:rPr>
        <w:t>14</w:t>
      </w:r>
      <w:r>
        <w:rPr>
          <w:rFonts w:hint="eastAsia" w:ascii="仿宋" w:hAnsi="仿宋" w:eastAsia="仿宋"/>
          <w:sz w:val="24"/>
          <w:szCs w:val="24"/>
        </w:rPr>
        <w:t>天内向监理人提交修订合同进度计划的申请报告，并附有关措施和相关资料，报监理人审批，监理人应在收到申请报告后的</w:t>
      </w:r>
      <w:r>
        <w:rPr>
          <w:rFonts w:ascii="仿宋" w:hAnsi="仿宋" w:eastAsia="仿宋"/>
          <w:sz w:val="24"/>
          <w:szCs w:val="24"/>
        </w:rPr>
        <w:t>14</w:t>
      </w:r>
      <w:r>
        <w:rPr>
          <w:rFonts w:hint="eastAsia" w:ascii="仿宋" w:hAnsi="仿宋" w:eastAsia="仿宋"/>
          <w:sz w:val="24"/>
          <w:szCs w:val="24"/>
        </w:rPr>
        <w:t>天内批复。当监理人认为需要修订合同进度计划时，承包人应按监理人的指示，在</w:t>
      </w:r>
      <w:r>
        <w:rPr>
          <w:rFonts w:ascii="仿宋" w:hAnsi="仿宋" w:eastAsia="仿宋"/>
          <w:sz w:val="24"/>
          <w:szCs w:val="24"/>
        </w:rPr>
        <w:t>14</w:t>
      </w:r>
      <w:r>
        <w:rPr>
          <w:rFonts w:hint="eastAsia" w:ascii="仿宋" w:hAnsi="仿宋" w:eastAsia="仿宋"/>
          <w:sz w:val="24"/>
          <w:szCs w:val="24"/>
        </w:rPr>
        <w:t>天内向监理人提交修订的合同进度计划，并附调整计划的相关资料，提交监理人审批。监理人应在收到进度计划后的</w:t>
      </w:r>
      <w:r>
        <w:rPr>
          <w:rFonts w:ascii="仿宋" w:hAnsi="仿宋" w:eastAsia="仿宋"/>
          <w:sz w:val="24"/>
          <w:szCs w:val="24"/>
        </w:rPr>
        <w:t>14</w:t>
      </w:r>
      <w:r>
        <w:rPr>
          <w:rFonts w:hint="eastAsia" w:ascii="仿宋" w:hAnsi="仿宋" w:eastAsia="仿宋"/>
          <w:sz w:val="24"/>
          <w:szCs w:val="24"/>
        </w:rPr>
        <w:t>天内批复。不论何种原因造成施工进度延迟，承包人均应按监理人的指示，采取有效措施赶上进度。承包人应在向监理人提交修订合同进度计划的同时，编制一份赶工措施报告提交监理人审批。由于发包人原因造成施工进度延迟，应按第</w:t>
      </w:r>
      <w:r>
        <w:rPr>
          <w:rFonts w:ascii="仿宋" w:hAnsi="仿宋" w:eastAsia="仿宋"/>
          <w:sz w:val="24"/>
          <w:szCs w:val="24"/>
        </w:rPr>
        <w:t>11.3</w:t>
      </w:r>
      <w:r>
        <w:rPr>
          <w:rFonts w:hint="eastAsia" w:ascii="仿宋" w:hAnsi="仿宋" w:eastAsia="仿宋"/>
          <w:sz w:val="24"/>
          <w:szCs w:val="24"/>
        </w:rPr>
        <w:t>款的约定办理；由于承包人原因造成施工进度延迟，应按第</w:t>
      </w:r>
      <w:r>
        <w:rPr>
          <w:rFonts w:ascii="仿宋" w:hAnsi="仿宋" w:eastAsia="仿宋"/>
          <w:sz w:val="24"/>
          <w:szCs w:val="24"/>
        </w:rPr>
        <w:t>11.5</w:t>
      </w:r>
      <w:r>
        <w:rPr>
          <w:rFonts w:hint="eastAsia" w:ascii="仿宋" w:hAnsi="仿宋" w:eastAsia="仿宋"/>
          <w:sz w:val="24"/>
          <w:szCs w:val="24"/>
        </w:rPr>
        <w:t>款的约定办理。</w:t>
      </w:r>
      <w:r>
        <w:rPr>
          <w:rFonts w:ascii="仿宋" w:hAnsi="仿宋" w:eastAsia="仿宋"/>
          <w:sz w:val="24"/>
          <w:szCs w:val="24"/>
        </w:rPr>
        <w:t xml:space="preserve"> </w:t>
      </w:r>
    </w:p>
    <w:p>
      <w:pPr>
        <w:spacing w:line="500" w:lineRule="exact"/>
        <w:ind w:firstLine="482"/>
        <w:rPr>
          <w:rFonts w:ascii="仿宋" w:hAnsi="仿宋" w:eastAsia="仿宋"/>
          <w:b w:val="0"/>
          <w:bCs/>
          <w:sz w:val="24"/>
          <w:szCs w:val="24"/>
        </w:rPr>
      </w:pPr>
      <w:r>
        <w:rPr>
          <w:rFonts w:ascii="仿宋" w:hAnsi="仿宋" w:eastAsia="仿宋"/>
          <w:b w:val="0"/>
          <w:bCs/>
          <w:sz w:val="24"/>
          <w:szCs w:val="24"/>
        </w:rPr>
        <w:t xml:space="preserve">10.3 </w:t>
      </w:r>
      <w:r>
        <w:rPr>
          <w:rFonts w:hint="eastAsia" w:ascii="仿宋" w:hAnsi="仿宋" w:eastAsia="仿宋"/>
          <w:b/>
          <w:bCs w:val="0"/>
          <w:sz w:val="24"/>
          <w:szCs w:val="24"/>
        </w:rPr>
        <w:t>单位工程进度计划</w:t>
      </w:r>
      <w:r>
        <w:rPr>
          <w:rFonts w:ascii="仿宋" w:hAnsi="仿宋" w:eastAsia="仿宋"/>
          <w:b w:val="0"/>
          <w:bCs/>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监理人认为有必要时，承包人应按监理人指示的内容和期限，并根据合同进度计划的进度控制要求，编制单位工程进度计划，提交监理人审批。</w:t>
      </w:r>
      <w:r>
        <w:rPr>
          <w:rFonts w:ascii="仿宋" w:hAnsi="仿宋" w:eastAsia="仿宋"/>
          <w:sz w:val="24"/>
          <w:szCs w:val="24"/>
        </w:rPr>
        <w:t xml:space="preserve"> </w:t>
      </w:r>
    </w:p>
    <w:p>
      <w:pPr>
        <w:spacing w:line="500" w:lineRule="exact"/>
        <w:ind w:firstLine="482"/>
        <w:rPr>
          <w:rFonts w:ascii="仿宋" w:hAnsi="仿宋" w:eastAsia="仿宋"/>
          <w:b w:val="0"/>
          <w:bCs/>
          <w:sz w:val="24"/>
          <w:szCs w:val="24"/>
        </w:rPr>
      </w:pPr>
      <w:r>
        <w:rPr>
          <w:rFonts w:ascii="仿宋" w:hAnsi="仿宋" w:eastAsia="仿宋"/>
          <w:b w:val="0"/>
          <w:bCs/>
          <w:sz w:val="24"/>
          <w:szCs w:val="24"/>
        </w:rPr>
        <w:t xml:space="preserve">10.4 </w:t>
      </w:r>
      <w:r>
        <w:rPr>
          <w:rFonts w:hint="eastAsia" w:ascii="仿宋" w:hAnsi="仿宋" w:eastAsia="仿宋"/>
          <w:b/>
          <w:bCs w:val="0"/>
          <w:sz w:val="24"/>
          <w:szCs w:val="24"/>
        </w:rPr>
        <w:t>提交资金流估算表</w:t>
      </w:r>
      <w:r>
        <w:rPr>
          <w:rFonts w:ascii="仿宋" w:hAnsi="仿宋" w:eastAsia="仿宋"/>
          <w:b w:val="0"/>
          <w:bCs/>
          <w:sz w:val="24"/>
          <w:szCs w:val="24"/>
        </w:rPr>
        <w:t xml:space="preserve">  </w:t>
      </w:r>
    </w:p>
    <w:p>
      <w:pPr>
        <w:spacing w:line="500" w:lineRule="exact"/>
        <w:ind w:firstLine="480"/>
        <w:rPr>
          <w:rFonts w:hint="eastAsia" w:ascii="仿宋" w:hAnsi="仿宋" w:eastAsia="仿宋"/>
          <w:sz w:val="24"/>
          <w:szCs w:val="24"/>
          <w:lang w:val="en-US" w:eastAsia="zh-CN"/>
        </w:rPr>
      </w:pPr>
      <w:r>
        <w:rPr>
          <w:rFonts w:hint="eastAsia" w:ascii="仿宋" w:hAnsi="仿宋" w:eastAsia="仿宋"/>
          <w:sz w:val="24"/>
          <w:szCs w:val="24"/>
        </w:rPr>
        <w:t>承包人应在按第</w:t>
      </w:r>
      <w:r>
        <w:rPr>
          <w:rFonts w:ascii="仿宋" w:hAnsi="仿宋" w:eastAsia="仿宋"/>
          <w:sz w:val="24"/>
          <w:szCs w:val="24"/>
        </w:rPr>
        <w:t>10.1</w:t>
      </w:r>
      <w:r>
        <w:rPr>
          <w:rFonts w:hint="eastAsia" w:ascii="仿宋" w:hAnsi="仿宋" w:eastAsia="仿宋"/>
          <w:sz w:val="24"/>
          <w:szCs w:val="24"/>
        </w:rPr>
        <w:t>款约定向监理人提交施工总进度计划的同时，按下表约定的格式，向监理人提交按月的资金流估算表。估算表应包括承包人计划可从发包人处得到的全部款额，以供发包人参考。此后，当监理人提出要求时，承包人应在监理人指定的期限内提交修订的资金流估算表。</w:t>
      </w:r>
      <w:r>
        <w:rPr>
          <w:rFonts w:hint="eastAsia" w:ascii="仿宋" w:hAnsi="仿宋" w:eastAsia="仿宋"/>
          <w:sz w:val="24"/>
          <w:szCs w:val="24"/>
          <w:lang w:val="en-US" w:eastAsia="zh-CN"/>
        </w:rPr>
        <w:t xml:space="preserve">  </w:t>
      </w:r>
    </w:p>
    <w:p>
      <w:pPr>
        <w:spacing w:line="500" w:lineRule="exact"/>
        <w:ind w:firstLine="480"/>
        <w:rPr>
          <w:rFonts w:hint="eastAsia" w:ascii="仿宋" w:hAnsi="仿宋" w:eastAsia="仿宋"/>
          <w:sz w:val="24"/>
          <w:szCs w:val="24"/>
          <w:lang w:val="en-US" w:eastAsia="zh-CN"/>
        </w:rPr>
      </w:pPr>
    </w:p>
    <w:p>
      <w:pPr>
        <w:spacing w:line="500" w:lineRule="exact"/>
        <w:ind w:firstLine="480"/>
        <w:rPr>
          <w:rFonts w:ascii="仿宋" w:hAnsi="仿宋" w:eastAsia="仿宋"/>
          <w:sz w:val="24"/>
          <w:szCs w:val="24"/>
        </w:rPr>
      </w:pP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资金流估算表（参考格式）</w:t>
      </w:r>
      <w:r>
        <w:rPr>
          <w:rFonts w:ascii="仿宋" w:hAnsi="仿宋" w:eastAsia="仿宋"/>
          <w:sz w:val="24"/>
          <w:szCs w:val="24"/>
        </w:rPr>
        <w:t xml:space="preserve">     </w:t>
      </w:r>
      <w:r>
        <w:rPr>
          <w:rFonts w:hint="eastAsia" w:ascii="仿宋" w:hAnsi="仿宋" w:eastAsia="仿宋"/>
          <w:sz w:val="24"/>
          <w:szCs w:val="24"/>
        </w:rPr>
        <w:t>金额单位</w:t>
      </w:r>
      <w:r>
        <w:rPr>
          <w:rFonts w:ascii="仿宋" w:hAnsi="仿宋" w:eastAsia="仿宋"/>
          <w:sz w:val="24"/>
          <w:szCs w:val="24"/>
        </w:rPr>
        <w:t xml:space="preserve">  </w:t>
      </w:r>
    </w:p>
    <w:tbl>
      <w:tblPr>
        <w:tblStyle w:val="39"/>
        <w:tblW w:w="7874"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474"/>
        <w:gridCol w:w="1008"/>
        <w:gridCol w:w="972"/>
        <w:gridCol w:w="900"/>
        <w:gridCol w:w="900"/>
        <w:gridCol w:w="900"/>
        <w:gridCol w:w="540"/>
        <w:gridCol w:w="901"/>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r>
              <w:rPr>
                <w:rFonts w:hint="eastAsia" w:ascii="仿宋" w:hAnsi="仿宋" w:eastAsia="仿宋"/>
                <w:sz w:val="24"/>
                <w:szCs w:val="24"/>
              </w:rPr>
              <w:t>年</w:t>
            </w:r>
          </w:p>
        </w:tc>
        <w:tc>
          <w:tcPr>
            <w:tcW w:w="474"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r>
              <w:rPr>
                <w:rFonts w:hint="eastAsia" w:ascii="仿宋" w:hAnsi="仿宋" w:eastAsia="仿宋"/>
                <w:sz w:val="24"/>
                <w:szCs w:val="24"/>
              </w:rPr>
              <w:t>月</w:t>
            </w:r>
          </w:p>
        </w:tc>
        <w:tc>
          <w:tcPr>
            <w:tcW w:w="1008" w:type="dxa"/>
            <w:tcBorders>
              <w:top w:val="single" w:color="auto" w:sz="4" w:space="0"/>
              <w:left w:val="single" w:color="auto" w:sz="4" w:space="0"/>
              <w:bottom w:val="single" w:color="auto" w:sz="4" w:space="0"/>
              <w:right w:val="single" w:color="auto" w:sz="4" w:space="0"/>
            </w:tcBorders>
          </w:tcPr>
          <w:p>
            <w:pPr>
              <w:spacing w:line="500" w:lineRule="exact"/>
              <w:rPr>
                <w:rFonts w:ascii="仿宋" w:hAnsi="仿宋" w:eastAsia="仿宋"/>
                <w:sz w:val="24"/>
                <w:szCs w:val="24"/>
              </w:rPr>
            </w:pPr>
            <w:r>
              <w:rPr>
                <w:rFonts w:hint="eastAsia" w:ascii="仿宋" w:hAnsi="仿宋" w:eastAsia="仿宋"/>
                <w:sz w:val="24"/>
                <w:szCs w:val="24"/>
              </w:rPr>
              <w:t>工程预付款</w:t>
            </w:r>
          </w:p>
        </w:tc>
        <w:tc>
          <w:tcPr>
            <w:tcW w:w="972" w:type="dxa"/>
            <w:tcBorders>
              <w:top w:val="single" w:color="auto" w:sz="4" w:space="0"/>
              <w:left w:val="single" w:color="auto" w:sz="4" w:space="0"/>
              <w:bottom w:val="single" w:color="auto" w:sz="4" w:space="0"/>
              <w:right w:val="single" w:color="auto" w:sz="4" w:space="0"/>
            </w:tcBorders>
          </w:tcPr>
          <w:p>
            <w:pPr>
              <w:spacing w:line="500" w:lineRule="exact"/>
              <w:rPr>
                <w:rFonts w:ascii="仿宋" w:hAnsi="仿宋" w:eastAsia="仿宋"/>
                <w:sz w:val="24"/>
                <w:szCs w:val="24"/>
              </w:rPr>
            </w:pPr>
            <w:r>
              <w:rPr>
                <w:rFonts w:hint="eastAsia" w:ascii="仿宋" w:hAnsi="仿宋" w:eastAsia="仿宋"/>
                <w:sz w:val="24"/>
                <w:szCs w:val="24"/>
              </w:rPr>
              <w:t>完成工作量付款</w:t>
            </w:r>
          </w:p>
        </w:tc>
        <w:tc>
          <w:tcPr>
            <w:tcW w:w="900" w:type="dxa"/>
            <w:tcBorders>
              <w:top w:val="single" w:color="auto" w:sz="4" w:space="0"/>
              <w:left w:val="single" w:color="auto" w:sz="4" w:space="0"/>
              <w:bottom w:val="single" w:color="auto" w:sz="4" w:space="0"/>
              <w:right w:val="single" w:color="auto" w:sz="4" w:space="0"/>
            </w:tcBorders>
          </w:tcPr>
          <w:p>
            <w:pPr>
              <w:spacing w:line="500" w:lineRule="exact"/>
              <w:rPr>
                <w:rFonts w:ascii="仿宋" w:hAnsi="仿宋" w:eastAsia="仿宋"/>
                <w:sz w:val="24"/>
                <w:szCs w:val="24"/>
              </w:rPr>
            </w:pPr>
            <w:r>
              <w:rPr>
                <w:rFonts w:hint="eastAsia" w:ascii="仿宋" w:hAnsi="仿宋" w:eastAsia="仿宋"/>
                <w:sz w:val="24"/>
                <w:szCs w:val="24"/>
              </w:rPr>
              <w:t>质量保证金扣留</w:t>
            </w:r>
          </w:p>
        </w:tc>
        <w:tc>
          <w:tcPr>
            <w:tcW w:w="900" w:type="dxa"/>
            <w:tcBorders>
              <w:top w:val="single" w:color="auto" w:sz="4" w:space="0"/>
              <w:left w:val="single" w:color="auto" w:sz="4" w:space="0"/>
              <w:bottom w:val="single" w:color="auto" w:sz="4" w:space="0"/>
              <w:right w:val="single" w:color="auto" w:sz="4" w:space="0"/>
            </w:tcBorders>
          </w:tcPr>
          <w:p>
            <w:pPr>
              <w:spacing w:line="500" w:lineRule="exact"/>
              <w:rPr>
                <w:rFonts w:ascii="仿宋" w:hAnsi="仿宋" w:eastAsia="仿宋"/>
                <w:sz w:val="24"/>
                <w:szCs w:val="24"/>
              </w:rPr>
            </w:pPr>
            <w:r>
              <w:rPr>
                <w:rFonts w:hint="eastAsia" w:ascii="仿宋" w:hAnsi="仿宋" w:eastAsia="仿宋"/>
                <w:sz w:val="24"/>
                <w:szCs w:val="24"/>
              </w:rPr>
              <w:t>材料款扣除</w:t>
            </w:r>
          </w:p>
        </w:tc>
        <w:tc>
          <w:tcPr>
            <w:tcW w:w="900" w:type="dxa"/>
            <w:tcBorders>
              <w:top w:val="single" w:color="auto" w:sz="4" w:space="0"/>
              <w:left w:val="single" w:color="auto" w:sz="4" w:space="0"/>
              <w:bottom w:val="single" w:color="auto" w:sz="4" w:space="0"/>
              <w:right w:val="single" w:color="auto" w:sz="4" w:space="0"/>
            </w:tcBorders>
          </w:tcPr>
          <w:p>
            <w:pPr>
              <w:spacing w:line="500" w:lineRule="exact"/>
              <w:rPr>
                <w:rFonts w:ascii="仿宋" w:hAnsi="仿宋" w:eastAsia="仿宋"/>
                <w:sz w:val="24"/>
                <w:szCs w:val="24"/>
              </w:rPr>
            </w:pPr>
            <w:r>
              <w:rPr>
                <w:rFonts w:hint="eastAsia" w:ascii="仿宋" w:hAnsi="仿宋" w:eastAsia="仿宋"/>
                <w:sz w:val="24"/>
                <w:szCs w:val="24"/>
              </w:rPr>
              <w:t>预付款扣还</w:t>
            </w:r>
          </w:p>
        </w:tc>
        <w:tc>
          <w:tcPr>
            <w:tcW w:w="540"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r>
              <w:rPr>
                <w:rFonts w:hint="eastAsia" w:ascii="仿宋" w:hAnsi="仿宋" w:eastAsia="仿宋"/>
                <w:sz w:val="24"/>
                <w:szCs w:val="24"/>
              </w:rPr>
              <w:t>其</w:t>
            </w:r>
            <w:r>
              <w:rPr>
                <w:rFonts w:hint="eastAsia" w:ascii="仿宋" w:hAnsi="仿宋" w:eastAsia="仿宋"/>
                <w:sz w:val="24"/>
                <w:szCs w:val="24"/>
                <w:lang w:eastAsia="zh-CN"/>
              </w:rPr>
              <w:t>其</w:t>
            </w:r>
            <w:r>
              <w:rPr>
                <w:rFonts w:hint="eastAsia" w:ascii="仿宋" w:hAnsi="仿宋" w:eastAsia="仿宋"/>
                <w:sz w:val="24"/>
                <w:szCs w:val="24"/>
              </w:rPr>
              <w:t>它</w:t>
            </w:r>
          </w:p>
        </w:tc>
        <w:tc>
          <w:tcPr>
            <w:tcW w:w="901" w:type="dxa"/>
            <w:tcBorders>
              <w:top w:val="single" w:color="auto" w:sz="4" w:space="0"/>
              <w:left w:val="single" w:color="auto" w:sz="4" w:space="0"/>
              <w:bottom w:val="single" w:color="auto" w:sz="4" w:space="0"/>
              <w:right w:val="single" w:color="auto" w:sz="4" w:space="0"/>
            </w:tcBorders>
          </w:tcPr>
          <w:p>
            <w:pPr>
              <w:spacing w:line="500" w:lineRule="exact"/>
              <w:rPr>
                <w:rFonts w:ascii="仿宋" w:hAnsi="仿宋" w:eastAsia="仿宋"/>
                <w:sz w:val="24"/>
                <w:szCs w:val="24"/>
              </w:rPr>
            </w:pPr>
            <w:r>
              <w:rPr>
                <w:rFonts w:hint="eastAsia" w:ascii="仿宋" w:hAnsi="仿宋" w:eastAsia="仿宋"/>
                <w:sz w:val="24"/>
                <w:szCs w:val="24"/>
              </w:rPr>
              <w:t>应收款</w:t>
            </w:r>
          </w:p>
        </w:tc>
        <w:tc>
          <w:tcPr>
            <w:tcW w:w="853" w:type="dxa"/>
            <w:tcBorders>
              <w:top w:val="single" w:color="auto" w:sz="4" w:space="0"/>
              <w:left w:val="single" w:color="auto" w:sz="4" w:space="0"/>
              <w:bottom w:val="single" w:color="auto" w:sz="4" w:space="0"/>
              <w:right w:val="single" w:color="auto" w:sz="4" w:space="0"/>
            </w:tcBorders>
          </w:tcPr>
          <w:p>
            <w:pPr>
              <w:spacing w:line="500" w:lineRule="exact"/>
              <w:rPr>
                <w:rFonts w:ascii="仿宋" w:hAnsi="仿宋" w:eastAsia="仿宋"/>
                <w:sz w:val="24"/>
                <w:szCs w:val="24"/>
              </w:rPr>
            </w:pPr>
            <w:r>
              <w:rPr>
                <w:rFonts w:hint="eastAsia" w:ascii="仿宋" w:hAnsi="仿宋" w:eastAsia="仿宋"/>
                <w:sz w:val="24"/>
                <w:szCs w:val="24"/>
              </w:rPr>
              <w:t>累计应收款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474"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1008"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972"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900"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900"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900"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540"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901"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853"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474"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1008"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972"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900"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900"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900"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540"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901"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853"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474"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1008"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972"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900"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900"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900"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540"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901"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c>
          <w:tcPr>
            <w:tcW w:w="853" w:type="dxa"/>
            <w:tcBorders>
              <w:top w:val="single" w:color="auto" w:sz="4" w:space="0"/>
              <w:left w:val="single" w:color="auto" w:sz="4" w:space="0"/>
              <w:bottom w:val="single" w:color="auto" w:sz="4" w:space="0"/>
              <w:right w:val="single" w:color="auto" w:sz="4" w:space="0"/>
            </w:tcBorders>
          </w:tcPr>
          <w:p>
            <w:pPr>
              <w:spacing w:line="500" w:lineRule="exact"/>
              <w:ind w:firstLine="480"/>
              <w:rPr>
                <w:rFonts w:ascii="仿宋" w:hAnsi="仿宋" w:eastAsia="仿宋"/>
                <w:sz w:val="24"/>
                <w:szCs w:val="24"/>
              </w:rPr>
            </w:pPr>
          </w:p>
        </w:tc>
      </w:tr>
    </w:tbl>
    <w:p>
      <w:pPr>
        <w:spacing w:line="500" w:lineRule="exact"/>
        <w:ind w:firstLine="480"/>
        <w:rPr>
          <w:rFonts w:ascii="仿宋" w:hAnsi="仿宋" w:eastAsia="仿宋"/>
          <w:sz w:val="24"/>
          <w:szCs w:val="24"/>
        </w:rPr>
      </w:pPr>
    </w:p>
    <w:p>
      <w:pPr>
        <w:spacing w:line="500" w:lineRule="exact"/>
        <w:ind w:firstLine="482"/>
        <w:rPr>
          <w:rFonts w:ascii="仿宋" w:hAnsi="仿宋" w:eastAsia="仿宋"/>
          <w:b/>
          <w:sz w:val="24"/>
          <w:szCs w:val="24"/>
        </w:rPr>
      </w:pPr>
      <w:r>
        <w:rPr>
          <w:rFonts w:ascii="仿宋" w:hAnsi="仿宋" w:eastAsia="仿宋"/>
          <w:b/>
          <w:sz w:val="24"/>
          <w:szCs w:val="24"/>
        </w:rPr>
        <w:t xml:space="preserve">11. </w:t>
      </w:r>
      <w:r>
        <w:rPr>
          <w:rFonts w:hint="eastAsia" w:ascii="仿宋" w:hAnsi="仿宋" w:eastAsia="仿宋"/>
          <w:b/>
          <w:sz w:val="24"/>
          <w:szCs w:val="24"/>
        </w:rPr>
        <w:t>开工和竣工</w:t>
      </w:r>
      <w:r>
        <w:rPr>
          <w:rFonts w:ascii="仿宋" w:hAnsi="仿宋" w:eastAsia="仿宋"/>
          <w:b/>
          <w:sz w:val="24"/>
          <w:szCs w:val="24"/>
        </w:rPr>
        <w:t>(</w:t>
      </w:r>
      <w:r>
        <w:rPr>
          <w:rFonts w:hint="eastAsia" w:ascii="仿宋" w:hAnsi="仿宋" w:eastAsia="仿宋"/>
          <w:b/>
          <w:sz w:val="24"/>
          <w:szCs w:val="24"/>
        </w:rPr>
        <w:t>完工</w:t>
      </w:r>
      <w:r>
        <w:rPr>
          <w:rFonts w:ascii="仿宋" w:hAnsi="仿宋" w:eastAsia="仿宋"/>
          <w:b/>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11.1 </w:t>
      </w:r>
      <w:r>
        <w:rPr>
          <w:rFonts w:hint="eastAsia" w:ascii="仿宋" w:hAnsi="仿宋" w:eastAsia="仿宋"/>
          <w:b/>
          <w:sz w:val="24"/>
          <w:szCs w:val="24"/>
        </w:rPr>
        <w:t>开工</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11.1.1 </w:t>
      </w:r>
      <w:r>
        <w:rPr>
          <w:rFonts w:hint="eastAsia" w:ascii="仿宋" w:hAnsi="仿宋" w:eastAsia="仿宋"/>
          <w:sz w:val="24"/>
          <w:szCs w:val="24"/>
        </w:rPr>
        <w:t>监理人应在开工日期</w:t>
      </w:r>
      <w:r>
        <w:rPr>
          <w:rFonts w:ascii="仿宋" w:hAnsi="仿宋" w:eastAsia="仿宋"/>
          <w:sz w:val="24"/>
          <w:szCs w:val="24"/>
        </w:rPr>
        <w:t xml:space="preserve">7 </w:t>
      </w:r>
      <w:r>
        <w:rPr>
          <w:rFonts w:hint="eastAsia" w:ascii="仿宋" w:hAnsi="仿宋" w:eastAsia="仿宋"/>
          <w:sz w:val="24"/>
          <w:szCs w:val="24"/>
        </w:rPr>
        <w:t>天前向承包人发出开工通知。监理人在发出开工通知前应获得发包人同意。工期自监理人发出的开工通知中载明的开工日期起计算。承包人应在开工日期后尽快施工。</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11.1.2 </w:t>
      </w:r>
      <w:r>
        <w:rPr>
          <w:rFonts w:hint="eastAsia" w:ascii="仿宋" w:hAnsi="仿宋" w:eastAsia="仿宋"/>
          <w:sz w:val="24"/>
          <w:szCs w:val="24"/>
        </w:rPr>
        <w:t>承包人应按第</w:t>
      </w:r>
      <w:r>
        <w:rPr>
          <w:rFonts w:ascii="仿宋" w:hAnsi="仿宋" w:eastAsia="仿宋"/>
          <w:sz w:val="24"/>
          <w:szCs w:val="24"/>
        </w:rPr>
        <w:t xml:space="preserve">10.1 </w:t>
      </w:r>
      <w:r>
        <w:rPr>
          <w:rFonts w:hint="eastAsia" w:ascii="仿宋" w:hAnsi="仿宋" w:eastAsia="仿宋"/>
          <w:sz w:val="24"/>
          <w:szCs w:val="24"/>
        </w:rPr>
        <w:t>款约定的合同进度计划，向监理人提交工程开工报审表，经监理人审批后执行。开工报审表应详细说明按合同进度计划正常施工所需的施工道路、临时设施、材料设备、施工人员等施工组织措施的落实情况以及工程的进度安排。</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11.1.3 </w:t>
      </w:r>
      <w:r>
        <w:rPr>
          <w:rFonts w:hint="eastAsia" w:ascii="仿宋" w:hAnsi="仿宋" w:eastAsia="仿宋"/>
          <w:sz w:val="24"/>
          <w:szCs w:val="24"/>
        </w:rPr>
        <w:t>若发包人未能按合同约定向承包人提供开工的必要条件，承包人有权要求延长工期。监理人应在收到承包人的书面要求后，按第</w:t>
      </w:r>
      <w:r>
        <w:rPr>
          <w:rFonts w:ascii="仿宋" w:hAnsi="仿宋" w:eastAsia="仿宋"/>
          <w:sz w:val="24"/>
          <w:szCs w:val="24"/>
        </w:rPr>
        <w:t>3.5</w:t>
      </w:r>
      <w:r>
        <w:rPr>
          <w:rFonts w:hint="eastAsia" w:ascii="仿宋" w:hAnsi="仿宋" w:eastAsia="仿宋"/>
          <w:sz w:val="24"/>
          <w:szCs w:val="24"/>
        </w:rPr>
        <w:t>款的约定，与合同双方商定或确定增加的费用和延长的工期。</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11.1.4 </w:t>
      </w:r>
      <w:r>
        <w:rPr>
          <w:rFonts w:hint="eastAsia" w:ascii="仿宋" w:hAnsi="仿宋" w:eastAsia="仿宋"/>
          <w:sz w:val="24"/>
          <w:szCs w:val="24"/>
        </w:rPr>
        <w:t>承包人在接到开工通知后</w:t>
      </w:r>
      <w:r>
        <w:rPr>
          <w:rFonts w:ascii="仿宋" w:hAnsi="仿宋" w:eastAsia="仿宋"/>
          <w:sz w:val="24"/>
          <w:szCs w:val="24"/>
        </w:rPr>
        <w:t>14</w:t>
      </w:r>
      <w:r>
        <w:rPr>
          <w:rFonts w:hint="eastAsia" w:ascii="仿宋" w:hAnsi="仿宋" w:eastAsia="仿宋"/>
          <w:sz w:val="24"/>
          <w:szCs w:val="24"/>
        </w:rPr>
        <w:t>天内未按进度计划要求及时进场组织施工，监理人可通知承包人在接到通知后</w:t>
      </w:r>
      <w:r>
        <w:rPr>
          <w:rFonts w:ascii="仿宋" w:hAnsi="仿宋" w:eastAsia="仿宋"/>
          <w:sz w:val="24"/>
          <w:szCs w:val="24"/>
        </w:rPr>
        <w:t>7</w:t>
      </w:r>
      <w:r>
        <w:rPr>
          <w:rFonts w:hint="eastAsia" w:ascii="仿宋" w:hAnsi="仿宋" w:eastAsia="仿宋"/>
          <w:sz w:val="24"/>
          <w:szCs w:val="24"/>
        </w:rPr>
        <w:t>天内提交一份说明其进场延误的书面报告，报送监理人。书面报告应说明不能及时进场的原因和补救措施，由此增加的费用和工期延误责任由承包人承担。</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11.2 </w:t>
      </w:r>
      <w:r>
        <w:rPr>
          <w:rFonts w:hint="eastAsia" w:ascii="仿宋" w:hAnsi="仿宋" w:eastAsia="仿宋"/>
          <w:b/>
          <w:sz w:val="24"/>
          <w:szCs w:val="24"/>
        </w:rPr>
        <w:t>竣工</w:t>
      </w:r>
      <w:r>
        <w:rPr>
          <w:rFonts w:ascii="仿宋" w:hAnsi="仿宋" w:eastAsia="仿宋"/>
          <w:b/>
          <w:sz w:val="24"/>
          <w:szCs w:val="24"/>
        </w:rPr>
        <w:t>(</w:t>
      </w:r>
      <w:r>
        <w:rPr>
          <w:rFonts w:hint="eastAsia" w:ascii="仿宋" w:hAnsi="仿宋" w:eastAsia="仿宋"/>
          <w:b/>
          <w:sz w:val="24"/>
          <w:szCs w:val="24"/>
        </w:rPr>
        <w:t>完工</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承包人应在第</w:t>
      </w:r>
      <w:r>
        <w:rPr>
          <w:rFonts w:ascii="仿宋" w:hAnsi="仿宋" w:eastAsia="仿宋"/>
          <w:sz w:val="24"/>
          <w:szCs w:val="24"/>
        </w:rPr>
        <w:t>1.1.4.3</w:t>
      </w:r>
      <w:r>
        <w:rPr>
          <w:rFonts w:hint="eastAsia" w:ascii="仿宋" w:hAnsi="仿宋" w:eastAsia="仿宋"/>
          <w:sz w:val="24"/>
          <w:szCs w:val="24"/>
        </w:rPr>
        <w:t>目约定的期限内完成合同工程。合同工程实际完工日期在合同工程完工证书中明确。</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11.3 </w:t>
      </w:r>
      <w:r>
        <w:rPr>
          <w:rFonts w:hint="eastAsia" w:ascii="仿宋" w:hAnsi="仿宋" w:eastAsia="仿宋"/>
          <w:b/>
          <w:sz w:val="24"/>
          <w:szCs w:val="24"/>
        </w:rPr>
        <w:t>发包人的工期延误</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在履行合同过程中，由于发包人的下列原因造成工期延误的，承包人有权要求发包人延长工期和（或）增加费用，并支付合理利润。需要修订合同进度计划的，按照第</w:t>
      </w:r>
      <w:r>
        <w:rPr>
          <w:rFonts w:ascii="仿宋" w:hAnsi="仿宋" w:eastAsia="仿宋"/>
          <w:sz w:val="24"/>
          <w:szCs w:val="24"/>
        </w:rPr>
        <w:t xml:space="preserve">10.2 </w:t>
      </w:r>
      <w:r>
        <w:rPr>
          <w:rFonts w:hint="eastAsia" w:ascii="仿宋" w:hAnsi="仿宋" w:eastAsia="仿宋"/>
          <w:sz w:val="24"/>
          <w:szCs w:val="24"/>
        </w:rPr>
        <w:t>款的约定办理。</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）增加合同工作内容；</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）改变合同中任何一项工作的质量要求或其他特性；</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）发包人迟延提供材料、工程设备或变更交货地点的；</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4</w:t>
      </w:r>
      <w:r>
        <w:rPr>
          <w:rFonts w:hint="eastAsia" w:ascii="仿宋" w:hAnsi="仿宋" w:eastAsia="仿宋"/>
          <w:sz w:val="24"/>
          <w:szCs w:val="24"/>
        </w:rPr>
        <w:t>）因发包人原因导致的暂停施工；</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5</w:t>
      </w:r>
      <w:r>
        <w:rPr>
          <w:rFonts w:hint="eastAsia" w:ascii="仿宋" w:hAnsi="仿宋" w:eastAsia="仿宋"/>
          <w:sz w:val="24"/>
          <w:szCs w:val="24"/>
        </w:rPr>
        <w:t>）提供图纸延误；</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6</w:t>
      </w:r>
      <w:r>
        <w:rPr>
          <w:rFonts w:hint="eastAsia" w:ascii="仿宋" w:hAnsi="仿宋" w:eastAsia="仿宋"/>
          <w:sz w:val="24"/>
          <w:szCs w:val="24"/>
        </w:rPr>
        <w:t>）未按合同约定及时支付预付款、进度款；</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7</w:t>
      </w:r>
      <w:r>
        <w:rPr>
          <w:rFonts w:hint="eastAsia" w:ascii="仿宋" w:hAnsi="仿宋" w:eastAsia="仿宋"/>
          <w:sz w:val="24"/>
          <w:szCs w:val="24"/>
        </w:rPr>
        <w:t>）发包人造成工期延误的其他原因。</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11.4 </w:t>
      </w:r>
      <w:r>
        <w:rPr>
          <w:rFonts w:hint="eastAsia" w:ascii="仿宋" w:hAnsi="仿宋" w:eastAsia="仿宋"/>
          <w:b/>
          <w:sz w:val="24"/>
          <w:szCs w:val="24"/>
        </w:rPr>
        <w:t>异常恶劣的气候条件</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11.4.1 </w:t>
      </w:r>
      <w:r>
        <w:rPr>
          <w:rFonts w:hint="eastAsia" w:ascii="仿宋" w:hAnsi="仿宋" w:eastAsia="仿宋"/>
          <w:sz w:val="24"/>
          <w:szCs w:val="24"/>
        </w:rPr>
        <w:t>当工程所在地发生危及施工安全的异常恶劣气候时，发包人和承包人应按本合同通用合同条款第１２条的约定，及时采取暂停施工或部分暂停施工措施。异常恶劣气候条件解除后，承包人应及时安排复工。</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11.4.2 </w:t>
      </w:r>
      <w:r>
        <w:rPr>
          <w:rFonts w:hint="eastAsia" w:ascii="仿宋" w:hAnsi="仿宋" w:eastAsia="仿宋"/>
          <w:sz w:val="24"/>
          <w:szCs w:val="24"/>
        </w:rPr>
        <w:t>异常恶劣气候条件造成的工期延误和工程损坏，应由发包人与承包人参照本合同通用合同条款第</w:t>
      </w:r>
      <w:r>
        <w:rPr>
          <w:rFonts w:ascii="仿宋" w:hAnsi="仿宋" w:eastAsia="仿宋"/>
          <w:sz w:val="24"/>
          <w:szCs w:val="24"/>
        </w:rPr>
        <w:t>21.3</w:t>
      </w:r>
      <w:r>
        <w:rPr>
          <w:rFonts w:hint="eastAsia" w:ascii="仿宋" w:hAnsi="仿宋" w:eastAsia="仿宋"/>
          <w:sz w:val="24"/>
          <w:szCs w:val="24"/>
        </w:rPr>
        <w:t>款的约定协商处理。</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11.4.3 </w:t>
      </w:r>
      <w:r>
        <w:rPr>
          <w:rFonts w:hint="eastAsia" w:ascii="仿宋" w:hAnsi="仿宋" w:eastAsia="仿宋"/>
          <w:sz w:val="24"/>
          <w:szCs w:val="24"/>
        </w:rPr>
        <w:t>本合同工程界定异常恶劣气候条件的范围在专用合同条款中约定。</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11.5 </w:t>
      </w:r>
      <w:r>
        <w:rPr>
          <w:rFonts w:hint="eastAsia" w:ascii="仿宋" w:hAnsi="仿宋" w:eastAsia="仿宋"/>
          <w:b/>
          <w:sz w:val="24"/>
          <w:szCs w:val="24"/>
        </w:rPr>
        <w:t>承包人的工期延误</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由于承包人原因，未能按合同进度计划完成工作，或监理人认为承包人施工进度不能满足合同工期要求的，承包人应采取措施加快进度，并承担加快进度所增加的费用。由于承包人原因造成工期延误，承包人应支付逾期竣工违约金。逾期竣工违约金的计算方法在专用合同条款中约定。承包人支付逾期竣工违约金，不免除承包人完成工程及修补缺陷的义务。</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11.6 </w:t>
      </w:r>
      <w:r>
        <w:rPr>
          <w:rFonts w:hint="eastAsia" w:ascii="仿宋" w:hAnsi="仿宋" w:eastAsia="仿宋"/>
          <w:b/>
          <w:sz w:val="24"/>
          <w:szCs w:val="24"/>
        </w:rPr>
        <w:t>工期提前</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发包人要求承包人提前完工，或承包人提出提前完工的建议能够给发包人带来效益的，应由监理人与承包人共同协商采取加快工程进度的措施和修订合同进度计划。</w:t>
      </w:r>
    </w:p>
    <w:p>
      <w:pPr>
        <w:spacing w:line="500" w:lineRule="exact"/>
        <w:ind w:firstLine="480"/>
        <w:rPr>
          <w:rFonts w:ascii="仿宋" w:hAnsi="仿宋" w:eastAsia="仿宋"/>
          <w:sz w:val="24"/>
          <w:szCs w:val="24"/>
        </w:rPr>
      </w:pPr>
      <w:r>
        <w:rPr>
          <w:rFonts w:hint="eastAsia" w:ascii="仿宋" w:hAnsi="仿宋" w:eastAsia="仿宋"/>
          <w:sz w:val="24"/>
          <w:szCs w:val="24"/>
        </w:rPr>
        <w:t>发包人要求提前完工的，双方协商一致后应签订提前完工协议，协议内容包括：</w:t>
      </w:r>
    </w:p>
    <w:p>
      <w:pPr>
        <w:spacing w:line="500" w:lineRule="exact"/>
        <w:ind w:firstLine="480"/>
        <w:rPr>
          <w:rFonts w:ascii="仿宋" w:hAnsi="仿宋" w:eastAsia="仿宋"/>
          <w:sz w:val="24"/>
          <w:szCs w:val="24"/>
        </w:rPr>
      </w:pPr>
      <w:r>
        <w:rPr>
          <w:rFonts w:hint="eastAsia" w:ascii="仿宋" w:hAnsi="仿宋" w:eastAsia="仿宋"/>
          <w:sz w:val="24"/>
          <w:szCs w:val="24"/>
        </w:rPr>
        <w:t>（1）提前的时间和修订后的进度计划；</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（2）承包人的赶工措施；</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（3）发包人为赶工提供的条件。</w:t>
      </w:r>
    </w:p>
    <w:p>
      <w:pPr>
        <w:spacing w:line="500" w:lineRule="exact"/>
        <w:ind w:firstLine="482"/>
        <w:rPr>
          <w:rFonts w:ascii="仿宋" w:hAnsi="仿宋" w:eastAsia="仿宋"/>
          <w:b/>
          <w:sz w:val="24"/>
          <w:szCs w:val="24"/>
        </w:rPr>
      </w:pPr>
      <w:r>
        <w:rPr>
          <w:rFonts w:ascii="仿宋" w:hAnsi="仿宋" w:eastAsia="仿宋"/>
          <w:b/>
          <w:sz w:val="24"/>
          <w:szCs w:val="24"/>
        </w:rPr>
        <w:t xml:space="preserve">12. </w:t>
      </w:r>
      <w:r>
        <w:rPr>
          <w:rFonts w:hint="eastAsia" w:ascii="仿宋" w:hAnsi="仿宋" w:eastAsia="仿宋"/>
          <w:b/>
          <w:sz w:val="24"/>
          <w:szCs w:val="24"/>
        </w:rPr>
        <w:t>暂停施工</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12.1 </w:t>
      </w:r>
      <w:r>
        <w:rPr>
          <w:rFonts w:hint="eastAsia" w:ascii="仿宋" w:hAnsi="仿宋" w:eastAsia="仿宋"/>
          <w:sz w:val="24"/>
          <w:szCs w:val="24"/>
        </w:rPr>
        <w:t>承包人暂停施工的责任</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因下列暂停施工增加的费用和（或）工期延误由承包人承担：</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）承包人违约引起的暂停施工；</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）由于承包人原因为工程合理施工和安全保障所必需的暂停施工；</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）承包人擅自暂停施工；</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4</w:t>
      </w:r>
      <w:r>
        <w:rPr>
          <w:rFonts w:hint="eastAsia" w:ascii="仿宋" w:hAnsi="仿宋" w:eastAsia="仿宋"/>
          <w:sz w:val="24"/>
          <w:szCs w:val="24"/>
        </w:rPr>
        <w:t>）承包人其他原因引起的暂停施工；</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5</w:t>
      </w:r>
      <w:r>
        <w:rPr>
          <w:rFonts w:hint="eastAsia" w:ascii="仿宋" w:hAnsi="仿宋" w:eastAsia="仿宋"/>
          <w:sz w:val="24"/>
          <w:szCs w:val="24"/>
        </w:rPr>
        <w:t>）专用合同条款约定由承包人承担的其他暂停施工。</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12.2 </w:t>
      </w:r>
      <w:r>
        <w:rPr>
          <w:rFonts w:hint="eastAsia" w:ascii="仿宋" w:hAnsi="仿宋" w:eastAsia="仿宋"/>
          <w:b/>
          <w:sz w:val="24"/>
          <w:szCs w:val="24"/>
        </w:rPr>
        <w:t>发包人暂停施工的责任</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由于发包人原因引起的暂停施工造成工期延误的，承包人有权要求发包人延长工期和（或）增加费用，并支付合理利润。</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属于下列任何一种情况引起的暂停施工，均为发包人的责任：</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由于发包人违约引起的暂停施工；</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由于不可抗力的自然或社会因素引起的暂停施工；</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(3)</w:t>
      </w:r>
      <w:r>
        <w:rPr>
          <w:rFonts w:hint="eastAsia" w:ascii="仿宋" w:hAnsi="仿宋" w:eastAsia="仿宋"/>
          <w:sz w:val="24"/>
          <w:szCs w:val="24"/>
        </w:rPr>
        <w:t>专用合同条款中约定的其它由于发包人原因引起的暂停施工。</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12.3 </w:t>
      </w:r>
      <w:r>
        <w:rPr>
          <w:rFonts w:hint="eastAsia" w:ascii="仿宋" w:hAnsi="仿宋" w:eastAsia="仿宋"/>
          <w:b/>
          <w:sz w:val="24"/>
          <w:szCs w:val="24"/>
        </w:rPr>
        <w:t>监理人暂停施工指示</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12.3.1 </w:t>
      </w:r>
      <w:r>
        <w:rPr>
          <w:rFonts w:hint="eastAsia" w:ascii="仿宋" w:hAnsi="仿宋" w:eastAsia="仿宋"/>
          <w:sz w:val="24"/>
          <w:szCs w:val="24"/>
        </w:rPr>
        <w:t>监理人认为有必要时，可向承包人作出暂停施工的指示，承包人应按监理人指示暂停施工。不论由于何种原因引起的暂停施工，暂停施工期间承包人应负责妥善保护工程并提供安全保障。</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12.3.2 </w:t>
      </w:r>
      <w:r>
        <w:rPr>
          <w:rFonts w:hint="eastAsia" w:ascii="仿宋" w:hAnsi="仿宋" w:eastAsia="仿宋"/>
          <w:sz w:val="24"/>
          <w:szCs w:val="24"/>
        </w:rPr>
        <w:t>由于发包人的原因发生暂停施工的紧急情况，且监理人未及时下达暂停施工指示的，承包人可先暂停施工，并及时向监理人提出暂停施工的书面请求。监理人应在接到书面请求后的</w:t>
      </w:r>
      <w:r>
        <w:rPr>
          <w:rFonts w:ascii="仿宋" w:hAnsi="仿宋" w:eastAsia="仿宋"/>
          <w:sz w:val="24"/>
          <w:szCs w:val="24"/>
        </w:rPr>
        <w:t xml:space="preserve">24 </w:t>
      </w:r>
      <w:r>
        <w:rPr>
          <w:rFonts w:hint="eastAsia" w:ascii="仿宋" w:hAnsi="仿宋" w:eastAsia="仿宋"/>
          <w:sz w:val="24"/>
          <w:szCs w:val="24"/>
        </w:rPr>
        <w:t>小时内予以答复，逾期未答复的，视为同意承包人的暂停施工请求。</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12.4 </w:t>
      </w:r>
      <w:r>
        <w:rPr>
          <w:rFonts w:hint="eastAsia" w:ascii="仿宋" w:hAnsi="仿宋" w:eastAsia="仿宋"/>
          <w:b/>
          <w:sz w:val="24"/>
          <w:szCs w:val="24"/>
        </w:rPr>
        <w:t>暂停施工后的复工</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12.4.1 </w:t>
      </w:r>
      <w:r>
        <w:rPr>
          <w:rFonts w:hint="eastAsia" w:ascii="仿宋" w:hAnsi="仿宋" w:eastAsia="仿宋"/>
          <w:sz w:val="24"/>
          <w:szCs w:val="24"/>
        </w:rPr>
        <w:t>暂停施工后，监理人应与发包人和承包人协商，采取有效措施积极消除暂停施工的影响。当工程具备复工条件时，监理人应立即向承包人发出复工通知。承包人收到复工通知后，应在监理人指定的期限内复工。</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12.4.2 </w:t>
      </w:r>
      <w:r>
        <w:rPr>
          <w:rFonts w:hint="eastAsia" w:ascii="仿宋" w:hAnsi="仿宋" w:eastAsia="仿宋"/>
          <w:sz w:val="24"/>
          <w:szCs w:val="24"/>
        </w:rPr>
        <w:t xml:space="preserve">非发包人原因，承包人拖延和拒绝复工的，由此增加的费用和工期延误由承包人承担；因发包人原因无法按时复工的，承包人有权书面请求发包人延长工期和（或）增加费用，经发包人书面同意后可增加合理费用；如发包人不同意的，双方可进一步协商，协商不成的，发包人可按实际工程量结算后，单方解除本合同。 </w:t>
      </w:r>
    </w:p>
    <w:p>
      <w:pPr>
        <w:spacing w:line="500" w:lineRule="exact"/>
        <w:ind w:firstLine="482"/>
        <w:rPr>
          <w:rFonts w:ascii="仿宋" w:hAnsi="仿宋" w:eastAsia="仿宋"/>
          <w:b/>
          <w:sz w:val="24"/>
          <w:szCs w:val="24"/>
        </w:rPr>
      </w:pPr>
      <w:r>
        <w:rPr>
          <w:rFonts w:ascii="仿宋" w:hAnsi="仿宋" w:eastAsia="仿宋"/>
          <w:b/>
          <w:sz w:val="24"/>
          <w:szCs w:val="24"/>
        </w:rPr>
        <w:t xml:space="preserve">12.5 </w:t>
      </w:r>
      <w:r>
        <w:rPr>
          <w:rFonts w:hint="eastAsia" w:ascii="仿宋" w:hAnsi="仿宋" w:eastAsia="仿宋"/>
          <w:b/>
          <w:sz w:val="24"/>
          <w:szCs w:val="24"/>
        </w:rPr>
        <w:t>暂停施工持续</w:t>
      </w:r>
      <w:r>
        <w:rPr>
          <w:rFonts w:ascii="仿宋" w:hAnsi="仿宋" w:eastAsia="仿宋"/>
          <w:b/>
          <w:sz w:val="24"/>
          <w:szCs w:val="24"/>
        </w:rPr>
        <w:t xml:space="preserve">56 </w:t>
      </w:r>
      <w:r>
        <w:rPr>
          <w:rFonts w:hint="eastAsia" w:ascii="仿宋" w:hAnsi="仿宋" w:eastAsia="仿宋"/>
          <w:b/>
          <w:sz w:val="24"/>
          <w:szCs w:val="24"/>
        </w:rPr>
        <w:t>天以上</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12.5.1 </w:t>
      </w:r>
      <w:r>
        <w:rPr>
          <w:rFonts w:hint="eastAsia" w:ascii="仿宋" w:hAnsi="仿宋" w:eastAsia="仿宋"/>
          <w:sz w:val="24"/>
          <w:szCs w:val="24"/>
        </w:rPr>
        <w:t>监理人发出暂停施工指示后</w:t>
      </w:r>
      <w:r>
        <w:rPr>
          <w:rFonts w:ascii="仿宋" w:hAnsi="仿宋" w:eastAsia="仿宋"/>
          <w:sz w:val="24"/>
          <w:szCs w:val="24"/>
        </w:rPr>
        <w:t xml:space="preserve">56 </w:t>
      </w:r>
      <w:r>
        <w:rPr>
          <w:rFonts w:hint="eastAsia" w:ascii="仿宋" w:hAnsi="仿宋" w:eastAsia="仿宋"/>
          <w:sz w:val="24"/>
          <w:szCs w:val="24"/>
        </w:rPr>
        <w:t>天内未向承包人发出复工通知，除了该项停工属于第</w:t>
      </w:r>
      <w:r>
        <w:rPr>
          <w:rFonts w:ascii="仿宋" w:hAnsi="仿宋" w:eastAsia="仿宋"/>
          <w:sz w:val="24"/>
          <w:szCs w:val="24"/>
        </w:rPr>
        <w:t xml:space="preserve">12.1 </w:t>
      </w:r>
      <w:r>
        <w:rPr>
          <w:rFonts w:hint="eastAsia" w:ascii="仿宋" w:hAnsi="仿宋" w:eastAsia="仿宋"/>
          <w:sz w:val="24"/>
          <w:szCs w:val="24"/>
        </w:rPr>
        <w:t>款的情况外，承包人可向监理人提交书面通知，要求监理人在收到书面通知后</w:t>
      </w:r>
      <w:r>
        <w:rPr>
          <w:rFonts w:ascii="仿宋" w:hAnsi="仿宋" w:eastAsia="仿宋"/>
          <w:sz w:val="24"/>
          <w:szCs w:val="24"/>
        </w:rPr>
        <w:t>28</w:t>
      </w:r>
      <w:r>
        <w:rPr>
          <w:rFonts w:hint="eastAsia" w:ascii="仿宋" w:hAnsi="仿宋" w:eastAsia="仿宋"/>
          <w:sz w:val="24"/>
          <w:szCs w:val="24"/>
        </w:rPr>
        <w:t>天内准许已暂停施工的工程或其中一部分工程继续施工。如监理人逾期不予批准，则承包人可以通知监理人，将工程受影响的部分视为按第</w:t>
      </w:r>
      <w:r>
        <w:rPr>
          <w:rFonts w:ascii="仿宋" w:hAnsi="仿宋" w:eastAsia="仿宋"/>
          <w:sz w:val="24"/>
          <w:szCs w:val="24"/>
        </w:rPr>
        <w:t>15.1</w:t>
      </w: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）项的可取消工作。如暂停施工影响到整个工程，可视为发包人违约，应按第</w:t>
      </w:r>
      <w:r>
        <w:rPr>
          <w:rFonts w:ascii="仿宋" w:hAnsi="仿宋" w:eastAsia="仿宋"/>
          <w:sz w:val="24"/>
          <w:szCs w:val="24"/>
        </w:rPr>
        <w:t xml:space="preserve">22.2 </w:t>
      </w:r>
      <w:r>
        <w:rPr>
          <w:rFonts w:hint="eastAsia" w:ascii="仿宋" w:hAnsi="仿宋" w:eastAsia="仿宋"/>
          <w:sz w:val="24"/>
          <w:szCs w:val="24"/>
        </w:rPr>
        <w:t>款的规定办理。</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12.5.2 </w:t>
      </w:r>
      <w:r>
        <w:rPr>
          <w:rFonts w:hint="eastAsia" w:ascii="仿宋" w:hAnsi="仿宋" w:eastAsia="仿宋"/>
          <w:sz w:val="24"/>
          <w:szCs w:val="24"/>
        </w:rPr>
        <w:t>由于承包人责任引起的暂停施工，如承包人在收到监理人暂停施工指示后</w:t>
      </w:r>
      <w:r>
        <w:rPr>
          <w:rFonts w:ascii="仿宋" w:hAnsi="仿宋" w:eastAsia="仿宋"/>
          <w:sz w:val="24"/>
          <w:szCs w:val="24"/>
        </w:rPr>
        <w:t xml:space="preserve">56 </w:t>
      </w:r>
      <w:r>
        <w:rPr>
          <w:rFonts w:hint="eastAsia" w:ascii="仿宋" w:hAnsi="仿宋" w:eastAsia="仿宋"/>
          <w:sz w:val="24"/>
          <w:szCs w:val="24"/>
        </w:rPr>
        <w:t>天内不认真采取有效的复工措施，造成工期延误，可视为承包人违约，应按第</w:t>
      </w:r>
      <w:r>
        <w:rPr>
          <w:rFonts w:ascii="仿宋" w:hAnsi="仿宋" w:eastAsia="仿宋"/>
          <w:sz w:val="24"/>
          <w:szCs w:val="24"/>
        </w:rPr>
        <w:t xml:space="preserve">22.1 </w:t>
      </w:r>
      <w:r>
        <w:rPr>
          <w:rFonts w:hint="eastAsia" w:ascii="仿宋" w:hAnsi="仿宋" w:eastAsia="仿宋"/>
          <w:sz w:val="24"/>
          <w:szCs w:val="24"/>
        </w:rPr>
        <w:t>款的规定办理。</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13. </w:t>
      </w:r>
      <w:r>
        <w:rPr>
          <w:rFonts w:hint="eastAsia" w:ascii="仿宋" w:hAnsi="仿宋" w:eastAsia="仿宋"/>
          <w:b/>
          <w:sz w:val="24"/>
          <w:szCs w:val="24"/>
        </w:rPr>
        <w:t>工程质量</w:t>
      </w:r>
      <w:r>
        <w:rPr>
          <w:rFonts w:ascii="仿宋" w:hAnsi="仿宋" w:eastAsia="仿宋"/>
          <w:b/>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13.1 </w:t>
      </w:r>
      <w:r>
        <w:rPr>
          <w:rFonts w:hint="eastAsia" w:ascii="仿宋" w:hAnsi="仿宋" w:eastAsia="仿宋"/>
          <w:b/>
          <w:sz w:val="24"/>
          <w:szCs w:val="24"/>
        </w:rPr>
        <w:t>工程质量要求</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13.1.1 </w:t>
      </w:r>
      <w:r>
        <w:rPr>
          <w:rFonts w:hint="eastAsia" w:ascii="仿宋" w:hAnsi="仿宋" w:eastAsia="仿宋"/>
          <w:sz w:val="24"/>
          <w:szCs w:val="24"/>
        </w:rPr>
        <w:t>工程质量验收按合同约定验收标准执行。</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13.1.2 </w:t>
      </w:r>
      <w:r>
        <w:rPr>
          <w:rFonts w:hint="eastAsia" w:ascii="仿宋" w:hAnsi="仿宋" w:eastAsia="仿宋"/>
          <w:sz w:val="24"/>
          <w:szCs w:val="24"/>
        </w:rPr>
        <w:t>因承包人原因造成工程质量达不到合同约定验收标准的，监理人有权要求承包人返工直至符合合同要求为止，由此造成的费用增加和（或）工期延误由承包人承担。</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 13.1.3 </w:t>
      </w:r>
      <w:r>
        <w:rPr>
          <w:rFonts w:hint="eastAsia" w:ascii="仿宋" w:hAnsi="仿宋" w:eastAsia="仿宋"/>
          <w:sz w:val="24"/>
          <w:szCs w:val="24"/>
        </w:rPr>
        <w:t>因发包人原因造成工程质量达不到合同约定验收标准的，发包人应承担由于承包人返工造成的费用增加和（或）工期延误，并支付承包人合理利润。</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13.2 </w:t>
      </w:r>
      <w:r>
        <w:rPr>
          <w:rFonts w:hint="eastAsia" w:ascii="仿宋" w:hAnsi="仿宋" w:eastAsia="仿宋"/>
          <w:b/>
          <w:sz w:val="24"/>
          <w:szCs w:val="24"/>
        </w:rPr>
        <w:t>承包人的质量管理</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13.2.1 </w:t>
      </w:r>
      <w:r>
        <w:rPr>
          <w:rFonts w:hint="eastAsia" w:ascii="仿宋" w:hAnsi="仿宋" w:eastAsia="仿宋"/>
          <w:sz w:val="24"/>
          <w:szCs w:val="24"/>
        </w:rPr>
        <w:t>承包人应在施工场地设置专门的质量检查机构，配备专职质量检查人员，建立完善的质量检查制度。承包人应按技术标准和要求（合同技术条款）约定的内容和期限，编制工程质量保证措施文件，包括质量检查机构的组织和岗位责任、质量检查人员的组成、质量检查程序和实施细则等，提交监理人审批。监理人应在技术标准和要求（合同技术条款）约定的期限内批复承包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13.2.2 </w:t>
      </w:r>
      <w:r>
        <w:rPr>
          <w:rFonts w:hint="eastAsia" w:ascii="仿宋" w:hAnsi="仿宋" w:eastAsia="仿宋"/>
          <w:sz w:val="24"/>
          <w:szCs w:val="24"/>
        </w:rPr>
        <w:t>承包人应加强对施工人员的质量教育和技术培训，定期考核施工人员的劳动技能，严格执行规范和操作规程。</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13.3 </w:t>
      </w:r>
      <w:r>
        <w:rPr>
          <w:rFonts w:hint="eastAsia" w:ascii="仿宋" w:hAnsi="仿宋" w:eastAsia="仿宋"/>
          <w:b/>
          <w:sz w:val="24"/>
          <w:szCs w:val="24"/>
        </w:rPr>
        <w:t>承包人的质量检查</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承包人应按合同约定对材料、工程设备以及工程的所有部位及其施工工艺进行全过程的质量检查和检验，并作详细记录，编制工程质量报表，报送监理人审查。</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13.4 </w:t>
      </w:r>
      <w:r>
        <w:rPr>
          <w:rFonts w:hint="eastAsia" w:ascii="仿宋" w:hAnsi="仿宋" w:eastAsia="仿宋"/>
          <w:b/>
          <w:sz w:val="24"/>
          <w:szCs w:val="24"/>
        </w:rPr>
        <w:t>监理人的质量检查</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监理人有权对工程的所有部位及其施工工艺、材料和工程设备进行检查和检验。承包人应为监理人的检查和检验提供方便，包括监理人到施工场地，或制造、加工地点，或合同约定的其他地方进行察看和查阅施工原始记录。承包人还应按监理人指示，进行施工场地取样试验、工程复核测量和设备性能检测，提供试验样品、提交试验报告和测量成果以及监理人要求进行的其他工作。监理人的检查和检验，不免除承包人按合同约定应负的责任。</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13.5 </w:t>
      </w:r>
      <w:r>
        <w:rPr>
          <w:rFonts w:hint="eastAsia" w:ascii="仿宋" w:hAnsi="仿宋" w:eastAsia="仿宋"/>
          <w:b/>
          <w:sz w:val="24"/>
          <w:szCs w:val="24"/>
        </w:rPr>
        <w:t>工程隐蔽部位覆盖前的检查</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13.5.1 </w:t>
      </w:r>
      <w:r>
        <w:rPr>
          <w:rFonts w:hint="eastAsia" w:ascii="仿宋" w:hAnsi="仿宋" w:eastAsia="仿宋"/>
          <w:sz w:val="24"/>
          <w:szCs w:val="24"/>
        </w:rPr>
        <w:t>通知监理人检查</w:t>
      </w:r>
      <w:r>
        <w:rPr>
          <w:rFonts w:ascii="仿宋" w:hAnsi="仿宋" w:eastAsia="仿宋"/>
          <w:sz w:val="24"/>
          <w:szCs w:val="24"/>
        </w:rPr>
        <w:t xml:space="preserve">  </w:t>
      </w:r>
      <w:r>
        <w:rPr>
          <w:rFonts w:hint="eastAsia" w:ascii="仿宋" w:hAnsi="仿宋" w:eastAsia="仿宋"/>
          <w:sz w:val="24"/>
          <w:szCs w:val="24"/>
        </w:rPr>
        <w:t>经承包人自检确认的工程隐蔽部位具备覆盖条件后，承包人应通知监理人在约定的期限内检查。承包人的通知应附有自检记录和必要的检查资料。监理人应按时到场检查。经监理人检查确认质量符合隐蔽要求，并在检查记录上签字后，承包人才能进行覆盖。监理人检查确认质量不合格的，承包人应在监理人指示的时间内修整返工后，由监理人重新检查。</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13.5.2 </w:t>
      </w:r>
      <w:r>
        <w:rPr>
          <w:rFonts w:hint="eastAsia" w:ascii="仿宋" w:hAnsi="仿宋" w:eastAsia="仿宋"/>
          <w:sz w:val="24"/>
          <w:szCs w:val="24"/>
        </w:rPr>
        <w:t>监理人未到场检查</w:t>
      </w:r>
      <w:r>
        <w:rPr>
          <w:rFonts w:ascii="仿宋" w:hAnsi="仿宋" w:eastAsia="仿宋"/>
          <w:sz w:val="24"/>
          <w:szCs w:val="24"/>
        </w:rPr>
        <w:t xml:space="preserve">  </w:t>
      </w:r>
      <w:r>
        <w:rPr>
          <w:rFonts w:hint="eastAsia" w:ascii="仿宋" w:hAnsi="仿宋" w:eastAsia="仿宋"/>
          <w:sz w:val="24"/>
          <w:szCs w:val="24"/>
        </w:rPr>
        <w:t>监理人未按第</w:t>
      </w:r>
      <w:r>
        <w:rPr>
          <w:rFonts w:ascii="仿宋" w:hAnsi="仿宋" w:eastAsia="仿宋"/>
          <w:sz w:val="24"/>
          <w:szCs w:val="24"/>
        </w:rPr>
        <w:t xml:space="preserve">13.5.1 </w:t>
      </w:r>
      <w:r>
        <w:rPr>
          <w:rFonts w:hint="eastAsia" w:ascii="仿宋" w:hAnsi="仿宋" w:eastAsia="仿宋"/>
          <w:sz w:val="24"/>
          <w:szCs w:val="24"/>
        </w:rPr>
        <w:t>项约定的时间进行检查的，除监理人另有指示外，承包人可自行完成覆盖工作，并作相应记录报送监理人，监理人应签字确认。监理人事后对检查记录有疑问的，可按第</w:t>
      </w:r>
    </w:p>
    <w:p>
      <w:pPr>
        <w:spacing w:line="500" w:lineRule="exact"/>
        <w:ind w:firstLine="480"/>
        <w:rPr>
          <w:rFonts w:ascii="仿宋" w:hAnsi="仿宋" w:eastAsia="仿宋"/>
          <w:sz w:val="24"/>
          <w:szCs w:val="24"/>
        </w:rPr>
      </w:pPr>
      <w:r>
        <w:rPr>
          <w:rFonts w:ascii="仿宋" w:hAnsi="仿宋" w:eastAsia="仿宋"/>
          <w:sz w:val="24"/>
          <w:szCs w:val="24"/>
        </w:rPr>
        <w:t xml:space="preserve">13.5.3 </w:t>
      </w:r>
      <w:r>
        <w:rPr>
          <w:rFonts w:hint="eastAsia" w:ascii="仿宋" w:hAnsi="仿宋" w:eastAsia="仿宋"/>
          <w:sz w:val="24"/>
          <w:szCs w:val="24"/>
        </w:rPr>
        <w:t>项的约定重新检查。</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13.5.3 </w:t>
      </w:r>
      <w:r>
        <w:rPr>
          <w:rFonts w:hint="eastAsia" w:ascii="仿宋" w:hAnsi="仿宋" w:eastAsia="仿宋"/>
          <w:sz w:val="24"/>
          <w:szCs w:val="24"/>
        </w:rPr>
        <w:t>监理人重新检查</w:t>
      </w:r>
      <w:r>
        <w:rPr>
          <w:rFonts w:ascii="仿宋" w:hAnsi="仿宋" w:eastAsia="仿宋"/>
          <w:sz w:val="24"/>
          <w:szCs w:val="24"/>
        </w:rPr>
        <w:t xml:space="preserve">  </w:t>
      </w:r>
      <w:r>
        <w:rPr>
          <w:rFonts w:hint="eastAsia" w:ascii="仿宋" w:hAnsi="仿宋" w:eastAsia="仿宋"/>
          <w:sz w:val="24"/>
          <w:szCs w:val="24"/>
        </w:rPr>
        <w:t>承包人按第</w:t>
      </w:r>
      <w:r>
        <w:rPr>
          <w:rFonts w:ascii="仿宋" w:hAnsi="仿宋" w:eastAsia="仿宋"/>
          <w:sz w:val="24"/>
          <w:szCs w:val="24"/>
        </w:rPr>
        <w:t xml:space="preserve">13.5.1 </w:t>
      </w:r>
      <w:r>
        <w:rPr>
          <w:rFonts w:hint="eastAsia" w:ascii="仿宋" w:hAnsi="仿宋" w:eastAsia="仿宋"/>
          <w:sz w:val="24"/>
          <w:szCs w:val="24"/>
        </w:rPr>
        <w:t>项或第</w:t>
      </w:r>
      <w:r>
        <w:rPr>
          <w:rFonts w:ascii="仿宋" w:hAnsi="仿宋" w:eastAsia="仿宋"/>
          <w:sz w:val="24"/>
          <w:szCs w:val="24"/>
        </w:rPr>
        <w:t xml:space="preserve">13.5.2 </w:t>
      </w:r>
      <w:r>
        <w:rPr>
          <w:rFonts w:hint="eastAsia" w:ascii="仿宋" w:hAnsi="仿宋" w:eastAsia="仿宋"/>
          <w:sz w:val="24"/>
          <w:szCs w:val="24"/>
        </w:rPr>
        <w:t>项覆盖工程隐蔽部位后，监理人对质量有疑问的，可要求承包人对已覆盖的部位进行钻孔探测或揭开重新检验，承包人应遵照执行，并在检验后重新覆盖恢复原状。经检验证明工程质量符合合同要求的，由发包人承担由此增加的费用和（或）工期延误，并支付承包人合理利润；经检验证明工程质量不符合合同要求的，由此增加的费用和（或）工期延误由承包人承担。</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13.5.4 </w:t>
      </w:r>
      <w:r>
        <w:rPr>
          <w:rFonts w:hint="eastAsia" w:ascii="仿宋" w:hAnsi="仿宋" w:eastAsia="仿宋"/>
          <w:sz w:val="24"/>
          <w:szCs w:val="24"/>
        </w:rPr>
        <w:t>承包人私自覆盖</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承包人未通知监理人到场检查，私自将工程隐蔽部位覆盖的，监理人有权指示承包人钻孔探测或揭开检查，由此增加的费用和（或）工期延误由承包人承担。</w:t>
      </w:r>
    </w:p>
    <w:p>
      <w:pPr>
        <w:spacing w:line="500" w:lineRule="exact"/>
        <w:ind w:firstLine="482"/>
        <w:rPr>
          <w:rFonts w:ascii="仿宋" w:hAnsi="仿宋" w:eastAsia="仿宋"/>
          <w:b/>
          <w:sz w:val="24"/>
          <w:szCs w:val="24"/>
        </w:rPr>
      </w:pPr>
      <w:r>
        <w:rPr>
          <w:rFonts w:ascii="仿宋" w:hAnsi="仿宋" w:eastAsia="仿宋"/>
          <w:b/>
          <w:sz w:val="24"/>
          <w:szCs w:val="24"/>
        </w:rPr>
        <w:t xml:space="preserve">13.6 </w:t>
      </w:r>
      <w:r>
        <w:rPr>
          <w:rFonts w:hint="eastAsia" w:ascii="仿宋" w:hAnsi="仿宋" w:eastAsia="仿宋"/>
          <w:b/>
          <w:sz w:val="24"/>
          <w:szCs w:val="24"/>
        </w:rPr>
        <w:t>清除不合格工程</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13.6.1 </w:t>
      </w:r>
      <w:r>
        <w:rPr>
          <w:rFonts w:hint="eastAsia" w:ascii="仿宋" w:hAnsi="仿宋" w:eastAsia="仿宋"/>
          <w:sz w:val="24"/>
          <w:szCs w:val="24"/>
        </w:rPr>
        <w:t>承包人使用不合格材料、工程设备，或采用不适当的施工工艺，或施工不当，造成工程不合格的，监理人可以随时发出指示，要求承包人立即采取措施进行补救，直至达到合同要求的质量标准，由此增加的费用和（或）工期延误由承包人承担。</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13.6.2 </w:t>
      </w:r>
      <w:r>
        <w:rPr>
          <w:rFonts w:hint="eastAsia" w:ascii="仿宋" w:hAnsi="仿宋" w:eastAsia="仿宋"/>
          <w:sz w:val="24"/>
          <w:szCs w:val="24"/>
        </w:rPr>
        <w:t>由于发包人提供的材料或工程设备不合格造成的工程不合格，需要承包人采取措施补救的，发包人应承担由此增加的费用和（或）工期延误，并支付承包人合理利润。</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13.7 </w:t>
      </w:r>
      <w:r>
        <w:rPr>
          <w:rFonts w:hint="eastAsia" w:ascii="仿宋" w:hAnsi="仿宋" w:eastAsia="仿宋"/>
          <w:b/>
          <w:sz w:val="24"/>
          <w:szCs w:val="24"/>
        </w:rPr>
        <w:t>质量评定</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13.7.1 </w:t>
      </w:r>
      <w:r>
        <w:rPr>
          <w:rFonts w:hint="eastAsia" w:ascii="仿宋" w:hAnsi="仿宋" w:eastAsia="仿宋"/>
          <w:sz w:val="24"/>
          <w:szCs w:val="24"/>
        </w:rPr>
        <w:t>发包人应组织承包人进行工程项目划分，并确定单位工程、主要分部工程、重要隐蔽单元工程和关键部位单元工程。</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13.7.2 </w:t>
      </w:r>
      <w:r>
        <w:rPr>
          <w:rFonts w:hint="eastAsia" w:ascii="仿宋" w:hAnsi="仿宋" w:eastAsia="仿宋"/>
          <w:sz w:val="24"/>
          <w:szCs w:val="24"/>
        </w:rPr>
        <w:t>工程实施过程中，单位工程、主要分部工程、重要隐蔽单元工程和关键部位单元工程的项目划分需要调整时，承包人应报发包人确认。</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13.7.3 </w:t>
      </w:r>
      <w:r>
        <w:rPr>
          <w:rFonts w:hint="eastAsia" w:ascii="仿宋" w:hAnsi="仿宋" w:eastAsia="仿宋"/>
          <w:sz w:val="24"/>
          <w:szCs w:val="24"/>
        </w:rPr>
        <w:t>承包人应在单元（工序）工程质量自评合格后，报监理人核定质量等级并签证认可。</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13.7.4 </w:t>
      </w:r>
      <w:r>
        <w:rPr>
          <w:rFonts w:hint="eastAsia" w:ascii="仿宋" w:hAnsi="仿宋" w:eastAsia="仿宋"/>
          <w:sz w:val="24"/>
          <w:szCs w:val="24"/>
        </w:rPr>
        <w:t>除专用合同条款另有约定外，承包人应在重要隐蔽单元工程和关键部位单元工</w:t>
      </w:r>
      <w:r>
        <w:rPr>
          <w:rFonts w:ascii="仿宋" w:hAnsi="仿宋" w:eastAsia="仿宋"/>
          <w:sz w:val="24"/>
          <w:szCs w:val="24"/>
        </w:rPr>
        <w:t xml:space="preserve"> </w:t>
      </w:r>
      <w:r>
        <w:rPr>
          <w:rFonts w:hint="eastAsia" w:ascii="仿宋" w:hAnsi="仿宋" w:eastAsia="仿宋"/>
          <w:sz w:val="24"/>
          <w:szCs w:val="24"/>
        </w:rPr>
        <w:t>程质量自评合格以及监理人抽检后，由监理人组织承包人等单位组成的联合小组，共同检查核定其质量等级并填写签证表。发包人按有关规定完成质量结论报工程质量监督机构核备手续。</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13.7.5 </w:t>
      </w:r>
      <w:r>
        <w:rPr>
          <w:rFonts w:hint="eastAsia" w:ascii="仿宋" w:hAnsi="仿宋" w:eastAsia="仿宋"/>
          <w:sz w:val="24"/>
          <w:szCs w:val="24"/>
        </w:rPr>
        <w:t>承包人应在分部工程质量自评合格后，报监理人复核和发包人认定。发包人负责按有关规定完成分部工程质量结论报工程质量监督机构核备（核定）手续。</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13.7.6 </w:t>
      </w:r>
      <w:r>
        <w:rPr>
          <w:rFonts w:hint="eastAsia" w:ascii="仿宋" w:hAnsi="仿宋" w:eastAsia="仿宋"/>
          <w:sz w:val="24"/>
          <w:szCs w:val="24"/>
        </w:rPr>
        <w:t>承包人应在单位工程质量自评合格后，报监理人复核和发包人认定。发包人负责按有关规定完成单位工程质量结论报工程质量监督机构核定手续。</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13.7.7 </w:t>
      </w:r>
      <w:r>
        <w:rPr>
          <w:rFonts w:hint="eastAsia" w:ascii="仿宋" w:hAnsi="仿宋" w:eastAsia="仿宋"/>
          <w:sz w:val="24"/>
          <w:szCs w:val="24"/>
        </w:rPr>
        <w:t>除专用合同条款另有约定外，工程质量等级分为合格和优良，应分别达到约定的标准。</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13.8 </w:t>
      </w:r>
      <w:r>
        <w:rPr>
          <w:rFonts w:hint="eastAsia" w:ascii="仿宋" w:hAnsi="仿宋" w:eastAsia="仿宋"/>
          <w:b/>
          <w:sz w:val="24"/>
          <w:szCs w:val="24"/>
        </w:rPr>
        <w:t>质量事故处理</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13.8.1 </w:t>
      </w:r>
      <w:r>
        <w:rPr>
          <w:rFonts w:hint="eastAsia" w:ascii="仿宋" w:hAnsi="仿宋" w:eastAsia="仿宋"/>
          <w:sz w:val="24"/>
          <w:szCs w:val="24"/>
        </w:rPr>
        <w:t>发生质量事故时，承包人应及时向发包人和监理人报告。</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13.8.2 </w:t>
      </w:r>
      <w:r>
        <w:rPr>
          <w:rFonts w:hint="eastAsia" w:ascii="仿宋" w:hAnsi="仿宋" w:eastAsia="仿宋"/>
          <w:sz w:val="24"/>
          <w:szCs w:val="24"/>
        </w:rPr>
        <w:t>质量事故调查处理由发包人按相关规定履行手续，承包人应配合。</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13.8.3 </w:t>
      </w:r>
      <w:r>
        <w:rPr>
          <w:rFonts w:hint="eastAsia" w:ascii="仿宋" w:hAnsi="仿宋" w:eastAsia="仿宋"/>
          <w:sz w:val="24"/>
          <w:szCs w:val="24"/>
        </w:rPr>
        <w:t>承包人应对质量缺陷进行备案。发包人委托监理人对质量缺陷备案情况进行监督检查并履行相关手续。</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13.8.4 </w:t>
      </w:r>
      <w:r>
        <w:rPr>
          <w:rFonts w:hint="eastAsia" w:ascii="仿宋" w:hAnsi="仿宋" w:eastAsia="仿宋"/>
          <w:sz w:val="24"/>
          <w:szCs w:val="24"/>
        </w:rPr>
        <w:t>除专用合同条款另有约定外，工程竣工验收时，发包人负责向竣工验收委员会汇报并提交历次质量缺陷处理的备案资料。</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14. </w:t>
      </w:r>
      <w:r>
        <w:rPr>
          <w:rFonts w:hint="eastAsia" w:ascii="仿宋" w:hAnsi="仿宋" w:eastAsia="仿宋"/>
          <w:b/>
          <w:sz w:val="24"/>
          <w:szCs w:val="24"/>
        </w:rPr>
        <w:t>试验和检验</w:t>
      </w:r>
      <w:r>
        <w:rPr>
          <w:rFonts w:ascii="仿宋" w:hAnsi="仿宋" w:eastAsia="仿宋"/>
          <w:b/>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14.1 </w:t>
      </w:r>
      <w:r>
        <w:rPr>
          <w:rFonts w:hint="eastAsia" w:ascii="仿宋" w:hAnsi="仿宋" w:eastAsia="仿宋"/>
          <w:b/>
          <w:sz w:val="24"/>
          <w:szCs w:val="24"/>
        </w:rPr>
        <w:t>材料、工程设备和工程的试验和检验</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14.1.1 </w:t>
      </w:r>
      <w:r>
        <w:rPr>
          <w:rFonts w:hint="eastAsia" w:ascii="仿宋" w:hAnsi="仿宋" w:eastAsia="仿宋"/>
          <w:sz w:val="24"/>
          <w:szCs w:val="24"/>
        </w:rPr>
        <w:t>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14.1.2 </w:t>
      </w:r>
      <w:r>
        <w:rPr>
          <w:rFonts w:hint="eastAsia" w:ascii="仿宋" w:hAnsi="仿宋" w:eastAsia="仿宋"/>
          <w:sz w:val="24"/>
          <w:szCs w:val="24"/>
        </w:rPr>
        <w:t>监理人未按合同约定派员参加试验和检验的，除监理人另有指示外，承包人可自行试验和检验，并应立即将试验和检验结果报送监理人，监理人应签字确认。</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14.1.3 </w:t>
      </w:r>
      <w:r>
        <w:rPr>
          <w:rFonts w:hint="eastAsia" w:ascii="仿宋" w:hAnsi="仿宋" w:eastAsia="仿宋"/>
          <w:sz w:val="24"/>
          <w:szCs w:val="24"/>
        </w:rPr>
        <w:t>监理人对承包人的试验和检验结果有疑问的，或为查清承包人试验和检验成果的可靠性要求承包人重新试验和检验的，可按合同约定由监理人与承包人共同进行。重新试验和检验的结果证明该项材料、工程设备或工程的质量不符合合同要求的，由此增加的费用和（或）工期延误由承包人承担；重新试验和检验结果证明该项材料、工程设备和工程符合合同要求，由发包人承担由此增加的费用和（或）工期延误，并支付承包人合理利润。</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14.1.4 </w:t>
      </w:r>
      <w:r>
        <w:rPr>
          <w:rFonts w:hint="eastAsia" w:ascii="仿宋" w:hAnsi="仿宋" w:eastAsia="仿宋"/>
          <w:sz w:val="24"/>
          <w:szCs w:val="24"/>
        </w:rPr>
        <w:t>承包人应按相关规定和标准对水泥、钢材等原材料与中间产品质量进行检验，并报监理人复核。</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14.1.5 </w:t>
      </w:r>
      <w:r>
        <w:rPr>
          <w:rFonts w:hint="eastAsia" w:ascii="仿宋" w:hAnsi="仿宋" w:eastAsia="仿宋"/>
          <w:sz w:val="24"/>
          <w:szCs w:val="24"/>
        </w:rPr>
        <w:t>除专用合同条款另有约定外，水工金属结构、启闭机及机电产品进场后，监理人组织发包人按合同进行交货检查和验收。安装前，承包人应检查产品是否有出厂合格证、设备安装说明书及有关技术文件，对在运输和存放过程中发生的变形、受潮、损坏等问题应作好记录，并进行妥善处理。</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14.1.6 </w:t>
      </w:r>
      <w:r>
        <w:rPr>
          <w:rFonts w:hint="eastAsia" w:ascii="仿宋" w:hAnsi="仿宋" w:eastAsia="仿宋"/>
          <w:sz w:val="24"/>
          <w:szCs w:val="24"/>
        </w:rPr>
        <w:t>对专用合同条款约定的试块、试件及有关材料，监理人实行见证取样。见证取样资料由承包人制备，记录应真实齐全，监理人、承包人等参与见证取样人员均应在相关文件上签字。</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14.2 </w:t>
      </w:r>
      <w:r>
        <w:rPr>
          <w:rFonts w:hint="eastAsia" w:ascii="仿宋" w:hAnsi="仿宋" w:eastAsia="仿宋"/>
          <w:b/>
          <w:sz w:val="24"/>
          <w:szCs w:val="24"/>
        </w:rPr>
        <w:t>现场材料试验</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14.2.1 </w:t>
      </w:r>
      <w:r>
        <w:rPr>
          <w:rFonts w:hint="eastAsia" w:ascii="仿宋" w:hAnsi="仿宋" w:eastAsia="仿宋"/>
          <w:sz w:val="24"/>
          <w:szCs w:val="24"/>
        </w:rPr>
        <w:t>承包人根据合同约定或监理人指示进行的现场材料试验，应由承包人提供试验场所、试验人员、试验设备器材以及其他必要的试验条件。</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14.2.2 </w:t>
      </w:r>
      <w:r>
        <w:rPr>
          <w:rFonts w:hint="eastAsia" w:ascii="仿宋" w:hAnsi="仿宋" w:eastAsia="仿宋"/>
          <w:sz w:val="24"/>
          <w:szCs w:val="24"/>
        </w:rPr>
        <w:t>监理人在必要时可以使用承包人的试验场所、试验设备器材以及其他试验条件，进行以工程质量检查为目的的复核性材料试验，承包人应予以协助。</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14.3 </w:t>
      </w:r>
      <w:r>
        <w:rPr>
          <w:rFonts w:hint="eastAsia" w:ascii="仿宋" w:hAnsi="仿宋" w:eastAsia="仿宋"/>
          <w:b/>
          <w:sz w:val="24"/>
          <w:szCs w:val="24"/>
        </w:rPr>
        <w:t>现场工艺试验</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承包人应按合同约定或监理人指示进行现场工艺试验。对大型的现场工艺试验，监理人认为必要时，应由承包人根据监理人提出的工艺试验要求，编制工艺试验措施计划，报送监理人审批。</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15. </w:t>
      </w:r>
      <w:r>
        <w:rPr>
          <w:rFonts w:hint="eastAsia" w:ascii="仿宋" w:hAnsi="仿宋" w:eastAsia="仿宋"/>
          <w:b/>
          <w:sz w:val="24"/>
          <w:szCs w:val="24"/>
        </w:rPr>
        <w:t>变更</w:t>
      </w:r>
      <w:r>
        <w:rPr>
          <w:rFonts w:ascii="仿宋" w:hAnsi="仿宋" w:eastAsia="仿宋"/>
          <w:b/>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15.1 </w:t>
      </w:r>
      <w:r>
        <w:rPr>
          <w:rFonts w:hint="eastAsia" w:ascii="仿宋" w:hAnsi="仿宋" w:eastAsia="仿宋"/>
          <w:b/>
          <w:sz w:val="24"/>
          <w:szCs w:val="24"/>
        </w:rPr>
        <w:t>变更的范围和内容</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在履行合同中发生以下情形之一，应按照本款规定进行变更。</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（1）取消合同中任何一项工作，但被取消的工作不能转由发包人或其它人实施；</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（2）改变合同中任何一项工作的质量或其它特性；</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（3）改变合同工程的基线、标高、位置或尺寸；</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（4）改变合同中任何一项工作的施工时间或改变已批准的施工工艺或顺序；</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（5）为完成工程需要追加的额外工作；</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（6）增加或减少专用合同条款中约定的关键项目工程量超过其工程总量的一定数量百分比。</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上述第（1）～（6）目的变更内容引起工程施工组织和进度计划发生实质性变动和影响其原定的价格时，才予调整该项目的单价。第（6）目情形下单价调整方式在专用合同条款中约定。</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15.2 </w:t>
      </w:r>
      <w:r>
        <w:rPr>
          <w:rFonts w:hint="eastAsia" w:ascii="仿宋" w:hAnsi="仿宋" w:eastAsia="仿宋"/>
          <w:b/>
          <w:sz w:val="24"/>
          <w:szCs w:val="24"/>
        </w:rPr>
        <w:t>变更权</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在履行合同过程中，经发包人同意，监理人可按第</w:t>
      </w:r>
      <w:r>
        <w:rPr>
          <w:rFonts w:ascii="仿宋" w:hAnsi="仿宋" w:eastAsia="仿宋"/>
          <w:sz w:val="24"/>
          <w:szCs w:val="24"/>
        </w:rPr>
        <w:t xml:space="preserve">15.3 </w:t>
      </w:r>
      <w:r>
        <w:rPr>
          <w:rFonts w:hint="eastAsia" w:ascii="仿宋" w:hAnsi="仿宋" w:eastAsia="仿宋"/>
          <w:sz w:val="24"/>
          <w:szCs w:val="24"/>
        </w:rPr>
        <w:t>款约定的变更程序向承包人作出变更指示，承包人应遵照执行。没有监理人的变更指示，承包人不得擅自变更。</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15.3 </w:t>
      </w:r>
      <w:r>
        <w:rPr>
          <w:rFonts w:hint="eastAsia" w:ascii="仿宋" w:hAnsi="仿宋" w:eastAsia="仿宋"/>
          <w:b/>
          <w:sz w:val="24"/>
          <w:szCs w:val="24"/>
        </w:rPr>
        <w:t>变更程序</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15.3.1 </w:t>
      </w:r>
      <w:r>
        <w:rPr>
          <w:rFonts w:hint="eastAsia" w:ascii="仿宋" w:hAnsi="仿宋" w:eastAsia="仿宋"/>
          <w:sz w:val="24"/>
          <w:szCs w:val="24"/>
        </w:rPr>
        <w:t>变更的提出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）在合同履行过程中，可能发生第</w:t>
      </w:r>
      <w:r>
        <w:rPr>
          <w:rFonts w:ascii="仿宋" w:hAnsi="仿宋" w:eastAsia="仿宋"/>
          <w:sz w:val="24"/>
          <w:szCs w:val="24"/>
        </w:rPr>
        <w:t xml:space="preserve">15.1 </w:t>
      </w:r>
      <w:r>
        <w:rPr>
          <w:rFonts w:hint="eastAsia" w:ascii="仿宋" w:hAnsi="仿宋" w:eastAsia="仿宋"/>
          <w:sz w:val="24"/>
          <w:szCs w:val="24"/>
        </w:rPr>
        <w:t>款约定情形的，监理人可向承包人发出变更意向书。变更意向书应说明变更的具体内容和发包人对变更的时间要求，并附必要的图纸和相关资料。变更意向书应要求承包人提交包括拟实施变更工作的计划、措施和竣工时间等内容的实施方案。发包人同意承包人根据变更意向书要求提交的变更实施方案的，由监理人按第</w:t>
      </w:r>
      <w:r>
        <w:rPr>
          <w:rFonts w:ascii="仿宋" w:hAnsi="仿宋" w:eastAsia="仿宋"/>
          <w:sz w:val="24"/>
          <w:szCs w:val="24"/>
        </w:rPr>
        <w:t xml:space="preserve">15.3.3 </w:t>
      </w:r>
      <w:r>
        <w:rPr>
          <w:rFonts w:hint="eastAsia" w:ascii="仿宋" w:hAnsi="仿宋" w:eastAsia="仿宋"/>
          <w:sz w:val="24"/>
          <w:szCs w:val="24"/>
        </w:rPr>
        <w:t>项约定发出变更指示。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）在合同履行过程中，发生第</w:t>
      </w:r>
      <w:r>
        <w:rPr>
          <w:rFonts w:ascii="仿宋" w:hAnsi="仿宋" w:eastAsia="仿宋"/>
          <w:sz w:val="24"/>
          <w:szCs w:val="24"/>
        </w:rPr>
        <w:t xml:space="preserve">15.1 </w:t>
      </w:r>
      <w:r>
        <w:rPr>
          <w:rFonts w:hint="eastAsia" w:ascii="仿宋" w:hAnsi="仿宋" w:eastAsia="仿宋"/>
          <w:sz w:val="24"/>
          <w:szCs w:val="24"/>
        </w:rPr>
        <w:t>款约定情形的，监理人应按照第</w:t>
      </w:r>
      <w:r>
        <w:rPr>
          <w:rFonts w:ascii="仿宋" w:hAnsi="仿宋" w:eastAsia="仿宋"/>
          <w:sz w:val="24"/>
          <w:szCs w:val="24"/>
        </w:rPr>
        <w:t xml:space="preserve">15.3.3 </w:t>
      </w:r>
      <w:r>
        <w:rPr>
          <w:rFonts w:hint="eastAsia" w:ascii="仿宋" w:hAnsi="仿宋" w:eastAsia="仿宋"/>
          <w:sz w:val="24"/>
          <w:szCs w:val="24"/>
        </w:rPr>
        <w:t>项约定向承包人发出变更指示。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）承包人收到监理人按合同约定发出的图纸和文件，经检查认为其中存在第</w:t>
      </w:r>
      <w:r>
        <w:rPr>
          <w:rFonts w:ascii="仿宋" w:hAnsi="仿宋" w:eastAsia="仿宋"/>
          <w:sz w:val="24"/>
          <w:szCs w:val="24"/>
        </w:rPr>
        <w:t xml:space="preserve">15.1 </w:t>
      </w:r>
      <w:r>
        <w:rPr>
          <w:rFonts w:hint="eastAsia" w:ascii="仿宋" w:hAnsi="仿宋" w:eastAsia="仿宋"/>
          <w:sz w:val="24"/>
          <w:szCs w:val="24"/>
        </w:rPr>
        <w:t>款约定情形的，可向监理人提出书面变更建议。变更建议应阐明要求变更的依据，并附必要的图纸和说明。监理人收到承包人书面建议后，应与发包人共同研究，确认存在变更的，应在收到承包人书面建议后的</w:t>
      </w:r>
      <w:r>
        <w:rPr>
          <w:rFonts w:ascii="仿宋" w:hAnsi="仿宋" w:eastAsia="仿宋"/>
          <w:sz w:val="24"/>
          <w:szCs w:val="24"/>
        </w:rPr>
        <w:t xml:space="preserve">14 </w:t>
      </w:r>
      <w:r>
        <w:rPr>
          <w:rFonts w:hint="eastAsia" w:ascii="仿宋" w:hAnsi="仿宋" w:eastAsia="仿宋"/>
          <w:sz w:val="24"/>
          <w:szCs w:val="24"/>
        </w:rPr>
        <w:t>天内作出变更指示。经研究后不同意作为变更的，应由监理人书面答复承包人。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4</w:t>
      </w:r>
      <w:r>
        <w:rPr>
          <w:rFonts w:hint="eastAsia" w:ascii="仿宋" w:hAnsi="仿宋" w:eastAsia="仿宋"/>
          <w:sz w:val="24"/>
          <w:szCs w:val="24"/>
        </w:rPr>
        <w:t>）若承包人收到监理人的变更意向书后认为难以实施此项变更，应立即通知监理人，说明原因并附详细依据。监理人与承包人和发包人协商后确定撤销、改变或不改变原变更意向书。</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15.3.2 </w:t>
      </w:r>
      <w:r>
        <w:rPr>
          <w:rFonts w:hint="eastAsia" w:ascii="仿宋" w:hAnsi="仿宋" w:eastAsia="仿宋"/>
          <w:sz w:val="24"/>
          <w:szCs w:val="24"/>
        </w:rPr>
        <w:t>变更估价</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）除专用合同条款对期限另有约定外，承包人应在收到变更指示或变更意向书后的</w:t>
      </w:r>
      <w:r>
        <w:rPr>
          <w:rFonts w:ascii="仿宋" w:hAnsi="仿宋" w:eastAsia="仿宋"/>
          <w:sz w:val="24"/>
          <w:szCs w:val="24"/>
        </w:rPr>
        <w:t xml:space="preserve">14 </w:t>
      </w:r>
      <w:r>
        <w:rPr>
          <w:rFonts w:hint="eastAsia" w:ascii="仿宋" w:hAnsi="仿宋" w:eastAsia="仿宋"/>
          <w:sz w:val="24"/>
          <w:szCs w:val="24"/>
        </w:rPr>
        <w:t>天内，向监理人提交变更报价书，报价内容应根据第</w:t>
      </w:r>
      <w:r>
        <w:rPr>
          <w:rFonts w:ascii="仿宋" w:hAnsi="仿宋" w:eastAsia="仿宋"/>
          <w:sz w:val="24"/>
          <w:szCs w:val="24"/>
        </w:rPr>
        <w:t xml:space="preserve">15.4 </w:t>
      </w:r>
      <w:r>
        <w:rPr>
          <w:rFonts w:hint="eastAsia" w:ascii="仿宋" w:hAnsi="仿宋" w:eastAsia="仿宋"/>
          <w:sz w:val="24"/>
          <w:szCs w:val="24"/>
        </w:rPr>
        <w:t>款约定的估价原则，详细开列变更工作的价格组成及其依据，并附必要的施工方法说明和有关图纸。</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）变更工作影响工期的，承包人应提出调整工期的具体细节。监理人认为有必要时，可要求承包人提交要求提前或延长工期的施工进度计划及相应施工措施等详细资料。</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）除专用合同条款对期限另有约定外，监理人收到承包人变更报价书后的</w:t>
      </w:r>
      <w:r>
        <w:rPr>
          <w:rFonts w:ascii="仿宋" w:hAnsi="仿宋" w:eastAsia="仿宋"/>
          <w:sz w:val="24"/>
          <w:szCs w:val="24"/>
        </w:rPr>
        <w:t xml:space="preserve">14 </w:t>
      </w:r>
      <w:r>
        <w:rPr>
          <w:rFonts w:hint="eastAsia" w:ascii="仿宋" w:hAnsi="仿宋" w:eastAsia="仿宋"/>
          <w:sz w:val="24"/>
          <w:szCs w:val="24"/>
        </w:rPr>
        <w:t>天内，根据第</w:t>
      </w:r>
      <w:r>
        <w:rPr>
          <w:rFonts w:ascii="仿宋" w:hAnsi="仿宋" w:eastAsia="仿宋"/>
          <w:sz w:val="24"/>
          <w:szCs w:val="24"/>
        </w:rPr>
        <w:t xml:space="preserve">15.4 </w:t>
      </w:r>
      <w:r>
        <w:rPr>
          <w:rFonts w:hint="eastAsia" w:ascii="仿宋" w:hAnsi="仿宋" w:eastAsia="仿宋"/>
          <w:sz w:val="24"/>
          <w:szCs w:val="24"/>
        </w:rPr>
        <w:t>款约定的估价原则，按照第</w:t>
      </w:r>
      <w:r>
        <w:rPr>
          <w:rFonts w:ascii="仿宋" w:hAnsi="仿宋" w:eastAsia="仿宋"/>
          <w:sz w:val="24"/>
          <w:szCs w:val="24"/>
        </w:rPr>
        <w:t xml:space="preserve">3.5 </w:t>
      </w:r>
      <w:r>
        <w:rPr>
          <w:rFonts w:hint="eastAsia" w:ascii="仿宋" w:hAnsi="仿宋" w:eastAsia="仿宋"/>
          <w:sz w:val="24"/>
          <w:szCs w:val="24"/>
        </w:rPr>
        <w:t>款商定或确定变更价格。</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15.3.3 </w:t>
      </w:r>
      <w:r>
        <w:rPr>
          <w:rFonts w:hint="eastAsia" w:ascii="仿宋" w:hAnsi="仿宋" w:eastAsia="仿宋"/>
          <w:sz w:val="24"/>
          <w:szCs w:val="24"/>
        </w:rPr>
        <w:t>变更指示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）变更指示只能由监理人发出。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）变更指示应说明变更的目的、范围、变更内容以及变更的工程量及其进度和技术要求，并附有关图纸和文件。承包人收到变更指示后，应按变更指示进行变更工作。</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15.4 </w:t>
      </w:r>
      <w:r>
        <w:rPr>
          <w:rFonts w:hint="eastAsia" w:ascii="仿宋" w:hAnsi="仿宋" w:eastAsia="仿宋"/>
          <w:b/>
          <w:sz w:val="24"/>
          <w:szCs w:val="24"/>
        </w:rPr>
        <w:t>变更的估价原则</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除专用合同条款另有约定外，因变更引起的价格调整按照本款约定处理。</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15.4.1 </w:t>
      </w:r>
      <w:r>
        <w:rPr>
          <w:rFonts w:hint="eastAsia" w:ascii="仿宋" w:hAnsi="仿宋" w:eastAsia="仿宋"/>
          <w:sz w:val="24"/>
          <w:szCs w:val="24"/>
        </w:rPr>
        <w:t>已标价工程量清单中有适用于变更工作的子目的，采用该子目的单价。</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15.4.2 </w:t>
      </w:r>
      <w:r>
        <w:rPr>
          <w:rFonts w:hint="eastAsia" w:ascii="仿宋" w:hAnsi="仿宋" w:eastAsia="仿宋"/>
          <w:sz w:val="24"/>
          <w:szCs w:val="24"/>
        </w:rPr>
        <w:t>已标价工程量清单中无适用于变更工作的子目，但有类似子目的，可在合理范围内参照类似子目的单价，由监理人按第</w:t>
      </w:r>
      <w:r>
        <w:rPr>
          <w:rFonts w:ascii="仿宋" w:hAnsi="仿宋" w:eastAsia="仿宋"/>
          <w:sz w:val="24"/>
          <w:szCs w:val="24"/>
        </w:rPr>
        <w:t xml:space="preserve">3.5 </w:t>
      </w:r>
      <w:r>
        <w:rPr>
          <w:rFonts w:hint="eastAsia" w:ascii="仿宋" w:hAnsi="仿宋" w:eastAsia="仿宋"/>
          <w:sz w:val="24"/>
          <w:szCs w:val="24"/>
        </w:rPr>
        <w:t>款商定或确定变更工作的单价。</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15.4.3 </w:t>
      </w:r>
      <w:r>
        <w:rPr>
          <w:rFonts w:hint="eastAsia" w:ascii="仿宋" w:hAnsi="仿宋" w:eastAsia="仿宋"/>
          <w:sz w:val="24"/>
          <w:szCs w:val="24"/>
        </w:rPr>
        <w:t>已标价工程量清单中无适用或类似子目的单价，可按照成本加利润的原则，由监理人按第</w:t>
      </w:r>
      <w:r>
        <w:rPr>
          <w:rFonts w:ascii="仿宋" w:hAnsi="仿宋" w:eastAsia="仿宋"/>
          <w:sz w:val="24"/>
          <w:szCs w:val="24"/>
        </w:rPr>
        <w:t xml:space="preserve">3.5 </w:t>
      </w:r>
      <w:r>
        <w:rPr>
          <w:rFonts w:hint="eastAsia" w:ascii="仿宋" w:hAnsi="仿宋" w:eastAsia="仿宋"/>
          <w:sz w:val="24"/>
          <w:szCs w:val="24"/>
        </w:rPr>
        <w:t>款商定或确定变更工作的单价。</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15.5 </w:t>
      </w:r>
      <w:r>
        <w:rPr>
          <w:rFonts w:hint="eastAsia" w:ascii="仿宋" w:hAnsi="仿宋" w:eastAsia="仿宋"/>
          <w:b/>
          <w:sz w:val="24"/>
          <w:szCs w:val="24"/>
        </w:rPr>
        <w:t>承包人的合理化建议</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在履行合同过程中，承包人对发包人提供的图纸、技术要求以及其他方面提出的合理化建议，均应以书面形式提交监理人。合理化建议书的内容应包括建议工作的详细说明、进度计划和效益以及与其他工作的协调等，并附必要的设计文件。监理人应与发包人协商是否采纳建议。建议被采纳并构成变更的，应按第</w:t>
      </w:r>
      <w:r>
        <w:rPr>
          <w:rFonts w:ascii="仿宋" w:hAnsi="仿宋" w:eastAsia="仿宋"/>
          <w:sz w:val="24"/>
          <w:szCs w:val="24"/>
        </w:rPr>
        <w:t xml:space="preserve">15.3.3 </w:t>
      </w:r>
      <w:r>
        <w:rPr>
          <w:rFonts w:hint="eastAsia" w:ascii="仿宋" w:hAnsi="仿宋" w:eastAsia="仿宋"/>
          <w:sz w:val="24"/>
          <w:szCs w:val="24"/>
        </w:rPr>
        <w:t>项约定向承包人发出变更指示。</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15.6 </w:t>
      </w:r>
      <w:r>
        <w:rPr>
          <w:rFonts w:hint="eastAsia" w:ascii="仿宋" w:hAnsi="仿宋" w:eastAsia="仿宋"/>
          <w:b/>
          <w:sz w:val="24"/>
          <w:szCs w:val="24"/>
        </w:rPr>
        <w:t>暂列金额</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暂列金额只能按照监理人的指示使用，并对合同价格进行相应调整。</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15.7 </w:t>
      </w:r>
      <w:r>
        <w:rPr>
          <w:rFonts w:hint="eastAsia" w:ascii="仿宋" w:hAnsi="仿宋" w:eastAsia="仿宋"/>
          <w:b/>
          <w:sz w:val="24"/>
          <w:szCs w:val="24"/>
        </w:rPr>
        <w:t>计日工</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15.7.1 </w:t>
      </w:r>
      <w:r>
        <w:rPr>
          <w:rFonts w:hint="eastAsia" w:ascii="仿宋" w:hAnsi="仿宋" w:eastAsia="仿宋"/>
          <w:sz w:val="24"/>
          <w:szCs w:val="24"/>
        </w:rPr>
        <w:t>发包人认为有必要时，由监理人通知承包人以计日工方式实施变更的零星工作。其价款按列入已标价工程量清单中的计日工计价子目及其单价进行计算。</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15.7.2 </w:t>
      </w:r>
      <w:r>
        <w:rPr>
          <w:rFonts w:hint="eastAsia" w:ascii="仿宋" w:hAnsi="仿宋" w:eastAsia="仿宋"/>
          <w:sz w:val="24"/>
          <w:szCs w:val="24"/>
        </w:rPr>
        <w:t>采用计日工计价的任何一项变更工作，应从暂列金额中支付，承包人应在该项变更的实施过程中，每天提交以下报表和有关凭证报送监理人审批：</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）工作名称、内容和数量；</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）投入该工作所有人员的姓名、工种、级别和耗用工时；</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）投入该工作的材料类别和数量；</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4</w:t>
      </w:r>
      <w:r>
        <w:rPr>
          <w:rFonts w:hint="eastAsia" w:ascii="仿宋" w:hAnsi="仿宋" w:eastAsia="仿宋"/>
          <w:sz w:val="24"/>
          <w:szCs w:val="24"/>
        </w:rPr>
        <w:t>）投入该工作的施工设备型号、台数和耗用台时；</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5</w:t>
      </w:r>
      <w:r>
        <w:rPr>
          <w:rFonts w:hint="eastAsia" w:ascii="仿宋" w:hAnsi="仿宋" w:eastAsia="仿宋"/>
          <w:sz w:val="24"/>
          <w:szCs w:val="24"/>
        </w:rPr>
        <w:t>）监理人要求提交的其他资料和凭证。</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15.7.3 </w:t>
      </w:r>
      <w:r>
        <w:rPr>
          <w:rFonts w:hint="eastAsia" w:ascii="仿宋" w:hAnsi="仿宋" w:eastAsia="仿宋"/>
          <w:sz w:val="24"/>
          <w:szCs w:val="24"/>
        </w:rPr>
        <w:t>计日工由承包人汇总后，按第</w:t>
      </w:r>
      <w:r>
        <w:rPr>
          <w:rFonts w:ascii="仿宋" w:hAnsi="仿宋" w:eastAsia="仿宋"/>
          <w:sz w:val="24"/>
          <w:szCs w:val="24"/>
        </w:rPr>
        <w:t xml:space="preserve">17.3.2 </w:t>
      </w:r>
      <w:r>
        <w:rPr>
          <w:rFonts w:hint="eastAsia" w:ascii="仿宋" w:hAnsi="仿宋" w:eastAsia="仿宋"/>
          <w:sz w:val="24"/>
          <w:szCs w:val="24"/>
        </w:rPr>
        <w:t>项的约定列入进度付款申请单，由监理人复核并经发包人同意后列入进度付款。</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15.8 </w:t>
      </w:r>
      <w:r>
        <w:rPr>
          <w:rFonts w:hint="eastAsia" w:ascii="仿宋" w:hAnsi="仿宋" w:eastAsia="仿宋"/>
          <w:b/>
          <w:sz w:val="24"/>
          <w:szCs w:val="24"/>
        </w:rPr>
        <w:t>暂估价</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15.8.1 </w:t>
      </w:r>
      <w:r>
        <w:rPr>
          <w:rFonts w:hint="eastAsia" w:ascii="仿宋" w:hAnsi="仿宋" w:eastAsia="仿宋"/>
          <w:sz w:val="24"/>
          <w:szCs w:val="24"/>
        </w:rPr>
        <w:t>发包人在工程量清单中给定暂估价的材料、工程设备和专业工程属于依法必须招标的范围并达到规定的规模标准的，若承包人不具备承担暂估价项目的能力或具备承担暂估价项目的能力但明确不参与投标的，由发包人和承包人组织招标；若承包人具备承担暂估价项目的能力且明确参与投标的，由发包人组织招标。暂估价项目中标金额与工程量清单中所列金额差以及相应的税金等其它费用列入合同价格。必须招标的暂估价项目招标组织形式、发包人和承包人组织招标时双方的权利义务关系在专用合同条款中约定。</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15.8.2 </w:t>
      </w:r>
      <w:r>
        <w:rPr>
          <w:rFonts w:hint="eastAsia" w:ascii="仿宋" w:hAnsi="仿宋" w:eastAsia="仿宋"/>
          <w:sz w:val="24"/>
          <w:szCs w:val="24"/>
        </w:rPr>
        <w:t>发包人在工程量清单中给定暂估价的材料和工程设备不属于依法必须招标的范围或未达到规定的规模标准的，应由承包人按第</w:t>
      </w:r>
      <w:r>
        <w:rPr>
          <w:rFonts w:ascii="仿宋" w:hAnsi="仿宋" w:eastAsia="仿宋"/>
          <w:sz w:val="24"/>
          <w:szCs w:val="24"/>
        </w:rPr>
        <w:t xml:space="preserve">5.1 </w:t>
      </w:r>
      <w:r>
        <w:rPr>
          <w:rFonts w:hint="eastAsia" w:ascii="仿宋" w:hAnsi="仿宋" w:eastAsia="仿宋"/>
          <w:sz w:val="24"/>
          <w:szCs w:val="24"/>
        </w:rPr>
        <w:t>款的约定提供。经监理人确认的材料、工程设备的价格与工程量清单中所列的暂估价的金额差以及相应的税金等其他费用列入合同价格。</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15.8.3 </w:t>
      </w:r>
      <w:r>
        <w:rPr>
          <w:rFonts w:hint="eastAsia" w:ascii="仿宋" w:hAnsi="仿宋" w:eastAsia="仿宋"/>
          <w:sz w:val="24"/>
          <w:szCs w:val="24"/>
        </w:rPr>
        <w:t>发包人在工程量清单中给定暂估价的专业工程不属于依法必须招标的范围或未达到规定的规模标准的，由监理人按照第</w:t>
      </w:r>
      <w:r>
        <w:rPr>
          <w:rFonts w:ascii="仿宋" w:hAnsi="仿宋" w:eastAsia="仿宋"/>
          <w:sz w:val="24"/>
          <w:szCs w:val="24"/>
        </w:rPr>
        <w:t xml:space="preserve">15.4 </w:t>
      </w:r>
      <w:r>
        <w:rPr>
          <w:rFonts w:hint="eastAsia" w:ascii="仿宋" w:hAnsi="仿宋" w:eastAsia="仿宋"/>
          <w:sz w:val="24"/>
          <w:szCs w:val="24"/>
        </w:rPr>
        <w:t>款进行估价，但专用合同条款另有约定的除外。经估价的专业工程与工程量清单中所列的暂估价的金额差以及相应的税金等其他费用列入合同价格。</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16. </w:t>
      </w:r>
      <w:r>
        <w:rPr>
          <w:rFonts w:hint="eastAsia" w:ascii="仿宋" w:hAnsi="仿宋" w:eastAsia="仿宋"/>
          <w:b/>
          <w:sz w:val="24"/>
          <w:szCs w:val="24"/>
        </w:rPr>
        <w:t>价格调整</w:t>
      </w:r>
      <w:r>
        <w:rPr>
          <w:rFonts w:ascii="仿宋" w:hAnsi="仿宋" w:eastAsia="仿宋"/>
          <w:b/>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16.1 </w:t>
      </w:r>
      <w:r>
        <w:rPr>
          <w:rFonts w:hint="eastAsia" w:ascii="仿宋" w:hAnsi="仿宋" w:eastAsia="仿宋"/>
          <w:b/>
          <w:sz w:val="24"/>
          <w:szCs w:val="24"/>
        </w:rPr>
        <w:t>物价波动引起的价格调整</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由于物价波动原因引起合同价格需要调整的，其价格调整方式在专用合同条款中约定。</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16.1.1 </w:t>
      </w:r>
      <w:r>
        <w:rPr>
          <w:rFonts w:hint="eastAsia" w:ascii="仿宋" w:hAnsi="仿宋" w:eastAsia="仿宋"/>
          <w:sz w:val="24"/>
          <w:szCs w:val="24"/>
        </w:rPr>
        <w:t>采用价格指数调整价格差额</w:t>
      </w:r>
      <w:r>
        <w:rPr>
          <w:rFonts w:ascii="仿宋" w:hAnsi="仿宋" w:eastAsia="仿宋"/>
          <w:sz w:val="24"/>
          <w:szCs w:val="24"/>
        </w:rPr>
        <w:t xml:space="preserve"> 16.1.1.1 </w:t>
      </w:r>
      <w:r>
        <w:rPr>
          <w:rFonts w:hint="eastAsia" w:ascii="仿宋" w:hAnsi="仿宋" w:eastAsia="仿宋"/>
          <w:sz w:val="24"/>
          <w:szCs w:val="24"/>
        </w:rPr>
        <w:t>价格调整公式</w:t>
      </w:r>
      <w:r>
        <w:rPr>
          <w:rFonts w:ascii="仿宋" w:hAnsi="仿宋" w:eastAsia="仿宋"/>
          <w:sz w:val="24"/>
          <w:szCs w:val="24"/>
        </w:rPr>
        <w:t xml:space="preserve">  </w:t>
      </w:r>
      <w:r>
        <w:rPr>
          <w:rFonts w:hint="eastAsia" w:ascii="仿宋" w:hAnsi="仿宋" w:eastAsia="仿宋"/>
          <w:sz w:val="24"/>
          <w:szCs w:val="24"/>
        </w:rPr>
        <w:t>因人工、材料和设备等价格波动影响合同价格时，根据投标函附录中的价格指数和权重</w:t>
      </w:r>
      <w:r>
        <w:rPr>
          <w:rFonts w:ascii="仿宋" w:hAnsi="仿宋" w:eastAsia="仿宋"/>
          <w:sz w:val="24"/>
          <w:szCs w:val="24"/>
        </w:rPr>
        <w:t xml:space="preserve"> </w:t>
      </w:r>
      <w:r>
        <w:rPr>
          <w:rFonts w:hint="eastAsia" w:ascii="仿宋" w:hAnsi="仿宋" w:eastAsia="仿宋"/>
          <w:sz w:val="24"/>
          <w:szCs w:val="24"/>
        </w:rPr>
        <w:t>表约定的数据，按以下公式计算差额并调整合同价格。</w:t>
      </w:r>
    </w:p>
    <w:p>
      <w:pPr>
        <w:spacing w:line="500" w:lineRule="exact"/>
        <w:ind w:firstLine="480"/>
        <w:rPr>
          <w:rFonts w:ascii="仿宋" w:hAnsi="仿宋" w:eastAsia="仿宋"/>
          <w:sz w:val="24"/>
          <w:szCs w:val="24"/>
        </w:rPr>
      </w:pPr>
      <w:r>
        <w:rPr>
          <w:rFonts w:ascii="仿宋" w:hAnsi="仿宋" w:eastAsia="仿宋"/>
          <w:sz w:val="24"/>
          <w:szCs w:val="24"/>
        </w:rPr>
        <w:t xml:space="preserve">16.1.1.2 </w:t>
      </w:r>
      <w:r>
        <w:rPr>
          <w:rFonts w:hint="eastAsia" w:ascii="仿宋" w:hAnsi="仿宋" w:eastAsia="仿宋"/>
          <w:sz w:val="24"/>
          <w:szCs w:val="24"/>
        </w:rPr>
        <w:t>暂时确定调整差额</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在计算调整差额时得不到现行价格指数的，可暂用上一次价格指数计算，并在以后的付款中再按实际价格指数进行调整。</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16.1.1.3 </w:t>
      </w:r>
      <w:r>
        <w:rPr>
          <w:rFonts w:hint="eastAsia" w:ascii="仿宋" w:hAnsi="仿宋" w:eastAsia="仿宋"/>
          <w:sz w:val="24"/>
          <w:szCs w:val="24"/>
        </w:rPr>
        <w:t>权重的调整</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按第</w:t>
      </w:r>
      <w:r>
        <w:rPr>
          <w:rFonts w:ascii="仿宋" w:hAnsi="仿宋" w:eastAsia="仿宋"/>
          <w:sz w:val="24"/>
          <w:szCs w:val="24"/>
        </w:rPr>
        <w:t xml:space="preserve">15.1 </w:t>
      </w:r>
      <w:r>
        <w:rPr>
          <w:rFonts w:hint="eastAsia" w:ascii="仿宋" w:hAnsi="仿宋" w:eastAsia="仿宋"/>
          <w:sz w:val="24"/>
          <w:szCs w:val="24"/>
        </w:rPr>
        <w:t>款约定的变更导致原定合同中的权重不合理时，由监理人与承包人和发包人协商后进行调整。</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16.1.1.4 </w:t>
      </w:r>
      <w:r>
        <w:rPr>
          <w:rFonts w:hint="eastAsia" w:ascii="仿宋" w:hAnsi="仿宋" w:eastAsia="仿宋"/>
          <w:sz w:val="24"/>
          <w:szCs w:val="24"/>
        </w:rPr>
        <w:t>承包人工期延误后的价格调整</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由于承包人原因未在约定的工期内竣工的，则对原约定竣工日期后继续施工的工程，在使用第</w:t>
      </w:r>
      <w:r>
        <w:rPr>
          <w:rFonts w:ascii="仿宋" w:hAnsi="仿宋" w:eastAsia="仿宋"/>
          <w:sz w:val="24"/>
          <w:szCs w:val="24"/>
        </w:rPr>
        <w:t xml:space="preserve">16.1.1.1 </w:t>
      </w:r>
      <w:r>
        <w:rPr>
          <w:rFonts w:hint="eastAsia" w:ascii="仿宋" w:hAnsi="仿宋" w:eastAsia="仿宋"/>
          <w:sz w:val="24"/>
          <w:szCs w:val="24"/>
        </w:rPr>
        <w:t>目价格调整公式时，应采用原约定竣工日期与实际竣工日期的两个价格指数中较低的一个作为现行价格指数。</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16.1.2 </w:t>
      </w:r>
      <w:r>
        <w:rPr>
          <w:rFonts w:hint="eastAsia" w:ascii="仿宋" w:hAnsi="仿宋" w:eastAsia="仿宋"/>
          <w:sz w:val="24"/>
          <w:szCs w:val="24"/>
        </w:rPr>
        <w:t>采用造价信息调整价格差额</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施工期内，因人工、材料、设备和机械台班价格波动影响合同价格时，人工、机械使用费按照国家或省（自治区、直辖市）建设行政管理部门、行业建设管理部门或其授权的工程造价管理机构发布的人工成本信息、机械台班单价或机械使用费系数进行调整；需要进行价格调整的材料，其单价和采购数应由监理人复核，监理人确认需调整的材料单价及数量，作为调整工程合同价格差额的依据。</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工程造价信息的来源以及价格调整的项目和系数在专用合同条款中约定。</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16.2 </w:t>
      </w:r>
      <w:r>
        <w:rPr>
          <w:rFonts w:hint="eastAsia" w:ascii="仿宋" w:hAnsi="仿宋" w:eastAsia="仿宋"/>
          <w:b/>
          <w:sz w:val="24"/>
          <w:szCs w:val="24"/>
        </w:rPr>
        <w:t>法律变化引起的价格调整</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在基准日后，因法律变化导致承包人在合同履行中所需要的工程费用发生除第</w:t>
      </w:r>
      <w:r>
        <w:rPr>
          <w:rFonts w:ascii="仿宋" w:hAnsi="仿宋" w:eastAsia="仿宋"/>
          <w:sz w:val="24"/>
          <w:szCs w:val="24"/>
        </w:rPr>
        <w:t xml:space="preserve">16.1 </w:t>
      </w:r>
      <w:r>
        <w:rPr>
          <w:rFonts w:hint="eastAsia" w:ascii="仿宋" w:hAnsi="仿宋" w:eastAsia="仿宋"/>
          <w:sz w:val="24"/>
          <w:szCs w:val="24"/>
        </w:rPr>
        <w:t>款约定以外的增减时，监理人应根据法律、国家或省、自治区、直辖市有关部门的规定，按第</w:t>
      </w:r>
      <w:r>
        <w:rPr>
          <w:rFonts w:ascii="仿宋" w:hAnsi="仿宋" w:eastAsia="仿宋"/>
          <w:sz w:val="24"/>
          <w:szCs w:val="24"/>
        </w:rPr>
        <w:t xml:space="preserve">3.5 </w:t>
      </w:r>
      <w:r>
        <w:rPr>
          <w:rFonts w:hint="eastAsia" w:ascii="仿宋" w:hAnsi="仿宋" w:eastAsia="仿宋"/>
          <w:sz w:val="24"/>
          <w:szCs w:val="24"/>
        </w:rPr>
        <w:t>款商定或确定需调整的合同价款。</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17. </w:t>
      </w:r>
      <w:r>
        <w:rPr>
          <w:rFonts w:hint="eastAsia" w:ascii="仿宋" w:hAnsi="仿宋" w:eastAsia="仿宋"/>
          <w:b/>
          <w:sz w:val="24"/>
          <w:szCs w:val="24"/>
        </w:rPr>
        <w:t>计量与支付</w:t>
      </w:r>
      <w:r>
        <w:rPr>
          <w:rFonts w:ascii="仿宋" w:hAnsi="仿宋" w:eastAsia="仿宋"/>
          <w:b/>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17.1 </w:t>
      </w:r>
      <w:r>
        <w:rPr>
          <w:rFonts w:hint="eastAsia" w:ascii="仿宋" w:hAnsi="仿宋" w:eastAsia="仿宋"/>
          <w:b/>
          <w:sz w:val="24"/>
          <w:szCs w:val="24"/>
        </w:rPr>
        <w:t>计量</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17.1.1 </w:t>
      </w:r>
      <w:r>
        <w:rPr>
          <w:rFonts w:hint="eastAsia" w:ascii="仿宋" w:hAnsi="仿宋" w:eastAsia="仿宋"/>
          <w:sz w:val="24"/>
          <w:szCs w:val="24"/>
        </w:rPr>
        <w:t>计量单位</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计量采用国家法定的计量单位。</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17.1.2 </w:t>
      </w:r>
      <w:r>
        <w:rPr>
          <w:rFonts w:hint="eastAsia" w:ascii="仿宋" w:hAnsi="仿宋" w:eastAsia="仿宋"/>
          <w:sz w:val="24"/>
          <w:szCs w:val="24"/>
        </w:rPr>
        <w:t>计量方法</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结算工程量应按工程量清单中约定的方法计量。</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17.1.3 </w:t>
      </w:r>
      <w:r>
        <w:rPr>
          <w:rFonts w:hint="eastAsia" w:ascii="仿宋" w:hAnsi="仿宋" w:eastAsia="仿宋"/>
          <w:sz w:val="24"/>
          <w:szCs w:val="24"/>
        </w:rPr>
        <w:t>计量周期</w:t>
      </w:r>
      <w:r>
        <w:rPr>
          <w:rFonts w:ascii="仿宋" w:hAnsi="仿宋" w:eastAsia="仿宋"/>
          <w:sz w:val="24"/>
          <w:szCs w:val="24"/>
        </w:rPr>
        <w:t xml:space="preserve">  </w:t>
      </w:r>
      <w:r>
        <w:rPr>
          <w:rFonts w:hint="eastAsia" w:ascii="仿宋" w:hAnsi="仿宋" w:eastAsia="仿宋"/>
          <w:sz w:val="24"/>
          <w:szCs w:val="24"/>
        </w:rPr>
        <w:t>除专用合同条款另有约定外，单价子目已完成工程量按月计量，总价子目的计量周期按批准的支付分解报告确定。</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17.1.4 </w:t>
      </w:r>
      <w:r>
        <w:rPr>
          <w:rFonts w:hint="eastAsia" w:ascii="仿宋" w:hAnsi="仿宋" w:eastAsia="仿宋"/>
          <w:sz w:val="24"/>
          <w:szCs w:val="24"/>
        </w:rPr>
        <w:t>单价子目的计量</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）已标价工程量清单中的单价子目工程量为估算工程量。结算工程量是承包人实际完成的，并按合同约定的计量方法进行计量的工程量。</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）承包人对已完成的工程进行计量，向监理人提交进度付款申请单、已完成工程量报表和有关计量资料。</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）监理人对承包人提交的工程量报表进行复核，以确定实际完成的工程量。对数量有异议的，可要求承包人按第</w:t>
      </w:r>
      <w:r>
        <w:rPr>
          <w:rFonts w:ascii="仿宋" w:hAnsi="仿宋" w:eastAsia="仿宋"/>
          <w:sz w:val="24"/>
          <w:szCs w:val="24"/>
        </w:rPr>
        <w:t xml:space="preserve">8.2 </w:t>
      </w:r>
      <w:r>
        <w:rPr>
          <w:rFonts w:hint="eastAsia" w:ascii="仿宋" w:hAnsi="仿宋" w:eastAsia="仿宋"/>
          <w:sz w:val="24"/>
          <w:szCs w:val="24"/>
        </w:rPr>
        <w:t>款约定进行共同复核和抽样复测。承包人应协助监理人进行复核并按监理人要求提供补充计量资料。承包人未按监理人要求参加复核，监理人复核或修正的工程量视为承包人实际完成的工程量。</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4</w:t>
      </w:r>
      <w:r>
        <w:rPr>
          <w:rFonts w:hint="eastAsia" w:ascii="仿宋" w:hAnsi="仿宋" w:eastAsia="仿宋"/>
          <w:sz w:val="24"/>
          <w:szCs w:val="24"/>
        </w:rPr>
        <w:t>）监理人认为有必要时，可通知承包人共同进行联合测量、计量，承包人应遵照执行。</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5</w:t>
      </w:r>
      <w:r>
        <w:rPr>
          <w:rFonts w:hint="eastAsia" w:ascii="仿宋" w:hAnsi="仿宋" w:eastAsia="仿宋"/>
          <w:sz w:val="24"/>
          <w:szCs w:val="24"/>
        </w:rPr>
        <w:t>）承包人完成工程量清单中每个子目的工程量后，监理人应要求承包人派员共同对每个子目的历次计量报表进行汇总，以核实最终结算工程量。监理人可要求承包人提供补充计量资料，以确定最后一次进度付款的准确工程量。承包人未按监理人要求派员参加的，监理人最终核实的工程量视为承包人完成该子目的准确工程量。</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6</w:t>
      </w:r>
      <w:r>
        <w:rPr>
          <w:rFonts w:hint="eastAsia" w:ascii="仿宋" w:hAnsi="仿宋" w:eastAsia="仿宋"/>
          <w:sz w:val="24"/>
          <w:szCs w:val="24"/>
        </w:rPr>
        <w:t>）监理人应在收到承包人提交的工程量报表后的</w:t>
      </w:r>
      <w:r>
        <w:rPr>
          <w:rFonts w:ascii="仿宋" w:hAnsi="仿宋" w:eastAsia="仿宋"/>
          <w:sz w:val="24"/>
          <w:szCs w:val="24"/>
        </w:rPr>
        <w:t xml:space="preserve">7 </w:t>
      </w:r>
      <w:r>
        <w:rPr>
          <w:rFonts w:hint="eastAsia" w:ascii="仿宋" w:hAnsi="仿宋" w:eastAsia="仿宋"/>
          <w:sz w:val="24"/>
          <w:szCs w:val="24"/>
        </w:rPr>
        <w:t>天内进行复核，监理人未在约定时间内复核的，承包人提交的工程量报表中的工程量视为承包人实际完成的工程量，据此计算工程价款。</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17.1.5 </w:t>
      </w:r>
      <w:r>
        <w:rPr>
          <w:rFonts w:hint="eastAsia" w:ascii="仿宋" w:hAnsi="仿宋" w:eastAsia="仿宋"/>
          <w:sz w:val="24"/>
          <w:szCs w:val="24"/>
        </w:rPr>
        <w:t>总价子目的计量</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总价子目的分解和计量按照下述约定进行。 </w:t>
      </w:r>
    </w:p>
    <w:p>
      <w:pPr>
        <w:spacing w:line="500" w:lineRule="exact"/>
        <w:ind w:firstLine="48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 xml:space="preserve">总价子目的计量和支付应以总价为基础，不因第１６．１款中的因素而进行调整。承包人实际完成的工程量，是进行工程目标管理和控制进度支付的依据。  </w:t>
      </w:r>
    </w:p>
    <w:p>
      <w:pPr>
        <w:spacing w:line="500" w:lineRule="exact"/>
        <w:ind w:firstLine="480"/>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 xml:space="preserve">承包人应按工程量清单的要求对总价子目进行分解，并在签订协议书后的２８天内将各子目的总价支付分解表提交监理人审批。分解表应标明其所属子目和分阶段需支付的金额。承包人应按批准的各总价子目支付周期，对已完成的总价子目进行计量，确定分项的应付金额列入进度付款申请单中。 </w:t>
      </w:r>
    </w:p>
    <w:p>
      <w:pPr>
        <w:spacing w:line="500" w:lineRule="exact"/>
        <w:ind w:firstLine="480"/>
        <w:rPr>
          <w:rFonts w:ascii="仿宋" w:hAnsi="仿宋" w:eastAsia="仿宋"/>
          <w:sz w:val="24"/>
          <w:szCs w:val="24"/>
        </w:rPr>
      </w:pPr>
      <w:r>
        <w:rPr>
          <w:rFonts w:hint="eastAsia" w:ascii="仿宋" w:hAnsi="仿宋" w:eastAsia="仿宋"/>
          <w:sz w:val="24"/>
          <w:szCs w:val="24"/>
        </w:rPr>
        <w:t>（3）</w:t>
      </w:r>
      <w:r>
        <w:rPr>
          <w:rFonts w:ascii="仿宋" w:hAnsi="仿宋" w:eastAsia="仿宋"/>
          <w:sz w:val="24"/>
          <w:szCs w:val="24"/>
        </w:rPr>
        <w:t xml:space="preserve">监理人对承包人提交的上述资料进行复核，以确定分阶段实际完成的工程量和工程形象目标。对其有异议的，可要求承包人按第８．２款约定进行共同复核和抽样复测。  </w:t>
      </w:r>
    </w:p>
    <w:p>
      <w:pPr>
        <w:spacing w:line="500" w:lineRule="exact"/>
        <w:ind w:firstLine="480"/>
        <w:rPr>
          <w:rFonts w:ascii="仿宋" w:hAnsi="仿宋" w:eastAsia="仿宋"/>
          <w:sz w:val="24"/>
          <w:szCs w:val="24"/>
        </w:rPr>
      </w:pPr>
      <w:r>
        <w:rPr>
          <w:rFonts w:hint="eastAsia" w:ascii="仿宋" w:hAnsi="仿宋" w:eastAsia="仿宋"/>
          <w:sz w:val="24"/>
          <w:szCs w:val="24"/>
        </w:rPr>
        <w:t>（4）</w:t>
      </w:r>
      <w:r>
        <w:rPr>
          <w:rFonts w:ascii="仿宋" w:hAnsi="仿宋" w:eastAsia="仿宋"/>
          <w:sz w:val="24"/>
          <w:szCs w:val="24"/>
        </w:rPr>
        <w:t xml:space="preserve">除按照第１５条约定的变更外，总价子目的工程量是承包人用于结算的最终工程量。 </w:t>
      </w:r>
    </w:p>
    <w:p>
      <w:pPr>
        <w:spacing w:line="500" w:lineRule="exact"/>
        <w:ind w:firstLine="482"/>
        <w:rPr>
          <w:rFonts w:ascii="仿宋" w:hAnsi="仿宋" w:eastAsia="仿宋"/>
          <w:b/>
          <w:sz w:val="24"/>
          <w:szCs w:val="24"/>
        </w:rPr>
      </w:pPr>
      <w:r>
        <w:rPr>
          <w:rFonts w:ascii="仿宋" w:hAnsi="仿宋" w:eastAsia="仿宋"/>
          <w:b/>
          <w:sz w:val="24"/>
          <w:szCs w:val="24"/>
        </w:rPr>
        <w:t xml:space="preserve">17.2 </w:t>
      </w:r>
      <w:r>
        <w:rPr>
          <w:rFonts w:hint="eastAsia" w:ascii="仿宋" w:hAnsi="仿宋" w:eastAsia="仿宋"/>
          <w:b/>
          <w:sz w:val="24"/>
          <w:szCs w:val="24"/>
        </w:rPr>
        <w:t>预付款</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17.2.1 </w:t>
      </w:r>
      <w:r>
        <w:rPr>
          <w:rFonts w:hint="eastAsia" w:ascii="仿宋" w:hAnsi="仿宋" w:eastAsia="仿宋"/>
          <w:sz w:val="24"/>
          <w:szCs w:val="24"/>
        </w:rPr>
        <w:t>预付款</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预付款用于承包人为合同工程施工购置材料、工程设备、施工设备、修建临时设施以及组织施工队伍进场等，分为工程预付款和工程材料预付款。预付款必须专用于合同工程。预付款的额度和预付办法在专用合同条款中约定。</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17.2.2 </w:t>
      </w:r>
      <w:r>
        <w:rPr>
          <w:rFonts w:hint="eastAsia" w:ascii="仿宋" w:hAnsi="仿宋" w:eastAsia="仿宋"/>
          <w:sz w:val="24"/>
          <w:szCs w:val="24"/>
        </w:rPr>
        <w:t>预付款保函</w:t>
      </w:r>
      <w:r>
        <w:rPr>
          <w:rFonts w:ascii="仿宋" w:hAnsi="仿宋" w:eastAsia="仿宋"/>
          <w:sz w:val="24"/>
          <w:szCs w:val="24"/>
        </w:rPr>
        <w:t>(</w:t>
      </w:r>
      <w:r>
        <w:rPr>
          <w:rFonts w:hint="eastAsia" w:ascii="仿宋" w:hAnsi="仿宋" w:eastAsia="仿宋"/>
          <w:sz w:val="24"/>
          <w:szCs w:val="24"/>
        </w:rPr>
        <w:t>担保</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（1）承包人应在收到第一次工程预付款的同时向发包人提交工程预付款担保，担保金额应与第一次工程预付款金额相同，工程预付款担保在第一次工程预付款被发包人扣回前一直有效。</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（2）工程材料预付款的担保在专用合同条款中约定。</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（3）预付款担保的担保金额可根据预付款扣回的金额相应递减。</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17.2.3 </w:t>
      </w:r>
      <w:r>
        <w:rPr>
          <w:rFonts w:hint="eastAsia" w:ascii="仿宋" w:hAnsi="仿宋" w:eastAsia="仿宋"/>
          <w:sz w:val="24"/>
          <w:szCs w:val="24"/>
        </w:rPr>
        <w:t>预付款的扣回与还清</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预付款在进度付款中扣回，扣回与还清办法在专用合同条款中约定。在颁发合同工程完工证书前，由于不可抗力或其它原因解除合同时，预付款尚未扣清的，尚未扣清的预付款余额应作为承包人的到期应付款。</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17.3 </w:t>
      </w:r>
      <w:r>
        <w:rPr>
          <w:rFonts w:hint="eastAsia" w:ascii="仿宋" w:hAnsi="仿宋" w:eastAsia="仿宋"/>
          <w:b/>
          <w:sz w:val="24"/>
          <w:szCs w:val="24"/>
        </w:rPr>
        <w:t>工程进度付款</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17.3.1 </w:t>
      </w:r>
      <w:r>
        <w:rPr>
          <w:rFonts w:hint="eastAsia" w:ascii="仿宋" w:hAnsi="仿宋" w:eastAsia="仿宋"/>
          <w:sz w:val="24"/>
          <w:szCs w:val="24"/>
        </w:rPr>
        <w:t>付款周期</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付款周期与计量周期同。</w:t>
      </w:r>
    </w:p>
    <w:p>
      <w:pPr>
        <w:spacing w:line="500" w:lineRule="exact"/>
        <w:ind w:firstLine="480"/>
        <w:rPr>
          <w:rFonts w:ascii="仿宋" w:hAnsi="仿宋" w:eastAsia="仿宋"/>
          <w:sz w:val="24"/>
          <w:szCs w:val="24"/>
        </w:rPr>
      </w:pPr>
      <w:r>
        <w:rPr>
          <w:rFonts w:ascii="仿宋" w:hAnsi="仿宋" w:eastAsia="仿宋"/>
          <w:sz w:val="24"/>
          <w:szCs w:val="24"/>
        </w:rPr>
        <w:t xml:space="preserve">17.3.2 </w:t>
      </w:r>
      <w:r>
        <w:rPr>
          <w:rFonts w:hint="eastAsia" w:ascii="仿宋" w:hAnsi="仿宋" w:eastAsia="仿宋"/>
          <w:sz w:val="24"/>
          <w:szCs w:val="24"/>
        </w:rPr>
        <w:t>进度付款申请单</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承包人应在每个付款周期末，按监理人批准的格式和专用合同条款约定的份数，向监理人提交进度付款申请单，并附相应的支持性证明文件。除专用合同条款另有约定外，进度付款申请单应包括下列内容：</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）截至本次付款周期末已实施工程的价款；</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）根据第</w:t>
      </w:r>
      <w:r>
        <w:rPr>
          <w:rFonts w:ascii="仿宋" w:hAnsi="仿宋" w:eastAsia="仿宋"/>
          <w:sz w:val="24"/>
          <w:szCs w:val="24"/>
        </w:rPr>
        <w:t xml:space="preserve">15 </w:t>
      </w:r>
      <w:r>
        <w:rPr>
          <w:rFonts w:hint="eastAsia" w:ascii="仿宋" w:hAnsi="仿宋" w:eastAsia="仿宋"/>
          <w:sz w:val="24"/>
          <w:szCs w:val="24"/>
        </w:rPr>
        <w:t>条应增加和扣减的变更金额；</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）根据第</w:t>
      </w:r>
      <w:r>
        <w:rPr>
          <w:rFonts w:ascii="仿宋" w:hAnsi="仿宋" w:eastAsia="仿宋"/>
          <w:sz w:val="24"/>
          <w:szCs w:val="24"/>
        </w:rPr>
        <w:t xml:space="preserve">23 </w:t>
      </w:r>
      <w:r>
        <w:rPr>
          <w:rFonts w:hint="eastAsia" w:ascii="仿宋" w:hAnsi="仿宋" w:eastAsia="仿宋"/>
          <w:sz w:val="24"/>
          <w:szCs w:val="24"/>
        </w:rPr>
        <w:t>条应增加和扣减的索赔金额；</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4</w:t>
      </w:r>
      <w:r>
        <w:rPr>
          <w:rFonts w:hint="eastAsia" w:ascii="仿宋" w:hAnsi="仿宋" w:eastAsia="仿宋"/>
          <w:sz w:val="24"/>
          <w:szCs w:val="24"/>
        </w:rPr>
        <w:t>）根据第</w:t>
      </w:r>
      <w:r>
        <w:rPr>
          <w:rFonts w:ascii="仿宋" w:hAnsi="仿宋" w:eastAsia="仿宋"/>
          <w:sz w:val="24"/>
          <w:szCs w:val="24"/>
        </w:rPr>
        <w:t xml:space="preserve">17.2 </w:t>
      </w:r>
      <w:r>
        <w:rPr>
          <w:rFonts w:hint="eastAsia" w:ascii="仿宋" w:hAnsi="仿宋" w:eastAsia="仿宋"/>
          <w:sz w:val="24"/>
          <w:szCs w:val="24"/>
        </w:rPr>
        <w:t>款约定应支付的预付款和扣减的返还预付款；</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5</w:t>
      </w:r>
      <w:r>
        <w:rPr>
          <w:rFonts w:hint="eastAsia" w:ascii="仿宋" w:hAnsi="仿宋" w:eastAsia="仿宋"/>
          <w:sz w:val="24"/>
          <w:szCs w:val="24"/>
        </w:rPr>
        <w:t>）根据第</w:t>
      </w:r>
      <w:r>
        <w:rPr>
          <w:rFonts w:ascii="仿宋" w:hAnsi="仿宋" w:eastAsia="仿宋"/>
          <w:sz w:val="24"/>
          <w:szCs w:val="24"/>
        </w:rPr>
        <w:t xml:space="preserve">17.4.1 </w:t>
      </w:r>
      <w:r>
        <w:rPr>
          <w:rFonts w:hint="eastAsia" w:ascii="仿宋" w:hAnsi="仿宋" w:eastAsia="仿宋"/>
          <w:sz w:val="24"/>
          <w:szCs w:val="24"/>
        </w:rPr>
        <w:t>项约定应扣减的质量保证金；</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6</w:t>
      </w:r>
      <w:r>
        <w:rPr>
          <w:rFonts w:hint="eastAsia" w:ascii="仿宋" w:hAnsi="仿宋" w:eastAsia="仿宋"/>
          <w:sz w:val="24"/>
          <w:szCs w:val="24"/>
        </w:rPr>
        <w:t>）根据合同应增加和扣减的其他金额。</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17.3.3 </w:t>
      </w:r>
      <w:r>
        <w:rPr>
          <w:rFonts w:hint="eastAsia" w:ascii="仿宋" w:hAnsi="仿宋" w:eastAsia="仿宋"/>
          <w:sz w:val="24"/>
          <w:szCs w:val="24"/>
        </w:rPr>
        <w:t>进度付款证书和支付时间</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）监理人在收到承包人进度付款申请单以及相应的支持性证明文件后的</w:t>
      </w:r>
      <w:r>
        <w:rPr>
          <w:rFonts w:ascii="仿宋" w:hAnsi="仿宋" w:eastAsia="仿宋"/>
          <w:sz w:val="24"/>
          <w:szCs w:val="24"/>
        </w:rPr>
        <w:t xml:space="preserve">14 </w:t>
      </w:r>
      <w:r>
        <w:rPr>
          <w:rFonts w:hint="eastAsia" w:ascii="仿宋" w:hAnsi="仿宋" w:eastAsia="仿宋"/>
          <w:sz w:val="24"/>
          <w:szCs w:val="24"/>
        </w:rPr>
        <w:t>天内完成核查，提出发包人到期应支付给承包人的金额以及相应的支持性材料，经发包人审查同意后，由监理人向承包人出具经发包人签认的进度付款证书。监理人有权扣发承包人未能按照合同要求履行任何工作或义务的相应金额。</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）发包人应在监理人收到进度付款申请单后的</w:t>
      </w:r>
      <w:r>
        <w:rPr>
          <w:rFonts w:ascii="仿宋" w:hAnsi="仿宋" w:eastAsia="仿宋"/>
          <w:sz w:val="24"/>
          <w:szCs w:val="24"/>
        </w:rPr>
        <w:t xml:space="preserve">28 </w:t>
      </w:r>
      <w:r>
        <w:rPr>
          <w:rFonts w:hint="eastAsia" w:ascii="仿宋" w:hAnsi="仿宋" w:eastAsia="仿宋"/>
          <w:sz w:val="24"/>
          <w:szCs w:val="24"/>
        </w:rPr>
        <w:t>天内，将进度应付款支付给承包人。发包人不按期支付的，按专用合同条款的约定支付逾期付款违约金。</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）监理人出具进度付款证书，不应视为监理人已同意、批准或接受了承包人完成的该部分工作。</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4</w:t>
      </w:r>
      <w:r>
        <w:rPr>
          <w:rFonts w:hint="eastAsia" w:ascii="仿宋" w:hAnsi="仿宋" w:eastAsia="仿宋"/>
          <w:sz w:val="24"/>
          <w:szCs w:val="24"/>
        </w:rPr>
        <w:t>）进度付款涉及政府投资资金的，按照国库集中支付等国家相关规定和专用合同条款的约定办理。</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17.3.4 </w:t>
      </w:r>
      <w:r>
        <w:rPr>
          <w:rFonts w:hint="eastAsia" w:ascii="仿宋" w:hAnsi="仿宋" w:eastAsia="仿宋"/>
          <w:sz w:val="24"/>
          <w:szCs w:val="24"/>
        </w:rPr>
        <w:t>工程进度付款的修正</w:t>
      </w:r>
      <w:r>
        <w:rPr>
          <w:rFonts w:ascii="仿宋" w:hAnsi="仿宋" w:eastAsia="仿宋"/>
          <w:sz w:val="24"/>
          <w:szCs w:val="24"/>
        </w:rPr>
        <w:t xml:space="preserve">  </w:t>
      </w:r>
      <w:r>
        <w:rPr>
          <w:rFonts w:hint="eastAsia" w:ascii="仿宋" w:hAnsi="仿宋" w:eastAsia="仿宋"/>
          <w:sz w:val="24"/>
          <w:szCs w:val="24"/>
        </w:rPr>
        <w:t>在对以往历次已签发的进度付款证书进行汇总和复核中发现错、漏或重复的，监理人有权予以修正，承包人也有权提出修正申请。经双方复核同意的修正，应在本次进度付款中支付或扣除。</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17.4 </w:t>
      </w:r>
      <w:r>
        <w:rPr>
          <w:rFonts w:hint="eastAsia" w:ascii="仿宋" w:hAnsi="仿宋" w:eastAsia="仿宋"/>
          <w:b/>
          <w:sz w:val="24"/>
          <w:szCs w:val="24"/>
        </w:rPr>
        <w:t>质量保证金</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17.4.1 </w:t>
      </w:r>
      <w:r>
        <w:rPr>
          <w:rFonts w:hint="eastAsia" w:ascii="仿宋" w:hAnsi="仿宋" w:eastAsia="仿宋"/>
          <w:sz w:val="24"/>
          <w:szCs w:val="24"/>
        </w:rPr>
        <w:t>监理人应从第一个工程进度付款周期开始，在发包人的进度付款中，按专用合同条款的约定扣留质量保证金，直至扣留的质量保证金总额达到专用合同条款约定的金额或比例为止。质量保证金的计算额度不包括预付款的支付与扣回金额。</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17.4.2 </w:t>
      </w:r>
      <w:r>
        <w:rPr>
          <w:rFonts w:hint="eastAsia" w:ascii="仿宋" w:hAnsi="仿宋" w:eastAsia="仿宋"/>
          <w:sz w:val="24"/>
          <w:szCs w:val="24"/>
        </w:rPr>
        <w:t>合同工程完工证书颁发后１４天内，发包人将质量保证金总额的一半支付给承包人。在第</w:t>
      </w:r>
      <w:r>
        <w:rPr>
          <w:rFonts w:ascii="仿宋" w:hAnsi="仿宋" w:eastAsia="仿宋"/>
          <w:sz w:val="24"/>
          <w:szCs w:val="24"/>
        </w:rPr>
        <w:t>1.1.4.5</w:t>
      </w:r>
      <w:r>
        <w:rPr>
          <w:rFonts w:hint="eastAsia" w:ascii="仿宋" w:hAnsi="仿宋" w:eastAsia="仿宋"/>
          <w:sz w:val="24"/>
          <w:szCs w:val="24"/>
        </w:rPr>
        <w:t>目约定的缺陷责任期（工程质量保修期）</w:t>
      </w:r>
      <w:r>
        <w:rPr>
          <w:rFonts w:ascii="仿宋" w:hAnsi="仿宋" w:eastAsia="仿宋"/>
          <w:sz w:val="24"/>
          <w:szCs w:val="24"/>
        </w:rPr>
        <w:t xml:space="preserve"> </w:t>
      </w:r>
      <w:r>
        <w:rPr>
          <w:rFonts w:hint="eastAsia" w:ascii="仿宋" w:hAnsi="仿宋" w:eastAsia="仿宋"/>
          <w:sz w:val="24"/>
          <w:szCs w:val="24"/>
        </w:rPr>
        <w:t>满时，发包人将在</w:t>
      </w:r>
      <w:r>
        <w:rPr>
          <w:rFonts w:ascii="仿宋" w:hAnsi="仿宋" w:eastAsia="仿宋"/>
          <w:sz w:val="24"/>
          <w:szCs w:val="24"/>
        </w:rPr>
        <w:t>30</w:t>
      </w:r>
      <w:r>
        <w:rPr>
          <w:rFonts w:hint="eastAsia" w:ascii="仿宋" w:hAnsi="仿宋" w:eastAsia="仿宋"/>
          <w:sz w:val="24"/>
          <w:szCs w:val="24"/>
        </w:rPr>
        <w:t>个工作日内会同承包人按照合同约定的内容核实承包人是否完成保修责任。如无异议，发包人应当在核实后将剩余的质量保证金支付给承包人。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17.4.3 </w:t>
      </w:r>
      <w:r>
        <w:rPr>
          <w:rFonts w:hint="eastAsia" w:ascii="仿宋" w:hAnsi="仿宋" w:eastAsia="仿宋"/>
          <w:sz w:val="24"/>
          <w:szCs w:val="24"/>
        </w:rPr>
        <w:t>在第</w:t>
      </w:r>
      <w:r>
        <w:rPr>
          <w:rFonts w:ascii="仿宋" w:hAnsi="仿宋" w:eastAsia="仿宋"/>
          <w:sz w:val="24"/>
          <w:szCs w:val="24"/>
        </w:rPr>
        <w:t xml:space="preserve">1.1.4.5 </w:t>
      </w:r>
      <w:r>
        <w:rPr>
          <w:rFonts w:hint="eastAsia" w:ascii="仿宋" w:hAnsi="仿宋" w:eastAsia="仿宋"/>
          <w:sz w:val="24"/>
          <w:szCs w:val="24"/>
        </w:rPr>
        <w:t>目约定的缺陷责任期满时，承包人没有完成缺陷责任的，发包人有权扣留与未履行责任剩余工作所需金额相应的质量保证金余额，并有权根据第</w:t>
      </w:r>
      <w:r>
        <w:rPr>
          <w:rFonts w:ascii="仿宋" w:hAnsi="仿宋" w:eastAsia="仿宋"/>
          <w:sz w:val="24"/>
          <w:szCs w:val="24"/>
        </w:rPr>
        <w:t xml:space="preserve">19.3 </w:t>
      </w:r>
      <w:r>
        <w:rPr>
          <w:rFonts w:hint="eastAsia" w:ascii="仿宋" w:hAnsi="仿宋" w:eastAsia="仿宋"/>
          <w:sz w:val="24"/>
          <w:szCs w:val="24"/>
        </w:rPr>
        <w:t>款约定</w:t>
      </w:r>
      <w:r>
        <w:rPr>
          <w:rFonts w:ascii="仿宋" w:hAnsi="仿宋" w:eastAsia="仿宋"/>
          <w:sz w:val="24"/>
          <w:szCs w:val="24"/>
        </w:rPr>
        <w:t xml:space="preserve">68 </w:t>
      </w:r>
      <w:r>
        <w:rPr>
          <w:rFonts w:hint="eastAsia" w:ascii="仿宋" w:hAnsi="仿宋" w:eastAsia="仿宋"/>
          <w:sz w:val="24"/>
          <w:szCs w:val="24"/>
        </w:rPr>
        <w:t>要求延长缺陷责任期，直至完成剩余工作为止。</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17.5 </w:t>
      </w:r>
      <w:r>
        <w:rPr>
          <w:rFonts w:hint="eastAsia" w:ascii="仿宋" w:hAnsi="仿宋" w:eastAsia="仿宋"/>
          <w:b/>
          <w:sz w:val="24"/>
          <w:szCs w:val="24"/>
        </w:rPr>
        <w:t>竣工结算</w:t>
      </w:r>
      <w:r>
        <w:rPr>
          <w:rFonts w:ascii="仿宋" w:hAnsi="仿宋" w:eastAsia="仿宋"/>
          <w:b/>
          <w:sz w:val="24"/>
          <w:szCs w:val="24"/>
        </w:rPr>
        <w:t>(</w:t>
      </w:r>
      <w:r>
        <w:rPr>
          <w:rFonts w:hint="eastAsia" w:ascii="仿宋" w:hAnsi="仿宋" w:eastAsia="仿宋"/>
          <w:b/>
          <w:sz w:val="24"/>
          <w:szCs w:val="24"/>
        </w:rPr>
        <w:t>完工结算</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17.5.1 </w:t>
      </w:r>
      <w:r>
        <w:rPr>
          <w:rFonts w:hint="eastAsia" w:ascii="仿宋" w:hAnsi="仿宋" w:eastAsia="仿宋"/>
          <w:sz w:val="24"/>
          <w:szCs w:val="24"/>
        </w:rPr>
        <w:t>竣工（完工）付款申请单</w:t>
      </w:r>
    </w:p>
    <w:p>
      <w:pPr>
        <w:spacing w:line="500" w:lineRule="exact"/>
        <w:ind w:firstLine="480"/>
        <w:rPr>
          <w:rFonts w:ascii="仿宋" w:hAnsi="仿宋" w:eastAsia="仿宋"/>
          <w:sz w:val="24"/>
          <w:szCs w:val="24"/>
        </w:rPr>
      </w:pPr>
      <w:r>
        <w:rPr>
          <w:rFonts w:hint="eastAsia" w:ascii="仿宋" w:hAnsi="仿宋" w:eastAsia="仿宋"/>
          <w:sz w:val="24"/>
          <w:szCs w:val="24"/>
        </w:rPr>
        <w:t>（1）承包人应在合同工程完工证书颁发后</w:t>
      </w:r>
      <w:r>
        <w:rPr>
          <w:rFonts w:ascii="仿宋" w:hAnsi="仿宋" w:eastAsia="仿宋"/>
          <w:sz w:val="24"/>
          <w:szCs w:val="24"/>
        </w:rPr>
        <w:t>28</w:t>
      </w:r>
      <w:r>
        <w:rPr>
          <w:rFonts w:hint="eastAsia" w:ascii="仿宋" w:hAnsi="仿宋" w:eastAsia="仿宋"/>
          <w:sz w:val="24"/>
          <w:szCs w:val="24"/>
        </w:rPr>
        <w:t>天内，按专用合同条款约定的份数向监理人提交完工付款申请单，并提供相关证明材料。完工付款申请单应包括下列内容：完工结算合同总价、发包人已支付承包人的工程价款、应扣留的质量保证金、应支付的完工付款金额。</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（2）监理人对完工付款申请单有异议的，有权要求承包人进行修正和提供补充资料。经监理人和承包人协商后，由承包人向监理人提交修正后的完工付款申请单。</w:t>
      </w:r>
    </w:p>
    <w:p>
      <w:pPr>
        <w:spacing w:line="500" w:lineRule="exact"/>
        <w:ind w:firstLine="480"/>
        <w:rPr>
          <w:rFonts w:ascii="仿宋" w:hAnsi="仿宋" w:eastAsia="仿宋"/>
          <w:sz w:val="24"/>
          <w:szCs w:val="24"/>
        </w:rPr>
      </w:pPr>
      <w:r>
        <w:rPr>
          <w:rFonts w:ascii="仿宋" w:hAnsi="仿宋" w:eastAsia="仿宋"/>
          <w:sz w:val="24"/>
          <w:szCs w:val="24"/>
        </w:rPr>
        <w:t xml:space="preserve"> 17.5.2 </w:t>
      </w:r>
      <w:r>
        <w:rPr>
          <w:rFonts w:hint="eastAsia" w:ascii="仿宋" w:hAnsi="仿宋" w:eastAsia="仿宋"/>
          <w:sz w:val="24"/>
          <w:szCs w:val="24"/>
        </w:rPr>
        <w:t>竣工（完工）付款证书及支付时间</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1）监理人在收到承包人提交的完工付款申请单后的14天内完成核查，提出发包人到期应支付给承包人的价款送发包人审核并抄送承包人。发包人应在收到后１４天内审核完毕，由监理人向承包人出具经发包人签认的完工付款证书。监理人未在约定时间内核查，又未提出具体意见的，视为承包人提交的完工付款申请单已经监理人核查同意。发包人未在约定时间内审核又未提出具体意见的，监理人提出发包人到期应支付给承包人的价款视为已经发包人同意。</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（2）发包人应在监理人出具完工付款证书后的１４天内，将应支付款支付给承包人。发包人不按期支付的，按第１７．３．３</w:t>
      </w:r>
      <w:r>
        <w:rPr>
          <w:rFonts w:ascii="仿宋" w:hAnsi="仿宋" w:eastAsia="仿宋"/>
          <w:sz w:val="24"/>
          <w:szCs w:val="24"/>
        </w:rPr>
        <w:t xml:space="preserve"> </w:t>
      </w:r>
      <w:r>
        <w:rPr>
          <w:rFonts w:hint="eastAsia" w:ascii="仿宋" w:hAnsi="仿宋" w:eastAsia="仿宋"/>
          <w:sz w:val="24"/>
          <w:szCs w:val="24"/>
        </w:rPr>
        <w:t>（２）目的约定，将逾期付款违约金支付给承包人。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（3）承包人对发包人签认的完工付款证书有异议的，发包人可出具完工付款申请单中承包人已同意部分的临时付款证书。存在争议的部分，按第２４条的约定办理。</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（4）完工付款涉及政府投资资金的，按第１７．３．３</w:t>
      </w:r>
      <w:r>
        <w:rPr>
          <w:rFonts w:ascii="仿宋" w:hAnsi="仿宋" w:eastAsia="仿宋"/>
          <w:sz w:val="24"/>
          <w:szCs w:val="24"/>
        </w:rPr>
        <w:t xml:space="preserve"> </w:t>
      </w:r>
      <w:r>
        <w:rPr>
          <w:rFonts w:hint="eastAsia" w:ascii="仿宋" w:hAnsi="仿宋" w:eastAsia="仿宋"/>
          <w:sz w:val="24"/>
          <w:szCs w:val="24"/>
        </w:rPr>
        <w:t>（４）目的约定办理。</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17.6 </w:t>
      </w:r>
      <w:r>
        <w:rPr>
          <w:rFonts w:hint="eastAsia" w:ascii="仿宋" w:hAnsi="仿宋" w:eastAsia="仿宋"/>
          <w:b/>
          <w:sz w:val="24"/>
          <w:szCs w:val="24"/>
        </w:rPr>
        <w:t>最终结清</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17.6.1 </w:t>
      </w:r>
      <w:r>
        <w:rPr>
          <w:rFonts w:hint="eastAsia" w:ascii="仿宋" w:hAnsi="仿宋" w:eastAsia="仿宋"/>
          <w:sz w:val="24"/>
          <w:szCs w:val="24"/>
        </w:rPr>
        <w:t>最终结清申请单</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（1）工程质量保修责任终止证书签发后，承包人应按监理人批准的格式提交最终结清申请单。提交最终结清申请单的份数在专用合同条款中约定。</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（2）发包人对最终结清申请单内容有异议的，有权要求承包人进行修正和提供补充资料，由承包人向监理人提交修正后的最终结清申请单。</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17.6.2 </w:t>
      </w:r>
      <w:r>
        <w:rPr>
          <w:rFonts w:hint="eastAsia" w:ascii="仿宋" w:hAnsi="仿宋" w:eastAsia="仿宋"/>
          <w:sz w:val="24"/>
          <w:szCs w:val="24"/>
        </w:rPr>
        <w:t>最终结清证书和支付时间</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）监理人收到承包人提交的最终结清申请单后的</w:t>
      </w:r>
      <w:r>
        <w:rPr>
          <w:rFonts w:ascii="仿宋" w:hAnsi="仿宋" w:eastAsia="仿宋"/>
          <w:sz w:val="24"/>
          <w:szCs w:val="24"/>
        </w:rPr>
        <w:t xml:space="preserve">14 </w:t>
      </w:r>
      <w:r>
        <w:rPr>
          <w:rFonts w:hint="eastAsia" w:ascii="仿宋" w:hAnsi="仿宋" w:eastAsia="仿宋"/>
          <w:sz w:val="24"/>
          <w:szCs w:val="24"/>
        </w:rPr>
        <w:t>天内，提出发包人应支付给承包人的价款送发包人审核并抄送承包人。发包人应在收到后</w:t>
      </w:r>
      <w:r>
        <w:rPr>
          <w:rFonts w:ascii="仿宋" w:hAnsi="仿宋" w:eastAsia="仿宋"/>
          <w:sz w:val="24"/>
          <w:szCs w:val="24"/>
        </w:rPr>
        <w:t xml:space="preserve">14 </w:t>
      </w:r>
      <w:r>
        <w:rPr>
          <w:rFonts w:hint="eastAsia" w:ascii="仿宋" w:hAnsi="仿宋" w:eastAsia="仿宋"/>
          <w:sz w:val="24"/>
          <w:szCs w:val="24"/>
        </w:rPr>
        <w:t>天内审核完毕，由监理人向承包人出具经发包人签认的最终结清证书。监理人未在约定时间内核查，又未提出具体意见的，视为承包人提交的最终结清申请已经监理人核查同意；发包人未在约定时间内审核又未提出具体意见的，监理人提出应支付给承包人的价款视为已经发包人同意。</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）发包人应在监理人出具最终结清证书后的</w:t>
      </w:r>
      <w:r>
        <w:rPr>
          <w:rFonts w:ascii="仿宋" w:hAnsi="仿宋" w:eastAsia="仿宋"/>
          <w:sz w:val="24"/>
          <w:szCs w:val="24"/>
        </w:rPr>
        <w:t xml:space="preserve">14 </w:t>
      </w:r>
      <w:r>
        <w:rPr>
          <w:rFonts w:hint="eastAsia" w:ascii="仿宋" w:hAnsi="仿宋" w:eastAsia="仿宋"/>
          <w:sz w:val="24"/>
          <w:szCs w:val="24"/>
        </w:rPr>
        <w:t>天内，将应支付款支付给承包人。发包人不按期支付的，按第</w:t>
      </w:r>
      <w:r>
        <w:rPr>
          <w:rFonts w:ascii="仿宋" w:hAnsi="仿宋" w:eastAsia="仿宋"/>
          <w:sz w:val="24"/>
          <w:szCs w:val="24"/>
        </w:rPr>
        <w:t>17.3.3</w:t>
      </w: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）目的约定，将逾期付款违约金支付给承包人。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）承包人对发包人签认的最终结清证书有异议的，按第</w:t>
      </w:r>
      <w:r>
        <w:rPr>
          <w:rFonts w:ascii="仿宋" w:hAnsi="仿宋" w:eastAsia="仿宋"/>
          <w:sz w:val="24"/>
          <w:szCs w:val="24"/>
        </w:rPr>
        <w:t xml:space="preserve">24 </w:t>
      </w:r>
      <w:r>
        <w:rPr>
          <w:rFonts w:hint="eastAsia" w:ascii="仿宋" w:hAnsi="仿宋" w:eastAsia="仿宋"/>
          <w:sz w:val="24"/>
          <w:szCs w:val="24"/>
        </w:rPr>
        <w:t>条的约定办理。</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4</w:t>
      </w:r>
      <w:r>
        <w:rPr>
          <w:rFonts w:hint="eastAsia" w:ascii="仿宋" w:hAnsi="仿宋" w:eastAsia="仿宋"/>
          <w:sz w:val="24"/>
          <w:szCs w:val="24"/>
        </w:rPr>
        <w:t>）最终结清付款涉及政府投资资金的，按第17.3.3（４）目的约定办理。</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17.7 </w:t>
      </w:r>
      <w:r>
        <w:rPr>
          <w:rFonts w:hint="eastAsia" w:ascii="仿宋" w:hAnsi="仿宋" w:eastAsia="仿宋"/>
          <w:b/>
          <w:sz w:val="24"/>
          <w:szCs w:val="24"/>
        </w:rPr>
        <w:t>竣工财务决算</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发包人负责编制本工程项目竣工财务决算，承包人应按专用合同条款的约定提供竣工财务决算编制所需的相关材料。</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17.8 </w:t>
      </w:r>
      <w:r>
        <w:rPr>
          <w:rFonts w:hint="eastAsia" w:ascii="仿宋" w:hAnsi="仿宋" w:eastAsia="仿宋"/>
          <w:b/>
          <w:sz w:val="24"/>
          <w:szCs w:val="24"/>
        </w:rPr>
        <w:t>竣工审计</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发包人负责完成本工程竣工审计手续，承包人应完成相关配合工作。</w:t>
      </w:r>
    </w:p>
    <w:p>
      <w:pPr>
        <w:spacing w:line="500" w:lineRule="exact"/>
        <w:ind w:firstLine="482"/>
        <w:rPr>
          <w:rFonts w:ascii="仿宋" w:hAnsi="仿宋" w:eastAsia="仿宋"/>
          <w:b/>
          <w:sz w:val="24"/>
          <w:szCs w:val="24"/>
        </w:rPr>
      </w:pPr>
      <w:r>
        <w:rPr>
          <w:rFonts w:ascii="仿宋" w:hAnsi="仿宋" w:eastAsia="仿宋"/>
          <w:b/>
          <w:sz w:val="24"/>
          <w:szCs w:val="24"/>
        </w:rPr>
        <w:t xml:space="preserve">18. </w:t>
      </w:r>
      <w:r>
        <w:rPr>
          <w:rFonts w:hint="eastAsia" w:ascii="仿宋" w:hAnsi="仿宋" w:eastAsia="仿宋"/>
          <w:b/>
          <w:sz w:val="24"/>
          <w:szCs w:val="24"/>
        </w:rPr>
        <w:t>竣工验收</w:t>
      </w:r>
      <w:r>
        <w:rPr>
          <w:rFonts w:ascii="仿宋" w:hAnsi="仿宋" w:eastAsia="仿宋"/>
          <w:b/>
          <w:sz w:val="24"/>
          <w:szCs w:val="24"/>
        </w:rPr>
        <w:t>(</w:t>
      </w:r>
      <w:r>
        <w:rPr>
          <w:rFonts w:hint="eastAsia" w:ascii="仿宋" w:hAnsi="仿宋" w:eastAsia="仿宋"/>
          <w:b/>
          <w:sz w:val="24"/>
          <w:szCs w:val="24"/>
        </w:rPr>
        <w:t>验收</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18.1 </w:t>
      </w:r>
      <w:r>
        <w:rPr>
          <w:rFonts w:hint="eastAsia" w:ascii="仿宋" w:hAnsi="仿宋" w:eastAsia="仿宋"/>
          <w:sz w:val="24"/>
          <w:szCs w:val="24"/>
        </w:rPr>
        <w:t>验收工作分类</w:t>
      </w:r>
      <w:r>
        <w:rPr>
          <w:rFonts w:ascii="仿宋" w:hAnsi="仿宋" w:eastAsia="仿宋"/>
          <w:sz w:val="24"/>
          <w:szCs w:val="24"/>
        </w:rPr>
        <w:t xml:space="preserve">  </w:t>
      </w:r>
      <w:r>
        <w:rPr>
          <w:rFonts w:hint="eastAsia" w:ascii="仿宋" w:hAnsi="仿宋" w:eastAsia="仿宋"/>
          <w:sz w:val="24"/>
          <w:szCs w:val="24"/>
        </w:rPr>
        <w:t>本工程验收工作按主持单位分为法人验收和政府验收。法人验收和政府验收的类别在专用合同条款中约定。除专用合同条款另有约定外，法人验收由发包人主持。承包人应完成法人验收和政府验收的配合工作，所需费用应含在已标价工程量清单中。</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18.2 </w:t>
      </w:r>
      <w:r>
        <w:rPr>
          <w:rFonts w:hint="eastAsia" w:ascii="仿宋" w:hAnsi="仿宋" w:eastAsia="仿宋"/>
          <w:b/>
          <w:sz w:val="24"/>
          <w:szCs w:val="24"/>
        </w:rPr>
        <w:t>分部工程验收</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18.2.1 </w:t>
      </w:r>
      <w:r>
        <w:rPr>
          <w:rFonts w:hint="eastAsia" w:ascii="仿宋" w:hAnsi="仿宋" w:eastAsia="仿宋"/>
          <w:sz w:val="24"/>
          <w:szCs w:val="24"/>
        </w:rPr>
        <w:t>分部工程具备验收条件时，承包人应向发包人提交验收申请报告，发包人应在收到验收申请报告之日起１０个工作日内决定是否同意进行验收。</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18.2.2 </w:t>
      </w:r>
      <w:r>
        <w:rPr>
          <w:rFonts w:hint="eastAsia" w:ascii="仿宋" w:hAnsi="仿宋" w:eastAsia="仿宋"/>
          <w:sz w:val="24"/>
          <w:szCs w:val="24"/>
        </w:rPr>
        <w:t>除专用合同条款另有约定外，监理人主持分部工程验收，承包人应派符合条件的代表参加验收工作组。</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18.2.3 </w:t>
      </w:r>
      <w:r>
        <w:rPr>
          <w:rFonts w:hint="eastAsia" w:ascii="仿宋" w:hAnsi="仿宋" w:eastAsia="仿宋"/>
          <w:sz w:val="24"/>
          <w:szCs w:val="24"/>
        </w:rPr>
        <w:t>分部工程验收通过后，发包人向承包人发送分部工程验收鉴定书。承包人应及时完成分部工程验收鉴定书载明应由承包人处理的遗留问题。</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18.3 </w:t>
      </w:r>
      <w:r>
        <w:rPr>
          <w:rFonts w:hint="eastAsia" w:ascii="仿宋" w:hAnsi="仿宋" w:eastAsia="仿宋"/>
          <w:b/>
          <w:sz w:val="24"/>
          <w:szCs w:val="24"/>
        </w:rPr>
        <w:t>单位工程验收</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18.3.1 </w:t>
      </w:r>
      <w:r>
        <w:rPr>
          <w:rFonts w:hint="eastAsia" w:ascii="仿宋" w:hAnsi="仿宋" w:eastAsia="仿宋"/>
          <w:sz w:val="24"/>
          <w:szCs w:val="24"/>
        </w:rPr>
        <w:t>单位工程具备验收条件时，承包人应向发包人提交验收申请报告，发包人应在收到验收申请报告之日起１０个工作日内决定是否同意进行验收。</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18.3.2 </w:t>
      </w:r>
      <w:r>
        <w:rPr>
          <w:rFonts w:hint="eastAsia" w:ascii="仿宋" w:hAnsi="仿宋" w:eastAsia="仿宋"/>
          <w:sz w:val="24"/>
          <w:szCs w:val="24"/>
        </w:rPr>
        <w:t>发包人主持单位工程验收，承包人应派符合条件的代表参加验收工作组。</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18.3.3 </w:t>
      </w:r>
      <w:r>
        <w:rPr>
          <w:rFonts w:hint="eastAsia" w:ascii="仿宋" w:hAnsi="仿宋" w:eastAsia="仿宋"/>
          <w:sz w:val="24"/>
          <w:szCs w:val="24"/>
        </w:rPr>
        <w:t>单位工程验收通过后，发包人向承包人发送单位工程验收鉴定书。承包人应及时完成单位工程验收鉴定书载明应由承包人处理的遗留问题。</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18.3.4 </w:t>
      </w:r>
      <w:r>
        <w:rPr>
          <w:rFonts w:hint="eastAsia" w:ascii="仿宋" w:hAnsi="仿宋" w:eastAsia="仿宋"/>
          <w:sz w:val="24"/>
          <w:szCs w:val="24"/>
        </w:rPr>
        <w:t>需提前投入使用的单位工程在专用合同条款中明确。</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18.4 </w:t>
      </w:r>
      <w:r>
        <w:rPr>
          <w:rFonts w:hint="eastAsia" w:ascii="仿宋" w:hAnsi="仿宋" w:eastAsia="仿宋"/>
          <w:b/>
          <w:sz w:val="24"/>
          <w:szCs w:val="24"/>
        </w:rPr>
        <w:t>合同工程完工验收</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18.4.1 </w:t>
      </w:r>
      <w:r>
        <w:rPr>
          <w:rFonts w:hint="eastAsia" w:ascii="仿宋" w:hAnsi="仿宋" w:eastAsia="仿宋"/>
          <w:sz w:val="24"/>
          <w:szCs w:val="24"/>
        </w:rPr>
        <w:t>合同工程具备验收条件时，承包人应向发包人提交验收申请报告，发包人应在收到验收申请报告之日起20个工作日内决定是否同意进行验收。</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18.4.2 </w:t>
      </w:r>
      <w:r>
        <w:rPr>
          <w:rFonts w:hint="eastAsia" w:ascii="仿宋" w:hAnsi="仿宋" w:eastAsia="仿宋"/>
          <w:sz w:val="24"/>
          <w:szCs w:val="24"/>
        </w:rPr>
        <w:t>发包人主持合同工程完工验收，承包人应派代表参加验收工作组。</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18.4.3 </w:t>
      </w:r>
      <w:r>
        <w:rPr>
          <w:rFonts w:hint="eastAsia" w:ascii="仿宋" w:hAnsi="仿宋" w:eastAsia="仿宋"/>
          <w:sz w:val="24"/>
          <w:szCs w:val="24"/>
        </w:rPr>
        <w:t>合同工程完工验收通过后，发包人向承包人发送合同工程完工验收鉴定书。承包人应及时完成合同工程完工验收鉴定书载明应由承包人处理的遗留问题。</w:t>
      </w:r>
      <w:r>
        <w:rPr>
          <w:rFonts w:ascii="仿宋" w:hAnsi="仿宋" w:eastAsia="仿宋"/>
          <w:sz w:val="24"/>
          <w:szCs w:val="24"/>
        </w:rPr>
        <w:t xml:space="preserve">  </w:t>
      </w:r>
    </w:p>
    <w:p>
      <w:pPr>
        <w:tabs>
          <w:tab w:val="left" w:pos="284"/>
        </w:tabs>
        <w:spacing w:line="500" w:lineRule="exact"/>
        <w:ind w:firstLine="480"/>
        <w:rPr>
          <w:rFonts w:ascii="仿宋" w:hAnsi="仿宋" w:eastAsia="仿宋"/>
          <w:sz w:val="24"/>
          <w:szCs w:val="24"/>
        </w:rPr>
      </w:pPr>
      <w:r>
        <w:rPr>
          <w:rFonts w:ascii="仿宋" w:hAnsi="仿宋" w:eastAsia="仿宋"/>
          <w:sz w:val="24"/>
          <w:szCs w:val="24"/>
        </w:rPr>
        <w:t xml:space="preserve">18.4.4 </w:t>
      </w:r>
      <w:r>
        <w:rPr>
          <w:rFonts w:hint="eastAsia" w:ascii="仿宋" w:hAnsi="仿宋" w:eastAsia="仿宋"/>
          <w:sz w:val="24"/>
          <w:szCs w:val="24"/>
        </w:rPr>
        <w:t>合同工程完工验收通过后，发包人与承包人应在</w:t>
      </w:r>
      <w:r>
        <w:rPr>
          <w:rFonts w:ascii="仿宋" w:hAnsi="仿宋" w:eastAsia="仿宋"/>
          <w:sz w:val="24"/>
          <w:szCs w:val="24"/>
        </w:rPr>
        <w:t>30</w:t>
      </w:r>
      <w:r>
        <w:rPr>
          <w:rFonts w:hint="eastAsia" w:ascii="仿宋" w:hAnsi="仿宋" w:eastAsia="仿宋"/>
          <w:sz w:val="24"/>
          <w:szCs w:val="24"/>
        </w:rPr>
        <w:t>个工作日内组织专人负责工程交接，双方交接负责人应在交接记录上签字。承包人应按验收鉴定书约定的时间及时移交工程及其档案资料。工程移交时，承包人应向发包人递交工程质量保修书。在承包人递交了工程质量保修书、完成施工场地清理以及提交有关资料后，发包人应在</w:t>
      </w:r>
      <w:r>
        <w:rPr>
          <w:rFonts w:ascii="仿宋" w:hAnsi="仿宋" w:eastAsia="仿宋"/>
          <w:sz w:val="24"/>
          <w:szCs w:val="24"/>
        </w:rPr>
        <w:t>30</w:t>
      </w:r>
      <w:r>
        <w:rPr>
          <w:rFonts w:hint="eastAsia" w:ascii="仿宋" w:hAnsi="仿宋" w:eastAsia="仿宋"/>
          <w:sz w:val="24"/>
          <w:szCs w:val="24"/>
        </w:rPr>
        <w:t>个工作日内向承包人颁发合同工程完工证书。</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18.5 </w:t>
      </w:r>
      <w:r>
        <w:rPr>
          <w:rFonts w:hint="eastAsia" w:ascii="仿宋" w:hAnsi="仿宋" w:eastAsia="仿宋"/>
          <w:b/>
          <w:sz w:val="24"/>
          <w:szCs w:val="24"/>
        </w:rPr>
        <w:t>阶段验收</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18.5.1 </w:t>
      </w:r>
      <w:r>
        <w:rPr>
          <w:rFonts w:hint="eastAsia" w:ascii="仿宋" w:hAnsi="仿宋" w:eastAsia="仿宋"/>
          <w:sz w:val="24"/>
          <w:szCs w:val="24"/>
        </w:rPr>
        <w:t>工程建设具备阶段验收条件时，发包人负责提出阶段验收申请报告。承包人应派代表参加阶段验收，并作为被验收单位在验收鉴定书上签字。阶段验收的具体类别在专用合同条款中约定。</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18.5.2 </w:t>
      </w:r>
      <w:r>
        <w:rPr>
          <w:rFonts w:hint="eastAsia" w:ascii="仿宋" w:hAnsi="仿宋" w:eastAsia="仿宋"/>
          <w:sz w:val="24"/>
          <w:szCs w:val="24"/>
        </w:rPr>
        <w:t>承包人应及时完成阶段验收鉴定书载明应由承包人处理的遗留问题。</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18.6 </w:t>
      </w:r>
      <w:r>
        <w:rPr>
          <w:rFonts w:hint="eastAsia" w:ascii="仿宋" w:hAnsi="仿宋" w:eastAsia="仿宋"/>
          <w:b/>
          <w:sz w:val="24"/>
          <w:szCs w:val="24"/>
        </w:rPr>
        <w:t>专项验收</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18.6.1 </w:t>
      </w:r>
      <w:r>
        <w:rPr>
          <w:rFonts w:hint="eastAsia" w:ascii="仿宋" w:hAnsi="仿宋" w:eastAsia="仿宋"/>
          <w:sz w:val="24"/>
          <w:szCs w:val="24"/>
        </w:rPr>
        <w:t>发包人负责提出专项验收申请报告。承包人应按专项验收的相关规定参加专项验收。专项验收的具体类别在专用合同条款中约定。</w:t>
      </w:r>
      <w:r>
        <w:rPr>
          <w:rFonts w:ascii="仿宋" w:hAnsi="仿宋" w:eastAsia="仿宋"/>
          <w:sz w:val="24"/>
          <w:szCs w:val="24"/>
        </w:rPr>
        <w:t xml:space="preserve">  </w:t>
      </w:r>
    </w:p>
    <w:p>
      <w:pPr>
        <w:spacing w:line="500" w:lineRule="exact"/>
        <w:ind w:firstLine="480"/>
        <w:rPr>
          <w:rFonts w:ascii="仿宋" w:hAnsi="仿宋" w:eastAsia="仿宋"/>
          <w:b/>
          <w:sz w:val="24"/>
          <w:szCs w:val="24"/>
        </w:rPr>
      </w:pPr>
      <w:r>
        <w:rPr>
          <w:rFonts w:ascii="仿宋" w:hAnsi="仿宋" w:eastAsia="仿宋"/>
          <w:sz w:val="24"/>
          <w:szCs w:val="24"/>
        </w:rPr>
        <w:t xml:space="preserve">18.6.2 </w:t>
      </w:r>
      <w:r>
        <w:rPr>
          <w:rFonts w:hint="eastAsia" w:ascii="仿宋" w:hAnsi="仿宋" w:eastAsia="仿宋"/>
          <w:sz w:val="24"/>
          <w:szCs w:val="24"/>
        </w:rPr>
        <w:t>承包人应及时完成专项验收成果性文件载明应由承包人处理的遗留问题。</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18.7 </w:t>
      </w:r>
      <w:r>
        <w:rPr>
          <w:rFonts w:hint="eastAsia" w:ascii="仿宋" w:hAnsi="仿宋" w:eastAsia="仿宋"/>
          <w:b/>
          <w:sz w:val="24"/>
          <w:szCs w:val="24"/>
        </w:rPr>
        <w:t>竣工验收</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18.7.1 </w:t>
      </w:r>
      <w:r>
        <w:rPr>
          <w:rFonts w:hint="eastAsia" w:ascii="仿宋" w:hAnsi="仿宋" w:eastAsia="仿宋"/>
          <w:sz w:val="24"/>
          <w:szCs w:val="24"/>
        </w:rPr>
        <w:t>申请竣工验收前，发包人组织竣工验收自查，承包人应派代表参加。</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18.7.2 </w:t>
      </w:r>
      <w:r>
        <w:rPr>
          <w:rFonts w:hint="eastAsia" w:ascii="仿宋" w:hAnsi="仿宋" w:eastAsia="仿宋"/>
          <w:sz w:val="24"/>
          <w:szCs w:val="24"/>
        </w:rPr>
        <w:t>竣工验收分为竣工技术预验收和竣工验收两个阶段。发包人应通知承包人派代表参加技术预验收和竣工验收。</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18.7.3 </w:t>
      </w:r>
      <w:r>
        <w:rPr>
          <w:rFonts w:hint="eastAsia" w:ascii="仿宋" w:hAnsi="仿宋" w:eastAsia="仿宋"/>
          <w:sz w:val="24"/>
          <w:szCs w:val="24"/>
        </w:rPr>
        <w:t>专用合同条款约定工程需要进行技术鉴定的，承包人应提交有关资料并完成配合工作。</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18.7.4 </w:t>
      </w:r>
      <w:r>
        <w:rPr>
          <w:rFonts w:hint="eastAsia" w:ascii="仿宋" w:hAnsi="仿宋" w:eastAsia="仿宋"/>
          <w:sz w:val="24"/>
          <w:szCs w:val="24"/>
        </w:rPr>
        <w:t>竣工验收需要进行质量检测的，所需费用由发包人承担，但因承包人原因造成质量不合格的除外。</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18.7.5 </w:t>
      </w:r>
      <w:r>
        <w:rPr>
          <w:rFonts w:hint="eastAsia" w:ascii="仿宋" w:hAnsi="仿宋" w:eastAsia="仿宋"/>
          <w:sz w:val="24"/>
          <w:szCs w:val="24"/>
        </w:rPr>
        <w:t>工程质量保修期满以及竣工验收遗留问题和尾工处理完成并通过验收后，发包人负责将处理情况和验收成果报送竣工验收主持单位，申请领取工程竣工证书，并发送承包人。</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18.8 </w:t>
      </w:r>
      <w:r>
        <w:rPr>
          <w:rFonts w:hint="eastAsia" w:ascii="仿宋" w:hAnsi="仿宋" w:eastAsia="仿宋"/>
          <w:b/>
          <w:sz w:val="24"/>
          <w:szCs w:val="24"/>
        </w:rPr>
        <w:t>施工期运行</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18.8.1 </w:t>
      </w:r>
      <w:r>
        <w:rPr>
          <w:rFonts w:hint="eastAsia" w:ascii="仿宋" w:hAnsi="仿宋" w:eastAsia="仿宋"/>
          <w:sz w:val="24"/>
          <w:szCs w:val="24"/>
        </w:rPr>
        <w:t>施工期运行是指合同工程尚未全部完工，其中某单位工程或部分工程已完工，需要投入施工期运行的，经发包人按第</w:t>
      </w:r>
      <w:r>
        <w:rPr>
          <w:rFonts w:ascii="仿宋" w:hAnsi="仿宋" w:eastAsia="仿宋"/>
          <w:sz w:val="24"/>
          <w:szCs w:val="24"/>
        </w:rPr>
        <w:t>18.2</w:t>
      </w:r>
      <w:r>
        <w:rPr>
          <w:rFonts w:hint="eastAsia" w:ascii="仿宋" w:hAnsi="仿宋" w:eastAsia="仿宋"/>
          <w:sz w:val="24"/>
          <w:szCs w:val="24"/>
        </w:rPr>
        <w:t>款或第</w:t>
      </w:r>
      <w:r>
        <w:rPr>
          <w:rFonts w:ascii="仿宋" w:hAnsi="仿宋" w:eastAsia="仿宋"/>
          <w:sz w:val="24"/>
          <w:szCs w:val="24"/>
        </w:rPr>
        <w:t>18.3</w:t>
      </w:r>
      <w:r>
        <w:rPr>
          <w:rFonts w:hint="eastAsia" w:ascii="仿宋" w:hAnsi="仿宋" w:eastAsia="仿宋"/>
          <w:sz w:val="24"/>
          <w:szCs w:val="24"/>
        </w:rPr>
        <w:t>款的约定验收合格，证明能确保安全后，才能在施工期投入运行。需要在施工期运行的单位工程或部分工程在专用合同条款中约定。</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18.8.2 </w:t>
      </w:r>
      <w:r>
        <w:rPr>
          <w:rFonts w:hint="eastAsia" w:ascii="仿宋" w:hAnsi="仿宋" w:eastAsia="仿宋"/>
          <w:sz w:val="24"/>
          <w:szCs w:val="24"/>
        </w:rPr>
        <w:t>在施工期运行中发现工程或工程设备损坏或存在缺陷的，由承包人按第</w:t>
      </w:r>
      <w:r>
        <w:rPr>
          <w:rFonts w:ascii="仿宋" w:hAnsi="仿宋" w:eastAsia="仿宋"/>
          <w:sz w:val="24"/>
          <w:szCs w:val="24"/>
        </w:rPr>
        <w:t>19.2</w:t>
      </w:r>
      <w:r>
        <w:rPr>
          <w:rFonts w:hint="eastAsia" w:ascii="仿宋" w:hAnsi="仿宋" w:eastAsia="仿宋"/>
          <w:sz w:val="24"/>
          <w:szCs w:val="24"/>
        </w:rPr>
        <w:t>款约定进行修复。</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18.9 </w:t>
      </w:r>
      <w:r>
        <w:rPr>
          <w:rFonts w:hint="eastAsia" w:ascii="仿宋" w:hAnsi="仿宋" w:eastAsia="仿宋"/>
          <w:b/>
          <w:sz w:val="24"/>
          <w:szCs w:val="24"/>
        </w:rPr>
        <w:t>试运行</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18.9.1 </w:t>
      </w:r>
      <w:r>
        <w:rPr>
          <w:rFonts w:hint="eastAsia" w:ascii="仿宋" w:hAnsi="仿宋" w:eastAsia="仿宋"/>
          <w:sz w:val="24"/>
          <w:szCs w:val="24"/>
        </w:rPr>
        <w:t>除专用合同条款另有约定外，承包人应按规定进行工程及工程设备试运行，负责提供试运行所需的人员、器材和必要的条件，并承担全部试运行费用。</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18.9.2 </w:t>
      </w:r>
      <w:r>
        <w:rPr>
          <w:rFonts w:hint="eastAsia" w:ascii="仿宋" w:hAnsi="仿宋" w:eastAsia="仿宋"/>
          <w:sz w:val="24"/>
          <w:szCs w:val="24"/>
        </w:rPr>
        <w:t>由于承包人的原因导致试运行失败的，承包人应采取措施保证试运行合格，并承担相应费用。由于发包人的原因导致试运行失败的，承包人应当采取措施保证试运行合格，发包人应承担由此产生的费用，并支付承包人合理利润。</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18.10 </w:t>
      </w:r>
      <w:r>
        <w:rPr>
          <w:rFonts w:hint="eastAsia" w:ascii="仿宋" w:hAnsi="仿宋" w:eastAsia="仿宋"/>
          <w:b/>
          <w:sz w:val="24"/>
          <w:szCs w:val="24"/>
        </w:rPr>
        <w:t>竣工（完工）清场</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18.10.1 </w:t>
      </w:r>
      <w:r>
        <w:rPr>
          <w:rFonts w:hint="eastAsia" w:ascii="仿宋" w:hAnsi="仿宋" w:eastAsia="仿宋"/>
          <w:sz w:val="24"/>
          <w:szCs w:val="24"/>
        </w:rPr>
        <w:t>工程项目竣工（完工）清场的工作范围和内容在技术标准和要求（合同技术条款）中约定。</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18.10.2 </w:t>
      </w:r>
      <w:r>
        <w:rPr>
          <w:rFonts w:hint="eastAsia" w:ascii="仿宋" w:hAnsi="仿宋" w:eastAsia="仿宋"/>
          <w:sz w:val="24"/>
          <w:szCs w:val="24"/>
        </w:rPr>
        <w:t>承包人未按监理人的要求恢复临时占地，或者场地清理未达到合同约定的，发包人有权委托其它人恢复或清理，所发生的金额从拟支付给承包人的款项中扣除。</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18.11 </w:t>
      </w:r>
      <w:r>
        <w:rPr>
          <w:rFonts w:hint="eastAsia" w:ascii="仿宋" w:hAnsi="仿宋" w:eastAsia="仿宋"/>
          <w:b/>
          <w:sz w:val="24"/>
          <w:szCs w:val="24"/>
        </w:rPr>
        <w:t>施工队伍的撤离</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合同工程完工证书颁发后的</w:t>
      </w:r>
      <w:r>
        <w:rPr>
          <w:rFonts w:ascii="仿宋" w:hAnsi="仿宋" w:eastAsia="仿宋"/>
          <w:sz w:val="24"/>
          <w:szCs w:val="24"/>
        </w:rPr>
        <w:t>56</w:t>
      </w:r>
      <w:r>
        <w:rPr>
          <w:rFonts w:hint="eastAsia" w:ascii="仿宋" w:hAnsi="仿宋" w:eastAsia="仿宋"/>
          <w:sz w:val="24"/>
          <w:szCs w:val="24"/>
        </w:rPr>
        <w:t>天内，除了经监理人同意需在缺陷责任期（工程质量保修期）内继续工作和使用的人员、施工设备和临时工程外，其余的人员、施工设备和临时工程均应撤离施工场地或拆除。除合同另有约定外，缺陷责任期（工程质量保修期）满时，承包人的人员和施工设备应全部撤离施工场地。</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19. </w:t>
      </w:r>
      <w:r>
        <w:rPr>
          <w:rFonts w:hint="eastAsia" w:ascii="仿宋" w:hAnsi="仿宋" w:eastAsia="仿宋"/>
          <w:b/>
          <w:sz w:val="24"/>
          <w:szCs w:val="24"/>
        </w:rPr>
        <w:t>缺陷责任与保修责任</w:t>
      </w:r>
      <w:r>
        <w:rPr>
          <w:rFonts w:ascii="仿宋" w:hAnsi="仿宋" w:eastAsia="仿宋"/>
          <w:b/>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19.1 </w:t>
      </w:r>
      <w:r>
        <w:rPr>
          <w:rFonts w:hint="eastAsia" w:ascii="仿宋" w:hAnsi="仿宋" w:eastAsia="仿宋"/>
          <w:b/>
          <w:sz w:val="24"/>
          <w:szCs w:val="24"/>
        </w:rPr>
        <w:t>缺陷责任期（工程质量保修期）的起算时间</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除专用合同条款另有约定外，缺陷责任期（工程质量保修期）从工程通过合同工程完工验收后开始计算。在合同工程完工验收前，已经发包人提前验收的单位工程或部分工程，若未投入使用，其缺陷责任期（工程质量保修期）</w:t>
      </w:r>
      <w:r>
        <w:rPr>
          <w:rFonts w:ascii="仿宋" w:hAnsi="仿宋" w:eastAsia="仿宋"/>
          <w:sz w:val="24"/>
          <w:szCs w:val="24"/>
        </w:rPr>
        <w:t xml:space="preserve"> </w:t>
      </w:r>
      <w:r>
        <w:rPr>
          <w:rFonts w:hint="eastAsia" w:ascii="仿宋" w:hAnsi="仿宋" w:eastAsia="仿宋"/>
          <w:sz w:val="24"/>
          <w:szCs w:val="24"/>
        </w:rPr>
        <w:t>亦从工程通过合同工程完工验收后开始计算；若已投入使用，其缺陷责任期（工程质量保修期）从通过单位工程或部分工程投入使用验收后开始计算。缺陷责任期（工程质量保修期）的期限在专用合同条款中约定。</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19.2 </w:t>
      </w:r>
      <w:r>
        <w:rPr>
          <w:rFonts w:hint="eastAsia" w:ascii="仿宋" w:hAnsi="仿宋" w:eastAsia="仿宋"/>
          <w:b/>
          <w:sz w:val="24"/>
          <w:szCs w:val="24"/>
        </w:rPr>
        <w:t>缺陷责任</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19.2.1 </w:t>
      </w:r>
      <w:r>
        <w:rPr>
          <w:rFonts w:hint="eastAsia" w:ascii="仿宋" w:hAnsi="仿宋" w:eastAsia="仿宋"/>
          <w:sz w:val="24"/>
          <w:szCs w:val="24"/>
        </w:rPr>
        <w:t>承包人应在缺陷责任期内对已交付使用的工程承担缺陷责任。</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19.2.2 </w:t>
      </w:r>
      <w:r>
        <w:rPr>
          <w:rFonts w:hint="eastAsia" w:ascii="仿宋" w:hAnsi="仿宋" w:eastAsia="仿宋"/>
          <w:sz w:val="24"/>
          <w:szCs w:val="24"/>
        </w:rPr>
        <w:t>缺陷责任期内，发包人对已接收使用的工程负责日常维护工作。发包人在使用过程中，发现已接收的工程存在新的缺陷或已修复的缺陷部位或部件又遭损坏的，承包人应负责修复，直至检验合格为止。</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19.2.3 </w:t>
      </w:r>
      <w:r>
        <w:rPr>
          <w:rFonts w:hint="eastAsia" w:ascii="仿宋" w:hAnsi="仿宋" w:eastAsia="仿宋"/>
          <w:sz w:val="24"/>
          <w:szCs w:val="24"/>
        </w:rPr>
        <w:t>监理人和承包人应共同查清缺陷和（或）损坏的原因。经查明属承包人原因造成的，应由承包人承担修复和查验的费用。经查验属发包人原因造成的，发包人应承担修复和查验的费用，并支付承包人合理利润。</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19.2.4 </w:t>
      </w:r>
      <w:r>
        <w:rPr>
          <w:rFonts w:hint="eastAsia" w:ascii="仿宋" w:hAnsi="仿宋" w:eastAsia="仿宋"/>
          <w:sz w:val="24"/>
          <w:szCs w:val="24"/>
        </w:rPr>
        <w:t>承包人不能在合理时间内修复缺陷的，发包人可自行修复或委托其他人修复，所需费用和利润的承担，按第</w:t>
      </w:r>
      <w:r>
        <w:rPr>
          <w:rFonts w:ascii="仿宋" w:hAnsi="仿宋" w:eastAsia="仿宋"/>
          <w:sz w:val="24"/>
          <w:szCs w:val="24"/>
        </w:rPr>
        <w:t xml:space="preserve">19.2.3 </w:t>
      </w:r>
      <w:r>
        <w:rPr>
          <w:rFonts w:hint="eastAsia" w:ascii="仿宋" w:hAnsi="仿宋" w:eastAsia="仿宋"/>
          <w:sz w:val="24"/>
          <w:szCs w:val="24"/>
        </w:rPr>
        <w:t>项约定办理。</w:t>
      </w:r>
      <w:r>
        <w:rPr>
          <w:rFonts w:ascii="仿宋" w:hAnsi="仿宋" w:eastAsia="仿宋"/>
          <w:sz w:val="24"/>
          <w:szCs w:val="24"/>
        </w:rPr>
        <w:t xml:space="preserve"> </w:t>
      </w:r>
    </w:p>
    <w:p>
      <w:pPr>
        <w:spacing w:line="500" w:lineRule="exact"/>
        <w:ind w:firstLine="482"/>
        <w:rPr>
          <w:rFonts w:ascii="仿宋" w:hAnsi="仿宋" w:eastAsia="仿宋"/>
          <w:sz w:val="24"/>
          <w:szCs w:val="24"/>
        </w:rPr>
      </w:pPr>
      <w:r>
        <w:rPr>
          <w:rFonts w:ascii="仿宋" w:hAnsi="仿宋" w:eastAsia="仿宋"/>
          <w:b/>
          <w:sz w:val="24"/>
          <w:szCs w:val="24"/>
        </w:rPr>
        <w:t xml:space="preserve">19.3 </w:t>
      </w:r>
      <w:r>
        <w:rPr>
          <w:rFonts w:hint="eastAsia" w:ascii="仿宋" w:hAnsi="仿宋" w:eastAsia="仿宋"/>
          <w:b/>
          <w:sz w:val="24"/>
          <w:szCs w:val="24"/>
        </w:rPr>
        <w:t>缺陷责任期的延长</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由于承包人原因造成某项缺陷或损坏使某项工程或工程设备不能按原定目标使用而需要再次检查、检验和修复的，发包人有权要求承包人相应延长缺陷责任期，但缺陷责任期最长不超过</w:t>
      </w:r>
      <w:r>
        <w:rPr>
          <w:rFonts w:ascii="仿宋" w:hAnsi="仿宋" w:eastAsia="仿宋"/>
          <w:sz w:val="24"/>
          <w:szCs w:val="24"/>
        </w:rPr>
        <w:t xml:space="preserve">2 </w:t>
      </w:r>
      <w:r>
        <w:rPr>
          <w:rFonts w:hint="eastAsia" w:ascii="仿宋" w:hAnsi="仿宋" w:eastAsia="仿宋"/>
          <w:sz w:val="24"/>
          <w:szCs w:val="24"/>
        </w:rPr>
        <w:t>年。</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19.4 </w:t>
      </w:r>
      <w:r>
        <w:rPr>
          <w:rFonts w:hint="eastAsia" w:ascii="仿宋" w:hAnsi="仿宋" w:eastAsia="仿宋"/>
          <w:b/>
          <w:sz w:val="24"/>
          <w:szCs w:val="24"/>
        </w:rPr>
        <w:t>进一步试验和试运行</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任何一项缺陷或损坏修复后，经检查证明其影响了工程或工程设备的使用性能，承包人应重新进行合同约定的试验和试运行，试验和试运行的全部费用应由责任方承担。</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19.5 </w:t>
      </w:r>
      <w:r>
        <w:rPr>
          <w:rFonts w:hint="eastAsia" w:ascii="仿宋" w:hAnsi="仿宋" w:eastAsia="仿宋"/>
          <w:b/>
          <w:sz w:val="24"/>
          <w:szCs w:val="24"/>
        </w:rPr>
        <w:t>承包人的进入权</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缺陷责任期内承包人为缺陷修复工作需要，有权进入工程现场，但应遵守发包人的保安和保密规定。</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19.6 </w:t>
      </w:r>
      <w:r>
        <w:rPr>
          <w:rFonts w:hint="eastAsia" w:ascii="仿宋" w:hAnsi="仿宋" w:eastAsia="仿宋"/>
          <w:b/>
          <w:sz w:val="24"/>
          <w:szCs w:val="24"/>
        </w:rPr>
        <w:t>缺陷责任期终止证书（工程质量保修责任终止证书）</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合同工程完工验收或投入使用验收后，发包人与承包人应办理工程交接手续，承包人应向发包人递交工程质量保修书。</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缺陷责任期（工程质量保修期）满后</w:t>
      </w:r>
      <w:r>
        <w:rPr>
          <w:rFonts w:ascii="仿宋" w:hAnsi="仿宋" w:eastAsia="仿宋"/>
          <w:sz w:val="24"/>
          <w:szCs w:val="24"/>
        </w:rPr>
        <w:t>30</w:t>
      </w:r>
      <w:r>
        <w:rPr>
          <w:rFonts w:hint="eastAsia" w:ascii="仿宋" w:hAnsi="仿宋" w:eastAsia="仿宋"/>
          <w:sz w:val="24"/>
          <w:szCs w:val="24"/>
        </w:rPr>
        <w:t>个工作日内，发包人应向承包人颁发工程质量保修责任终止证书，并退还剩余的质量保证金，但保修责任范围内的质量缺陷未处理完成的应除外。</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19.7 </w:t>
      </w:r>
      <w:r>
        <w:rPr>
          <w:rFonts w:hint="eastAsia" w:ascii="仿宋" w:hAnsi="仿宋" w:eastAsia="仿宋"/>
          <w:b/>
          <w:sz w:val="24"/>
          <w:szCs w:val="24"/>
        </w:rPr>
        <w:t>保修责任</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合同当事人根据有关法律规定，在专用合同条款中约定工程质量保修范围、期限和责任。保修期自实际竣工日期起计算。在全部工程竣工验收前，已经发包人提前验收的单位工程，其保修期的起算日期相应提前。</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20. </w:t>
      </w:r>
      <w:r>
        <w:rPr>
          <w:rFonts w:hint="eastAsia" w:ascii="仿宋" w:hAnsi="仿宋" w:eastAsia="仿宋"/>
          <w:b/>
          <w:sz w:val="24"/>
          <w:szCs w:val="24"/>
        </w:rPr>
        <w:t>保险</w:t>
      </w:r>
      <w:r>
        <w:rPr>
          <w:rFonts w:ascii="仿宋" w:hAnsi="仿宋" w:eastAsia="仿宋"/>
          <w:b/>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20.1 </w:t>
      </w:r>
      <w:r>
        <w:rPr>
          <w:rFonts w:hint="eastAsia" w:ascii="仿宋" w:hAnsi="仿宋" w:eastAsia="仿宋"/>
          <w:b/>
          <w:sz w:val="24"/>
          <w:szCs w:val="24"/>
        </w:rPr>
        <w:t>工程保险</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除专用合同条款另有约定外，承包人应以发包人和承包人的共同名义向双方同意的保险人投保建筑工程一切险、安装工程一切险。其具体的投保内容、保险金额、保险费率、保险期限等有关内容在专用合同条款中约定。</w:t>
      </w:r>
    </w:p>
    <w:p>
      <w:pPr>
        <w:spacing w:line="500" w:lineRule="exact"/>
        <w:ind w:firstLine="482"/>
        <w:rPr>
          <w:rFonts w:ascii="仿宋" w:hAnsi="仿宋" w:eastAsia="仿宋"/>
          <w:b/>
          <w:sz w:val="24"/>
          <w:szCs w:val="24"/>
        </w:rPr>
      </w:pPr>
      <w:r>
        <w:rPr>
          <w:rFonts w:ascii="仿宋" w:hAnsi="仿宋" w:eastAsia="仿宋"/>
          <w:b/>
          <w:sz w:val="24"/>
          <w:szCs w:val="24"/>
        </w:rPr>
        <w:t>20.2</w:t>
      </w:r>
      <w:r>
        <w:rPr>
          <w:rFonts w:hint="eastAsia" w:ascii="仿宋" w:hAnsi="仿宋" w:eastAsia="仿宋"/>
          <w:b/>
          <w:sz w:val="24"/>
          <w:szCs w:val="24"/>
        </w:rPr>
        <w:t>人员工伤事故的保险</w:t>
      </w:r>
    </w:p>
    <w:p>
      <w:pPr>
        <w:spacing w:line="500" w:lineRule="exact"/>
        <w:ind w:firstLine="480"/>
        <w:rPr>
          <w:rFonts w:ascii="仿宋" w:hAnsi="仿宋" w:eastAsia="仿宋"/>
          <w:sz w:val="24"/>
          <w:szCs w:val="24"/>
        </w:rPr>
      </w:pPr>
      <w:r>
        <w:rPr>
          <w:rFonts w:ascii="仿宋" w:hAnsi="仿宋" w:eastAsia="仿宋"/>
          <w:sz w:val="24"/>
          <w:szCs w:val="24"/>
        </w:rPr>
        <w:t>20.2.1</w:t>
      </w:r>
      <w:r>
        <w:rPr>
          <w:rFonts w:hint="eastAsia" w:ascii="仿宋" w:hAnsi="仿宋" w:eastAsia="仿宋"/>
          <w:sz w:val="24"/>
          <w:szCs w:val="24"/>
        </w:rPr>
        <w:t>承包人员工伤事故的保险</w:t>
      </w:r>
    </w:p>
    <w:p>
      <w:pPr>
        <w:spacing w:line="500" w:lineRule="exact"/>
        <w:ind w:firstLine="480"/>
        <w:rPr>
          <w:rFonts w:ascii="仿宋" w:hAnsi="仿宋" w:eastAsia="仿宋"/>
          <w:sz w:val="24"/>
          <w:szCs w:val="24"/>
        </w:rPr>
      </w:pPr>
      <w:r>
        <w:rPr>
          <w:rFonts w:hint="eastAsia" w:ascii="仿宋" w:hAnsi="仿宋" w:eastAsia="仿宋"/>
          <w:sz w:val="24"/>
          <w:szCs w:val="24"/>
        </w:rPr>
        <w:t>承包人员应依照法律规定参加工伤保险，为其履行合同所雇用的全部人员，缴纳工伤保险费，并要求其分包人员也进行此项保险。</w:t>
      </w:r>
    </w:p>
    <w:p>
      <w:pPr>
        <w:tabs>
          <w:tab w:val="left" w:pos="426"/>
        </w:tabs>
        <w:spacing w:line="500" w:lineRule="exact"/>
        <w:ind w:firstLine="480"/>
        <w:rPr>
          <w:rFonts w:ascii="仿宋" w:hAnsi="仿宋" w:eastAsia="仿宋"/>
          <w:sz w:val="24"/>
          <w:szCs w:val="24"/>
        </w:rPr>
      </w:pPr>
      <w:r>
        <w:rPr>
          <w:rFonts w:ascii="仿宋" w:hAnsi="仿宋" w:eastAsia="仿宋"/>
          <w:sz w:val="24"/>
          <w:szCs w:val="24"/>
        </w:rPr>
        <w:t>20.2.2</w:t>
      </w:r>
      <w:r>
        <w:rPr>
          <w:rFonts w:hint="eastAsia" w:ascii="仿宋" w:hAnsi="仿宋" w:eastAsia="仿宋"/>
          <w:sz w:val="24"/>
          <w:szCs w:val="24"/>
        </w:rPr>
        <w:t>发包人员工伤事故的保险</w:t>
      </w:r>
    </w:p>
    <w:p>
      <w:pPr>
        <w:spacing w:line="500" w:lineRule="exact"/>
        <w:ind w:firstLine="480"/>
        <w:rPr>
          <w:rFonts w:ascii="仿宋" w:hAnsi="仿宋" w:eastAsia="仿宋"/>
          <w:sz w:val="24"/>
          <w:szCs w:val="24"/>
        </w:rPr>
      </w:pPr>
      <w:r>
        <w:rPr>
          <w:rFonts w:hint="eastAsia" w:ascii="仿宋" w:hAnsi="仿宋" w:eastAsia="仿宋"/>
          <w:sz w:val="24"/>
          <w:szCs w:val="24"/>
        </w:rPr>
        <w:t>发包人员应依照法律规定参加工伤保险，为其履行合同所雇用的全部人员，缴纳工伤保险费，并要求其监理人也进行此项保险。</w:t>
      </w:r>
    </w:p>
    <w:p>
      <w:pPr>
        <w:spacing w:line="500" w:lineRule="exact"/>
        <w:ind w:firstLine="480"/>
        <w:rPr>
          <w:rFonts w:ascii="仿宋" w:hAnsi="仿宋" w:eastAsia="仿宋"/>
          <w:sz w:val="24"/>
          <w:szCs w:val="24"/>
        </w:rPr>
      </w:pPr>
      <w:r>
        <w:rPr>
          <w:rFonts w:ascii="仿宋" w:hAnsi="仿宋" w:eastAsia="仿宋"/>
          <w:sz w:val="24"/>
          <w:szCs w:val="24"/>
        </w:rPr>
        <w:t xml:space="preserve"> 20.3 </w:t>
      </w:r>
      <w:r>
        <w:rPr>
          <w:rFonts w:hint="eastAsia" w:ascii="仿宋" w:hAnsi="仿宋" w:eastAsia="仿宋"/>
          <w:sz w:val="24"/>
          <w:szCs w:val="24"/>
        </w:rPr>
        <w:t>人身意外伤害险</w:t>
      </w:r>
    </w:p>
    <w:p>
      <w:pPr>
        <w:spacing w:line="500" w:lineRule="exact"/>
        <w:ind w:firstLine="480"/>
        <w:rPr>
          <w:rFonts w:ascii="仿宋" w:hAnsi="仿宋" w:eastAsia="仿宋"/>
          <w:sz w:val="24"/>
          <w:szCs w:val="24"/>
        </w:rPr>
      </w:pPr>
      <w:r>
        <w:rPr>
          <w:rFonts w:ascii="仿宋" w:hAnsi="仿宋" w:eastAsia="仿宋"/>
          <w:sz w:val="24"/>
          <w:szCs w:val="24"/>
        </w:rPr>
        <w:t xml:space="preserve"> 20.3.1</w:t>
      </w:r>
      <w:r>
        <w:rPr>
          <w:rFonts w:hint="eastAsia" w:ascii="仿宋" w:hAnsi="仿宋" w:eastAsia="仿宋"/>
          <w:sz w:val="24"/>
          <w:szCs w:val="24"/>
        </w:rPr>
        <w:t>发包人应在整个施工期间为其现场机构雇用的全部人员，投保人身意外伤害险，缴纳保险费，并要求其监理人也进行此项保险。</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20.3.2 </w:t>
      </w:r>
      <w:r>
        <w:rPr>
          <w:rFonts w:hint="eastAsia" w:ascii="仿宋" w:hAnsi="仿宋" w:eastAsia="仿宋"/>
          <w:sz w:val="24"/>
          <w:szCs w:val="24"/>
        </w:rPr>
        <w:t>承包人应在整个施工期间为其现场机构雇用的全部人员，投保人身意外伤害险，缴纳保险费，并要求其分包人也进行此项保险。</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20.4 </w:t>
      </w:r>
      <w:r>
        <w:rPr>
          <w:rFonts w:hint="eastAsia" w:ascii="仿宋" w:hAnsi="仿宋" w:eastAsia="仿宋"/>
          <w:b/>
          <w:sz w:val="24"/>
          <w:szCs w:val="24"/>
        </w:rPr>
        <w:t>第三者责任险</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20.4.1 </w:t>
      </w:r>
      <w:r>
        <w:rPr>
          <w:rFonts w:hint="eastAsia" w:ascii="仿宋" w:hAnsi="仿宋" w:eastAsia="仿宋"/>
          <w:sz w:val="24"/>
          <w:szCs w:val="24"/>
        </w:rPr>
        <w:t>第三者责任系指在保险期内，对因工程意外事故造成的、依法应由被保险人负责的工地上及毗邻地区的第三者人身伤亡、疾病或财产损失（本工程除外），以及被保险人因此而支付的诉讼费用和事先经保险人书面同意支付的其他费用等赔偿责任。</w:t>
      </w:r>
      <w:r>
        <w:rPr>
          <w:rFonts w:ascii="仿宋" w:hAnsi="仿宋" w:eastAsia="仿宋"/>
          <w:sz w:val="24"/>
          <w:szCs w:val="24"/>
        </w:rPr>
        <w:t xml:space="preserve">  </w:t>
      </w:r>
    </w:p>
    <w:p>
      <w:pPr>
        <w:spacing w:line="500" w:lineRule="exact"/>
        <w:rPr>
          <w:rFonts w:ascii="仿宋" w:hAnsi="仿宋" w:eastAsia="仿宋"/>
          <w:spacing w:val="-6"/>
          <w:sz w:val="24"/>
          <w:szCs w:val="24"/>
        </w:rPr>
      </w:pPr>
      <w:r>
        <w:rPr>
          <w:rFonts w:ascii="仿宋" w:hAnsi="仿宋" w:eastAsia="仿宋"/>
          <w:sz w:val="24"/>
          <w:szCs w:val="24"/>
        </w:rPr>
        <w:t xml:space="preserve">20.4.2 </w:t>
      </w:r>
      <w:r>
        <w:rPr>
          <w:rFonts w:hint="eastAsia" w:ascii="仿宋" w:hAnsi="仿宋" w:eastAsia="仿宋"/>
          <w:sz w:val="24"/>
          <w:szCs w:val="24"/>
        </w:rPr>
        <w:t>在缺陷责任期终止证书颁发前，承包人应以承包人和发包人的共同名义，投保第</w:t>
      </w:r>
      <w:r>
        <w:rPr>
          <w:rFonts w:ascii="仿宋" w:hAnsi="仿宋" w:eastAsia="仿宋"/>
          <w:spacing w:val="-6"/>
          <w:sz w:val="24"/>
          <w:szCs w:val="24"/>
        </w:rPr>
        <w:t xml:space="preserve">20.4.1 </w:t>
      </w:r>
      <w:r>
        <w:rPr>
          <w:rFonts w:hint="eastAsia" w:ascii="仿宋" w:hAnsi="仿宋" w:eastAsia="仿宋"/>
          <w:spacing w:val="-6"/>
          <w:sz w:val="24"/>
          <w:szCs w:val="24"/>
        </w:rPr>
        <w:t>项约定的第三者责任险，其保险费率、保险金额等有关内容在专用合同条款中约定。</w:t>
      </w:r>
      <w:r>
        <w:rPr>
          <w:rFonts w:ascii="仿宋" w:hAnsi="仿宋" w:eastAsia="仿宋"/>
          <w:spacing w:val="-6"/>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20.5 </w:t>
      </w:r>
      <w:r>
        <w:rPr>
          <w:rFonts w:hint="eastAsia" w:ascii="仿宋" w:hAnsi="仿宋" w:eastAsia="仿宋"/>
          <w:b/>
          <w:sz w:val="24"/>
          <w:szCs w:val="24"/>
        </w:rPr>
        <w:t>其他保险</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除专用合同条款另有约定外，承包人应为其施工设备、进场的材料和工程设备等办理保险。</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20.6 </w:t>
      </w:r>
      <w:r>
        <w:rPr>
          <w:rFonts w:hint="eastAsia" w:ascii="仿宋" w:hAnsi="仿宋" w:eastAsia="仿宋"/>
          <w:b/>
          <w:sz w:val="24"/>
          <w:szCs w:val="24"/>
        </w:rPr>
        <w:t>对各项保险的一般要求</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20.6.1 </w:t>
      </w:r>
      <w:r>
        <w:rPr>
          <w:rFonts w:hint="eastAsia" w:ascii="仿宋" w:hAnsi="仿宋" w:eastAsia="仿宋"/>
          <w:sz w:val="24"/>
          <w:szCs w:val="24"/>
        </w:rPr>
        <w:t>保险凭证</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承包人应在专用合同条款约定的期限内向发包人提交各项保险生效的证据和保险单副本，保险单必须与专用合同条款约定的条件保持一致。</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20.6.2 </w:t>
      </w:r>
      <w:r>
        <w:rPr>
          <w:rFonts w:hint="eastAsia" w:ascii="仿宋" w:hAnsi="仿宋" w:eastAsia="仿宋"/>
          <w:sz w:val="24"/>
          <w:szCs w:val="24"/>
        </w:rPr>
        <w:t>保险合同条款的变动</w:t>
      </w:r>
      <w:r>
        <w:rPr>
          <w:rFonts w:ascii="仿宋" w:hAnsi="仿宋" w:eastAsia="仿宋"/>
          <w:sz w:val="24"/>
          <w:szCs w:val="24"/>
        </w:rPr>
        <w:t xml:space="preserve">  </w:t>
      </w:r>
      <w:r>
        <w:rPr>
          <w:rFonts w:hint="eastAsia" w:ascii="仿宋" w:hAnsi="仿宋" w:eastAsia="仿宋"/>
          <w:sz w:val="24"/>
          <w:szCs w:val="24"/>
        </w:rPr>
        <w:t>承包人需要变动保险合同条款时，应事先征得发包人同意，并通知监理人。保险人作出变动的，承包人应在收到保险人通知后立即通知发包人和监理人。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20.6.3 </w:t>
      </w:r>
      <w:r>
        <w:rPr>
          <w:rFonts w:hint="eastAsia" w:ascii="仿宋" w:hAnsi="仿宋" w:eastAsia="仿宋"/>
          <w:sz w:val="24"/>
          <w:szCs w:val="24"/>
        </w:rPr>
        <w:t>持续保险</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承包人应与保险人保持联系，使保险人能够随时了解工程实施中的变动，并确保按保险合同条款要求持续保险。</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20.6.4 </w:t>
      </w:r>
      <w:r>
        <w:rPr>
          <w:rFonts w:hint="eastAsia" w:ascii="仿宋" w:hAnsi="仿宋" w:eastAsia="仿宋"/>
          <w:sz w:val="24"/>
          <w:szCs w:val="24"/>
        </w:rPr>
        <w:t>保险金不足以补偿损失时，应由承包人和发包人各自负责补偿的范围和金额在专用合同条款中约定。</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20.6.5 </w:t>
      </w:r>
      <w:r>
        <w:rPr>
          <w:rFonts w:hint="eastAsia" w:ascii="仿宋" w:hAnsi="仿宋" w:eastAsia="仿宋"/>
          <w:sz w:val="24"/>
          <w:szCs w:val="24"/>
        </w:rPr>
        <w:t>未按约定投保的补救</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）由于负有投保义务的一方当事人未按合同约定办理保险，或未能使保险持续有效的，另一方当事人可代为办理，所需费用由对方当事人承担。</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）由于负有投保义务的一方当事人未按合同约定办理某项保险，导致受益人未能得到保险人的赔偿，原应从该项保险得到的保险金应由负有投保义务的一方当事人支付。</w:t>
      </w:r>
    </w:p>
    <w:p>
      <w:pPr>
        <w:spacing w:line="500" w:lineRule="exact"/>
        <w:ind w:firstLine="480"/>
        <w:rPr>
          <w:rFonts w:ascii="仿宋" w:hAnsi="仿宋" w:eastAsia="仿宋"/>
          <w:sz w:val="24"/>
          <w:szCs w:val="24"/>
        </w:rPr>
      </w:pPr>
      <w:r>
        <w:rPr>
          <w:rFonts w:ascii="仿宋" w:hAnsi="仿宋" w:eastAsia="仿宋"/>
          <w:sz w:val="24"/>
          <w:szCs w:val="24"/>
        </w:rPr>
        <w:t xml:space="preserve">20.6.6 </w:t>
      </w:r>
      <w:r>
        <w:rPr>
          <w:rFonts w:hint="eastAsia" w:ascii="仿宋" w:hAnsi="仿宋" w:eastAsia="仿宋"/>
          <w:sz w:val="24"/>
          <w:szCs w:val="24"/>
        </w:rPr>
        <w:t>报告义务</w:t>
      </w:r>
      <w:r>
        <w:rPr>
          <w:rFonts w:ascii="仿宋" w:hAnsi="仿宋" w:eastAsia="仿宋"/>
          <w:sz w:val="24"/>
          <w:szCs w:val="24"/>
        </w:rPr>
        <w:t xml:space="preserve">  </w:t>
      </w:r>
      <w:r>
        <w:rPr>
          <w:rFonts w:hint="eastAsia" w:ascii="仿宋" w:hAnsi="仿宋" w:eastAsia="仿宋"/>
          <w:sz w:val="24"/>
          <w:szCs w:val="24"/>
        </w:rPr>
        <w:t>当保险事故发生时，投保人应按照保险单规定的条件和期限及时向保险人报告。</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20.7 </w:t>
      </w:r>
      <w:r>
        <w:rPr>
          <w:rFonts w:hint="eastAsia" w:ascii="仿宋" w:hAnsi="仿宋" w:eastAsia="仿宋"/>
          <w:sz w:val="24"/>
          <w:szCs w:val="24"/>
        </w:rPr>
        <w:t>风险责任的转移</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工程通过合同工程完工验收并移交给发包人后，原由承包人应承担的风险责任，以及保险的责任、权利和义务同时转移给发包人，但承包人在缺陷责任期（工程质量保修期）前造成损失和损坏情形除外。</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21. </w:t>
      </w:r>
      <w:r>
        <w:rPr>
          <w:rFonts w:hint="eastAsia" w:ascii="仿宋" w:hAnsi="仿宋" w:eastAsia="仿宋"/>
          <w:b/>
          <w:sz w:val="24"/>
          <w:szCs w:val="24"/>
        </w:rPr>
        <w:t>不可抗力</w:t>
      </w:r>
      <w:r>
        <w:rPr>
          <w:rFonts w:ascii="仿宋" w:hAnsi="仿宋" w:eastAsia="仿宋"/>
          <w:b/>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21.1 </w:t>
      </w:r>
      <w:r>
        <w:rPr>
          <w:rFonts w:hint="eastAsia" w:ascii="仿宋" w:hAnsi="仿宋" w:eastAsia="仿宋"/>
          <w:b/>
          <w:sz w:val="24"/>
          <w:szCs w:val="24"/>
        </w:rPr>
        <w:t>不可抗力的确认</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21.1.1 </w:t>
      </w:r>
      <w:r>
        <w:rPr>
          <w:rFonts w:hint="eastAsia" w:ascii="仿宋" w:hAnsi="仿宋" w:eastAsia="仿宋"/>
          <w:sz w:val="24"/>
          <w:szCs w:val="24"/>
        </w:rPr>
        <w:t>不可抗力是指承包人和发包人在订立合同时不可预见，在工程施工过程中不可避免发生并不能克服的自然灾害和社会性突发事件，如地震、海啸、瘟疫、水灾、骚乱、暴动、战争和专用合同条款约定的其他情形。</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21.1.2 </w:t>
      </w:r>
      <w:r>
        <w:rPr>
          <w:rFonts w:hint="eastAsia" w:ascii="仿宋" w:hAnsi="仿宋" w:eastAsia="仿宋"/>
          <w:sz w:val="24"/>
          <w:szCs w:val="24"/>
        </w:rPr>
        <w:t>不可抗力发生后，发包人和承包人应及时认真统计所造成的损失，收集不可抗力造成损失的证据。合同双方对是否属于不可抗力或其损失的意见不一致的，由监理人按第</w:t>
      </w:r>
      <w:r>
        <w:rPr>
          <w:rFonts w:ascii="仿宋" w:hAnsi="仿宋" w:eastAsia="仿宋"/>
          <w:sz w:val="24"/>
          <w:szCs w:val="24"/>
        </w:rPr>
        <w:t xml:space="preserve">  3.5 </w:t>
      </w:r>
      <w:r>
        <w:rPr>
          <w:rFonts w:hint="eastAsia" w:ascii="仿宋" w:hAnsi="仿宋" w:eastAsia="仿宋"/>
          <w:sz w:val="24"/>
          <w:szCs w:val="24"/>
        </w:rPr>
        <w:t>款商定或确定。发生争议时，按第</w:t>
      </w:r>
      <w:r>
        <w:rPr>
          <w:rFonts w:ascii="仿宋" w:hAnsi="仿宋" w:eastAsia="仿宋"/>
          <w:sz w:val="24"/>
          <w:szCs w:val="24"/>
        </w:rPr>
        <w:t xml:space="preserve">24 </w:t>
      </w:r>
      <w:r>
        <w:rPr>
          <w:rFonts w:hint="eastAsia" w:ascii="仿宋" w:hAnsi="仿宋" w:eastAsia="仿宋"/>
          <w:sz w:val="24"/>
          <w:szCs w:val="24"/>
        </w:rPr>
        <w:t>条的约定办理。</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21.2 </w:t>
      </w:r>
      <w:r>
        <w:rPr>
          <w:rFonts w:hint="eastAsia" w:ascii="仿宋" w:hAnsi="仿宋" w:eastAsia="仿宋"/>
          <w:b/>
          <w:sz w:val="24"/>
          <w:szCs w:val="24"/>
        </w:rPr>
        <w:t>不可抗力的通知</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21.2.1 </w:t>
      </w:r>
      <w:r>
        <w:rPr>
          <w:rFonts w:hint="eastAsia" w:ascii="仿宋" w:hAnsi="仿宋" w:eastAsia="仿宋"/>
          <w:sz w:val="24"/>
          <w:szCs w:val="24"/>
        </w:rPr>
        <w:t>合同一方当事人遇到不可抗力事件，使其履行合同义务受到阻碍时，应立即通知合同另一方当事人和监理人，书面说明不可抗力和受阻碍的详细情况，并提供必要的证明。</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21.2.2 </w:t>
      </w:r>
      <w:r>
        <w:rPr>
          <w:rFonts w:hint="eastAsia" w:ascii="仿宋" w:hAnsi="仿宋" w:eastAsia="仿宋"/>
          <w:sz w:val="24"/>
          <w:szCs w:val="24"/>
        </w:rPr>
        <w:t>如不可抗力持续发生，合同一方当事人应及时向合同另一方当事人和监理人提交中间报告，说明不可抗力和履行合同受阻的情况，并于不可抗力事件结束后</w:t>
      </w:r>
      <w:r>
        <w:rPr>
          <w:rFonts w:ascii="仿宋" w:hAnsi="仿宋" w:eastAsia="仿宋"/>
          <w:sz w:val="24"/>
          <w:szCs w:val="24"/>
        </w:rPr>
        <w:t xml:space="preserve">28 </w:t>
      </w:r>
      <w:r>
        <w:rPr>
          <w:rFonts w:hint="eastAsia" w:ascii="仿宋" w:hAnsi="仿宋" w:eastAsia="仿宋"/>
          <w:sz w:val="24"/>
          <w:szCs w:val="24"/>
        </w:rPr>
        <w:t>天内提交最终报告及有关资料。</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21.3 </w:t>
      </w:r>
      <w:r>
        <w:rPr>
          <w:rFonts w:hint="eastAsia" w:ascii="仿宋" w:hAnsi="仿宋" w:eastAsia="仿宋"/>
          <w:b/>
          <w:sz w:val="24"/>
          <w:szCs w:val="24"/>
        </w:rPr>
        <w:t>不可抗力后果及其处理</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21.3.1 </w:t>
      </w:r>
      <w:r>
        <w:rPr>
          <w:rFonts w:hint="eastAsia" w:ascii="仿宋" w:hAnsi="仿宋" w:eastAsia="仿宋"/>
          <w:sz w:val="24"/>
          <w:szCs w:val="24"/>
        </w:rPr>
        <w:t>不可抗力造成损害的责任</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除专用合同条款另有约定外，不可抗力导致的人员伤亡、财产损失、费用增加和（或）工期延误等后果，由合同双方按以下原则承担：</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）永久工程，包括已运至施工场地的材料和工程设备的损害，以及因工程损害造成的第三者人员伤亡和财产损失由承包人承担；</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）承包人设备的损坏由承包人承担；</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）发包人和承包人各自承担其人员伤亡和其他财产损失及其相关费用；</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4</w:t>
      </w:r>
      <w:r>
        <w:rPr>
          <w:rFonts w:hint="eastAsia" w:ascii="仿宋" w:hAnsi="仿宋" w:eastAsia="仿宋"/>
          <w:sz w:val="24"/>
          <w:szCs w:val="24"/>
        </w:rPr>
        <w:t>）承包人的停工损失由承包人承担，但停工期间应监理人要求照管工程和清理、</w:t>
      </w:r>
      <w:r>
        <w:rPr>
          <w:rFonts w:ascii="仿宋" w:hAnsi="仿宋" w:eastAsia="仿宋"/>
          <w:sz w:val="24"/>
          <w:szCs w:val="24"/>
        </w:rPr>
        <w:t xml:space="preserve"> </w:t>
      </w:r>
      <w:r>
        <w:rPr>
          <w:rFonts w:hint="eastAsia" w:ascii="仿宋" w:hAnsi="仿宋" w:eastAsia="仿宋"/>
          <w:sz w:val="24"/>
          <w:szCs w:val="24"/>
        </w:rPr>
        <w:t>修复工程的金额由发包人承担；</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5</w:t>
      </w:r>
      <w:r>
        <w:rPr>
          <w:rFonts w:hint="eastAsia" w:ascii="仿宋" w:hAnsi="仿宋" w:eastAsia="仿宋"/>
          <w:sz w:val="24"/>
          <w:szCs w:val="24"/>
        </w:rPr>
        <w:t>）不能按期竣工的，应合理延长工期，承包人不需支付逾期竣工违约金。发包人要求赶工的，承包人应采取赶工措施，赶工费用由发包人承担。</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21.3.2 </w:t>
      </w:r>
      <w:r>
        <w:rPr>
          <w:rFonts w:hint="eastAsia" w:ascii="仿宋" w:hAnsi="仿宋" w:eastAsia="仿宋"/>
          <w:sz w:val="24"/>
          <w:szCs w:val="24"/>
        </w:rPr>
        <w:t>延迟履行期间发生的不可抗力</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合同一方当事人延迟履行，在延迟履行期间发生不可抗力的，不免除其责任。</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21.3.3 </w:t>
      </w:r>
      <w:r>
        <w:rPr>
          <w:rFonts w:hint="eastAsia" w:ascii="仿宋" w:hAnsi="仿宋" w:eastAsia="仿宋"/>
          <w:sz w:val="24"/>
          <w:szCs w:val="24"/>
        </w:rPr>
        <w:t>避免和减少不可抗力损失</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不可抗力发生后，发包人和承包人均应采取措施尽量避免和减少损失的扩大，任何一方没有采取有效措施导致损失扩大的，应对扩大的损失承担责任。</w:t>
      </w:r>
    </w:p>
    <w:p>
      <w:pPr>
        <w:spacing w:line="500" w:lineRule="exact"/>
        <w:ind w:firstLine="480"/>
        <w:rPr>
          <w:rFonts w:ascii="仿宋" w:hAnsi="仿宋" w:eastAsia="仿宋"/>
          <w:sz w:val="24"/>
          <w:szCs w:val="24"/>
        </w:rPr>
      </w:pPr>
      <w:r>
        <w:rPr>
          <w:rFonts w:ascii="仿宋" w:hAnsi="仿宋" w:eastAsia="仿宋"/>
          <w:sz w:val="24"/>
          <w:szCs w:val="24"/>
        </w:rPr>
        <w:t xml:space="preserve">21.3.4 </w:t>
      </w:r>
      <w:r>
        <w:rPr>
          <w:rFonts w:hint="eastAsia" w:ascii="仿宋" w:hAnsi="仿宋" w:eastAsia="仿宋"/>
          <w:sz w:val="24"/>
          <w:szCs w:val="24"/>
        </w:rPr>
        <w:t>因不可抗力解除合同</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合同一方当事人因不可抗力不能履行合同的，应当及时通知对方解除合同。合同解除后，承包人应按照第</w:t>
      </w:r>
      <w:r>
        <w:rPr>
          <w:rFonts w:ascii="仿宋" w:hAnsi="仿宋" w:eastAsia="仿宋"/>
          <w:sz w:val="24"/>
          <w:szCs w:val="24"/>
        </w:rPr>
        <w:t xml:space="preserve">22.2.5 </w:t>
      </w:r>
      <w:r>
        <w:rPr>
          <w:rFonts w:hint="eastAsia" w:ascii="仿宋" w:hAnsi="仿宋" w:eastAsia="仿宋"/>
          <w:sz w:val="24"/>
          <w:szCs w:val="24"/>
        </w:rPr>
        <w:t>项约定撤离施工场地。已经订货的材料、设备由订货方负责退货或解除订货合同，不能退还的货款和因退货、解除订货合同发生的费用，由承包人承担，因未及时退货造成的损失由责任方承担。合同解除后的付款，参照第</w:t>
      </w:r>
      <w:r>
        <w:rPr>
          <w:rFonts w:ascii="仿宋" w:hAnsi="仿宋" w:eastAsia="仿宋"/>
          <w:sz w:val="24"/>
          <w:szCs w:val="24"/>
        </w:rPr>
        <w:t xml:space="preserve">22.2.4 </w:t>
      </w:r>
      <w:r>
        <w:rPr>
          <w:rFonts w:hint="eastAsia" w:ascii="仿宋" w:hAnsi="仿宋" w:eastAsia="仿宋"/>
          <w:sz w:val="24"/>
          <w:szCs w:val="24"/>
        </w:rPr>
        <w:t>项约定，由监理人按第</w:t>
      </w:r>
      <w:r>
        <w:rPr>
          <w:rFonts w:ascii="仿宋" w:hAnsi="仿宋" w:eastAsia="仿宋"/>
          <w:sz w:val="24"/>
          <w:szCs w:val="24"/>
        </w:rPr>
        <w:t xml:space="preserve">3.5 </w:t>
      </w:r>
      <w:r>
        <w:rPr>
          <w:rFonts w:hint="eastAsia" w:ascii="仿宋" w:hAnsi="仿宋" w:eastAsia="仿宋"/>
          <w:sz w:val="24"/>
          <w:szCs w:val="24"/>
        </w:rPr>
        <w:t>款商定或确定。</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22. </w:t>
      </w:r>
      <w:r>
        <w:rPr>
          <w:rFonts w:hint="eastAsia" w:ascii="仿宋" w:hAnsi="仿宋" w:eastAsia="仿宋"/>
          <w:b/>
          <w:sz w:val="24"/>
          <w:szCs w:val="24"/>
        </w:rPr>
        <w:t>违约</w:t>
      </w:r>
      <w:r>
        <w:rPr>
          <w:rFonts w:ascii="仿宋" w:hAnsi="仿宋" w:eastAsia="仿宋"/>
          <w:b/>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22.1 </w:t>
      </w:r>
      <w:r>
        <w:rPr>
          <w:rFonts w:hint="eastAsia" w:ascii="仿宋" w:hAnsi="仿宋" w:eastAsia="仿宋"/>
          <w:b/>
          <w:sz w:val="24"/>
          <w:szCs w:val="24"/>
        </w:rPr>
        <w:t>承包人违约</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22.1.1 </w:t>
      </w:r>
      <w:r>
        <w:rPr>
          <w:rFonts w:hint="eastAsia" w:ascii="仿宋" w:hAnsi="仿宋" w:eastAsia="仿宋"/>
          <w:sz w:val="24"/>
          <w:szCs w:val="24"/>
        </w:rPr>
        <w:t>承包人违约的情形</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在履行合同过程中发生的下列情况属承包人违约：</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）承包人违反第1.8款或第4.3款的约定，私自将合同的全部或部分权利转让给其他人，或私自将合同的全部或部分义务转移给其他人；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）承包人违反第5.3款或第6.4款的约定，未经监理人批准，私自将已按合同约定进入施工场地的施工设备、临时设施或材料撤离施工场地；</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）承包人违反第5.4款的约定使用了不合格材料或工程设备，工程质量达不到标准要求，又拒绝清除不合格工程；</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4</w:t>
      </w:r>
      <w:r>
        <w:rPr>
          <w:rFonts w:hint="eastAsia" w:ascii="仿宋" w:hAnsi="仿宋" w:eastAsia="仿宋"/>
          <w:sz w:val="24"/>
          <w:szCs w:val="24"/>
        </w:rPr>
        <w:t>）承包人未能按合同进度计划及时完成合同约定的工作，已造成或预期造成工期延误；</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5</w:t>
      </w:r>
      <w:r>
        <w:rPr>
          <w:rFonts w:hint="eastAsia" w:ascii="仿宋" w:hAnsi="仿宋" w:eastAsia="仿宋"/>
          <w:sz w:val="24"/>
          <w:szCs w:val="24"/>
        </w:rPr>
        <w:t>）承包人在缺陷责任期（工程质量保修期）内，未能对合同工程完工验收鉴定书所列的缺陷清单的内容或缺陷责任期（工程质量保修期）内发生的缺陷进行修复，而又拒绝按监理人指示再进行修补；</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6</w:t>
      </w:r>
      <w:r>
        <w:rPr>
          <w:rFonts w:hint="eastAsia" w:ascii="仿宋" w:hAnsi="仿宋" w:eastAsia="仿宋"/>
          <w:sz w:val="24"/>
          <w:szCs w:val="24"/>
        </w:rPr>
        <w:t>）承包人无法继续履行或明确表示不履行或实质上已停止履行合同；</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7</w:t>
      </w:r>
      <w:r>
        <w:rPr>
          <w:rFonts w:hint="eastAsia" w:ascii="仿宋" w:hAnsi="仿宋" w:eastAsia="仿宋"/>
          <w:sz w:val="24"/>
          <w:szCs w:val="24"/>
        </w:rPr>
        <w:t>）承包人不按合同约定履行义务的其它情况。</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22.1.2 </w:t>
      </w:r>
      <w:r>
        <w:rPr>
          <w:rFonts w:hint="eastAsia" w:ascii="仿宋" w:hAnsi="仿宋" w:eastAsia="仿宋"/>
          <w:sz w:val="24"/>
          <w:szCs w:val="24"/>
        </w:rPr>
        <w:t>对承包人违约的处理</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 xml:space="preserve">（1）承包人发生第22.1.1（6）目约定的违约情况时，发包人有权单方解除本合同，并向承包人主相应违约金（违约金按合同总价款的30%计）及为主张承包人违约责任所支付的合理费用。（包括但不限于于仲裁费、案件受理费、保全费、保全保险费、公告费、公证费、律师费等合理维权费用）。承包人在收到发包人的解除函后十五日内应当提出异议，逾期未提出异议的视为同意解除合同。  </w:t>
      </w:r>
    </w:p>
    <w:p>
      <w:pPr>
        <w:spacing w:line="500" w:lineRule="exact"/>
        <w:ind w:firstLine="480"/>
        <w:rPr>
          <w:rFonts w:ascii="仿宋" w:hAnsi="仿宋" w:eastAsia="仿宋"/>
          <w:sz w:val="24"/>
          <w:szCs w:val="24"/>
        </w:rPr>
      </w:pPr>
      <w:r>
        <w:rPr>
          <w:rFonts w:hint="eastAsia" w:ascii="仿宋" w:hAnsi="仿宋" w:eastAsia="仿宋"/>
          <w:sz w:val="24"/>
          <w:szCs w:val="24"/>
        </w:rPr>
        <w:t>（2）承包人发生除第22.1.1（6）目约定以外的其他违约情况时，发包人、监理人可向承包人发出整改通知，要求其在指定的期限内整改，承包人应承担违约责任，并向发包人支付违约金（违约金按合同总价款的30%计）；如违约金不足以补偿发包人损失的，则以发包人的实际损失为准；如承包人在发包人、监理人指定的期限内未整改或整改未达发包人标准的，发包人有权单方解除本合同。</w:t>
      </w:r>
    </w:p>
    <w:p>
      <w:pPr>
        <w:spacing w:line="500" w:lineRule="exact"/>
        <w:ind w:firstLine="480"/>
        <w:rPr>
          <w:rFonts w:ascii="仿宋" w:hAnsi="仿宋" w:eastAsia="仿宋"/>
          <w:sz w:val="24"/>
          <w:szCs w:val="24"/>
        </w:rPr>
      </w:pPr>
      <w:r>
        <w:rPr>
          <w:rFonts w:hint="eastAsia" w:ascii="仿宋" w:hAnsi="仿宋" w:eastAsia="仿宋"/>
          <w:sz w:val="24"/>
          <w:szCs w:val="24"/>
        </w:rPr>
        <w:t>（3）经检查证明承包人已采取了有效措施纠正违约行为，具备复工条件的，经发包人书面同意后，可由监理人签发复工通知书通知承包人复工。</w:t>
      </w:r>
    </w:p>
    <w:p>
      <w:pPr>
        <w:spacing w:line="500" w:lineRule="exact"/>
        <w:ind w:firstLine="480"/>
        <w:rPr>
          <w:rFonts w:ascii="仿宋" w:hAnsi="仿宋" w:eastAsia="仿宋"/>
          <w:sz w:val="24"/>
          <w:szCs w:val="24"/>
        </w:rPr>
      </w:pPr>
      <w:r>
        <w:rPr>
          <w:rFonts w:hint="eastAsia" w:ascii="仿宋" w:hAnsi="仿宋" w:eastAsia="仿宋"/>
          <w:sz w:val="24"/>
          <w:szCs w:val="24"/>
        </w:rPr>
        <w:t xml:space="preserve">22.1.3 承包人违约解除合同  </w:t>
      </w:r>
    </w:p>
    <w:p>
      <w:pPr>
        <w:spacing w:line="500" w:lineRule="exact"/>
        <w:ind w:firstLine="480"/>
        <w:rPr>
          <w:rFonts w:ascii="仿宋" w:hAnsi="仿宋" w:eastAsia="仿宋"/>
          <w:sz w:val="24"/>
          <w:szCs w:val="24"/>
        </w:rPr>
      </w:pPr>
      <w:r>
        <w:rPr>
          <w:rFonts w:hint="eastAsia" w:ascii="仿宋" w:hAnsi="仿宋" w:eastAsia="仿宋"/>
          <w:sz w:val="24"/>
          <w:szCs w:val="24"/>
        </w:rPr>
        <w:t>监理人发出整改通知28 天后，承包人仍不纠正违约行为的，发包人可向承包人发出解除合同通知。合同解除后，发包人可派员进驻施工场地，另行组织人员或委托其他承包人施工。发包人因继续完成该工程的需要，有权以承包人先行违约为由，扣留并无偿使用承包人在现场遗留的材料、设备和临时设施，如以上材料、设备、设施为第三人所有的，承包人应按时向他人支付租金；或由发包人向他人代付后承包人应得的工程款中扣；以确保发包人正常施工使用，直至双方争议得到解决或本工程通过竣工验收。但发包人的这一行为不免除承包人应承担的违约责任，也不影响发包人根据合同约定享有的索赔权利并追究承包人因此产生的损失（包括但不限于于仲裁费、案件受理费、保全费、保全保险费、公告费、公证费、律师费等合理维权费用）。承包人在收到发包人的解除函后十五日内应当提出异议，逾期未提出异议的视为同意解除合同。</w:t>
      </w:r>
    </w:p>
    <w:p>
      <w:pPr>
        <w:spacing w:line="500" w:lineRule="exact"/>
        <w:ind w:firstLine="480"/>
        <w:rPr>
          <w:rFonts w:ascii="仿宋" w:hAnsi="仿宋" w:eastAsia="仿宋"/>
          <w:sz w:val="24"/>
          <w:szCs w:val="24"/>
        </w:rPr>
      </w:pPr>
      <w:r>
        <w:rPr>
          <w:rFonts w:hint="eastAsia" w:ascii="仿宋" w:hAnsi="仿宋" w:eastAsia="仿宋"/>
          <w:sz w:val="24"/>
          <w:szCs w:val="24"/>
        </w:rPr>
        <w:t xml:space="preserve"> 22.1.4 合同解除后的估价、付款和结清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）合同解除后，监理人按第</w:t>
      </w:r>
      <w:r>
        <w:rPr>
          <w:rFonts w:ascii="仿宋" w:hAnsi="仿宋" w:eastAsia="仿宋"/>
          <w:sz w:val="24"/>
          <w:szCs w:val="24"/>
        </w:rPr>
        <w:t xml:space="preserve">3.5 </w:t>
      </w:r>
      <w:r>
        <w:rPr>
          <w:rFonts w:hint="eastAsia" w:ascii="仿宋" w:hAnsi="仿宋" w:eastAsia="仿宋"/>
          <w:sz w:val="24"/>
          <w:szCs w:val="24"/>
        </w:rPr>
        <w:t>款商定或确定承包人实际完成工作的价值，以及承包人已提供的材料、施工设备、工程设备和临时工程等的价值。</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）合同解除后，发包人应暂停对承包人的一切付款，查清各项付款和已扣款金额，包括承包人应支付的违约金。</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）合同解除后，发包人应按第</w:t>
      </w:r>
      <w:r>
        <w:rPr>
          <w:rFonts w:ascii="仿宋" w:hAnsi="仿宋" w:eastAsia="仿宋"/>
          <w:sz w:val="24"/>
          <w:szCs w:val="24"/>
        </w:rPr>
        <w:t xml:space="preserve">23.4 </w:t>
      </w:r>
      <w:r>
        <w:rPr>
          <w:rFonts w:hint="eastAsia" w:ascii="仿宋" w:hAnsi="仿宋" w:eastAsia="仿宋"/>
          <w:sz w:val="24"/>
          <w:szCs w:val="24"/>
        </w:rPr>
        <w:t>款的约定向承包人索赔由于解除合同给发包人造成的损失。</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4</w:t>
      </w:r>
      <w:r>
        <w:rPr>
          <w:rFonts w:hint="eastAsia" w:ascii="仿宋" w:hAnsi="仿宋" w:eastAsia="仿宋"/>
          <w:sz w:val="24"/>
          <w:szCs w:val="24"/>
        </w:rPr>
        <w:t>）合同双方确认上述往来款项后，出具最终结清付款证书，结清全部合同款项。</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5</w:t>
      </w:r>
      <w:r>
        <w:rPr>
          <w:rFonts w:hint="eastAsia" w:ascii="仿宋" w:hAnsi="仿宋" w:eastAsia="仿宋"/>
          <w:sz w:val="24"/>
          <w:szCs w:val="24"/>
        </w:rPr>
        <w:t>）发包人和承包人未能就解除合同后的结清达成一致而形成争议的，按第</w:t>
      </w:r>
      <w:r>
        <w:rPr>
          <w:rFonts w:ascii="仿宋" w:hAnsi="仿宋" w:eastAsia="仿宋"/>
          <w:sz w:val="24"/>
          <w:szCs w:val="24"/>
        </w:rPr>
        <w:t xml:space="preserve">24 </w:t>
      </w:r>
      <w:r>
        <w:rPr>
          <w:rFonts w:hint="eastAsia" w:ascii="仿宋" w:hAnsi="仿宋" w:eastAsia="仿宋"/>
          <w:sz w:val="24"/>
          <w:szCs w:val="24"/>
        </w:rPr>
        <w:t>条的约定办理。</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22.1.5 </w:t>
      </w:r>
      <w:r>
        <w:rPr>
          <w:rFonts w:hint="eastAsia" w:ascii="仿宋" w:hAnsi="仿宋" w:eastAsia="仿宋"/>
          <w:sz w:val="24"/>
          <w:szCs w:val="24"/>
        </w:rPr>
        <w:t>协议利益的转让</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因承包人违约解除合同的，发包人有权要求承包人将其为实施合同而签订的材料和设备的订货协议或任何服务协议利益转让给发包人，并在解除合同后的</w:t>
      </w:r>
      <w:r>
        <w:rPr>
          <w:rFonts w:ascii="仿宋" w:hAnsi="仿宋" w:eastAsia="仿宋"/>
          <w:sz w:val="24"/>
          <w:szCs w:val="24"/>
        </w:rPr>
        <w:t xml:space="preserve">14 </w:t>
      </w:r>
      <w:r>
        <w:rPr>
          <w:rFonts w:hint="eastAsia" w:ascii="仿宋" w:hAnsi="仿宋" w:eastAsia="仿宋"/>
          <w:sz w:val="24"/>
          <w:szCs w:val="24"/>
        </w:rPr>
        <w:t>天内，依法办理转让手续。</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 xml:space="preserve">22.1.6 紧急情况下无能力或不愿进行抢救  </w:t>
      </w:r>
    </w:p>
    <w:p>
      <w:pPr>
        <w:spacing w:line="500" w:lineRule="exact"/>
        <w:ind w:firstLine="480"/>
        <w:rPr>
          <w:rFonts w:ascii="仿宋" w:hAnsi="仿宋" w:eastAsia="仿宋"/>
          <w:sz w:val="24"/>
          <w:szCs w:val="24"/>
        </w:rPr>
      </w:pPr>
      <w:r>
        <w:rPr>
          <w:rFonts w:hint="eastAsia" w:ascii="仿宋" w:hAnsi="仿宋" w:eastAsia="仿宋"/>
          <w:sz w:val="24"/>
          <w:szCs w:val="24"/>
        </w:rPr>
        <w:t>在工程实施期间或缺陷责任期内发生危及工程安全的事件，监理人通知承包人进行抢救，承包人声明无能力或不愿立即执行的，发包人有权雇佣其他人员进行抢救。此类抢救按合同约定属于承包人义务的，由此发生的金额和（或）工期延误由承包人承担。</w:t>
      </w:r>
    </w:p>
    <w:p>
      <w:pPr>
        <w:spacing w:line="500" w:lineRule="exact"/>
        <w:ind w:firstLine="480"/>
        <w:rPr>
          <w:rFonts w:ascii="仿宋" w:hAnsi="仿宋" w:eastAsia="仿宋"/>
          <w:sz w:val="24"/>
          <w:szCs w:val="24"/>
        </w:rPr>
      </w:pPr>
      <w:r>
        <w:rPr>
          <w:rFonts w:hint="eastAsia" w:ascii="仿宋" w:hAnsi="仿宋" w:eastAsia="仿宋"/>
          <w:sz w:val="24"/>
          <w:szCs w:val="24"/>
        </w:rPr>
        <w:t xml:space="preserve">22.2.1 发包人违约的情形  </w:t>
      </w:r>
    </w:p>
    <w:p>
      <w:pPr>
        <w:spacing w:line="500" w:lineRule="exact"/>
        <w:ind w:firstLine="480"/>
        <w:rPr>
          <w:rFonts w:ascii="仿宋" w:hAnsi="仿宋" w:eastAsia="仿宋"/>
          <w:sz w:val="24"/>
          <w:szCs w:val="24"/>
        </w:rPr>
      </w:pPr>
      <w:r>
        <w:rPr>
          <w:rFonts w:hint="eastAsia" w:ascii="仿宋" w:hAnsi="仿宋" w:eastAsia="仿宋"/>
          <w:sz w:val="24"/>
          <w:szCs w:val="24"/>
        </w:rPr>
        <w:t>在履行合同过程中发生的下列情形，属发包人违约：</w:t>
      </w:r>
      <w:r>
        <w:rPr>
          <w:rFonts w:ascii="仿宋" w:hAnsi="仿宋" w:eastAsia="仿宋"/>
          <w:sz w:val="24"/>
          <w:szCs w:val="24"/>
        </w:rPr>
        <w:t xml:space="preserve">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（1）发包人未能按合同约定支付预付款或合同价款，或拖延、拒绝批准付款申请和支付凭证，导致付款延误的； </w:t>
      </w:r>
    </w:p>
    <w:p>
      <w:pPr>
        <w:pStyle w:val="38"/>
        <w:spacing w:line="500" w:lineRule="exact"/>
        <w:ind w:left="0" w:leftChars="0" w:firstLine="480"/>
        <w:rPr>
          <w:rFonts w:hint="eastAsia" w:ascii="仿宋" w:hAnsi="仿宋" w:eastAsia="仿宋" w:cs="仿宋"/>
          <w:sz w:val="24"/>
          <w:szCs w:val="24"/>
        </w:rPr>
      </w:pPr>
      <w:r>
        <w:rPr>
          <w:rFonts w:hint="eastAsia" w:ascii="仿宋" w:hAnsi="仿宋" w:eastAsia="仿宋" w:cs="仿宋"/>
          <w:kern w:val="2"/>
          <w:sz w:val="24"/>
          <w:szCs w:val="24"/>
        </w:rPr>
        <w:t>（2）发包人原因造成停工的（此处发包人原因仅指发包人本单位原因，因发包人上级部门决定、指令或政策、法律变更等原因造成停工的除外。）</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（3）监理人无正当理由没有在约定期限内发出复工指示，导致承包人无法复工的；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（4）发包人无法继续履行或明确表示不履行或实质上已停止履行合同的；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（5）发包人不履行合同约定其他义务的。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22.2.2 承包人有权暂停施工  发包人发生除第22.2.1（4）目以外的违约情况时，承包人可向发包人发出通知，要求发包人采取有效措施纠正违约行为。发包人收到承包人通知后的28 天内仍不履行合同义务，承包人有权暂停施工，并通知监理人，发包人应承担由此增加的费用和（或）工期延误，并支付承包人合理利润。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22.2.3 发包人违约解除合同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（1）发生第22.2.1（4）目的违约情况时，承包人可书面通知发包人解除合同。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（2）承包人按22.2.2 项暂停施工28 天后，发包人仍不纠正违约行为的，承包人可向发包人发出解除合同通知。但承包人的这一行动不免除发包人承担的违约责任，也不影响承包人根据合同约定享有的索赔权利。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22.2.4 解除合同后的付款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因发包人违约解除合同的，发包人应在解除合同后28 天内向承包人支付下列金额，承包人应在此期限内及时向发包人提交要求支付下列金额的有关资料和凭证：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（1）合同解除日以前所完成工作的价款；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（2）承包人为该工程施工订购并已付款的材料、工程设备和其他物品的金额。发包人付还后，该材料、工程设备和其他物品归发包人所有；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（3）承包人为完成工程所发生的，而发包人未支付的金额；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（4）承包人撤离施工场地以及遣散承包人人员的金额；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（5）由于解除合同应赔偿的承包人损失；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（6）按合同约定在合同解除日前应支付给承包人的其他金额。发包人应按本项约定支付上述金额并退还质量保证金和履约担保，但有权要求承包人支付应偿还给发包人的各项金额。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22.2.5 解除合同后的承包人撤离  因发包人违约而解除合同后，承包人应妥善做好已竣工工程和已购材料、设备的保护和移交工作，按发包人要求将承包人设备和人员撤出施工场地。承包人撤出施工场地应遵守第18.7.1 项的约定，发包人应为承包人撤出提供必要条件。  </w:t>
      </w:r>
    </w:p>
    <w:p>
      <w:pPr>
        <w:spacing w:line="500" w:lineRule="exact"/>
        <w:ind w:firstLine="482"/>
        <w:rPr>
          <w:rFonts w:hint="eastAsia" w:ascii="仿宋" w:hAnsi="仿宋" w:eastAsia="仿宋" w:cs="仿宋"/>
          <w:b/>
          <w:sz w:val="24"/>
          <w:szCs w:val="24"/>
        </w:rPr>
      </w:pPr>
      <w:r>
        <w:rPr>
          <w:rFonts w:hint="eastAsia" w:ascii="仿宋" w:hAnsi="仿宋" w:eastAsia="仿宋" w:cs="仿宋"/>
          <w:b/>
          <w:sz w:val="24"/>
          <w:szCs w:val="24"/>
        </w:rPr>
        <w:t xml:space="preserve">22.3 第三人造成的违约  </w:t>
      </w:r>
    </w:p>
    <w:p>
      <w:pPr>
        <w:pStyle w:val="13"/>
        <w:ind w:firstLine="480"/>
        <w:rPr>
          <w:rFonts w:hint="eastAsia" w:ascii="仿宋" w:hAnsi="仿宋" w:eastAsia="仿宋" w:cs="仿宋"/>
          <w:bCs/>
          <w:sz w:val="24"/>
          <w:szCs w:val="24"/>
        </w:rPr>
      </w:pPr>
      <w:r>
        <w:rPr>
          <w:rFonts w:hint="eastAsia" w:ascii="仿宋" w:hAnsi="仿宋" w:eastAsia="仿宋" w:cs="仿宋"/>
          <w:sz w:val="24"/>
          <w:szCs w:val="24"/>
        </w:rPr>
        <w:t>在履行合同过程中，因合同一方与第三人发生纠纷，造成守约方经济损失的，违约方应向守约方承担赔偿责任。</w:t>
      </w:r>
    </w:p>
    <w:p>
      <w:pPr>
        <w:spacing w:line="500" w:lineRule="exact"/>
        <w:ind w:firstLine="482"/>
        <w:rPr>
          <w:rFonts w:hint="eastAsia" w:ascii="仿宋" w:hAnsi="仿宋" w:eastAsia="仿宋" w:cs="仿宋"/>
          <w:b/>
          <w:sz w:val="24"/>
          <w:szCs w:val="24"/>
        </w:rPr>
      </w:pPr>
      <w:r>
        <w:rPr>
          <w:rFonts w:hint="eastAsia" w:ascii="仿宋" w:hAnsi="仿宋" w:eastAsia="仿宋" w:cs="仿宋"/>
          <w:b/>
          <w:sz w:val="24"/>
          <w:szCs w:val="24"/>
        </w:rPr>
        <w:t xml:space="preserve">23. 索赔  </w:t>
      </w:r>
    </w:p>
    <w:p>
      <w:pPr>
        <w:spacing w:line="500" w:lineRule="exact"/>
        <w:ind w:firstLine="482"/>
        <w:rPr>
          <w:rFonts w:hint="eastAsia" w:ascii="仿宋" w:hAnsi="仿宋" w:eastAsia="仿宋" w:cs="仿宋"/>
          <w:sz w:val="24"/>
          <w:szCs w:val="24"/>
        </w:rPr>
      </w:pPr>
      <w:r>
        <w:rPr>
          <w:rFonts w:hint="eastAsia" w:ascii="仿宋" w:hAnsi="仿宋" w:eastAsia="仿宋" w:cs="仿宋"/>
          <w:b/>
          <w:sz w:val="24"/>
          <w:szCs w:val="24"/>
        </w:rPr>
        <w:t>23.1 承包人索赔的提出</w:t>
      </w:r>
      <w:r>
        <w:rPr>
          <w:rFonts w:hint="eastAsia" w:ascii="仿宋" w:hAnsi="仿宋" w:eastAsia="仿宋" w:cs="仿宋"/>
          <w:sz w:val="24"/>
          <w:szCs w:val="24"/>
        </w:rPr>
        <w:t xml:space="preserve">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根据合同约定，承包人认为有权得到追加付款和（或）延长工期的，应按以下程序向发包人提出索赔：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（1）承包人应在知道或应当知道索赔事件发生后28 天内，向监理人递交索赔意向通知书，并说明发生索赔事件的事由。承包人未在前述28 天内发出索赔意向通知书的，丧失要求追加付款和延长工期的权利；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（2）承包人应在发出索赔意向通知书后28 天内，向监理人正式递交索赔通知书。索赔通知书应详细说明索赔理由以及要求追加的付款金额和（或）延长的工期，并附必要的记录和证明材料；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（3）索赔事件具有连续影响的，承包人应按合理时间间隔继续递交延续索赔通知，说明连续影响的实际情况和记录，列出累计的追加付款金额和（或）工期延长天数；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（4）在索赔事件影响结束后的28 天内，承包人应向监理人递交最终索赔通知书，说明最终要求索赔的追加付款金额和延长的工期，并附必要的记录和证明材料。 </w:t>
      </w:r>
    </w:p>
    <w:p>
      <w:pPr>
        <w:spacing w:line="500" w:lineRule="exact"/>
        <w:ind w:firstLine="482"/>
        <w:rPr>
          <w:rFonts w:hint="eastAsia" w:ascii="仿宋" w:hAnsi="仿宋" w:eastAsia="仿宋" w:cs="仿宋"/>
          <w:b/>
          <w:sz w:val="24"/>
          <w:szCs w:val="24"/>
        </w:rPr>
      </w:pPr>
      <w:r>
        <w:rPr>
          <w:rFonts w:hint="eastAsia" w:ascii="仿宋" w:hAnsi="仿宋" w:eastAsia="仿宋" w:cs="仿宋"/>
          <w:b/>
          <w:sz w:val="24"/>
          <w:szCs w:val="24"/>
        </w:rPr>
        <w:t xml:space="preserve">23.2 承包人索赔处理程序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（1）监理人收到承包人提交的索赔通知书后，应及时审查索赔通知书的内容、查验承包人的记录和证明材料，必要时监理人可要求承包人提交全部原始记录副本。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（2）监理人应按第3.5 款商定或确定追加的付款和（或）延长的工期，并在收到上述索赔通知书或有关索赔的进一步证明材料后的42 天内，将索赔处理结果答复承包人。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（3）承包人接受索赔处理结果的，发包人应在作出索赔处理结果答复后28 天内完成赔付。承包人不接受索赔处理结果的，按第24 条的约定办理。 </w:t>
      </w:r>
    </w:p>
    <w:p>
      <w:pPr>
        <w:spacing w:line="500" w:lineRule="exact"/>
        <w:ind w:firstLine="482"/>
        <w:rPr>
          <w:rFonts w:hint="eastAsia" w:ascii="仿宋" w:hAnsi="仿宋" w:eastAsia="仿宋" w:cs="仿宋"/>
          <w:b/>
          <w:sz w:val="24"/>
          <w:szCs w:val="24"/>
        </w:rPr>
      </w:pPr>
      <w:r>
        <w:rPr>
          <w:rFonts w:hint="eastAsia" w:ascii="仿宋" w:hAnsi="仿宋" w:eastAsia="仿宋" w:cs="仿宋"/>
          <w:b/>
          <w:sz w:val="24"/>
          <w:szCs w:val="24"/>
        </w:rPr>
        <w:t xml:space="preserve">23.3 承包人提出索赔的期限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23.3.1 承包人按第17.5款的约定接受了完工付款证书后，应被认为已无权再提出在合同工程完工证书颁发前所发生的任何索赔。</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23.3.2 承包人按第17.6款的约定提交的最终结清申请单中，只限于提出合同工程完工证书颁发后发生的索赔。提出索赔的期限自接受最终结清证书时终止。 </w:t>
      </w:r>
    </w:p>
    <w:p>
      <w:pPr>
        <w:spacing w:line="500" w:lineRule="exact"/>
        <w:ind w:firstLine="482"/>
        <w:rPr>
          <w:rFonts w:hint="eastAsia" w:ascii="仿宋" w:hAnsi="仿宋" w:eastAsia="仿宋" w:cs="仿宋"/>
          <w:b/>
          <w:sz w:val="24"/>
          <w:szCs w:val="24"/>
        </w:rPr>
      </w:pPr>
      <w:r>
        <w:rPr>
          <w:rFonts w:hint="eastAsia" w:ascii="仿宋" w:hAnsi="仿宋" w:eastAsia="仿宋" w:cs="仿宋"/>
          <w:b/>
          <w:sz w:val="24"/>
          <w:szCs w:val="24"/>
        </w:rPr>
        <w:t xml:space="preserve">23.4 发包人的索赔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23.4.1  发生索赔事件后，监理人应及时书面通知承包人，详细说明发包人有权得到的索赔金额和（或）延长缺陷责任期的细节和依据。</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 xml:space="preserve">23.4.2 监理人按第3.5 款商定或确定发包人从承包人处得到赔付的金额和（或）缺陷责任期的延长期。承包人应付给发包人的金额可从拟支付给承包人的合同价款中扣除，或由承包人以其他方式支付给发包人。  </w:t>
      </w:r>
    </w:p>
    <w:p>
      <w:pPr>
        <w:spacing w:line="500" w:lineRule="exact"/>
        <w:ind w:firstLine="480"/>
        <w:rPr>
          <w:rFonts w:hint="eastAsia" w:ascii="仿宋" w:hAnsi="仿宋" w:eastAsia="仿宋" w:cs="仿宋"/>
          <w:sz w:val="24"/>
          <w:szCs w:val="24"/>
        </w:rPr>
      </w:pPr>
      <w:r>
        <w:rPr>
          <w:rFonts w:hint="eastAsia" w:ascii="仿宋" w:hAnsi="仿宋" w:eastAsia="仿宋" w:cs="仿宋"/>
          <w:sz w:val="24"/>
          <w:szCs w:val="24"/>
        </w:rPr>
        <w:t>23.4.3 承包人对监理人按第23.4.1项发出的索赔书面通知内容持异议时，应在收到书面通知后的14 天内， 将持有异议的书面报告及其证明材料提交监理人。监理人应在收到承包人书面报告后的１４ 天内， 将异议的处理意见通知承包人， 并按第23.4.2项的约定执行赔付。</w:t>
      </w:r>
    </w:p>
    <w:p>
      <w:pPr>
        <w:spacing w:line="500" w:lineRule="exact"/>
        <w:ind w:firstLine="482"/>
        <w:rPr>
          <w:rFonts w:hint="eastAsia" w:ascii="仿宋" w:hAnsi="仿宋" w:eastAsia="仿宋" w:cs="仿宋"/>
          <w:b/>
          <w:bCs/>
          <w:sz w:val="24"/>
          <w:szCs w:val="24"/>
        </w:rPr>
      </w:pPr>
      <w:r>
        <w:rPr>
          <w:rFonts w:hint="eastAsia" w:ascii="仿宋" w:hAnsi="仿宋" w:eastAsia="仿宋" w:cs="仿宋"/>
          <w:b/>
          <w:bCs/>
          <w:sz w:val="24"/>
          <w:szCs w:val="24"/>
        </w:rPr>
        <w:t xml:space="preserve">24. 争议的解决  </w:t>
      </w:r>
    </w:p>
    <w:p>
      <w:pPr>
        <w:spacing w:line="500" w:lineRule="exact"/>
        <w:ind w:firstLine="482"/>
        <w:rPr>
          <w:rFonts w:ascii="仿宋" w:hAnsi="仿宋" w:eastAsia="仿宋"/>
          <w:sz w:val="24"/>
          <w:szCs w:val="24"/>
        </w:rPr>
      </w:pPr>
      <w:r>
        <w:rPr>
          <w:rFonts w:hint="eastAsia" w:ascii="仿宋" w:hAnsi="仿宋" w:eastAsia="仿宋" w:cs="仿宋"/>
          <w:b/>
          <w:sz w:val="24"/>
          <w:szCs w:val="24"/>
        </w:rPr>
        <w:t>24.1 争议的解决方式</w:t>
      </w:r>
      <w:r>
        <w:rPr>
          <w:rFonts w:hint="eastAsia" w:ascii="仿宋" w:hAnsi="仿宋" w:eastAsia="仿宋" w:cs="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发包人和承包人在履行合同中发生争议的，可以友好协商解决或者提请争议评审组评审。合同当事人友好协商解决不成、不愿提请争议评审或者不接受争议评审组意见的，可在专用合同条款中约定下列第</w:t>
      </w:r>
      <w:r>
        <w:rPr>
          <w:rFonts w:ascii="仿宋" w:hAnsi="仿宋" w:eastAsia="仿宋"/>
          <w:sz w:val="24"/>
          <w:szCs w:val="24"/>
          <w:u w:val="single"/>
        </w:rPr>
        <w:t xml:space="preserve">      </w:t>
      </w:r>
      <w:r>
        <w:rPr>
          <w:rFonts w:hint="eastAsia" w:ascii="仿宋" w:hAnsi="仿宋" w:eastAsia="仿宋"/>
          <w:sz w:val="24"/>
          <w:szCs w:val="24"/>
        </w:rPr>
        <w:t>种方式解决。</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）向约定的仲裁委员会申请仲裁；</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）向有管辖权的人民法院提起诉讼。</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24.2 </w:t>
      </w:r>
      <w:r>
        <w:rPr>
          <w:rFonts w:hint="eastAsia" w:ascii="仿宋" w:hAnsi="仿宋" w:eastAsia="仿宋"/>
          <w:b/>
          <w:sz w:val="24"/>
          <w:szCs w:val="24"/>
        </w:rPr>
        <w:t>友好解决</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hint="eastAsia" w:ascii="仿宋" w:hAnsi="仿宋" w:eastAsia="仿宋"/>
          <w:sz w:val="24"/>
          <w:szCs w:val="24"/>
        </w:rPr>
        <w:t>在提请争议评审、仲裁或者诉讼前，以及在争议评审、仲裁或诉讼过程中，发包人和承包人均可共同努力友好协商解决争议。</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24.3 </w:t>
      </w:r>
      <w:r>
        <w:rPr>
          <w:rFonts w:hint="eastAsia" w:ascii="仿宋" w:hAnsi="仿宋" w:eastAsia="仿宋"/>
          <w:b/>
          <w:sz w:val="24"/>
          <w:szCs w:val="24"/>
        </w:rPr>
        <w:t>争议评审</w:t>
      </w:r>
      <w:r>
        <w:rPr>
          <w:rFonts w:ascii="仿宋" w:hAnsi="仿宋" w:eastAsia="仿宋"/>
          <w:b/>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24.3.1 </w:t>
      </w:r>
      <w:r>
        <w:rPr>
          <w:rFonts w:hint="eastAsia" w:ascii="仿宋" w:hAnsi="仿宋" w:eastAsia="仿宋"/>
          <w:sz w:val="24"/>
          <w:szCs w:val="24"/>
        </w:rPr>
        <w:t>采用争议评审的，发包人和承包人应在开工日后的</w:t>
      </w:r>
      <w:r>
        <w:rPr>
          <w:rFonts w:ascii="仿宋" w:hAnsi="仿宋" w:eastAsia="仿宋"/>
          <w:sz w:val="24"/>
          <w:szCs w:val="24"/>
        </w:rPr>
        <w:t xml:space="preserve">28 </w:t>
      </w:r>
      <w:r>
        <w:rPr>
          <w:rFonts w:hint="eastAsia" w:ascii="仿宋" w:hAnsi="仿宋" w:eastAsia="仿宋"/>
          <w:sz w:val="24"/>
          <w:szCs w:val="24"/>
        </w:rPr>
        <w:t>天内或在争议发生后，协商成立争议评审组。争议评审组由有合同管理和工程实践经验的专家组成。</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24.3.2 </w:t>
      </w:r>
      <w:r>
        <w:rPr>
          <w:rFonts w:hint="eastAsia" w:ascii="仿宋" w:hAnsi="仿宋" w:eastAsia="仿宋"/>
          <w:sz w:val="24"/>
          <w:szCs w:val="24"/>
        </w:rPr>
        <w:t>合同双方的争议，应首先由申请人向争议评审组提交一份详细的评审申请报告，并附必要的文件、图纸和证明材料，申请人还应将上述报告的副本同时提交给被申请人和监理人。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24.3.3 </w:t>
      </w:r>
      <w:r>
        <w:rPr>
          <w:rFonts w:hint="eastAsia" w:ascii="仿宋" w:hAnsi="仿宋" w:eastAsia="仿宋"/>
          <w:sz w:val="24"/>
          <w:szCs w:val="24"/>
        </w:rPr>
        <w:t>被申请人在收到申请人评审申请报告副本后的</w:t>
      </w:r>
      <w:r>
        <w:rPr>
          <w:rFonts w:ascii="仿宋" w:hAnsi="仿宋" w:eastAsia="仿宋"/>
          <w:sz w:val="24"/>
          <w:szCs w:val="24"/>
        </w:rPr>
        <w:t xml:space="preserve">28 </w:t>
      </w:r>
      <w:r>
        <w:rPr>
          <w:rFonts w:hint="eastAsia" w:ascii="仿宋" w:hAnsi="仿宋" w:eastAsia="仿宋"/>
          <w:sz w:val="24"/>
          <w:szCs w:val="24"/>
        </w:rPr>
        <w:t>天内，向争议评审组提交一份答辩报告，并附证明材料。被申请人应将答辩报告的副本同时提交给申请人和监理人。</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24.3.4 </w:t>
      </w:r>
      <w:r>
        <w:rPr>
          <w:rFonts w:hint="eastAsia" w:ascii="仿宋" w:hAnsi="仿宋" w:eastAsia="仿宋"/>
          <w:sz w:val="24"/>
          <w:szCs w:val="24"/>
        </w:rPr>
        <w:t>除专用合同条款另有约定外，争议评审组在收到合同双方报告后的</w:t>
      </w:r>
      <w:r>
        <w:rPr>
          <w:rFonts w:ascii="仿宋" w:hAnsi="仿宋" w:eastAsia="仿宋"/>
          <w:sz w:val="24"/>
          <w:szCs w:val="24"/>
        </w:rPr>
        <w:t xml:space="preserve">14 </w:t>
      </w:r>
      <w:r>
        <w:rPr>
          <w:rFonts w:hint="eastAsia" w:ascii="仿宋" w:hAnsi="仿宋" w:eastAsia="仿宋"/>
          <w:sz w:val="24"/>
          <w:szCs w:val="24"/>
        </w:rPr>
        <w:t>天内，邀请双方代表和有关人员举行调查会，向双方调查争议细节；必要时争议评审组可要求双方进一步提供补充材料。</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24.3.5 </w:t>
      </w:r>
      <w:r>
        <w:rPr>
          <w:rFonts w:hint="eastAsia" w:ascii="仿宋" w:hAnsi="仿宋" w:eastAsia="仿宋"/>
          <w:sz w:val="24"/>
          <w:szCs w:val="24"/>
        </w:rPr>
        <w:t>除专用合同条款另有约定外，在调查会结束后的</w:t>
      </w:r>
      <w:r>
        <w:rPr>
          <w:rFonts w:ascii="仿宋" w:hAnsi="仿宋" w:eastAsia="仿宋"/>
          <w:sz w:val="24"/>
          <w:szCs w:val="24"/>
        </w:rPr>
        <w:t xml:space="preserve">14 </w:t>
      </w:r>
      <w:r>
        <w:rPr>
          <w:rFonts w:hint="eastAsia" w:ascii="仿宋" w:hAnsi="仿宋" w:eastAsia="仿宋"/>
          <w:sz w:val="24"/>
          <w:szCs w:val="24"/>
        </w:rPr>
        <w:t>天内，争议评审组应在不受任何干扰的情况下进行独立、公正的评审，作出书面评审意见，并说明理由。在争议评审期间，争议双方暂按总监理工程师的确定执行。</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24.3.6 </w:t>
      </w:r>
      <w:r>
        <w:rPr>
          <w:rFonts w:hint="eastAsia" w:ascii="仿宋" w:hAnsi="仿宋" w:eastAsia="仿宋"/>
          <w:sz w:val="24"/>
          <w:szCs w:val="24"/>
        </w:rPr>
        <w:t>发包人和承包人接受评审意见的，由监理人根据评审意见拟定执行协议，经争议双方签字后作为合同的补充文件，并遵照执行。</w:t>
      </w:r>
      <w:r>
        <w:rPr>
          <w:rFonts w:ascii="仿宋" w:hAnsi="仿宋" w:eastAsia="仿宋"/>
          <w:sz w:val="24"/>
          <w:szCs w:val="24"/>
        </w:rPr>
        <w:t xml:space="preserve">  </w:t>
      </w:r>
    </w:p>
    <w:p>
      <w:pPr>
        <w:spacing w:line="500" w:lineRule="exact"/>
        <w:ind w:firstLine="480"/>
        <w:rPr>
          <w:rFonts w:ascii="仿宋" w:hAnsi="仿宋" w:eastAsia="仿宋"/>
          <w:sz w:val="24"/>
          <w:szCs w:val="24"/>
        </w:rPr>
      </w:pPr>
      <w:r>
        <w:rPr>
          <w:rFonts w:ascii="仿宋" w:hAnsi="仿宋" w:eastAsia="仿宋"/>
          <w:sz w:val="24"/>
          <w:szCs w:val="24"/>
        </w:rPr>
        <w:t xml:space="preserve">24.3.7 </w:t>
      </w:r>
      <w:r>
        <w:rPr>
          <w:rFonts w:hint="eastAsia" w:ascii="仿宋" w:hAnsi="仿宋" w:eastAsia="仿宋"/>
          <w:sz w:val="24"/>
          <w:szCs w:val="24"/>
        </w:rPr>
        <w:t>发包人或承包人不接受评审意见，并要求提交仲裁或提起诉讼的，应在收到评审意见后的</w:t>
      </w:r>
      <w:r>
        <w:rPr>
          <w:rFonts w:ascii="仿宋" w:hAnsi="仿宋" w:eastAsia="仿宋"/>
          <w:sz w:val="24"/>
          <w:szCs w:val="24"/>
        </w:rPr>
        <w:t xml:space="preserve">14 </w:t>
      </w:r>
      <w:r>
        <w:rPr>
          <w:rFonts w:hint="eastAsia" w:ascii="仿宋" w:hAnsi="仿宋" w:eastAsia="仿宋"/>
          <w:sz w:val="24"/>
          <w:szCs w:val="24"/>
        </w:rPr>
        <w:t>天内将仲裁或起诉意向书面通知另一方，并抄送监理人，但在仲裁或诉讼结束前应暂按总监理工程师的确定执行。</w:t>
      </w:r>
      <w:r>
        <w:rPr>
          <w:rFonts w:ascii="仿宋" w:hAnsi="仿宋" w:eastAsia="仿宋"/>
          <w:sz w:val="24"/>
          <w:szCs w:val="24"/>
        </w:rPr>
        <w:t xml:space="preserve"> </w:t>
      </w:r>
    </w:p>
    <w:p>
      <w:pPr>
        <w:spacing w:line="500" w:lineRule="exact"/>
        <w:ind w:firstLine="482"/>
        <w:rPr>
          <w:rFonts w:ascii="仿宋" w:hAnsi="仿宋" w:eastAsia="仿宋"/>
          <w:b/>
          <w:sz w:val="24"/>
          <w:szCs w:val="24"/>
        </w:rPr>
      </w:pPr>
      <w:r>
        <w:rPr>
          <w:rFonts w:ascii="仿宋" w:hAnsi="仿宋" w:eastAsia="仿宋"/>
          <w:b/>
          <w:sz w:val="24"/>
          <w:szCs w:val="24"/>
        </w:rPr>
        <w:t xml:space="preserve">24.4 </w:t>
      </w:r>
      <w:r>
        <w:rPr>
          <w:rFonts w:hint="eastAsia" w:ascii="仿宋" w:hAnsi="仿宋" w:eastAsia="仿宋"/>
          <w:b/>
          <w:sz w:val="24"/>
          <w:szCs w:val="24"/>
        </w:rPr>
        <w:t>仲裁</w:t>
      </w:r>
      <w:r>
        <w:rPr>
          <w:rFonts w:ascii="仿宋" w:hAnsi="仿宋" w:eastAsia="仿宋"/>
          <w:b/>
          <w:sz w:val="24"/>
          <w:szCs w:val="24"/>
        </w:rPr>
        <w:t xml:space="preserve">  </w:t>
      </w:r>
    </w:p>
    <w:p>
      <w:pPr>
        <w:spacing w:line="500" w:lineRule="exact"/>
        <w:ind w:left="420" w:leftChars="200" w:firstLine="480"/>
        <w:rPr>
          <w:rFonts w:ascii="仿宋" w:hAnsi="仿宋" w:eastAsia="仿宋"/>
          <w:sz w:val="24"/>
          <w:szCs w:val="24"/>
        </w:rPr>
      </w:pPr>
      <w:r>
        <w:rPr>
          <w:rFonts w:ascii="仿宋" w:hAnsi="仿宋" w:eastAsia="仿宋"/>
          <w:sz w:val="24"/>
          <w:szCs w:val="24"/>
        </w:rPr>
        <w:t xml:space="preserve">24.4.1 </w:t>
      </w:r>
      <w:r>
        <w:rPr>
          <w:rFonts w:hint="eastAsia" w:ascii="仿宋" w:hAnsi="仿宋" w:eastAsia="仿宋"/>
          <w:sz w:val="24"/>
          <w:szCs w:val="24"/>
        </w:rPr>
        <w:t>若合同双方商定直接向仲裁机构申请仲裁，应签订仲裁协议并约定仲裁机构。</w:t>
      </w:r>
    </w:p>
    <w:p>
      <w:pPr>
        <w:spacing w:line="500" w:lineRule="exact"/>
        <w:ind w:left="420" w:leftChars="200" w:firstLine="412"/>
        <w:rPr>
          <w:rFonts w:ascii="仿宋" w:hAnsi="仿宋" w:eastAsia="仿宋"/>
          <w:spacing w:val="-17"/>
          <w:sz w:val="24"/>
          <w:szCs w:val="24"/>
        </w:rPr>
      </w:pPr>
      <w:r>
        <w:rPr>
          <w:rFonts w:hint="eastAsia" w:ascii="仿宋" w:hAnsi="仿宋" w:eastAsia="仿宋"/>
          <w:spacing w:val="-17"/>
          <w:sz w:val="24"/>
          <w:szCs w:val="24"/>
        </w:rPr>
        <w:t>24.4.2   若合同双方未能达成仲裁协议，则任一方均有权向人民法院提起诉讼。</w:t>
      </w:r>
    </w:p>
    <w:p>
      <w:pPr>
        <w:ind w:firstLine="480"/>
        <w:rPr>
          <w:rFonts w:ascii="仿宋" w:hAnsi="仿宋" w:eastAsia="仿宋"/>
          <w:sz w:val="24"/>
          <w:szCs w:val="24"/>
        </w:rPr>
      </w:pPr>
    </w:p>
    <w:p>
      <w:pPr>
        <w:ind w:firstLine="560"/>
        <w:jc w:val="center"/>
        <w:rPr>
          <w:rFonts w:hint="eastAsia" w:ascii="黑体" w:hAnsi="黑体" w:eastAsia="黑体" w:cs="黑体"/>
          <w:szCs w:val="28"/>
        </w:rPr>
      </w:pPr>
      <w:bookmarkStart w:id="425" w:name="_Toc152042545"/>
      <w:bookmarkStart w:id="426" w:name="_Toc152045766"/>
      <w:bookmarkStart w:id="427" w:name="_Toc144974736"/>
      <w:bookmarkStart w:id="428" w:name="_Toc222375995"/>
    </w:p>
    <w:p>
      <w:pPr>
        <w:ind w:firstLine="560"/>
        <w:jc w:val="center"/>
        <w:rPr>
          <w:rFonts w:hint="eastAsia" w:ascii="黑体" w:hAnsi="黑体" w:eastAsia="黑体" w:cs="黑体"/>
          <w:szCs w:val="28"/>
        </w:rPr>
      </w:pPr>
    </w:p>
    <w:p>
      <w:pPr>
        <w:ind w:firstLine="560"/>
        <w:jc w:val="center"/>
        <w:rPr>
          <w:rFonts w:hint="eastAsia" w:ascii="黑体" w:hAnsi="黑体" w:eastAsia="黑体" w:cs="黑体"/>
          <w:szCs w:val="28"/>
        </w:rPr>
      </w:pPr>
    </w:p>
    <w:p>
      <w:pPr>
        <w:ind w:firstLine="560"/>
        <w:jc w:val="center"/>
        <w:rPr>
          <w:rFonts w:hint="eastAsia" w:ascii="黑体" w:hAnsi="黑体" w:eastAsia="黑体" w:cs="黑体"/>
          <w:szCs w:val="28"/>
        </w:rPr>
      </w:pPr>
    </w:p>
    <w:p>
      <w:pPr>
        <w:ind w:firstLine="560"/>
        <w:jc w:val="center"/>
        <w:rPr>
          <w:rFonts w:hint="eastAsia" w:ascii="黑体" w:hAnsi="黑体" w:eastAsia="黑体" w:cs="黑体"/>
          <w:szCs w:val="28"/>
        </w:rPr>
      </w:pPr>
    </w:p>
    <w:p>
      <w:pPr>
        <w:ind w:firstLine="560"/>
        <w:jc w:val="center"/>
        <w:rPr>
          <w:rFonts w:hint="eastAsia" w:ascii="黑体" w:hAnsi="黑体" w:eastAsia="黑体" w:cs="黑体"/>
          <w:szCs w:val="28"/>
        </w:rPr>
      </w:pPr>
    </w:p>
    <w:p>
      <w:pPr>
        <w:ind w:firstLine="560"/>
        <w:jc w:val="center"/>
        <w:rPr>
          <w:rFonts w:hint="eastAsia" w:ascii="黑体" w:hAnsi="黑体" w:eastAsia="黑体" w:cs="黑体"/>
          <w:szCs w:val="28"/>
        </w:rPr>
      </w:pPr>
    </w:p>
    <w:p>
      <w:pPr>
        <w:ind w:firstLine="560"/>
        <w:jc w:val="center"/>
        <w:rPr>
          <w:rFonts w:hint="eastAsia" w:ascii="黑体" w:hAnsi="黑体" w:eastAsia="黑体" w:cs="黑体"/>
          <w:szCs w:val="28"/>
        </w:rPr>
      </w:pPr>
    </w:p>
    <w:p>
      <w:pPr>
        <w:ind w:firstLine="560"/>
        <w:jc w:val="center"/>
        <w:rPr>
          <w:rFonts w:hint="eastAsia" w:ascii="黑体" w:hAnsi="黑体" w:eastAsia="黑体" w:cs="黑体"/>
          <w:szCs w:val="28"/>
        </w:rPr>
      </w:pPr>
    </w:p>
    <w:p>
      <w:pPr>
        <w:ind w:firstLine="560"/>
        <w:jc w:val="center"/>
        <w:rPr>
          <w:rFonts w:hint="eastAsia" w:ascii="黑体" w:hAnsi="黑体" w:eastAsia="黑体" w:cs="黑体"/>
          <w:szCs w:val="28"/>
        </w:rPr>
      </w:pPr>
    </w:p>
    <w:p>
      <w:pPr>
        <w:ind w:firstLine="560"/>
        <w:jc w:val="center"/>
        <w:rPr>
          <w:rFonts w:hint="eastAsia" w:ascii="黑体" w:hAnsi="黑体" w:eastAsia="黑体" w:cs="黑体"/>
          <w:szCs w:val="28"/>
        </w:rPr>
      </w:pPr>
    </w:p>
    <w:p>
      <w:pPr>
        <w:jc w:val="center"/>
        <w:rPr>
          <w:rFonts w:hint="eastAsia" w:ascii="宋体" w:hAnsi="宋体" w:eastAsia="宋体" w:cs="宋体"/>
          <w:b/>
          <w:bCs/>
          <w:sz w:val="32"/>
          <w:szCs w:val="32"/>
        </w:rPr>
      </w:pPr>
    </w:p>
    <w:p>
      <w:pPr>
        <w:jc w:val="center"/>
        <w:rPr>
          <w:rFonts w:hint="eastAsia" w:ascii="宋体" w:hAnsi="宋体" w:eastAsia="宋体" w:cs="宋体"/>
          <w:b/>
          <w:bCs/>
          <w:sz w:val="32"/>
          <w:szCs w:val="32"/>
        </w:rPr>
      </w:pPr>
    </w:p>
    <w:p>
      <w:pPr>
        <w:jc w:val="center"/>
        <w:rPr>
          <w:rFonts w:hint="eastAsia" w:ascii="宋体" w:hAnsi="宋体" w:eastAsia="宋体" w:cs="宋体"/>
          <w:b/>
          <w:bCs/>
          <w:sz w:val="32"/>
          <w:szCs w:val="32"/>
        </w:rPr>
      </w:pPr>
    </w:p>
    <w:p>
      <w:pPr>
        <w:jc w:val="center"/>
        <w:rPr>
          <w:rFonts w:hint="eastAsia" w:ascii="宋体" w:hAnsi="宋体" w:eastAsia="宋体" w:cs="宋体"/>
          <w:b/>
          <w:bCs/>
          <w:sz w:val="32"/>
          <w:szCs w:val="32"/>
        </w:rPr>
      </w:pPr>
    </w:p>
    <w:p>
      <w:pPr>
        <w:jc w:val="center"/>
        <w:rPr>
          <w:rFonts w:hint="eastAsia" w:ascii="宋体" w:hAnsi="宋体" w:eastAsia="宋体" w:cs="宋体"/>
          <w:b/>
          <w:bCs/>
          <w:sz w:val="32"/>
          <w:szCs w:val="32"/>
        </w:rPr>
      </w:pPr>
    </w:p>
    <w:p>
      <w:pPr>
        <w:jc w:val="center"/>
        <w:rPr>
          <w:rFonts w:hint="eastAsia" w:ascii="宋体" w:hAnsi="宋体" w:eastAsia="宋体" w:cs="宋体"/>
          <w:b/>
          <w:bCs/>
          <w:sz w:val="32"/>
          <w:szCs w:val="32"/>
        </w:rPr>
      </w:pPr>
    </w:p>
    <w:p>
      <w:pPr>
        <w:jc w:val="center"/>
        <w:rPr>
          <w:rFonts w:hint="eastAsia" w:ascii="宋体" w:hAnsi="宋体" w:eastAsia="宋体" w:cs="宋体"/>
          <w:b/>
          <w:bCs/>
          <w:sz w:val="32"/>
          <w:szCs w:val="32"/>
        </w:rPr>
      </w:pPr>
    </w:p>
    <w:p>
      <w:pPr>
        <w:jc w:val="center"/>
        <w:rPr>
          <w:rFonts w:hint="eastAsia" w:ascii="宋体" w:hAnsi="宋体" w:eastAsia="宋体" w:cs="宋体"/>
          <w:b/>
          <w:bCs/>
          <w:sz w:val="32"/>
          <w:szCs w:val="32"/>
        </w:rPr>
      </w:pPr>
    </w:p>
    <w:p>
      <w:pPr>
        <w:jc w:val="center"/>
        <w:rPr>
          <w:rFonts w:hint="eastAsia" w:ascii="宋体" w:hAnsi="宋体" w:eastAsia="宋体" w:cs="宋体"/>
          <w:b/>
          <w:bCs/>
          <w:sz w:val="32"/>
          <w:szCs w:val="32"/>
        </w:rPr>
      </w:pPr>
    </w:p>
    <w:p>
      <w:pPr>
        <w:jc w:val="center"/>
        <w:rPr>
          <w:rFonts w:hint="eastAsia" w:ascii="宋体" w:hAnsi="宋体" w:eastAsia="宋体" w:cs="宋体"/>
          <w:b/>
          <w:bCs/>
          <w:sz w:val="32"/>
          <w:szCs w:val="32"/>
        </w:rPr>
      </w:pPr>
    </w:p>
    <w:p>
      <w:pPr>
        <w:jc w:val="center"/>
        <w:rPr>
          <w:rFonts w:hint="eastAsia" w:ascii="宋体" w:hAnsi="宋体" w:eastAsia="宋体" w:cs="宋体"/>
          <w:b/>
          <w:bCs/>
          <w:sz w:val="32"/>
          <w:szCs w:val="32"/>
        </w:rPr>
      </w:pPr>
    </w:p>
    <w:p>
      <w:pPr>
        <w:jc w:val="center"/>
        <w:rPr>
          <w:rFonts w:hint="eastAsia" w:ascii="宋体" w:hAnsi="宋体" w:eastAsia="宋体" w:cs="宋体"/>
          <w:b/>
          <w:bCs/>
          <w:sz w:val="32"/>
          <w:szCs w:val="32"/>
        </w:rPr>
      </w:pPr>
    </w:p>
    <w:p>
      <w:pPr>
        <w:jc w:val="center"/>
        <w:rPr>
          <w:rFonts w:hint="eastAsia" w:ascii="宋体" w:hAnsi="宋体" w:eastAsia="宋体" w:cs="宋体"/>
          <w:b/>
          <w:bCs/>
          <w:sz w:val="32"/>
          <w:szCs w:val="32"/>
        </w:rPr>
      </w:pPr>
    </w:p>
    <w:p>
      <w:pPr>
        <w:jc w:val="center"/>
        <w:rPr>
          <w:rFonts w:hint="eastAsia" w:ascii="宋体" w:hAnsi="宋体" w:eastAsia="宋体" w:cs="宋体"/>
          <w:b/>
          <w:bCs/>
          <w:sz w:val="32"/>
          <w:szCs w:val="32"/>
        </w:rPr>
      </w:pPr>
      <w:r>
        <w:rPr>
          <w:rFonts w:hint="eastAsia" w:ascii="宋体" w:hAnsi="宋体" w:eastAsia="宋体" w:cs="宋体"/>
          <w:b/>
          <w:bCs/>
          <w:sz w:val="32"/>
          <w:szCs w:val="32"/>
        </w:rPr>
        <w:t>第三部分 专用合同条款</w:t>
      </w:r>
      <w:bookmarkEnd w:id="425"/>
      <w:bookmarkEnd w:id="426"/>
      <w:bookmarkEnd w:id="427"/>
      <w:bookmarkEnd w:id="428"/>
    </w:p>
    <w:p>
      <w:pPr>
        <w:ind w:firstLine="480"/>
        <w:rPr>
          <w:rFonts w:hint="eastAsia" w:ascii="宋体" w:hAnsi="宋体" w:eastAsia="宋体" w:cs="宋体"/>
          <w:sz w:val="24"/>
          <w:szCs w:val="24"/>
        </w:rPr>
      </w:pPr>
    </w:p>
    <w:p>
      <w:pPr>
        <w:spacing w:line="500" w:lineRule="exact"/>
        <w:ind w:firstLine="480"/>
        <w:rPr>
          <w:rFonts w:hint="eastAsia" w:ascii="宋体" w:hAnsi="宋体" w:eastAsia="宋体" w:cs="宋体"/>
          <w:kern w:val="0"/>
          <w:sz w:val="24"/>
          <w:szCs w:val="24"/>
        </w:rPr>
      </w:pPr>
      <w:r>
        <w:rPr>
          <w:rFonts w:hint="eastAsia" w:ascii="宋体" w:hAnsi="宋体" w:eastAsia="宋体" w:cs="宋体"/>
          <w:sz w:val="24"/>
          <w:szCs w:val="24"/>
        </w:rPr>
        <w:t>专用合同条款中的各条款是补充和修改通用合同条款中条款号相同的条款或当需</w:t>
      </w:r>
      <w:r>
        <w:rPr>
          <w:rFonts w:hint="eastAsia" w:ascii="宋体" w:hAnsi="宋体" w:eastAsia="宋体" w:cs="宋体"/>
          <w:kern w:val="0"/>
          <w:sz w:val="24"/>
          <w:szCs w:val="24"/>
        </w:rPr>
        <w:t>要时增加新的条款，两者应对照阅读，一旦出现矛盾或不一致，则以专用合同条款为准，通用合同条款中未补充和修改的部分仍有效。</w:t>
      </w:r>
    </w:p>
    <w:p>
      <w:pPr>
        <w:keepNext w:val="0"/>
        <w:keepLines w:val="0"/>
        <w:pageBreakBefore w:val="0"/>
        <w:widowControl w:val="0"/>
        <w:kinsoku/>
        <w:wordWrap/>
        <w:overflowPunct/>
        <w:topLinePunct w:val="0"/>
        <w:autoSpaceDE w:val="0"/>
        <w:autoSpaceDN w:val="0"/>
        <w:bidi w:val="0"/>
        <w:adjustRightInd w:val="0"/>
        <w:snapToGrid/>
        <w:spacing w:line="500" w:lineRule="exact"/>
        <w:ind w:left="420" w:leftChars="200" w:right="0" w:rightChars="0"/>
        <w:jc w:val="left"/>
        <w:textAlignment w:val="auto"/>
        <w:outlineLvl w:val="0"/>
        <w:rPr>
          <w:rFonts w:hint="eastAsia" w:ascii="宋体" w:hAnsi="宋体" w:eastAsia="宋体" w:cs="宋体"/>
          <w:b/>
          <w:kern w:val="0"/>
          <w:sz w:val="24"/>
          <w:szCs w:val="24"/>
        </w:rPr>
      </w:pPr>
      <w:bookmarkStart w:id="429" w:name="_Toc209499030"/>
      <w:bookmarkStart w:id="430" w:name="_Toc201058948"/>
      <w:bookmarkStart w:id="431" w:name="_Toc30478"/>
      <w:bookmarkStart w:id="432" w:name="_Toc491246874"/>
      <w:bookmarkStart w:id="433" w:name="_Toc22890"/>
      <w:bookmarkStart w:id="434" w:name="_Toc210903287"/>
      <w:bookmarkStart w:id="435" w:name="_Toc29035"/>
      <w:bookmarkStart w:id="436" w:name="_Toc200817287"/>
      <w:bookmarkStart w:id="437" w:name="_Toc222375996"/>
      <w:r>
        <w:rPr>
          <w:rFonts w:hint="eastAsia" w:ascii="宋体" w:hAnsi="宋体" w:eastAsia="宋体" w:cs="宋体"/>
          <w:b/>
          <w:kern w:val="0"/>
          <w:sz w:val="24"/>
          <w:szCs w:val="24"/>
        </w:rPr>
        <w:t>1. 一般约定</w:t>
      </w:r>
      <w:bookmarkEnd w:id="429"/>
      <w:bookmarkEnd w:id="430"/>
      <w:bookmarkEnd w:id="431"/>
      <w:bookmarkEnd w:id="432"/>
      <w:bookmarkEnd w:id="433"/>
      <w:bookmarkEnd w:id="434"/>
      <w:bookmarkEnd w:id="435"/>
      <w:bookmarkEnd w:id="436"/>
      <w:bookmarkEnd w:id="437"/>
    </w:p>
    <w:p>
      <w:pPr>
        <w:keepNext w:val="0"/>
        <w:keepLines w:val="0"/>
        <w:pageBreakBefore w:val="0"/>
        <w:widowControl w:val="0"/>
        <w:kinsoku/>
        <w:wordWrap/>
        <w:overflowPunct/>
        <w:topLinePunct w:val="0"/>
        <w:autoSpaceDE w:val="0"/>
        <w:autoSpaceDN w:val="0"/>
        <w:bidi w:val="0"/>
        <w:adjustRightInd w:val="0"/>
        <w:snapToGrid/>
        <w:spacing w:line="500" w:lineRule="exact"/>
        <w:ind w:left="420" w:leftChars="200" w:right="0" w:rightChars="0"/>
        <w:jc w:val="left"/>
        <w:textAlignment w:val="auto"/>
        <w:rPr>
          <w:rFonts w:hint="eastAsia" w:ascii="宋体" w:hAnsi="宋体" w:eastAsia="宋体" w:cs="宋体"/>
          <w:b/>
          <w:bCs/>
          <w:kern w:val="0"/>
          <w:sz w:val="24"/>
          <w:szCs w:val="24"/>
        </w:rPr>
      </w:pPr>
      <w:bookmarkStart w:id="438" w:name="_Toc209499031"/>
      <w:bookmarkStart w:id="439" w:name="_Toc210903288"/>
      <w:bookmarkStart w:id="440" w:name="_Toc491246875"/>
      <w:bookmarkStart w:id="441" w:name="_Toc201058949"/>
      <w:bookmarkStart w:id="442" w:name="_Toc222375997"/>
      <w:r>
        <w:rPr>
          <w:rFonts w:hint="eastAsia" w:ascii="宋体" w:hAnsi="宋体" w:eastAsia="宋体" w:cs="宋体"/>
          <w:b/>
          <w:bCs/>
          <w:kern w:val="0"/>
          <w:sz w:val="24"/>
          <w:szCs w:val="24"/>
        </w:rPr>
        <w:t>1.1  词语定义：</w:t>
      </w:r>
      <w:bookmarkEnd w:id="438"/>
      <w:bookmarkEnd w:id="439"/>
      <w:bookmarkEnd w:id="440"/>
      <w:bookmarkEnd w:id="441"/>
      <w:bookmarkEnd w:id="442"/>
    </w:p>
    <w:p>
      <w:pPr>
        <w:keepNext w:val="0"/>
        <w:keepLines w:val="0"/>
        <w:pageBreakBefore w:val="0"/>
        <w:widowControl w:val="0"/>
        <w:kinsoku/>
        <w:wordWrap/>
        <w:overflowPunct/>
        <w:topLinePunct w:val="0"/>
        <w:autoSpaceDE w:val="0"/>
        <w:autoSpaceDN w:val="0"/>
        <w:bidi w:val="0"/>
        <w:adjustRightInd w:val="0"/>
        <w:snapToGrid/>
        <w:spacing w:line="500" w:lineRule="exact"/>
        <w:ind w:left="420" w:leftChars="200" w:right="0" w:rightChars="0"/>
        <w:jc w:val="left"/>
        <w:textAlignment w:val="auto"/>
        <w:rPr>
          <w:rFonts w:hint="eastAsia" w:ascii="宋体" w:hAnsi="宋体" w:eastAsia="宋体" w:cs="宋体"/>
          <w:kern w:val="0"/>
          <w:sz w:val="24"/>
          <w:szCs w:val="24"/>
        </w:rPr>
      </w:pPr>
      <w:bookmarkStart w:id="443" w:name="_Toc488678547"/>
      <w:bookmarkStart w:id="444" w:name="_Toc491246876"/>
      <w:bookmarkStart w:id="445" w:name="_Toc490385488"/>
      <w:bookmarkStart w:id="446" w:name="_Toc201058950"/>
      <w:r>
        <w:rPr>
          <w:rFonts w:hint="eastAsia" w:ascii="宋体" w:hAnsi="宋体" w:eastAsia="宋体" w:cs="宋体"/>
          <w:kern w:val="0"/>
          <w:sz w:val="24"/>
          <w:szCs w:val="24"/>
        </w:rPr>
        <w:t>1.1.2 合同当事人和人员的词语</w:t>
      </w:r>
      <w:bookmarkEnd w:id="443"/>
      <w:bookmarkEnd w:id="444"/>
      <w:bookmarkEnd w:id="445"/>
      <w:bookmarkEnd w:id="446"/>
    </w:p>
    <w:p>
      <w:pPr>
        <w:keepNext w:val="0"/>
        <w:keepLines w:val="0"/>
        <w:pageBreakBefore w:val="0"/>
        <w:widowControl w:val="0"/>
        <w:kinsoku/>
        <w:wordWrap/>
        <w:overflowPunct/>
        <w:topLinePunct w:val="0"/>
        <w:autoSpaceDE w:val="0"/>
        <w:autoSpaceDN w:val="0"/>
        <w:bidi w:val="0"/>
        <w:adjustRightInd w:val="0"/>
        <w:snapToGrid/>
        <w:spacing w:line="500" w:lineRule="exact"/>
        <w:ind w:left="420" w:leftChars="200" w:right="0" w:right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1.1.2.1 合同当事人:指发包人和(或)承包人。</w:t>
      </w:r>
    </w:p>
    <w:p>
      <w:pPr>
        <w:keepNext w:val="0"/>
        <w:keepLines w:val="0"/>
        <w:pageBreakBefore w:val="0"/>
        <w:widowControl w:val="0"/>
        <w:kinsoku/>
        <w:wordWrap/>
        <w:overflowPunct/>
        <w:topLinePunct w:val="0"/>
        <w:autoSpaceDE w:val="0"/>
        <w:autoSpaceDN w:val="0"/>
        <w:bidi w:val="0"/>
        <w:adjustRightInd w:val="0"/>
        <w:snapToGrid/>
        <w:spacing w:line="500" w:lineRule="exact"/>
        <w:ind w:left="420" w:leftChars="200" w:right="0" w:rightChars="0"/>
        <w:jc w:val="left"/>
        <w:textAlignment w:val="auto"/>
        <w:rPr>
          <w:rFonts w:hint="eastAsia" w:ascii="宋体" w:hAnsi="宋体" w:eastAsia="宋体" w:cs="宋体"/>
          <w:kern w:val="0"/>
          <w:sz w:val="24"/>
          <w:szCs w:val="24"/>
        </w:rPr>
      </w:pPr>
      <w:bookmarkStart w:id="447" w:name="_Toc201058951"/>
      <w:bookmarkStart w:id="448" w:name="_Toc488678548"/>
      <w:bookmarkStart w:id="449" w:name="_Toc490385489"/>
      <w:bookmarkStart w:id="450" w:name="_Toc491246877"/>
      <w:r>
        <w:rPr>
          <w:rFonts w:hint="eastAsia" w:ascii="宋体" w:hAnsi="宋体" w:eastAsia="宋体" w:cs="宋体"/>
          <w:kern w:val="0"/>
          <w:sz w:val="24"/>
          <w:szCs w:val="24"/>
        </w:rPr>
        <w:t>1.1.2.2 发包人：</w:t>
      </w:r>
      <w:r>
        <w:rPr>
          <w:rFonts w:hint="eastAsia" w:ascii="宋体" w:hAnsi="宋体" w:eastAsia="宋体" w:cs="宋体"/>
          <w:kern w:val="0"/>
          <w:sz w:val="24"/>
          <w:szCs w:val="24"/>
          <w:u w:val="single"/>
          <w:lang w:val="en-US" w:eastAsia="zh-CN"/>
        </w:rPr>
        <w:t xml:space="preserve">        </w:t>
      </w:r>
      <w:r>
        <w:rPr>
          <w:rFonts w:hint="eastAsia" w:ascii="宋体" w:hAnsi="宋体" w:eastAsia="宋体" w:cs="宋体"/>
          <w:kern w:val="0"/>
          <w:sz w:val="24"/>
          <w:szCs w:val="24"/>
        </w:rPr>
        <w:t>。</w:t>
      </w:r>
      <w:bookmarkEnd w:id="447"/>
      <w:bookmarkEnd w:id="448"/>
      <w:bookmarkEnd w:id="449"/>
      <w:bookmarkEnd w:id="450"/>
    </w:p>
    <w:p>
      <w:pPr>
        <w:keepNext w:val="0"/>
        <w:keepLines w:val="0"/>
        <w:pageBreakBefore w:val="0"/>
        <w:widowControl w:val="0"/>
        <w:kinsoku/>
        <w:wordWrap/>
        <w:overflowPunct/>
        <w:topLinePunct w:val="0"/>
        <w:autoSpaceDE w:val="0"/>
        <w:autoSpaceDN w:val="0"/>
        <w:bidi w:val="0"/>
        <w:adjustRightInd w:val="0"/>
        <w:snapToGrid/>
        <w:spacing w:line="500" w:lineRule="exact"/>
        <w:ind w:left="420" w:leftChars="200" w:right="0" w:right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1.1.2.6 监理人</w:t>
      </w:r>
      <w:bookmarkStart w:id="451" w:name="_Toc488678549"/>
      <w:bookmarkStart w:id="452" w:name="_Toc491246878"/>
      <w:bookmarkStart w:id="453" w:name="_Toc490385490"/>
      <w:bookmarkStart w:id="454" w:name="_Toc201058952"/>
      <w:bookmarkStart w:id="455" w:name="_Toc98813269"/>
      <w:r>
        <w:rPr>
          <w:rFonts w:hint="eastAsia" w:ascii="宋体" w:hAnsi="宋体" w:eastAsia="宋体" w:cs="宋体"/>
          <w:kern w:val="0"/>
          <w:sz w:val="24"/>
          <w:szCs w:val="24"/>
        </w:rPr>
        <w:t>：</w:t>
      </w:r>
      <w:r>
        <w:rPr>
          <w:rFonts w:hint="eastAsia" w:ascii="宋体" w:hAnsi="宋体" w:eastAsia="宋体" w:cs="宋体"/>
          <w:color w:val="FF0000"/>
          <w:kern w:val="0"/>
          <w:sz w:val="24"/>
          <w:szCs w:val="24"/>
          <w:u w:val="single"/>
        </w:rPr>
        <w:t xml:space="preserve"> </w:t>
      </w:r>
      <w:r>
        <w:rPr>
          <w:rFonts w:hint="eastAsia" w:ascii="宋体" w:hAnsi="宋体" w:eastAsia="宋体" w:cs="宋体"/>
          <w:color w:val="FF0000"/>
          <w:kern w:val="0"/>
          <w:sz w:val="24"/>
          <w:szCs w:val="24"/>
          <w:u w:val="single"/>
          <w:lang w:val="en-US" w:eastAsia="zh-CN"/>
        </w:rPr>
        <w:t xml:space="preserve">                </w:t>
      </w:r>
      <w:r>
        <w:rPr>
          <w:rFonts w:hint="eastAsia" w:ascii="宋体" w:hAnsi="宋体" w:eastAsia="宋体" w:cs="宋体"/>
          <w:color w:val="FF0000"/>
          <w:kern w:val="0"/>
          <w:sz w:val="24"/>
          <w:szCs w:val="24"/>
        </w:rPr>
        <w:t>。</w:t>
      </w:r>
    </w:p>
    <w:p>
      <w:pPr>
        <w:keepNext w:val="0"/>
        <w:keepLines w:val="0"/>
        <w:pageBreakBefore w:val="0"/>
        <w:widowControl w:val="0"/>
        <w:kinsoku/>
        <w:wordWrap/>
        <w:overflowPunct/>
        <w:topLinePunct w:val="0"/>
        <w:autoSpaceDE w:val="0"/>
        <w:autoSpaceDN w:val="0"/>
        <w:bidi w:val="0"/>
        <w:adjustRightInd w:val="0"/>
        <w:snapToGrid/>
        <w:spacing w:line="500" w:lineRule="exact"/>
        <w:ind w:left="420" w:leftChars="200" w:right="0" w:right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1.1.3  工程和设备的词语</w:t>
      </w:r>
      <w:bookmarkEnd w:id="451"/>
      <w:bookmarkEnd w:id="452"/>
      <w:bookmarkEnd w:id="453"/>
      <w:bookmarkEnd w:id="454"/>
      <w:bookmarkEnd w:id="455"/>
    </w:p>
    <w:p>
      <w:pPr>
        <w:keepNext w:val="0"/>
        <w:keepLines w:val="0"/>
        <w:pageBreakBefore w:val="0"/>
        <w:widowControl w:val="0"/>
        <w:kinsoku/>
        <w:wordWrap/>
        <w:overflowPunct/>
        <w:topLinePunct w:val="0"/>
        <w:autoSpaceDE w:val="0"/>
        <w:autoSpaceDN w:val="0"/>
        <w:bidi w:val="0"/>
        <w:adjustRightInd w:val="0"/>
        <w:snapToGrid/>
        <w:spacing w:line="500" w:lineRule="exact"/>
        <w:ind w:left="420" w:leftChars="200" w:right="0" w:rightChars="0"/>
        <w:jc w:val="left"/>
        <w:textAlignment w:val="auto"/>
        <w:rPr>
          <w:rFonts w:hint="eastAsia" w:ascii="宋体" w:hAnsi="宋体" w:eastAsia="宋体" w:cs="宋体"/>
          <w:bCs/>
          <w:color w:val="FF0000"/>
          <w:kern w:val="0"/>
          <w:sz w:val="24"/>
          <w:szCs w:val="24"/>
          <w:highlight w:val="green"/>
        </w:rPr>
      </w:pPr>
      <w:r>
        <w:rPr>
          <w:rFonts w:hint="eastAsia" w:ascii="宋体" w:hAnsi="宋体" w:eastAsia="宋体" w:cs="宋体"/>
          <w:kern w:val="0"/>
          <w:sz w:val="24"/>
          <w:szCs w:val="24"/>
        </w:rPr>
        <w:t>1.1.3.1本合同工程包括以下工程：</w:t>
      </w:r>
      <w:r>
        <w:rPr>
          <w:rFonts w:hint="eastAsia" w:ascii="宋体" w:hAnsi="宋体" w:eastAsia="宋体" w:cs="宋体"/>
          <w:bCs/>
          <w:color w:val="FF0000"/>
          <w:sz w:val="24"/>
          <w:szCs w:val="24"/>
          <w:u w:val="single"/>
          <w:lang w:val="en-US" w:eastAsia="zh-CN"/>
        </w:rPr>
        <w:t xml:space="preserve">    </w:t>
      </w:r>
      <w:r>
        <w:rPr>
          <w:rFonts w:hint="eastAsia" w:ascii="宋体" w:hAnsi="宋体" w:eastAsia="宋体" w:cs="宋体"/>
          <w:bCs/>
          <w:color w:val="FF0000"/>
          <w:sz w:val="24"/>
          <w:szCs w:val="24"/>
        </w:rPr>
        <w:t>。</w:t>
      </w:r>
    </w:p>
    <w:p>
      <w:pPr>
        <w:keepNext w:val="0"/>
        <w:keepLines w:val="0"/>
        <w:pageBreakBefore w:val="0"/>
        <w:widowControl w:val="0"/>
        <w:kinsoku/>
        <w:wordWrap/>
        <w:overflowPunct/>
        <w:topLinePunct w:val="0"/>
        <w:autoSpaceDE w:val="0"/>
        <w:autoSpaceDN w:val="0"/>
        <w:bidi w:val="0"/>
        <w:adjustRightInd w:val="0"/>
        <w:snapToGrid/>
        <w:spacing w:line="500" w:lineRule="exact"/>
        <w:ind w:left="420" w:leftChars="200" w:right="0" w:right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1.1.4.5 缺陷责任期:</w:t>
      </w:r>
      <w:r>
        <w:rPr>
          <w:rFonts w:hint="eastAsia" w:ascii="宋体" w:hAnsi="宋体" w:eastAsia="宋体" w:cs="宋体"/>
          <w:kern w:val="0"/>
          <w:sz w:val="24"/>
          <w:szCs w:val="24"/>
          <w:u w:val="single"/>
        </w:rPr>
        <w:t>1年</w:t>
      </w:r>
      <w:r>
        <w:rPr>
          <w:rFonts w:hint="eastAsia" w:ascii="宋体" w:hAnsi="宋体" w:eastAsia="宋体" w:cs="宋体"/>
          <w:kern w:val="0"/>
          <w:sz w:val="24"/>
          <w:szCs w:val="24"/>
        </w:rPr>
        <w:t>。</w:t>
      </w:r>
    </w:p>
    <w:p>
      <w:pPr>
        <w:keepNext w:val="0"/>
        <w:keepLines w:val="0"/>
        <w:pageBreakBefore w:val="0"/>
        <w:widowControl w:val="0"/>
        <w:kinsoku/>
        <w:wordWrap/>
        <w:overflowPunct/>
        <w:topLinePunct w:val="0"/>
        <w:autoSpaceDE w:val="0"/>
        <w:autoSpaceDN w:val="0"/>
        <w:bidi w:val="0"/>
        <w:adjustRightInd w:val="0"/>
        <w:snapToGrid/>
        <w:spacing w:line="500" w:lineRule="exact"/>
        <w:ind w:left="420" w:leftChars="200" w:right="0" w:rightChars="0"/>
        <w:jc w:val="left"/>
        <w:textAlignment w:val="auto"/>
        <w:rPr>
          <w:rFonts w:hint="eastAsia" w:ascii="宋体" w:hAnsi="宋体" w:eastAsia="宋体" w:cs="宋体"/>
          <w:b/>
          <w:bCs/>
          <w:kern w:val="0"/>
          <w:sz w:val="24"/>
          <w:szCs w:val="24"/>
        </w:rPr>
      </w:pPr>
      <w:bookmarkStart w:id="456" w:name="_Toc210903289"/>
      <w:bookmarkStart w:id="457" w:name="_Toc209499032"/>
      <w:bookmarkStart w:id="458" w:name="_Toc491246879"/>
      <w:bookmarkStart w:id="459" w:name="_Toc222375998"/>
      <w:r>
        <w:rPr>
          <w:rFonts w:hint="eastAsia" w:ascii="宋体" w:hAnsi="宋体" w:eastAsia="宋体" w:cs="宋体"/>
          <w:b/>
          <w:bCs/>
          <w:kern w:val="0"/>
          <w:sz w:val="24"/>
          <w:szCs w:val="24"/>
        </w:rPr>
        <w:t>1.4 合同文件的优先顺序</w:t>
      </w:r>
      <w:bookmarkEnd w:id="456"/>
      <w:bookmarkEnd w:id="457"/>
      <w:bookmarkEnd w:id="458"/>
      <w:bookmarkEnd w:id="459"/>
    </w:p>
    <w:p>
      <w:pPr>
        <w:keepNext w:val="0"/>
        <w:keepLines w:val="0"/>
        <w:pageBreakBefore w:val="0"/>
        <w:widowControl w:val="0"/>
        <w:kinsoku/>
        <w:wordWrap/>
        <w:overflowPunct/>
        <w:topLinePunct w:val="0"/>
        <w:autoSpaceDE w:val="0"/>
        <w:autoSpaceDN w:val="0"/>
        <w:bidi w:val="0"/>
        <w:adjustRightInd w:val="0"/>
        <w:snapToGrid/>
        <w:spacing w:line="500" w:lineRule="exact"/>
        <w:ind w:left="420" w:leftChars="200" w:right="0" w:right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除合同另有规定外，解释合同文件的优先顺序如下：</w:t>
      </w:r>
    </w:p>
    <w:p>
      <w:pPr>
        <w:keepNext w:val="0"/>
        <w:keepLines w:val="0"/>
        <w:pageBreakBefore w:val="0"/>
        <w:widowControl w:val="0"/>
        <w:kinsoku/>
        <w:wordWrap/>
        <w:overflowPunct/>
        <w:topLinePunct w:val="0"/>
        <w:autoSpaceDE w:val="0"/>
        <w:autoSpaceDN w:val="0"/>
        <w:bidi w:val="0"/>
        <w:adjustRightInd w:val="0"/>
        <w:snapToGrid/>
        <w:spacing w:line="500" w:lineRule="exact"/>
        <w:ind w:left="420" w:leftChars="200" w:right="0" w:rightChars="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（1）协议书（包括补充协议）</w:t>
      </w:r>
    </w:p>
    <w:p>
      <w:pPr>
        <w:keepNext w:val="0"/>
        <w:keepLines w:val="0"/>
        <w:pageBreakBefore w:val="0"/>
        <w:widowControl w:val="0"/>
        <w:kinsoku/>
        <w:wordWrap/>
        <w:overflowPunct/>
        <w:topLinePunct w:val="0"/>
        <w:autoSpaceDE w:val="0"/>
        <w:autoSpaceDN w:val="0"/>
        <w:bidi w:val="0"/>
        <w:adjustRightInd w:val="0"/>
        <w:snapToGrid/>
        <w:spacing w:line="500" w:lineRule="exact"/>
        <w:ind w:left="420" w:leftChars="200" w:right="0" w:rightChars="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（2）中标通知书</w:t>
      </w:r>
    </w:p>
    <w:p>
      <w:pPr>
        <w:keepNext w:val="0"/>
        <w:keepLines w:val="0"/>
        <w:pageBreakBefore w:val="0"/>
        <w:widowControl w:val="0"/>
        <w:kinsoku/>
        <w:wordWrap/>
        <w:overflowPunct/>
        <w:topLinePunct w:val="0"/>
        <w:autoSpaceDE w:val="0"/>
        <w:autoSpaceDN w:val="0"/>
        <w:bidi w:val="0"/>
        <w:adjustRightInd w:val="0"/>
        <w:snapToGrid/>
        <w:spacing w:line="500" w:lineRule="exact"/>
        <w:ind w:left="420" w:leftChars="200" w:right="0" w:rightChars="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（3）专用合同条款</w:t>
      </w:r>
    </w:p>
    <w:p>
      <w:pPr>
        <w:keepNext w:val="0"/>
        <w:keepLines w:val="0"/>
        <w:pageBreakBefore w:val="0"/>
        <w:widowControl w:val="0"/>
        <w:kinsoku/>
        <w:wordWrap/>
        <w:overflowPunct/>
        <w:topLinePunct w:val="0"/>
        <w:autoSpaceDE w:val="0"/>
        <w:autoSpaceDN w:val="0"/>
        <w:bidi w:val="0"/>
        <w:adjustRightInd w:val="0"/>
        <w:snapToGrid/>
        <w:spacing w:line="500" w:lineRule="exact"/>
        <w:ind w:left="420" w:leftChars="200" w:right="0" w:rightChars="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（4）通用合同条款</w:t>
      </w:r>
    </w:p>
    <w:p>
      <w:pPr>
        <w:keepNext w:val="0"/>
        <w:keepLines w:val="0"/>
        <w:pageBreakBefore w:val="0"/>
        <w:widowControl w:val="0"/>
        <w:kinsoku/>
        <w:wordWrap/>
        <w:overflowPunct/>
        <w:topLinePunct w:val="0"/>
        <w:autoSpaceDE w:val="0"/>
        <w:autoSpaceDN w:val="0"/>
        <w:bidi w:val="0"/>
        <w:adjustRightInd w:val="0"/>
        <w:snapToGrid/>
        <w:spacing w:line="500" w:lineRule="exact"/>
        <w:ind w:left="420" w:leftChars="200" w:right="0" w:rightChars="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（5）技术条款和要求</w:t>
      </w:r>
    </w:p>
    <w:p>
      <w:pPr>
        <w:keepNext w:val="0"/>
        <w:keepLines w:val="0"/>
        <w:pageBreakBefore w:val="0"/>
        <w:widowControl w:val="0"/>
        <w:kinsoku/>
        <w:wordWrap/>
        <w:overflowPunct/>
        <w:topLinePunct w:val="0"/>
        <w:autoSpaceDE w:val="0"/>
        <w:autoSpaceDN w:val="0"/>
        <w:bidi w:val="0"/>
        <w:adjustRightInd w:val="0"/>
        <w:snapToGrid/>
        <w:spacing w:line="500" w:lineRule="exact"/>
        <w:ind w:left="105" w:leftChars="50" w:right="0" w:rightChars="0" w:firstLine="480" w:firstLineChars="20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（6）图纸</w:t>
      </w:r>
    </w:p>
    <w:p>
      <w:pPr>
        <w:keepNext w:val="0"/>
        <w:keepLines w:val="0"/>
        <w:pageBreakBefore w:val="0"/>
        <w:widowControl w:val="0"/>
        <w:kinsoku/>
        <w:wordWrap/>
        <w:overflowPunct/>
        <w:topLinePunct w:val="0"/>
        <w:autoSpaceDE w:val="0"/>
        <w:autoSpaceDN w:val="0"/>
        <w:bidi w:val="0"/>
        <w:adjustRightInd w:val="0"/>
        <w:snapToGrid/>
        <w:spacing w:line="500" w:lineRule="exact"/>
        <w:ind w:left="105" w:leftChars="50" w:right="0" w:rightChars="0" w:firstLine="480" w:firstLineChars="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（7）已标价的工程量清单</w:t>
      </w:r>
    </w:p>
    <w:p>
      <w:pPr>
        <w:keepNext w:val="0"/>
        <w:keepLines w:val="0"/>
        <w:pageBreakBefore w:val="0"/>
        <w:widowControl w:val="0"/>
        <w:kinsoku/>
        <w:wordWrap/>
        <w:overflowPunct/>
        <w:topLinePunct w:val="0"/>
        <w:autoSpaceDE w:val="0"/>
        <w:autoSpaceDN w:val="0"/>
        <w:bidi w:val="0"/>
        <w:adjustRightInd w:val="0"/>
        <w:snapToGrid/>
        <w:spacing w:line="500" w:lineRule="exact"/>
        <w:ind w:left="105" w:leftChars="50" w:right="0" w:rightChars="0" w:firstLine="480" w:firstLineChars="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（8）经双方确认进入合同的其它文件</w:t>
      </w:r>
    </w:p>
    <w:p>
      <w:pPr>
        <w:keepNext w:val="0"/>
        <w:keepLines w:val="0"/>
        <w:pageBreakBefore w:val="0"/>
        <w:widowControl w:val="0"/>
        <w:kinsoku/>
        <w:wordWrap/>
        <w:overflowPunct/>
        <w:topLinePunct w:val="0"/>
        <w:autoSpaceDE w:val="0"/>
        <w:autoSpaceDN w:val="0"/>
        <w:bidi w:val="0"/>
        <w:adjustRightInd w:val="0"/>
        <w:snapToGrid/>
        <w:spacing w:line="500" w:lineRule="exact"/>
        <w:ind w:right="0" w:rightChars="0" w:firstLine="723" w:firstLineChars="300"/>
        <w:jc w:val="left"/>
        <w:textAlignment w:val="auto"/>
        <w:outlineLvl w:val="9"/>
        <w:rPr>
          <w:rFonts w:hint="eastAsia" w:ascii="宋体" w:hAnsi="宋体" w:eastAsia="宋体" w:cs="宋体"/>
          <w:b/>
          <w:bCs/>
          <w:kern w:val="0"/>
          <w:sz w:val="24"/>
          <w:szCs w:val="24"/>
        </w:rPr>
      </w:pPr>
      <w:bookmarkStart w:id="460" w:name="_Toc209499034"/>
      <w:bookmarkStart w:id="461" w:name="_Toc222376000"/>
      <w:bookmarkStart w:id="462" w:name="_Toc491246881"/>
      <w:bookmarkStart w:id="463" w:name="_Toc201058953"/>
      <w:bookmarkStart w:id="464" w:name="_Toc210903291"/>
      <w:r>
        <w:rPr>
          <w:rFonts w:hint="eastAsia" w:ascii="宋体" w:hAnsi="宋体" w:eastAsia="宋体" w:cs="宋体"/>
          <w:b/>
          <w:bCs/>
          <w:kern w:val="0"/>
          <w:sz w:val="24"/>
          <w:szCs w:val="24"/>
        </w:rPr>
        <w:t>1.12 图纸和文件的保密</w:t>
      </w:r>
      <w:bookmarkEnd w:id="460"/>
      <w:bookmarkEnd w:id="461"/>
      <w:bookmarkEnd w:id="462"/>
      <w:bookmarkEnd w:id="463"/>
      <w:bookmarkEnd w:id="464"/>
    </w:p>
    <w:p>
      <w:pPr>
        <w:autoSpaceDE w:val="0"/>
        <w:autoSpaceDN w:val="0"/>
        <w:adjustRightInd w:val="0"/>
        <w:spacing w:line="500" w:lineRule="exact"/>
        <w:ind w:left="168" w:leftChars="80"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除第1.12.1款和第1.12.2款规定外，双方还应对本合同内容及双方相互提供标有密级的文件保密，未经许可不得泄漏给与本合同无关的第三人，违者应对泄密造成的后果承担责任。</w:t>
      </w:r>
    </w:p>
    <w:p>
      <w:pPr>
        <w:autoSpaceDE w:val="0"/>
        <w:autoSpaceDN w:val="0"/>
        <w:adjustRightInd w:val="0"/>
        <w:spacing w:line="500" w:lineRule="exact"/>
        <w:ind w:firstLine="482" w:firstLineChars="200"/>
        <w:jc w:val="left"/>
        <w:outlineLvl w:val="0"/>
        <w:rPr>
          <w:rFonts w:hint="eastAsia" w:ascii="宋体" w:hAnsi="宋体" w:eastAsia="宋体" w:cs="宋体"/>
          <w:b/>
          <w:kern w:val="0"/>
          <w:sz w:val="24"/>
          <w:szCs w:val="24"/>
        </w:rPr>
      </w:pPr>
      <w:bookmarkStart w:id="465" w:name="_Toc21379"/>
      <w:bookmarkStart w:id="466" w:name="_Toc491246882"/>
      <w:bookmarkStart w:id="467" w:name="_Toc200817288"/>
      <w:bookmarkStart w:id="468" w:name="_Toc210903292"/>
      <w:bookmarkStart w:id="469" w:name="_Toc9354"/>
      <w:bookmarkStart w:id="470" w:name="_Toc209499035"/>
      <w:bookmarkStart w:id="471" w:name="_Toc222376001"/>
      <w:bookmarkStart w:id="472" w:name="_Toc201058954"/>
      <w:bookmarkStart w:id="473" w:name="_Toc5049"/>
      <w:r>
        <w:rPr>
          <w:rFonts w:hint="eastAsia" w:ascii="宋体" w:hAnsi="宋体" w:eastAsia="宋体" w:cs="宋体"/>
          <w:b/>
          <w:kern w:val="0"/>
          <w:sz w:val="24"/>
          <w:szCs w:val="24"/>
        </w:rPr>
        <w:t>2.发包人义务</w:t>
      </w:r>
      <w:bookmarkEnd w:id="465"/>
      <w:bookmarkEnd w:id="466"/>
      <w:bookmarkEnd w:id="467"/>
      <w:bookmarkEnd w:id="468"/>
      <w:bookmarkEnd w:id="469"/>
      <w:bookmarkEnd w:id="470"/>
      <w:bookmarkEnd w:id="471"/>
      <w:bookmarkEnd w:id="472"/>
      <w:bookmarkEnd w:id="473"/>
    </w:p>
    <w:p>
      <w:pPr>
        <w:autoSpaceDE w:val="0"/>
        <w:autoSpaceDN w:val="0"/>
        <w:adjustRightInd w:val="0"/>
        <w:spacing w:line="500" w:lineRule="exact"/>
        <w:ind w:firstLine="482"/>
        <w:jc w:val="left"/>
        <w:rPr>
          <w:rFonts w:hint="eastAsia" w:ascii="宋体" w:hAnsi="宋体" w:eastAsia="宋体" w:cs="宋体"/>
          <w:b/>
          <w:bCs/>
          <w:kern w:val="0"/>
          <w:sz w:val="24"/>
          <w:szCs w:val="24"/>
        </w:rPr>
      </w:pPr>
      <w:bookmarkStart w:id="474" w:name="_Toc210903293"/>
      <w:bookmarkStart w:id="475" w:name="_Toc98813270"/>
      <w:bookmarkStart w:id="476" w:name="_Toc201058955"/>
      <w:bookmarkStart w:id="477" w:name="_Toc491246883"/>
      <w:bookmarkStart w:id="478" w:name="_Toc209499036"/>
      <w:bookmarkStart w:id="479" w:name="_Toc222376002"/>
      <w:r>
        <w:rPr>
          <w:rFonts w:hint="eastAsia" w:ascii="宋体" w:hAnsi="宋体" w:eastAsia="宋体" w:cs="宋体"/>
          <w:b/>
          <w:bCs/>
          <w:kern w:val="0"/>
          <w:sz w:val="24"/>
          <w:szCs w:val="24"/>
        </w:rPr>
        <w:t>2.3 提供施工场地</w:t>
      </w:r>
      <w:bookmarkEnd w:id="474"/>
      <w:bookmarkEnd w:id="475"/>
      <w:bookmarkEnd w:id="476"/>
      <w:bookmarkEnd w:id="477"/>
      <w:bookmarkEnd w:id="478"/>
      <w:bookmarkEnd w:id="479"/>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发包人负责办理工地范围内的征地和移民，向承包人提供施工用地，提供的用地范围和期限在签订协议书时商定。承包人只能在商定的用地范围内安排施工，超出商定的用地范围外的用地由承包人自行解决并承担由此发生的一切费用。</w:t>
      </w:r>
    </w:p>
    <w:p>
      <w:pPr>
        <w:autoSpaceDE w:val="0"/>
        <w:autoSpaceDN w:val="0"/>
        <w:adjustRightInd w:val="0"/>
        <w:spacing w:line="500" w:lineRule="exact"/>
        <w:ind w:firstLine="482" w:firstLineChars="200"/>
        <w:jc w:val="left"/>
        <w:outlineLvl w:val="0"/>
        <w:rPr>
          <w:rFonts w:hint="eastAsia" w:ascii="宋体" w:hAnsi="宋体" w:eastAsia="宋体" w:cs="宋体"/>
          <w:bCs/>
          <w:kern w:val="0"/>
          <w:sz w:val="24"/>
          <w:szCs w:val="24"/>
        </w:rPr>
      </w:pPr>
      <w:bookmarkStart w:id="480" w:name="_Toc491246884"/>
      <w:bookmarkStart w:id="481" w:name="_Toc209499037"/>
      <w:bookmarkStart w:id="482" w:name="_Toc222376003"/>
      <w:bookmarkStart w:id="483" w:name="_Toc29653"/>
      <w:bookmarkStart w:id="484" w:name="_Toc210903294"/>
      <w:bookmarkStart w:id="485" w:name="_Toc4937"/>
      <w:bookmarkStart w:id="486" w:name="_Toc23326"/>
      <w:r>
        <w:rPr>
          <w:rFonts w:hint="eastAsia" w:ascii="宋体" w:hAnsi="宋体" w:eastAsia="宋体" w:cs="宋体"/>
          <w:b/>
          <w:bCs/>
          <w:kern w:val="0"/>
          <w:sz w:val="24"/>
          <w:szCs w:val="24"/>
        </w:rPr>
        <w:t>2.8 其它义务</w:t>
      </w:r>
      <w:bookmarkEnd w:id="480"/>
      <w:bookmarkEnd w:id="481"/>
      <w:bookmarkEnd w:id="482"/>
      <w:bookmarkEnd w:id="483"/>
      <w:bookmarkEnd w:id="484"/>
      <w:bookmarkEnd w:id="485"/>
      <w:bookmarkEnd w:id="486"/>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发包人负责本工程施工期间安全的统一协调、指挥。</w:t>
      </w:r>
    </w:p>
    <w:p>
      <w:pPr>
        <w:autoSpaceDE w:val="0"/>
        <w:autoSpaceDN w:val="0"/>
        <w:adjustRightInd w:val="0"/>
        <w:spacing w:line="500" w:lineRule="exact"/>
        <w:ind w:firstLine="482" w:firstLineChars="200"/>
        <w:jc w:val="left"/>
        <w:outlineLvl w:val="0"/>
        <w:rPr>
          <w:rFonts w:hint="eastAsia" w:ascii="宋体" w:hAnsi="宋体" w:eastAsia="宋体" w:cs="宋体"/>
          <w:b/>
          <w:kern w:val="0"/>
          <w:sz w:val="24"/>
          <w:szCs w:val="24"/>
        </w:rPr>
      </w:pPr>
      <w:bookmarkStart w:id="487" w:name="_Toc26600"/>
      <w:bookmarkStart w:id="488" w:name="_Toc12508"/>
      <w:bookmarkStart w:id="489" w:name="_Toc222376004"/>
      <w:bookmarkStart w:id="490" w:name="_Toc30029"/>
      <w:bookmarkStart w:id="491" w:name="_Toc210903295"/>
      <w:bookmarkStart w:id="492" w:name="_Toc491246885"/>
      <w:bookmarkStart w:id="493" w:name="_Toc209499038"/>
      <w:r>
        <w:rPr>
          <w:rFonts w:hint="eastAsia" w:ascii="宋体" w:hAnsi="宋体" w:eastAsia="宋体" w:cs="宋体"/>
          <w:b/>
          <w:kern w:val="0"/>
          <w:sz w:val="24"/>
          <w:szCs w:val="24"/>
        </w:rPr>
        <w:t>4.承包人</w:t>
      </w:r>
      <w:bookmarkEnd w:id="487"/>
      <w:bookmarkEnd w:id="488"/>
      <w:bookmarkEnd w:id="489"/>
      <w:bookmarkEnd w:id="490"/>
      <w:bookmarkEnd w:id="491"/>
    </w:p>
    <w:p>
      <w:pPr>
        <w:autoSpaceDE w:val="0"/>
        <w:autoSpaceDN w:val="0"/>
        <w:adjustRightInd w:val="0"/>
        <w:spacing w:line="500" w:lineRule="exact"/>
        <w:ind w:firstLine="482" w:firstLineChars="200"/>
        <w:jc w:val="left"/>
        <w:outlineLvl w:val="0"/>
        <w:rPr>
          <w:rFonts w:hint="eastAsia" w:ascii="宋体" w:hAnsi="宋体" w:eastAsia="宋体" w:cs="宋体"/>
          <w:b/>
          <w:bCs/>
          <w:kern w:val="0"/>
          <w:sz w:val="24"/>
          <w:szCs w:val="24"/>
        </w:rPr>
      </w:pPr>
      <w:bookmarkStart w:id="494" w:name="_Toc7085"/>
      <w:bookmarkStart w:id="495" w:name="_Toc222376005"/>
      <w:bookmarkStart w:id="496" w:name="_Toc8869"/>
      <w:bookmarkStart w:id="497" w:name="_Toc7147"/>
      <w:bookmarkStart w:id="498" w:name="_Toc210903296"/>
      <w:r>
        <w:rPr>
          <w:rFonts w:hint="eastAsia" w:ascii="宋体" w:hAnsi="宋体" w:eastAsia="宋体" w:cs="宋体"/>
          <w:b/>
          <w:bCs/>
          <w:kern w:val="0"/>
          <w:sz w:val="24"/>
          <w:szCs w:val="24"/>
        </w:rPr>
        <w:t>4.1 承包人的一般义务</w:t>
      </w:r>
      <w:bookmarkEnd w:id="492"/>
      <w:bookmarkEnd w:id="493"/>
      <w:bookmarkEnd w:id="494"/>
      <w:bookmarkEnd w:id="495"/>
      <w:bookmarkEnd w:id="496"/>
      <w:bookmarkEnd w:id="497"/>
      <w:bookmarkEnd w:id="498"/>
    </w:p>
    <w:p>
      <w:pPr>
        <w:autoSpaceDE w:val="0"/>
        <w:autoSpaceDN w:val="0"/>
        <w:adjustRightInd w:val="0"/>
        <w:spacing w:line="500" w:lineRule="exact"/>
        <w:ind w:firstLine="480"/>
        <w:jc w:val="left"/>
        <w:outlineLvl w:val="0"/>
        <w:rPr>
          <w:rFonts w:hint="eastAsia" w:ascii="宋体" w:hAnsi="宋体" w:eastAsia="宋体" w:cs="宋体"/>
          <w:bCs/>
          <w:kern w:val="0"/>
          <w:sz w:val="24"/>
          <w:szCs w:val="24"/>
        </w:rPr>
      </w:pPr>
      <w:bookmarkStart w:id="499" w:name="_Toc210903298"/>
      <w:bookmarkStart w:id="500" w:name="_Toc29176"/>
      <w:bookmarkStart w:id="501" w:name="_Toc209632480"/>
      <w:bookmarkStart w:id="502" w:name="_Toc209499039"/>
      <w:bookmarkStart w:id="503" w:name="_Toc27887"/>
      <w:bookmarkStart w:id="504" w:name="_Toc222376007"/>
      <w:bookmarkStart w:id="505" w:name="_Toc20448"/>
      <w:bookmarkStart w:id="506" w:name="_Toc209632764"/>
      <w:r>
        <w:rPr>
          <w:rFonts w:hint="eastAsia" w:ascii="宋体" w:hAnsi="宋体" w:eastAsia="宋体" w:cs="宋体"/>
          <w:bCs/>
          <w:kern w:val="0"/>
          <w:sz w:val="24"/>
          <w:szCs w:val="24"/>
        </w:rPr>
        <w:t>4.1.10 其它义务</w:t>
      </w:r>
      <w:bookmarkEnd w:id="499"/>
      <w:bookmarkEnd w:id="500"/>
      <w:bookmarkEnd w:id="501"/>
      <w:bookmarkEnd w:id="502"/>
      <w:bookmarkEnd w:id="503"/>
      <w:bookmarkEnd w:id="504"/>
      <w:bookmarkEnd w:id="505"/>
      <w:bookmarkEnd w:id="506"/>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(1)本合同工程施工所需的水、电、交通等临时工程的修建与维护费用全部由承包人自行承担，施工对乡村便道的损坏由承包人负责恢复。若造成当地交通、农田、房屋、植被等损害，承包人应负责对造成的损害进行恢复及赔偿。</w:t>
      </w:r>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(2)在施工队伍进场后，施工技术方案、施工进度计划、资金流计划、设备人员进场报验单经监理方检查、审核、批准，总监理工程师发出开工令后工程方可开工。</w:t>
      </w:r>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(3)承包人必须结清和施工所在地政府、自然人及其他任意第三人的所有拖欠款项及今后施工中发生的相应款项，承包人应对由此引起的一切后果负完全责任。若是因承包人原因致使发包人代为垫付上述款项的，则发包人有权追索所垫付之款项及相应合理索赔费用（包括但不限于仲裁费、保全费、保全保险费、执行费、律师服务费、公告费、公证费、按4倍LPR计算的资金占用期间利息等）。除本条本款外，因承包人原因致使发包人代为垫付资金的，发包人均有权依据本条本款内容追索。</w:t>
      </w:r>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(4)承包人要采取有效措施对施工开挖边坡及时进行支护和做好排水措施（特别是雨季施工排水与防洪措施），避免施工中造成水土流失，否则将承担相应赔偿责任；</w:t>
      </w:r>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(5)承包人在施工过程中采取有效措施注意保护生活用水源免受施工活动造成的污染，否则将承担相应责任；</w:t>
      </w:r>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(6)用于工程建设的工程款承包人必须专款专用，不得挪作它用。发包人有权指定承包人开户银行，并请银行代为监督；</w:t>
      </w:r>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(7)发包人提供的施工用地以外的承包人所需用地及其费用，由承包人自行解决。</w:t>
      </w:r>
    </w:p>
    <w:p>
      <w:pPr>
        <w:pStyle w:val="133"/>
        <w:snapToGrid w:val="0"/>
        <w:spacing w:line="500" w:lineRule="exact"/>
        <w:ind w:firstLine="480"/>
        <w:rPr>
          <w:rFonts w:hint="eastAsia" w:ascii="宋体" w:hAnsi="宋体" w:eastAsia="宋体" w:cs="宋体"/>
          <w:sz w:val="24"/>
          <w:szCs w:val="24"/>
        </w:rPr>
      </w:pPr>
      <w:bookmarkStart w:id="507" w:name="_Toc491246886"/>
      <w:bookmarkStart w:id="508" w:name="_Toc209499040"/>
      <w:bookmarkStart w:id="509" w:name="_Toc210903299"/>
      <w:r>
        <w:rPr>
          <w:rFonts w:hint="eastAsia" w:ascii="宋体" w:hAnsi="宋体" w:eastAsia="宋体" w:cs="宋体"/>
          <w:kern w:val="0"/>
          <w:sz w:val="24"/>
          <w:szCs w:val="24"/>
        </w:rPr>
        <w:t>(8)</w:t>
      </w:r>
      <w:r>
        <w:rPr>
          <w:rFonts w:hint="eastAsia" w:ascii="宋体" w:hAnsi="宋体" w:eastAsia="宋体" w:cs="宋体"/>
          <w:sz w:val="24"/>
          <w:szCs w:val="24"/>
        </w:rPr>
        <w:t xml:space="preserve">承包人应服从发包人和监理人的现场统一指挥，相互配合，协调作业。工程土方开挖等所得的可用土石材料，不得随意抛弃，应按发包人和监理人的要求堆放在指定地点，用于回填。 </w:t>
      </w:r>
    </w:p>
    <w:p>
      <w:pPr>
        <w:pStyle w:val="133"/>
        <w:snapToGrid w:val="0"/>
        <w:spacing w:line="500" w:lineRule="exact"/>
        <w:ind w:firstLine="480"/>
        <w:rPr>
          <w:rFonts w:hint="eastAsia" w:ascii="宋体" w:hAnsi="宋体" w:eastAsia="宋体" w:cs="宋体"/>
          <w:sz w:val="24"/>
          <w:szCs w:val="24"/>
        </w:rPr>
      </w:pPr>
      <w:r>
        <w:rPr>
          <w:rFonts w:hint="eastAsia" w:ascii="宋体" w:hAnsi="宋体" w:eastAsia="宋体" w:cs="宋体"/>
          <w:sz w:val="24"/>
          <w:szCs w:val="24"/>
        </w:rPr>
        <w:t>（9）根据《海南省打赢脱贫攻坚站指挥部关于印发海南省组织贫困劳动力积极务工专项行动工作方案》（琼脱贫指﹝2020﹞5号）文件要求，使用政府资金的重点项目、重点工程中劳动力密集技术含量较低的各类项目工程，承包人用工必须优先招录贫困劳动力，比例不得低于新招录人员数量的10%。</w:t>
      </w:r>
      <w:bookmarkEnd w:id="507"/>
      <w:bookmarkEnd w:id="508"/>
      <w:bookmarkEnd w:id="509"/>
    </w:p>
    <w:p>
      <w:pPr>
        <w:autoSpaceDE w:val="0"/>
        <w:autoSpaceDN w:val="0"/>
        <w:adjustRightInd w:val="0"/>
        <w:spacing w:line="500" w:lineRule="exact"/>
        <w:jc w:val="left"/>
        <w:outlineLvl w:val="0"/>
        <w:rPr>
          <w:rFonts w:hint="eastAsia" w:ascii="宋体" w:hAnsi="宋体" w:eastAsia="宋体" w:cs="宋体"/>
          <w:b/>
          <w:bCs/>
          <w:sz w:val="24"/>
          <w:szCs w:val="24"/>
        </w:rPr>
      </w:pPr>
      <w:bookmarkStart w:id="510" w:name="_Toc2266"/>
      <w:bookmarkStart w:id="511" w:name="_Toc23108"/>
      <w:bookmarkStart w:id="512" w:name="_Toc27307"/>
      <w:bookmarkStart w:id="513" w:name="_Toc222376009"/>
      <w:bookmarkStart w:id="514" w:name="_Toc209499041"/>
      <w:bookmarkStart w:id="515" w:name="_Toc491246887"/>
      <w:bookmarkStart w:id="516" w:name="_Toc210903300"/>
      <w:r>
        <w:rPr>
          <w:rFonts w:hint="eastAsia" w:ascii="宋体" w:hAnsi="宋体" w:eastAsia="宋体" w:cs="宋体"/>
          <w:b/>
          <w:bCs/>
          <w:sz w:val="24"/>
          <w:szCs w:val="24"/>
        </w:rPr>
        <w:t>4.2 履约担保</w:t>
      </w:r>
      <w:bookmarkEnd w:id="510"/>
      <w:bookmarkEnd w:id="511"/>
      <w:bookmarkEnd w:id="512"/>
    </w:p>
    <w:p>
      <w:pPr>
        <w:autoSpaceDE w:val="0"/>
        <w:autoSpaceDN w:val="0"/>
        <w:adjustRightInd w:val="0"/>
        <w:spacing w:line="500" w:lineRule="exact"/>
        <w:ind w:firstLine="480"/>
        <w:jc w:val="left"/>
        <w:outlineLvl w:val="0"/>
        <w:rPr>
          <w:rFonts w:hint="eastAsia" w:ascii="宋体" w:hAnsi="宋体" w:eastAsia="宋体" w:cs="宋体"/>
          <w:sz w:val="24"/>
          <w:szCs w:val="24"/>
        </w:rPr>
      </w:pPr>
      <w:bookmarkStart w:id="517" w:name="_Toc669"/>
      <w:bookmarkStart w:id="518" w:name="_Toc18822"/>
      <w:bookmarkStart w:id="519" w:name="_Toc14158"/>
      <w:r>
        <w:rPr>
          <w:rFonts w:hint="eastAsia" w:ascii="宋体" w:hAnsi="宋体" w:eastAsia="宋体" w:cs="宋体"/>
          <w:sz w:val="24"/>
          <w:szCs w:val="24"/>
        </w:rPr>
        <w:t>承包人与发包人签订合同书后，承包人应向发包人提交</w:t>
      </w:r>
      <w:r>
        <w:rPr>
          <w:rFonts w:hint="eastAsia" w:ascii="宋体" w:hAnsi="宋体" w:eastAsia="宋体" w:cs="宋体"/>
          <w:b/>
          <w:bCs/>
          <w:sz w:val="24"/>
          <w:szCs w:val="24"/>
        </w:rPr>
        <w:t>中标价的</w:t>
      </w:r>
      <w:r>
        <w:rPr>
          <w:rFonts w:hint="eastAsia" w:ascii="宋体" w:hAnsi="宋体" w:eastAsia="宋体" w:cs="宋体"/>
          <w:b/>
          <w:bCs/>
          <w:sz w:val="24"/>
          <w:szCs w:val="24"/>
          <w:lang w:val="en-US" w:eastAsia="zh-CN"/>
        </w:rPr>
        <w:t>5</w:t>
      </w:r>
      <w:r>
        <w:rPr>
          <w:rFonts w:hint="eastAsia" w:ascii="宋体" w:hAnsi="宋体" w:eastAsia="宋体" w:cs="宋体"/>
          <w:b/>
          <w:bCs/>
          <w:sz w:val="24"/>
          <w:szCs w:val="24"/>
        </w:rPr>
        <w:t>%的履约担保</w:t>
      </w:r>
      <w:r>
        <w:rPr>
          <w:rFonts w:hint="eastAsia" w:ascii="宋体" w:hAnsi="宋体" w:eastAsia="宋体" w:cs="宋体"/>
          <w:sz w:val="24"/>
          <w:szCs w:val="24"/>
        </w:rPr>
        <w:t>，否则终止合同的履行，履约担保的形式为</w:t>
      </w:r>
      <w:r>
        <w:rPr>
          <w:rFonts w:hint="eastAsia" w:ascii="宋体" w:hAnsi="宋体" w:eastAsia="宋体" w:cs="宋体"/>
          <w:b/>
          <w:bCs/>
          <w:sz w:val="24"/>
          <w:szCs w:val="24"/>
        </w:rPr>
        <w:t>银行保函</w:t>
      </w:r>
      <w:r>
        <w:rPr>
          <w:rFonts w:hint="eastAsia" w:ascii="宋体" w:hAnsi="宋体" w:eastAsia="宋体" w:cs="宋体"/>
          <w:sz w:val="24"/>
          <w:szCs w:val="24"/>
        </w:rPr>
        <w:t>、</w:t>
      </w:r>
      <w:r>
        <w:rPr>
          <w:rFonts w:hint="eastAsia" w:ascii="宋体" w:hAnsi="宋体" w:eastAsia="宋体" w:cs="宋体"/>
          <w:b/>
          <w:bCs/>
          <w:sz w:val="24"/>
          <w:szCs w:val="24"/>
        </w:rPr>
        <w:t>商业保函</w:t>
      </w:r>
      <w:r>
        <w:rPr>
          <w:rFonts w:hint="eastAsia" w:ascii="宋体" w:hAnsi="宋体" w:eastAsia="宋体" w:cs="宋体"/>
          <w:sz w:val="24"/>
          <w:szCs w:val="24"/>
        </w:rPr>
        <w:t>或</w:t>
      </w:r>
      <w:r>
        <w:rPr>
          <w:rFonts w:hint="eastAsia" w:ascii="宋体" w:hAnsi="宋体" w:eastAsia="宋体" w:cs="宋体"/>
          <w:b/>
          <w:bCs/>
          <w:sz w:val="24"/>
          <w:szCs w:val="24"/>
        </w:rPr>
        <w:t>商业保险保函</w:t>
      </w:r>
      <w:r>
        <w:rPr>
          <w:rFonts w:hint="eastAsia" w:ascii="宋体" w:hAnsi="宋体" w:eastAsia="宋体" w:cs="宋体"/>
          <w:sz w:val="24"/>
          <w:szCs w:val="24"/>
        </w:rPr>
        <w:t>。承包人应在本协议签订后十五日内提供上述担保，逾期提供的视为违约。</w:t>
      </w:r>
      <w:bookmarkEnd w:id="517"/>
      <w:bookmarkEnd w:id="518"/>
      <w:bookmarkEnd w:id="519"/>
    </w:p>
    <w:p>
      <w:pPr>
        <w:autoSpaceDE w:val="0"/>
        <w:autoSpaceDN w:val="0"/>
        <w:adjustRightInd w:val="0"/>
        <w:spacing w:line="500" w:lineRule="exact"/>
        <w:jc w:val="left"/>
        <w:outlineLvl w:val="0"/>
        <w:rPr>
          <w:rFonts w:hint="eastAsia" w:ascii="宋体" w:hAnsi="宋体" w:eastAsia="宋体" w:cs="宋体"/>
          <w:bCs/>
          <w:kern w:val="0"/>
          <w:sz w:val="24"/>
          <w:szCs w:val="24"/>
        </w:rPr>
      </w:pPr>
      <w:bookmarkStart w:id="520" w:name="_Toc1604"/>
      <w:bookmarkStart w:id="521" w:name="_Toc13103"/>
      <w:bookmarkStart w:id="522" w:name="_Toc30543"/>
      <w:r>
        <w:rPr>
          <w:rFonts w:hint="eastAsia" w:ascii="宋体" w:hAnsi="宋体" w:eastAsia="宋体" w:cs="宋体"/>
          <w:b/>
          <w:bCs/>
          <w:sz w:val="24"/>
          <w:szCs w:val="24"/>
        </w:rPr>
        <w:t>4.4 联合体</w:t>
      </w:r>
      <w:bookmarkEnd w:id="513"/>
      <w:bookmarkEnd w:id="514"/>
      <w:bookmarkEnd w:id="515"/>
      <w:bookmarkEnd w:id="516"/>
      <w:bookmarkEnd w:id="520"/>
      <w:bookmarkEnd w:id="521"/>
      <w:bookmarkEnd w:id="522"/>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本工程不允许联合体投标。</w:t>
      </w:r>
    </w:p>
    <w:p>
      <w:pPr>
        <w:autoSpaceDE w:val="0"/>
        <w:autoSpaceDN w:val="0"/>
        <w:adjustRightInd w:val="0"/>
        <w:spacing w:line="500" w:lineRule="exact"/>
        <w:jc w:val="left"/>
        <w:outlineLvl w:val="0"/>
        <w:rPr>
          <w:rFonts w:hint="eastAsia" w:ascii="宋体" w:hAnsi="宋体" w:eastAsia="宋体" w:cs="宋体"/>
          <w:b/>
          <w:kern w:val="0"/>
          <w:sz w:val="24"/>
          <w:szCs w:val="24"/>
        </w:rPr>
      </w:pPr>
      <w:bookmarkStart w:id="523" w:name="_Toc26540"/>
      <w:bookmarkStart w:id="524" w:name="_Toc491246888"/>
      <w:bookmarkStart w:id="525" w:name="_Toc200817289"/>
      <w:bookmarkStart w:id="526" w:name="_Toc209499043"/>
      <w:bookmarkStart w:id="527" w:name="_Toc201058956"/>
      <w:bookmarkStart w:id="528" w:name="_Toc25627"/>
      <w:bookmarkStart w:id="529" w:name="_Toc222376011"/>
      <w:bookmarkStart w:id="530" w:name="_Toc210903302"/>
      <w:bookmarkStart w:id="531" w:name="_Toc7996"/>
      <w:r>
        <w:rPr>
          <w:rFonts w:hint="eastAsia" w:ascii="宋体" w:hAnsi="宋体" w:eastAsia="宋体" w:cs="宋体"/>
          <w:b/>
          <w:kern w:val="0"/>
          <w:sz w:val="24"/>
          <w:szCs w:val="24"/>
        </w:rPr>
        <w:t>5．材料和工程设备</w:t>
      </w:r>
      <w:bookmarkEnd w:id="523"/>
      <w:bookmarkEnd w:id="524"/>
      <w:bookmarkEnd w:id="525"/>
      <w:bookmarkEnd w:id="526"/>
      <w:bookmarkEnd w:id="527"/>
      <w:bookmarkEnd w:id="528"/>
      <w:bookmarkEnd w:id="529"/>
      <w:bookmarkEnd w:id="530"/>
      <w:bookmarkEnd w:id="531"/>
    </w:p>
    <w:p>
      <w:pPr>
        <w:autoSpaceDE w:val="0"/>
        <w:autoSpaceDN w:val="0"/>
        <w:adjustRightInd w:val="0"/>
        <w:spacing w:line="500" w:lineRule="exact"/>
        <w:jc w:val="left"/>
        <w:outlineLvl w:val="0"/>
        <w:rPr>
          <w:rFonts w:hint="eastAsia" w:ascii="宋体" w:hAnsi="宋体" w:eastAsia="宋体" w:cs="宋体"/>
          <w:bCs/>
          <w:kern w:val="0"/>
          <w:sz w:val="24"/>
          <w:szCs w:val="24"/>
        </w:rPr>
      </w:pPr>
      <w:bookmarkStart w:id="532" w:name="_Toc222376012"/>
      <w:bookmarkStart w:id="533" w:name="_Toc209499044"/>
      <w:bookmarkStart w:id="534" w:name="_Toc210903303"/>
      <w:bookmarkStart w:id="535" w:name="_Toc8853"/>
      <w:bookmarkStart w:id="536" w:name="_Toc491246889"/>
      <w:bookmarkStart w:id="537" w:name="_Toc5880"/>
      <w:bookmarkStart w:id="538" w:name="_Toc29915"/>
      <w:r>
        <w:rPr>
          <w:rFonts w:hint="eastAsia" w:ascii="宋体" w:hAnsi="宋体" w:eastAsia="宋体" w:cs="宋体"/>
          <w:b/>
          <w:bCs/>
          <w:sz w:val="24"/>
          <w:szCs w:val="24"/>
        </w:rPr>
        <w:t>5.2 发包人提供的材料和工程设备</w:t>
      </w:r>
      <w:bookmarkEnd w:id="532"/>
      <w:bookmarkEnd w:id="533"/>
      <w:bookmarkEnd w:id="534"/>
      <w:bookmarkEnd w:id="535"/>
      <w:bookmarkEnd w:id="536"/>
      <w:bookmarkEnd w:id="537"/>
      <w:bookmarkEnd w:id="538"/>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本工程发包人不提供材料和工程设备。</w:t>
      </w:r>
    </w:p>
    <w:p>
      <w:pPr>
        <w:autoSpaceDE w:val="0"/>
        <w:autoSpaceDN w:val="0"/>
        <w:adjustRightInd w:val="0"/>
        <w:spacing w:line="500" w:lineRule="exact"/>
        <w:jc w:val="left"/>
        <w:outlineLvl w:val="0"/>
        <w:rPr>
          <w:rFonts w:hint="eastAsia" w:ascii="宋体" w:hAnsi="宋体" w:eastAsia="宋体" w:cs="宋体"/>
          <w:b/>
          <w:kern w:val="0"/>
          <w:sz w:val="24"/>
          <w:szCs w:val="24"/>
        </w:rPr>
      </w:pPr>
      <w:bookmarkStart w:id="539" w:name="_Toc209499045"/>
      <w:bookmarkStart w:id="540" w:name="_Toc20060"/>
      <w:bookmarkStart w:id="541" w:name="_Toc210903304"/>
      <w:bookmarkStart w:id="542" w:name="_Toc32569"/>
      <w:bookmarkStart w:id="543" w:name="_Toc21952"/>
      <w:bookmarkStart w:id="544" w:name="_Toc222376013"/>
      <w:bookmarkStart w:id="545" w:name="_Toc491246890"/>
      <w:bookmarkStart w:id="546" w:name="_Toc201058957"/>
      <w:r>
        <w:rPr>
          <w:rFonts w:hint="eastAsia" w:ascii="宋体" w:hAnsi="宋体" w:eastAsia="宋体" w:cs="宋体"/>
          <w:b/>
          <w:kern w:val="0"/>
          <w:sz w:val="24"/>
          <w:szCs w:val="24"/>
        </w:rPr>
        <w:t>9．施工安全、治安保卫和环境保护</w:t>
      </w:r>
      <w:bookmarkEnd w:id="539"/>
      <w:bookmarkEnd w:id="540"/>
      <w:bookmarkEnd w:id="541"/>
      <w:bookmarkEnd w:id="542"/>
      <w:bookmarkEnd w:id="543"/>
      <w:bookmarkEnd w:id="544"/>
      <w:bookmarkEnd w:id="545"/>
    </w:p>
    <w:p>
      <w:pPr>
        <w:autoSpaceDE w:val="0"/>
        <w:autoSpaceDN w:val="0"/>
        <w:adjustRightInd w:val="0"/>
        <w:spacing w:line="500" w:lineRule="exact"/>
        <w:jc w:val="left"/>
        <w:outlineLvl w:val="0"/>
        <w:rPr>
          <w:rFonts w:hint="eastAsia" w:ascii="宋体" w:hAnsi="宋体" w:eastAsia="宋体" w:cs="宋体"/>
          <w:b/>
          <w:bCs/>
          <w:sz w:val="24"/>
          <w:szCs w:val="24"/>
        </w:rPr>
      </w:pPr>
      <w:bookmarkStart w:id="547" w:name="_Toc209499046"/>
      <w:bookmarkStart w:id="548" w:name="_Toc222376014"/>
      <w:bookmarkStart w:id="549" w:name="_Toc20990"/>
      <w:bookmarkStart w:id="550" w:name="_Toc29702"/>
      <w:bookmarkStart w:id="551" w:name="_Toc210903305"/>
      <w:bookmarkStart w:id="552" w:name="_Toc16531"/>
      <w:bookmarkStart w:id="553" w:name="_Toc491246891"/>
      <w:r>
        <w:rPr>
          <w:rFonts w:hint="eastAsia" w:ascii="宋体" w:hAnsi="宋体" w:eastAsia="宋体" w:cs="宋体"/>
          <w:b/>
          <w:bCs/>
          <w:sz w:val="24"/>
          <w:szCs w:val="24"/>
        </w:rPr>
        <w:t>9.2 承包人的施工安全责任</w:t>
      </w:r>
      <w:bookmarkEnd w:id="546"/>
      <w:bookmarkEnd w:id="547"/>
      <w:bookmarkEnd w:id="548"/>
      <w:bookmarkEnd w:id="549"/>
      <w:bookmarkEnd w:id="550"/>
      <w:bookmarkEnd w:id="551"/>
      <w:bookmarkEnd w:id="552"/>
      <w:bookmarkEnd w:id="553"/>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施工期间安全防火问题尤其重要，因此承包人应负责本合同工程工地的消防工作，组建专职消防人员，在工地配备必要的日常消防设备并配合公安消防部门工作。</w:t>
      </w:r>
    </w:p>
    <w:p>
      <w:pPr>
        <w:autoSpaceDE w:val="0"/>
        <w:autoSpaceDN w:val="0"/>
        <w:adjustRightInd w:val="0"/>
        <w:spacing w:line="500" w:lineRule="exact"/>
        <w:jc w:val="left"/>
        <w:outlineLvl w:val="0"/>
        <w:rPr>
          <w:rFonts w:hint="eastAsia" w:ascii="宋体" w:hAnsi="宋体" w:eastAsia="宋体" w:cs="宋体"/>
          <w:b/>
          <w:kern w:val="0"/>
          <w:sz w:val="24"/>
          <w:szCs w:val="24"/>
        </w:rPr>
      </w:pPr>
      <w:bookmarkStart w:id="554" w:name="_Toc222376015"/>
      <w:bookmarkStart w:id="555" w:name="_Toc17093"/>
      <w:bookmarkStart w:id="556" w:name="_Toc210903306"/>
      <w:bookmarkStart w:id="557" w:name="_Toc11590"/>
      <w:bookmarkStart w:id="558" w:name="_Toc491246892"/>
      <w:bookmarkStart w:id="559" w:name="_Toc201058958"/>
      <w:bookmarkStart w:id="560" w:name="_Toc26807"/>
      <w:bookmarkStart w:id="561" w:name="_Toc200817290"/>
      <w:bookmarkStart w:id="562" w:name="_Toc209499047"/>
      <w:bookmarkStart w:id="563" w:name="_Toc222376017"/>
      <w:bookmarkStart w:id="564" w:name="_Toc210903308"/>
      <w:r>
        <w:rPr>
          <w:rFonts w:hint="eastAsia" w:ascii="宋体" w:hAnsi="宋体" w:eastAsia="宋体" w:cs="宋体"/>
          <w:b/>
          <w:kern w:val="0"/>
          <w:sz w:val="24"/>
          <w:szCs w:val="24"/>
        </w:rPr>
        <w:t>11.开工和竣工</w:t>
      </w:r>
      <w:bookmarkEnd w:id="554"/>
      <w:bookmarkEnd w:id="555"/>
      <w:bookmarkEnd w:id="556"/>
      <w:bookmarkEnd w:id="557"/>
      <w:bookmarkEnd w:id="558"/>
      <w:bookmarkEnd w:id="559"/>
      <w:bookmarkEnd w:id="560"/>
      <w:bookmarkEnd w:id="561"/>
      <w:bookmarkEnd w:id="562"/>
    </w:p>
    <w:p>
      <w:pPr>
        <w:pStyle w:val="133"/>
        <w:snapToGrid w:val="0"/>
        <w:spacing w:line="500" w:lineRule="exact"/>
        <w:ind w:firstLine="480"/>
        <w:rPr>
          <w:rFonts w:hint="eastAsia" w:ascii="宋体" w:hAnsi="宋体" w:eastAsia="宋体" w:cs="宋体"/>
          <w:sz w:val="24"/>
          <w:szCs w:val="24"/>
        </w:rPr>
      </w:pPr>
      <w:r>
        <w:rPr>
          <w:rFonts w:hint="eastAsia" w:ascii="宋体" w:hAnsi="宋体" w:eastAsia="宋体" w:cs="宋体"/>
          <w:sz w:val="24"/>
          <w:szCs w:val="24"/>
        </w:rPr>
        <w:t>11.1 承包人的工期延误</w:t>
      </w:r>
      <w:bookmarkEnd w:id="563"/>
      <w:bookmarkEnd w:id="564"/>
    </w:p>
    <w:p>
      <w:pPr>
        <w:pStyle w:val="133"/>
        <w:snapToGrid w:val="0"/>
        <w:spacing w:line="500" w:lineRule="exact"/>
        <w:ind w:firstLine="480"/>
        <w:rPr>
          <w:rFonts w:hint="eastAsia" w:ascii="宋体" w:hAnsi="宋体" w:eastAsia="宋体" w:cs="宋体"/>
          <w:sz w:val="24"/>
          <w:szCs w:val="24"/>
        </w:rPr>
      </w:pPr>
      <w:bookmarkStart w:id="565" w:name="_Toc210903310"/>
      <w:bookmarkStart w:id="566" w:name="_Toc222376019"/>
      <w:bookmarkStart w:id="567" w:name="_Toc201058961"/>
      <w:bookmarkStart w:id="568" w:name="_Toc491246895"/>
      <w:bookmarkStart w:id="569" w:name="_Toc209499050"/>
      <w:r>
        <w:rPr>
          <w:rFonts w:hint="eastAsia" w:ascii="宋体" w:hAnsi="宋体" w:eastAsia="宋体" w:cs="宋体"/>
          <w:sz w:val="24"/>
          <w:szCs w:val="24"/>
        </w:rPr>
        <w:t>凡因承包人原因造成工程建设不能按约定工期完成的，每逾期一天，承包人按施工合同总价的5‰支付违约金，上限为合同价款的30%并由承包人承担发包人支出的合理索赔费用（包括但不限于仲裁费、保全费、保全保险费、执行费、律师服务费、公告费、公证费等）。超期达十五天的，发包人有权选择：（1）向承包人主张违约金后单方解除本合同。（2）承包人向发包人按天数足额支付违约金后，发包人选择继续履行本合同。</w:t>
      </w:r>
    </w:p>
    <w:p>
      <w:pPr>
        <w:autoSpaceDE w:val="0"/>
        <w:autoSpaceDN w:val="0"/>
        <w:adjustRightInd w:val="0"/>
        <w:spacing w:line="500" w:lineRule="exact"/>
        <w:ind w:firstLine="482"/>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14.试验和检验</w:t>
      </w:r>
      <w:bookmarkEnd w:id="565"/>
      <w:bookmarkEnd w:id="566"/>
    </w:p>
    <w:p>
      <w:pPr>
        <w:autoSpaceDE w:val="0"/>
        <w:autoSpaceDN w:val="0"/>
        <w:adjustRightInd w:val="0"/>
        <w:spacing w:line="500" w:lineRule="exact"/>
        <w:ind w:firstLine="482"/>
        <w:jc w:val="left"/>
        <w:rPr>
          <w:rFonts w:hint="eastAsia" w:ascii="宋体" w:hAnsi="宋体" w:eastAsia="宋体" w:cs="宋体"/>
          <w:b/>
          <w:bCs/>
          <w:sz w:val="24"/>
          <w:szCs w:val="24"/>
        </w:rPr>
      </w:pPr>
      <w:bookmarkStart w:id="570" w:name="_Toc222376020"/>
      <w:bookmarkStart w:id="571" w:name="_Toc210903311"/>
      <w:r>
        <w:rPr>
          <w:rFonts w:hint="eastAsia" w:ascii="宋体" w:hAnsi="宋体" w:eastAsia="宋体" w:cs="宋体"/>
          <w:b/>
          <w:bCs/>
          <w:sz w:val="24"/>
          <w:szCs w:val="24"/>
        </w:rPr>
        <w:t>14.2 现场材料试验</w:t>
      </w:r>
      <w:bookmarkEnd w:id="567"/>
      <w:bookmarkEnd w:id="568"/>
      <w:bookmarkEnd w:id="569"/>
      <w:bookmarkEnd w:id="570"/>
      <w:bookmarkEnd w:id="571"/>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监理人认为材料试验需送省、地（或）市级质检部门试验时，承包人应经监理人见证取样后送上述质检部门进行试验，费用由承包人承担。</w:t>
      </w:r>
    </w:p>
    <w:p>
      <w:pPr>
        <w:autoSpaceDE w:val="0"/>
        <w:autoSpaceDN w:val="0"/>
        <w:adjustRightInd w:val="0"/>
        <w:spacing w:line="500" w:lineRule="exact"/>
        <w:ind w:firstLine="482"/>
        <w:jc w:val="left"/>
        <w:rPr>
          <w:rFonts w:hint="eastAsia" w:ascii="宋体" w:hAnsi="宋体" w:eastAsia="宋体" w:cs="宋体"/>
          <w:b/>
          <w:kern w:val="0"/>
          <w:sz w:val="24"/>
          <w:szCs w:val="24"/>
        </w:rPr>
      </w:pPr>
      <w:bookmarkStart w:id="572" w:name="_Toc210903312"/>
      <w:bookmarkStart w:id="573" w:name="_Toc491246896"/>
      <w:bookmarkStart w:id="574" w:name="_Toc201058962"/>
      <w:bookmarkStart w:id="575" w:name="_Toc222376021"/>
      <w:bookmarkStart w:id="576" w:name="_Toc209499051"/>
      <w:r>
        <w:rPr>
          <w:rFonts w:hint="eastAsia" w:ascii="宋体" w:hAnsi="宋体" w:eastAsia="宋体" w:cs="宋体"/>
          <w:b/>
          <w:kern w:val="0"/>
          <w:sz w:val="24"/>
          <w:szCs w:val="24"/>
        </w:rPr>
        <w:t>15.变更</w:t>
      </w:r>
      <w:bookmarkEnd w:id="572"/>
      <w:bookmarkEnd w:id="573"/>
      <w:bookmarkEnd w:id="574"/>
      <w:bookmarkEnd w:id="575"/>
      <w:bookmarkEnd w:id="576"/>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无论增加或减少工程量，在约定的范围内合同单价均不作调整。</w:t>
      </w:r>
    </w:p>
    <w:p>
      <w:pPr>
        <w:autoSpaceDE w:val="0"/>
        <w:autoSpaceDN w:val="0"/>
        <w:adjustRightInd w:val="0"/>
        <w:spacing w:line="500" w:lineRule="exact"/>
        <w:ind w:firstLine="482"/>
        <w:jc w:val="left"/>
        <w:rPr>
          <w:rFonts w:hint="eastAsia" w:ascii="宋体" w:hAnsi="宋体" w:eastAsia="宋体" w:cs="宋体"/>
          <w:b/>
          <w:kern w:val="0"/>
          <w:sz w:val="24"/>
          <w:szCs w:val="24"/>
        </w:rPr>
      </w:pPr>
      <w:bookmarkStart w:id="577" w:name="_Toc222376022"/>
      <w:bookmarkStart w:id="578" w:name="_Toc491246897"/>
      <w:bookmarkStart w:id="579" w:name="_Toc201058963"/>
      <w:bookmarkStart w:id="580" w:name="_Toc210903313"/>
      <w:bookmarkStart w:id="581" w:name="_Toc209499052"/>
      <w:r>
        <w:rPr>
          <w:rFonts w:hint="eastAsia" w:ascii="宋体" w:hAnsi="宋体" w:eastAsia="宋体" w:cs="宋体"/>
          <w:b/>
          <w:kern w:val="0"/>
          <w:sz w:val="24"/>
          <w:szCs w:val="24"/>
        </w:rPr>
        <w:t>16.价格调整</w:t>
      </w:r>
      <w:bookmarkEnd w:id="577"/>
      <w:bookmarkEnd w:id="578"/>
      <w:bookmarkEnd w:id="579"/>
      <w:bookmarkEnd w:id="580"/>
      <w:bookmarkEnd w:id="581"/>
    </w:p>
    <w:p>
      <w:pPr>
        <w:autoSpaceDE w:val="0"/>
        <w:autoSpaceDN w:val="0"/>
        <w:adjustRightInd w:val="0"/>
        <w:spacing w:line="500" w:lineRule="exact"/>
        <w:ind w:firstLine="482"/>
        <w:jc w:val="left"/>
        <w:rPr>
          <w:rFonts w:hint="eastAsia" w:ascii="宋体" w:hAnsi="宋体" w:eastAsia="宋体" w:cs="宋体"/>
          <w:b/>
          <w:bCs/>
          <w:sz w:val="24"/>
          <w:szCs w:val="24"/>
        </w:rPr>
      </w:pPr>
      <w:r>
        <w:rPr>
          <w:rFonts w:hint="eastAsia" w:ascii="宋体" w:hAnsi="宋体" w:eastAsia="宋体" w:cs="宋体"/>
          <w:b/>
          <w:bCs/>
          <w:kern w:val="0"/>
          <w:sz w:val="24"/>
          <w:szCs w:val="24"/>
        </w:rPr>
        <w:t>16.1 物价波动引起的价格调整</w:t>
      </w:r>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承包人必须按施工图纸及技术标准规范进行施工。</w:t>
      </w:r>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本合同采用固定单价，合同履行期间， 无论何种原因，均不考虑由于物价波动引起的价格调整。</w:t>
      </w:r>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其他价格调整方式：</w:t>
      </w:r>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增加或变更的材料若不是承包人的已标价工程量清单或预算中载明的材料，则材料价格按工程所在地政府造价管理部门颁布的信息价计取，信息价上没有的材料价格按发包人与承包人双方市场询价签认价计取。</w:t>
      </w:r>
    </w:p>
    <w:p>
      <w:pPr>
        <w:autoSpaceDE w:val="0"/>
        <w:autoSpaceDN w:val="0"/>
        <w:adjustRightInd w:val="0"/>
        <w:spacing w:line="500" w:lineRule="exact"/>
        <w:ind w:firstLine="482"/>
        <w:jc w:val="left"/>
        <w:rPr>
          <w:rFonts w:hint="eastAsia" w:ascii="宋体" w:hAnsi="宋体" w:eastAsia="宋体" w:cs="宋体"/>
          <w:b/>
          <w:bCs/>
          <w:kern w:val="0"/>
          <w:sz w:val="24"/>
          <w:szCs w:val="24"/>
        </w:rPr>
      </w:pPr>
      <w:bookmarkStart w:id="582" w:name="_Toc491246898"/>
      <w:bookmarkStart w:id="583" w:name="_Toc201058964"/>
      <w:r>
        <w:rPr>
          <w:rFonts w:hint="eastAsia" w:ascii="宋体" w:hAnsi="宋体" w:eastAsia="宋体" w:cs="宋体"/>
          <w:b/>
          <w:bCs/>
          <w:kern w:val="0"/>
          <w:sz w:val="24"/>
          <w:szCs w:val="24"/>
        </w:rPr>
        <w:t>16.2 法律引起的价格调整</w:t>
      </w:r>
      <w:bookmarkEnd w:id="582"/>
      <w:bookmarkEnd w:id="583"/>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本合同采用固定单价，合同履行期间，无论何种原因，均不考虑法律更改引起的价格调整。</w:t>
      </w:r>
    </w:p>
    <w:p>
      <w:pPr>
        <w:autoSpaceDE w:val="0"/>
        <w:autoSpaceDN w:val="0"/>
        <w:adjustRightInd w:val="0"/>
        <w:spacing w:line="500" w:lineRule="exact"/>
        <w:ind w:firstLine="482"/>
        <w:jc w:val="left"/>
        <w:outlineLvl w:val="0"/>
        <w:rPr>
          <w:rFonts w:hint="eastAsia" w:ascii="宋体" w:hAnsi="宋体" w:eastAsia="宋体" w:cs="宋体"/>
          <w:b/>
          <w:kern w:val="0"/>
          <w:sz w:val="24"/>
          <w:szCs w:val="24"/>
        </w:rPr>
      </w:pPr>
      <w:bookmarkStart w:id="584" w:name="_Toc209499053"/>
      <w:bookmarkStart w:id="585" w:name="_Toc201058965"/>
      <w:bookmarkStart w:id="586" w:name="_Toc222376023"/>
      <w:bookmarkStart w:id="587" w:name="_Toc200817291"/>
      <w:bookmarkStart w:id="588" w:name="_Toc29337"/>
      <w:bookmarkStart w:id="589" w:name="_Toc30599"/>
      <w:bookmarkStart w:id="590" w:name="_Toc210903314"/>
      <w:bookmarkStart w:id="591" w:name="_Toc491246899"/>
      <w:bookmarkStart w:id="592" w:name="_Toc32276"/>
      <w:r>
        <w:rPr>
          <w:rFonts w:hint="eastAsia" w:ascii="宋体" w:hAnsi="宋体" w:eastAsia="宋体" w:cs="宋体"/>
          <w:b/>
          <w:kern w:val="0"/>
          <w:sz w:val="24"/>
          <w:szCs w:val="24"/>
        </w:rPr>
        <w:t>17.计量与支付</w:t>
      </w:r>
      <w:bookmarkEnd w:id="584"/>
      <w:bookmarkEnd w:id="585"/>
      <w:bookmarkEnd w:id="586"/>
      <w:bookmarkEnd w:id="587"/>
      <w:bookmarkEnd w:id="588"/>
      <w:bookmarkEnd w:id="589"/>
      <w:bookmarkEnd w:id="590"/>
      <w:bookmarkEnd w:id="591"/>
      <w:bookmarkEnd w:id="592"/>
    </w:p>
    <w:p>
      <w:pPr>
        <w:autoSpaceDE w:val="0"/>
        <w:autoSpaceDN w:val="0"/>
        <w:adjustRightInd w:val="0"/>
        <w:spacing w:line="500" w:lineRule="exact"/>
        <w:ind w:firstLine="482"/>
        <w:jc w:val="left"/>
        <w:rPr>
          <w:rFonts w:hint="eastAsia" w:ascii="宋体" w:hAnsi="宋体" w:eastAsia="宋体" w:cs="宋体"/>
          <w:b/>
          <w:bCs/>
          <w:kern w:val="0"/>
          <w:sz w:val="24"/>
          <w:szCs w:val="24"/>
        </w:rPr>
      </w:pPr>
      <w:bookmarkStart w:id="593" w:name="_Toc209499054"/>
      <w:bookmarkStart w:id="594" w:name="_Toc201058966"/>
      <w:bookmarkStart w:id="595" w:name="_Toc222376024"/>
      <w:bookmarkStart w:id="596" w:name="_Toc491246900"/>
      <w:bookmarkStart w:id="597" w:name="_Toc210903315"/>
      <w:r>
        <w:rPr>
          <w:rFonts w:hint="eastAsia" w:ascii="宋体" w:hAnsi="宋体" w:eastAsia="宋体" w:cs="宋体"/>
          <w:b/>
          <w:bCs/>
          <w:kern w:val="0"/>
          <w:sz w:val="24"/>
          <w:szCs w:val="24"/>
        </w:rPr>
        <w:t>17.1 计量</w:t>
      </w:r>
      <w:bookmarkEnd w:id="593"/>
      <w:bookmarkEnd w:id="594"/>
      <w:bookmarkEnd w:id="595"/>
      <w:bookmarkEnd w:id="596"/>
      <w:bookmarkEnd w:id="597"/>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按承包方实际完成的工程量，由承包方上报并经监理工程师、建设单位、设计单位三方共同确认的工程量计量及按本合同《技术条款》的有关规定执行。</w:t>
      </w:r>
    </w:p>
    <w:p>
      <w:pPr>
        <w:autoSpaceDE w:val="0"/>
        <w:autoSpaceDN w:val="0"/>
        <w:adjustRightInd w:val="0"/>
        <w:spacing w:line="500" w:lineRule="exact"/>
        <w:ind w:firstLine="482"/>
        <w:jc w:val="left"/>
        <w:outlineLvl w:val="0"/>
        <w:rPr>
          <w:rFonts w:hint="eastAsia" w:ascii="宋体" w:hAnsi="宋体" w:eastAsia="宋体" w:cs="宋体"/>
          <w:b/>
          <w:kern w:val="0"/>
          <w:sz w:val="24"/>
          <w:szCs w:val="24"/>
        </w:rPr>
      </w:pPr>
      <w:bookmarkStart w:id="598" w:name="_Toc27293"/>
      <w:bookmarkStart w:id="599" w:name="_Toc210903316"/>
      <w:bookmarkStart w:id="600" w:name="_Toc491246901"/>
      <w:bookmarkStart w:id="601" w:name="_Toc222376025"/>
      <w:bookmarkStart w:id="602" w:name="_Toc201058967"/>
      <w:bookmarkStart w:id="603" w:name="_Toc1169"/>
      <w:bookmarkStart w:id="604" w:name="_Toc209499055"/>
      <w:bookmarkStart w:id="605" w:name="_Toc2921"/>
      <w:r>
        <w:rPr>
          <w:rFonts w:hint="eastAsia" w:ascii="宋体" w:hAnsi="宋体" w:eastAsia="宋体" w:cs="宋体"/>
          <w:b/>
          <w:bCs/>
          <w:kern w:val="0"/>
          <w:sz w:val="24"/>
          <w:szCs w:val="24"/>
        </w:rPr>
        <w:t>17.2 预付款</w:t>
      </w:r>
      <w:bookmarkEnd w:id="598"/>
      <w:bookmarkEnd w:id="599"/>
      <w:bookmarkEnd w:id="600"/>
      <w:bookmarkEnd w:id="601"/>
      <w:bookmarkEnd w:id="602"/>
      <w:bookmarkEnd w:id="603"/>
      <w:bookmarkEnd w:id="604"/>
      <w:bookmarkEnd w:id="605"/>
    </w:p>
    <w:p>
      <w:pPr>
        <w:pStyle w:val="20"/>
        <w:spacing w:line="500" w:lineRule="exact"/>
        <w:ind w:firstLine="472" w:firstLineChars="200"/>
        <w:rPr>
          <w:rFonts w:hint="eastAsia" w:ascii="宋体" w:hAnsi="宋体" w:eastAsia="宋体" w:cs="宋体"/>
          <w:b/>
          <w:spacing w:val="-2"/>
          <w:sz w:val="24"/>
          <w:szCs w:val="24"/>
        </w:rPr>
      </w:pPr>
      <w:bookmarkStart w:id="606" w:name="_Toc491246902"/>
      <w:bookmarkStart w:id="607" w:name="_Toc488678573"/>
      <w:r>
        <w:rPr>
          <w:rFonts w:hint="eastAsia" w:ascii="宋体" w:hAnsi="宋体" w:eastAsia="宋体" w:cs="宋体"/>
          <w:bCs/>
          <w:spacing w:val="-2"/>
          <w:sz w:val="24"/>
          <w:szCs w:val="24"/>
        </w:rPr>
        <w:t>17.2.1 预付款</w:t>
      </w:r>
      <w:bookmarkEnd w:id="606"/>
      <w:bookmarkEnd w:id="607"/>
    </w:p>
    <w:p>
      <w:pPr>
        <w:spacing w:line="500" w:lineRule="exact"/>
        <w:ind w:firstLine="480"/>
        <w:jc w:val="left"/>
        <w:rPr>
          <w:rFonts w:hint="eastAsia" w:ascii="宋体" w:hAnsi="宋体" w:eastAsia="宋体" w:cs="宋体"/>
          <w:sz w:val="24"/>
          <w:szCs w:val="24"/>
        </w:rPr>
      </w:pPr>
      <w:bookmarkStart w:id="608" w:name="_Toc491246903"/>
      <w:bookmarkStart w:id="609" w:name="_Toc488678574"/>
      <w:r>
        <w:rPr>
          <w:rFonts w:hint="eastAsia" w:ascii="宋体" w:hAnsi="宋体" w:eastAsia="宋体" w:cs="宋体"/>
          <w:sz w:val="24"/>
          <w:szCs w:val="24"/>
        </w:rPr>
        <w:t>（</w:t>
      </w:r>
      <w:r>
        <w:rPr>
          <w:rFonts w:hint="eastAsia" w:ascii="宋体" w:hAnsi="宋体" w:eastAsia="宋体" w:cs="宋体"/>
          <w:sz w:val="24"/>
          <w:szCs w:val="24"/>
          <w:lang w:val="en-US" w:eastAsia="zh-CN"/>
        </w:rPr>
        <w:t>1</w:t>
      </w:r>
      <w:r>
        <w:rPr>
          <w:rFonts w:hint="eastAsia" w:ascii="宋体" w:hAnsi="宋体" w:eastAsia="宋体" w:cs="宋体"/>
          <w:sz w:val="24"/>
          <w:szCs w:val="24"/>
        </w:rPr>
        <w:t>）甲方与乙方签订施工合同，且进场施工后，甲方支付签约合同价(扣除暂列金额)的30%预付款给乙方。</w:t>
      </w:r>
    </w:p>
    <w:p>
      <w:pPr>
        <w:spacing w:line="500" w:lineRule="exact"/>
        <w:ind w:firstLine="472"/>
        <w:rPr>
          <w:rFonts w:hint="eastAsia" w:ascii="宋体" w:hAnsi="宋体" w:eastAsia="宋体" w:cs="宋体"/>
          <w:bCs/>
          <w:spacing w:val="-2"/>
          <w:kern w:val="0"/>
          <w:sz w:val="24"/>
          <w:szCs w:val="24"/>
        </w:rPr>
      </w:pPr>
      <w:r>
        <w:rPr>
          <w:rFonts w:hint="eastAsia" w:ascii="宋体" w:hAnsi="宋体" w:eastAsia="宋体" w:cs="宋体"/>
          <w:bCs/>
          <w:spacing w:val="-2"/>
          <w:kern w:val="0"/>
          <w:sz w:val="24"/>
          <w:szCs w:val="24"/>
        </w:rPr>
        <w:t xml:space="preserve">17.2.2  预付款保函(担保) </w:t>
      </w:r>
    </w:p>
    <w:p>
      <w:pPr>
        <w:pStyle w:val="20"/>
        <w:spacing w:line="500" w:lineRule="exact"/>
        <w:ind w:firstLine="472" w:firstLineChars="200"/>
        <w:rPr>
          <w:rFonts w:hint="eastAsia" w:ascii="宋体" w:hAnsi="宋体" w:eastAsia="宋体" w:cs="宋体"/>
          <w:bCs/>
          <w:spacing w:val="-2"/>
          <w:sz w:val="24"/>
          <w:szCs w:val="24"/>
        </w:rPr>
      </w:pPr>
      <w:r>
        <w:rPr>
          <w:rFonts w:hint="eastAsia" w:ascii="宋体" w:hAnsi="宋体" w:eastAsia="宋体" w:cs="宋体"/>
          <w:bCs/>
          <w:spacing w:val="-2"/>
          <w:sz w:val="24"/>
          <w:szCs w:val="24"/>
        </w:rPr>
        <w:t>承包人不提供预付款保函(担保)。</w:t>
      </w:r>
      <w:bookmarkEnd w:id="608"/>
      <w:bookmarkEnd w:id="609"/>
    </w:p>
    <w:p>
      <w:pPr>
        <w:spacing w:line="500" w:lineRule="exact"/>
        <w:ind w:firstLine="474"/>
        <w:rPr>
          <w:rFonts w:hint="eastAsia" w:ascii="宋体" w:hAnsi="宋体" w:eastAsia="宋体" w:cs="宋体"/>
          <w:b/>
          <w:spacing w:val="-2"/>
          <w:kern w:val="0"/>
          <w:sz w:val="24"/>
          <w:szCs w:val="24"/>
        </w:rPr>
      </w:pPr>
      <w:bookmarkStart w:id="610" w:name="_Toc209499056"/>
      <w:bookmarkStart w:id="611" w:name="_Toc222376026"/>
      <w:bookmarkStart w:id="612" w:name="_Toc210903317"/>
      <w:bookmarkStart w:id="613" w:name="_Toc491246904"/>
      <w:r>
        <w:rPr>
          <w:rFonts w:hint="eastAsia" w:ascii="宋体" w:hAnsi="宋体" w:eastAsia="宋体" w:cs="宋体"/>
          <w:b/>
          <w:spacing w:val="-2"/>
          <w:kern w:val="0"/>
          <w:sz w:val="24"/>
          <w:szCs w:val="24"/>
        </w:rPr>
        <w:t>17.3 工程进度付款</w:t>
      </w:r>
      <w:bookmarkEnd w:id="610"/>
      <w:bookmarkEnd w:id="611"/>
      <w:bookmarkEnd w:id="612"/>
      <w:bookmarkEnd w:id="613"/>
    </w:p>
    <w:p>
      <w:pPr>
        <w:pStyle w:val="20"/>
        <w:spacing w:line="500" w:lineRule="exact"/>
        <w:ind w:firstLine="472" w:firstLineChars="200"/>
        <w:rPr>
          <w:rFonts w:hint="eastAsia" w:ascii="宋体" w:hAnsi="宋体" w:eastAsia="宋体" w:cs="宋体"/>
          <w:sz w:val="24"/>
          <w:szCs w:val="24"/>
        </w:rPr>
      </w:pPr>
      <w:bookmarkStart w:id="614" w:name="_Toc491246905"/>
      <w:bookmarkStart w:id="615" w:name="_Toc488678576"/>
      <w:r>
        <w:rPr>
          <w:rFonts w:hint="eastAsia" w:ascii="宋体" w:hAnsi="宋体" w:eastAsia="宋体" w:cs="宋体"/>
          <w:bCs/>
          <w:spacing w:val="-2"/>
          <w:sz w:val="24"/>
          <w:szCs w:val="24"/>
        </w:rPr>
        <w:t>17.3.2 进度付款申请单</w:t>
      </w:r>
      <w:bookmarkEnd w:id="614"/>
      <w:bookmarkEnd w:id="615"/>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每月实际支付金额，按经监理人审核经发包人审批的月进度付款申请单中金额支付。</w:t>
      </w:r>
    </w:p>
    <w:p>
      <w:pPr>
        <w:pStyle w:val="20"/>
        <w:spacing w:line="500" w:lineRule="exact"/>
        <w:ind w:firstLine="472" w:firstLineChars="200"/>
        <w:rPr>
          <w:rFonts w:hint="eastAsia" w:ascii="宋体" w:hAnsi="宋体" w:eastAsia="宋体" w:cs="宋体"/>
          <w:bCs/>
          <w:spacing w:val="-2"/>
          <w:sz w:val="24"/>
          <w:szCs w:val="24"/>
        </w:rPr>
      </w:pPr>
      <w:bookmarkStart w:id="616" w:name="_Toc488678577"/>
      <w:bookmarkStart w:id="617" w:name="_Toc491246906"/>
      <w:r>
        <w:rPr>
          <w:rFonts w:hint="eastAsia" w:ascii="宋体" w:hAnsi="宋体" w:eastAsia="宋体" w:cs="宋体"/>
          <w:bCs/>
          <w:spacing w:val="-2"/>
          <w:sz w:val="24"/>
          <w:szCs w:val="24"/>
        </w:rPr>
        <w:t>17.3.3 进度付款证书和支付时间</w:t>
      </w:r>
      <w:bookmarkEnd w:id="616"/>
      <w:bookmarkEnd w:id="617"/>
    </w:p>
    <w:p>
      <w:pPr>
        <w:pStyle w:val="20"/>
        <w:spacing w:line="500" w:lineRule="exact"/>
        <w:ind w:firstLine="480" w:firstLineChars="200"/>
        <w:rPr>
          <w:rFonts w:hint="eastAsia" w:ascii="宋体" w:hAnsi="宋体" w:eastAsia="宋体" w:cs="宋体"/>
          <w:sz w:val="24"/>
          <w:szCs w:val="24"/>
        </w:rPr>
      </w:pPr>
      <w:bookmarkStart w:id="618" w:name="_Toc222376027"/>
      <w:bookmarkStart w:id="619" w:name="_Toc209499057"/>
      <w:bookmarkStart w:id="620" w:name="_Toc210903318"/>
      <w:bookmarkStart w:id="621" w:name="_Toc491246907"/>
      <w:r>
        <w:rPr>
          <w:rFonts w:hint="eastAsia" w:ascii="宋体" w:hAnsi="宋体" w:eastAsia="宋体" w:cs="宋体"/>
          <w:sz w:val="24"/>
          <w:szCs w:val="24"/>
        </w:rPr>
        <w:t>工程进度款按工程审批建安费计取，合同实施期间总包价按中标价</w:t>
      </w:r>
      <w:r>
        <w:rPr>
          <w:rFonts w:hint="eastAsia" w:ascii="宋体" w:hAnsi="宋体" w:eastAsia="宋体" w:cs="宋体"/>
          <w:b/>
          <w:bCs/>
          <w:color w:val="FF0000"/>
          <w:sz w:val="24"/>
          <w:szCs w:val="24"/>
          <w:u w:val="single"/>
        </w:rPr>
        <w:t>¥</w:t>
      </w:r>
      <w:r>
        <w:rPr>
          <w:rFonts w:hint="eastAsia" w:ascii="宋体" w:hAnsi="宋体" w:eastAsia="宋体" w:cs="宋体"/>
          <w:b/>
          <w:bCs/>
          <w:color w:val="FF0000"/>
          <w:sz w:val="24"/>
          <w:szCs w:val="24"/>
          <w:u w:val="single"/>
          <w:lang w:val="en-US" w:eastAsia="zh-CN"/>
        </w:rPr>
        <w:t xml:space="preserve">       </w:t>
      </w:r>
      <w:r>
        <w:rPr>
          <w:rFonts w:hint="eastAsia" w:ascii="宋体" w:hAnsi="宋体" w:eastAsia="宋体" w:cs="宋体"/>
          <w:b/>
          <w:bCs/>
          <w:color w:val="FF0000"/>
          <w:sz w:val="24"/>
          <w:szCs w:val="24"/>
          <w:u w:val="single"/>
        </w:rPr>
        <w:t>元</w:t>
      </w:r>
      <w:r>
        <w:rPr>
          <w:rFonts w:hint="eastAsia" w:ascii="宋体" w:hAnsi="宋体" w:eastAsia="宋体" w:cs="宋体"/>
          <w:sz w:val="24"/>
          <w:szCs w:val="24"/>
        </w:rPr>
        <w:t>计，工程结算完成后以工程结算造价结清建安费。</w:t>
      </w:r>
    </w:p>
    <w:p>
      <w:pPr>
        <w:pStyle w:val="20"/>
        <w:spacing w:line="500" w:lineRule="exact"/>
        <w:ind w:firstLine="480" w:firstLineChars="200"/>
        <w:rPr>
          <w:rFonts w:hint="eastAsia" w:ascii="宋体" w:hAnsi="宋体" w:eastAsia="宋体" w:cs="宋体"/>
          <w:sz w:val="24"/>
          <w:szCs w:val="24"/>
        </w:rPr>
      </w:pPr>
    </w:p>
    <w:p>
      <w:pPr>
        <w:pStyle w:val="2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支付方式及时间：</w:t>
      </w:r>
    </w:p>
    <w:p>
      <w:pPr>
        <w:spacing w:line="500" w:lineRule="exact"/>
        <w:ind w:firstLine="480"/>
        <w:jc w:val="left"/>
        <w:rPr>
          <w:rFonts w:hint="eastAsia" w:ascii="宋体" w:hAnsi="宋体" w:eastAsia="宋体" w:cs="宋体"/>
          <w:sz w:val="24"/>
          <w:szCs w:val="24"/>
        </w:rPr>
      </w:pPr>
      <w:r>
        <w:rPr>
          <w:rFonts w:hint="eastAsia" w:ascii="宋体" w:hAnsi="宋体" w:eastAsia="宋体" w:cs="宋体"/>
          <w:sz w:val="24"/>
          <w:szCs w:val="24"/>
        </w:rPr>
        <w:t>（1）工程进度款：申报进度款的工程量，需经监理验收合格、并完善手续。承包人按周期，向监理单位和发包人报送完成工程量报表，经监理单位和发包人计算审定确认工程量后，发包人在7个工作日内给予审批，每次计量工程进度款按经发包人核定工程量的50%支付，不另扣预付款。</w:t>
      </w:r>
    </w:p>
    <w:p>
      <w:pPr>
        <w:spacing w:line="500" w:lineRule="exact"/>
        <w:ind w:firstLine="480"/>
        <w:jc w:val="left"/>
        <w:rPr>
          <w:rFonts w:hint="eastAsia" w:ascii="宋体" w:hAnsi="宋体" w:eastAsia="宋体" w:cs="宋体"/>
          <w:sz w:val="24"/>
          <w:szCs w:val="24"/>
        </w:rPr>
      </w:pPr>
      <w:r>
        <w:rPr>
          <w:rFonts w:hint="eastAsia" w:ascii="宋体" w:hAnsi="宋体" w:eastAsia="宋体" w:cs="宋体"/>
          <w:sz w:val="24"/>
          <w:szCs w:val="24"/>
        </w:rPr>
        <w:t>（2）当施工工程量全部完成并经初步验收合格后，工程款支付至实际完成工程量价款的80%。</w:t>
      </w:r>
    </w:p>
    <w:p>
      <w:pPr>
        <w:spacing w:line="500" w:lineRule="exact"/>
        <w:ind w:firstLine="480"/>
        <w:jc w:val="left"/>
        <w:rPr>
          <w:rFonts w:hint="eastAsia"/>
        </w:rPr>
      </w:pPr>
      <w:r>
        <w:rPr>
          <w:rFonts w:hint="eastAsia" w:ascii="宋体" w:hAnsi="宋体" w:eastAsia="宋体" w:cs="宋体"/>
          <w:sz w:val="24"/>
          <w:szCs w:val="24"/>
          <w:lang w:val="en-US" w:eastAsia="zh-CN"/>
        </w:rPr>
        <w:t>（3）具备申请付款的条件：项目的形象进度超过预付款额度；申报进度款的工程量，需经监理单位总监理工程师和建设单位验收合格、并完善相关手续及资料完备。</w:t>
      </w:r>
    </w:p>
    <w:p>
      <w:pPr>
        <w:pStyle w:val="38"/>
        <w:spacing w:after="0" w:line="500" w:lineRule="exact"/>
        <w:ind w:left="0" w:leftChars="0" w:firstLine="480"/>
        <w:rPr>
          <w:rFonts w:hint="eastAsia" w:ascii="宋体" w:hAnsi="宋体" w:eastAsia="宋体" w:cs="宋体"/>
          <w:bCs/>
          <w:kern w:val="2"/>
          <w:sz w:val="24"/>
          <w:szCs w:val="24"/>
        </w:rPr>
      </w:pPr>
      <w:r>
        <w:rPr>
          <w:rFonts w:hint="eastAsia" w:ascii="宋体" w:hAnsi="宋体" w:eastAsia="宋体" w:cs="宋体"/>
          <w:bCs/>
          <w:kern w:val="2"/>
          <w:sz w:val="24"/>
          <w:szCs w:val="24"/>
        </w:rPr>
        <w:t>（</w:t>
      </w:r>
      <w:r>
        <w:rPr>
          <w:rFonts w:hint="eastAsia" w:ascii="宋体" w:hAnsi="宋体" w:eastAsia="宋体" w:cs="宋体"/>
          <w:bCs/>
          <w:kern w:val="2"/>
          <w:sz w:val="24"/>
          <w:szCs w:val="24"/>
          <w:lang w:val="en-US" w:eastAsia="zh-CN"/>
        </w:rPr>
        <w:t>4</w:t>
      </w:r>
      <w:r>
        <w:rPr>
          <w:rFonts w:hint="eastAsia" w:ascii="宋体" w:hAnsi="宋体" w:eastAsia="宋体" w:cs="宋体"/>
          <w:bCs/>
          <w:kern w:val="2"/>
          <w:sz w:val="24"/>
          <w:szCs w:val="24"/>
        </w:rPr>
        <w:t>）申请付款资料：</w:t>
      </w:r>
    </w:p>
    <w:p>
      <w:pPr>
        <w:pStyle w:val="38"/>
        <w:spacing w:after="0" w:line="500" w:lineRule="exact"/>
        <w:ind w:left="0" w:leftChars="0" w:firstLine="720" w:firstLineChars="300"/>
        <w:rPr>
          <w:rFonts w:hint="eastAsia" w:ascii="宋体" w:hAnsi="宋体" w:eastAsia="宋体" w:cs="宋体"/>
          <w:bCs/>
          <w:sz w:val="24"/>
          <w:szCs w:val="24"/>
        </w:rPr>
      </w:pPr>
      <w:r>
        <w:rPr>
          <w:rFonts w:hint="eastAsia" w:ascii="宋体" w:hAnsi="宋体" w:eastAsia="宋体" w:cs="宋体"/>
          <w:bCs/>
          <w:sz w:val="24"/>
          <w:szCs w:val="24"/>
        </w:rPr>
        <w:t>1）发票；</w:t>
      </w:r>
    </w:p>
    <w:p>
      <w:pPr>
        <w:pStyle w:val="38"/>
        <w:spacing w:after="0" w:line="500" w:lineRule="exact"/>
        <w:ind w:left="0" w:leftChars="0" w:firstLine="720" w:firstLineChars="300"/>
        <w:rPr>
          <w:rFonts w:hint="eastAsia" w:ascii="宋体" w:hAnsi="宋体" w:eastAsia="宋体" w:cs="宋体"/>
          <w:bCs/>
          <w:sz w:val="24"/>
          <w:szCs w:val="24"/>
        </w:rPr>
      </w:pPr>
      <w:r>
        <w:rPr>
          <w:rFonts w:hint="eastAsia" w:ascii="宋体" w:hAnsi="宋体" w:eastAsia="宋体" w:cs="宋体"/>
          <w:bCs/>
          <w:sz w:val="24"/>
          <w:szCs w:val="24"/>
        </w:rPr>
        <w:t>2）工程进度款申请书封面；</w:t>
      </w:r>
    </w:p>
    <w:p>
      <w:pPr>
        <w:pStyle w:val="38"/>
        <w:spacing w:after="0" w:line="500" w:lineRule="exact"/>
        <w:ind w:left="0" w:leftChars="0" w:firstLine="720" w:firstLineChars="300"/>
        <w:rPr>
          <w:rFonts w:hint="eastAsia" w:ascii="宋体" w:hAnsi="宋体" w:eastAsia="宋体" w:cs="宋体"/>
          <w:bCs/>
          <w:sz w:val="24"/>
          <w:szCs w:val="24"/>
        </w:rPr>
      </w:pPr>
      <w:r>
        <w:rPr>
          <w:rFonts w:hint="eastAsia" w:ascii="宋体" w:hAnsi="宋体" w:eastAsia="宋体" w:cs="宋体"/>
          <w:bCs/>
          <w:sz w:val="24"/>
          <w:szCs w:val="24"/>
        </w:rPr>
        <w:t>3）工程进度审核表；</w:t>
      </w:r>
    </w:p>
    <w:p>
      <w:pPr>
        <w:pStyle w:val="38"/>
        <w:spacing w:after="0" w:line="500" w:lineRule="exact"/>
        <w:ind w:left="0" w:leftChars="0" w:firstLine="720" w:firstLineChars="300"/>
        <w:rPr>
          <w:rFonts w:hint="eastAsia" w:ascii="宋体" w:hAnsi="宋体" w:eastAsia="宋体" w:cs="宋体"/>
          <w:bCs/>
          <w:sz w:val="24"/>
          <w:szCs w:val="24"/>
        </w:rPr>
      </w:pPr>
      <w:r>
        <w:rPr>
          <w:rFonts w:hint="eastAsia" w:ascii="宋体" w:hAnsi="宋体" w:eastAsia="宋体" w:cs="宋体"/>
          <w:bCs/>
          <w:sz w:val="24"/>
          <w:szCs w:val="24"/>
        </w:rPr>
        <w:t>4）工程进度付款证书；</w:t>
      </w:r>
    </w:p>
    <w:p>
      <w:pPr>
        <w:pStyle w:val="38"/>
        <w:spacing w:after="0" w:line="500" w:lineRule="exact"/>
        <w:ind w:left="0" w:leftChars="0" w:firstLine="720" w:firstLineChars="300"/>
        <w:rPr>
          <w:rFonts w:hint="eastAsia" w:ascii="宋体" w:hAnsi="宋体" w:eastAsia="宋体" w:cs="宋体"/>
          <w:bCs/>
          <w:sz w:val="24"/>
          <w:szCs w:val="24"/>
        </w:rPr>
      </w:pPr>
      <w:r>
        <w:rPr>
          <w:rFonts w:hint="eastAsia" w:ascii="宋体" w:hAnsi="宋体" w:eastAsia="宋体" w:cs="宋体"/>
          <w:bCs/>
          <w:sz w:val="24"/>
          <w:szCs w:val="24"/>
        </w:rPr>
        <w:t>5）工程价款月支付申请书；</w:t>
      </w:r>
    </w:p>
    <w:p>
      <w:pPr>
        <w:pStyle w:val="38"/>
        <w:spacing w:after="0" w:line="500" w:lineRule="exact"/>
        <w:ind w:left="0" w:leftChars="0" w:firstLine="720" w:firstLineChars="300"/>
        <w:rPr>
          <w:rFonts w:hint="eastAsia" w:ascii="宋体" w:hAnsi="宋体" w:eastAsia="宋体" w:cs="宋体"/>
          <w:bCs/>
          <w:sz w:val="24"/>
          <w:szCs w:val="24"/>
        </w:rPr>
      </w:pPr>
      <w:r>
        <w:rPr>
          <w:rFonts w:hint="eastAsia" w:ascii="宋体" w:hAnsi="宋体" w:eastAsia="宋体" w:cs="宋体"/>
          <w:bCs/>
          <w:sz w:val="24"/>
          <w:szCs w:val="24"/>
        </w:rPr>
        <w:t>6）工程价款月支付汇总表；</w:t>
      </w:r>
    </w:p>
    <w:p>
      <w:pPr>
        <w:pStyle w:val="38"/>
        <w:spacing w:after="0" w:line="500" w:lineRule="exact"/>
        <w:ind w:left="0" w:leftChars="0" w:firstLine="720" w:firstLineChars="300"/>
        <w:rPr>
          <w:rFonts w:hint="eastAsia" w:ascii="宋体" w:hAnsi="宋体" w:eastAsia="宋体" w:cs="宋体"/>
          <w:bCs/>
          <w:sz w:val="24"/>
          <w:szCs w:val="24"/>
        </w:rPr>
      </w:pPr>
      <w:r>
        <w:rPr>
          <w:rFonts w:hint="eastAsia" w:ascii="宋体" w:hAnsi="宋体" w:eastAsia="宋体" w:cs="宋体"/>
          <w:bCs/>
          <w:sz w:val="24"/>
          <w:szCs w:val="24"/>
        </w:rPr>
        <w:t>7）合同单价项目月支付明细表；</w:t>
      </w:r>
    </w:p>
    <w:p>
      <w:pPr>
        <w:pStyle w:val="38"/>
        <w:spacing w:after="0" w:line="500" w:lineRule="exact"/>
        <w:ind w:left="0" w:leftChars="0" w:firstLine="720" w:firstLineChars="300"/>
        <w:rPr>
          <w:rFonts w:hint="eastAsia" w:ascii="宋体" w:hAnsi="宋体" w:eastAsia="宋体" w:cs="宋体"/>
          <w:bCs/>
          <w:sz w:val="24"/>
          <w:szCs w:val="24"/>
        </w:rPr>
      </w:pPr>
      <w:r>
        <w:rPr>
          <w:rFonts w:hint="eastAsia" w:ascii="宋体" w:hAnsi="宋体" w:eastAsia="宋体" w:cs="宋体"/>
          <w:bCs/>
          <w:sz w:val="24"/>
          <w:szCs w:val="24"/>
        </w:rPr>
        <w:t>8）工程进度付款审核汇总表；</w:t>
      </w:r>
    </w:p>
    <w:p>
      <w:pPr>
        <w:pStyle w:val="38"/>
        <w:spacing w:after="0" w:line="500" w:lineRule="exact"/>
        <w:ind w:left="0" w:leftChars="0" w:firstLine="720" w:firstLineChars="300"/>
        <w:rPr>
          <w:rFonts w:hint="eastAsia" w:ascii="宋体" w:hAnsi="宋体" w:eastAsia="宋体" w:cs="宋体"/>
          <w:bCs/>
          <w:sz w:val="24"/>
          <w:szCs w:val="24"/>
        </w:rPr>
      </w:pPr>
      <w:r>
        <w:rPr>
          <w:rFonts w:hint="eastAsia" w:ascii="宋体" w:hAnsi="宋体" w:eastAsia="宋体" w:cs="宋体"/>
          <w:bCs/>
          <w:sz w:val="24"/>
          <w:szCs w:val="24"/>
        </w:rPr>
        <w:t>9）申请拨付进度款的函；</w:t>
      </w:r>
    </w:p>
    <w:p>
      <w:pPr>
        <w:pStyle w:val="38"/>
        <w:spacing w:after="0" w:line="500" w:lineRule="exact"/>
        <w:ind w:left="0" w:leftChars="0" w:firstLine="720" w:firstLineChars="300"/>
        <w:rPr>
          <w:rFonts w:hint="eastAsia" w:ascii="宋体" w:hAnsi="宋体" w:eastAsia="宋体" w:cs="宋体"/>
          <w:bCs/>
          <w:sz w:val="24"/>
          <w:szCs w:val="24"/>
        </w:rPr>
      </w:pPr>
      <w:r>
        <w:rPr>
          <w:rFonts w:hint="eastAsia" w:ascii="宋体" w:hAnsi="宋体" w:eastAsia="宋体" w:cs="宋体"/>
          <w:bCs/>
          <w:sz w:val="24"/>
          <w:szCs w:val="24"/>
        </w:rPr>
        <w:t>10）上期进度款使用的佐证材料：当期农民工总人数台账、上期支付农民工工资银行回单、购买设备清单复印件、发票复印件等材料，该佐证材料需标明“此件与原件一致，原件存放于xxx”并由项目负责人签字加盖章（项目部公章）。</w:t>
      </w:r>
    </w:p>
    <w:p>
      <w:pPr>
        <w:autoSpaceDE w:val="0"/>
        <w:autoSpaceDN w:val="0"/>
        <w:adjustRightInd w:val="0"/>
        <w:spacing w:line="500" w:lineRule="exact"/>
        <w:ind w:firstLine="480"/>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17.4 质量保证金</w:t>
      </w:r>
    </w:p>
    <w:p>
      <w:pPr>
        <w:pStyle w:val="38"/>
        <w:spacing w:line="500" w:lineRule="exact"/>
        <w:ind w:left="0" w:leftChars="0" w:firstLine="480"/>
        <w:rPr>
          <w:rFonts w:hint="eastAsia" w:ascii="宋体" w:hAnsi="宋体" w:eastAsia="宋体" w:cs="宋体"/>
          <w:sz w:val="24"/>
          <w:szCs w:val="24"/>
        </w:rPr>
      </w:pPr>
      <w:r>
        <w:rPr>
          <w:rFonts w:hint="eastAsia" w:ascii="宋体" w:hAnsi="宋体" w:eastAsia="宋体" w:cs="宋体"/>
          <w:sz w:val="24"/>
          <w:szCs w:val="24"/>
        </w:rPr>
        <w:t>质量保证金为“审核结算价格的3%”。</w:t>
      </w:r>
      <w:bookmarkEnd w:id="618"/>
      <w:bookmarkEnd w:id="619"/>
      <w:bookmarkEnd w:id="620"/>
      <w:bookmarkEnd w:id="621"/>
    </w:p>
    <w:p>
      <w:pPr>
        <w:pStyle w:val="38"/>
        <w:spacing w:line="500" w:lineRule="exact"/>
        <w:ind w:left="0" w:leftChars="0" w:firstLine="482"/>
        <w:rPr>
          <w:rFonts w:hint="eastAsia" w:ascii="宋体" w:hAnsi="宋体" w:eastAsia="宋体" w:cs="宋体"/>
          <w:b/>
          <w:bCs/>
          <w:sz w:val="24"/>
          <w:szCs w:val="24"/>
        </w:rPr>
      </w:pPr>
      <w:bookmarkStart w:id="622" w:name="_Toc210903319"/>
      <w:bookmarkStart w:id="623" w:name="_Toc209499058"/>
      <w:bookmarkStart w:id="624" w:name="_Toc491246908"/>
      <w:bookmarkStart w:id="625" w:name="_Toc222376028"/>
      <w:bookmarkStart w:id="626" w:name="_Toc201058968"/>
      <w:r>
        <w:rPr>
          <w:rFonts w:hint="eastAsia" w:ascii="宋体" w:hAnsi="宋体" w:eastAsia="宋体" w:cs="宋体"/>
          <w:b/>
          <w:bCs/>
          <w:sz w:val="24"/>
          <w:szCs w:val="24"/>
        </w:rPr>
        <w:t>17.5 竣工结算</w:t>
      </w:r>
    </w:p>
    <w:p>
      <w:pPr>
        <w:numPr>
          <w:ilvl w:val="0"/>
          <w:numId w:val="4"/>
        </w:numPr>
        <w:spacing w:line="500" w:lineRule="exact"/>
        <w:ind w:firstLine="480"/>
        <w:rPr>
          <w:rFonts w:hint="eastAsia" w:ascii="宋体" w:hAnsi="宋体" w:eastAsia="宋体" w:cs="宋体"/>
          <w:sz w:val="24"/>
          <w:szCs w:val="24"/>
        </w:rPr>
      </w:pPr>
      <w:r>
        <w:rPr>
          <w:rFonts w:hint="eastAsia" w:ascii="宋体" w:hAnsi="宋体" w:eastAsia="宋体" w:cs="宋体"/>
          <w:sz w:val="24"/>
          <w:szCs w:val="24"/>
        </w:rPr>
        <w:t>最终建安费结算价：按实际完成工程量进行结算；发包人委托第三方审计单位审核结算书后经双方认可的审核结果作为最终结算价。若审计机关要求审核的，审计机关的审计结论作为监督及参考依据。</w:t>
      </w:r>
    </w:p>
    <w:p>
      <w:pPr>
        <w:pStyle w:val="38"/>
        <w:spacing w:line="500" w:lineRule="exact"/>
        <w:ind w:left="0" w:leftChars="0" w:firstLine="0" w:firstLineChars="0"/>
        <w:rPr>
          <w:rFonts w:hint="eastAsia" w:ascii="宋体" w:hAnsi="宋体" w:eastAsia="宋体" w:cs="宋体"/>
          <w:kern w:val="2"/>
          <w:sz w:val="24"/>
          <w:szCs w:val="24"/>
        </w:rPr>
      </w:pPr>
      <w:r>
        <w:rPr>
          <w:rFonts w:hint="eastAsia" w:ascii="宋体" w:hAnsi="宋体" w:eastAsia="宋体" w:cs="宋体"/>
          <w:sz w:val="24"/>
          <w:szCs w:val="24"/>
        </w:rPr>
        <w:t xml:space="preserve">     </w:t>
      </w:r>
      <w:r>
        <w:rPr>
          <w:rFonts w:hint="eastAsia" w:ascii="宋体" w:hAnsi="宋体" w:eastAsia="宋体" w:cs="宋体"/>
          <w:kern w:val="2"/>
          <w:sz w:val="24"/>
          <w:szCs w:val="24"/>
        </w:rPr>
        <w:t>备注：若审计机关审核出承包人结算书因虚报工程量、虚报造价等原因造成审计部门与第三方审计单位审结结论不符的，发包人应把问题报送主管部门对承包人进行处罚，并追回尾款。</w:t>
      </w:r>
    </w:p>
    <w:p>
      <w:pPr>
        <w:spacing w:line="500" w:lineRule="exact"/>
        <w:ind w:firstLine="480"/>
        <w:jc w:val="left"/>
        <w:rPr>
          <w:rFonts w:hint="eastAsia" w:ascii="宋体" w:hAnsi="宋体" w:eastAsia="宋体" w:cs="宋体"/>
          <w:sz w:val="24"/>
          <w:szCs w:val="24"/>
        </w:rPr>
      </w:pPr>
      <w:r>
        <w:rPr>
          <w:rFonts w:hint="eastAsia" w:ascii="宋体" w:hAnsi="宋体" w:eastAsia="宋体" w:cs="宋体"/>
          <w:sz w:val="24"/>
          <w:szCs w:val="24"/>
        </w:rPr>
        <w:t>（2）工程竣工验收审计结算后14天内，按完成工程结算审核价的97%拨付工程款给乙方，余下3%作为工程质量保证金，待工程竣工验收满一年后即工程保修责任期满后14天内返还。</w:t>
      </w:r>
    </w:p>
    <w:p>
      <w:pPr>
        <w:autoSpaceDE w:val="0"/>
        <w:autoSpaceDN w:val="0"/>
        <w:adjustRightInd w:val="0"/>
        <w:spacing w:line="500" w:lineRule="exact"/>
        <w:ind w:firstLine="482"/>
        <w:jc w:val="left"/>
        <w:outlineLvl w:val="0"/>
        <w:rPr>
          <w:rFonts w:hint="eastAsia" w:ascii="宋体" w:hAnsi="宋体" w:eastAsia="宋体" w:cs="宋体"/>
          <w:b/>
          <w:kern w:val="0"/>
          <w:sz w:val="24"/>
          <w:szCs w:val="24"/>
        </w:rPr>
      </w:pPr>
      <w:bookmarkStart w:id="627" w:name="_Toc16445"/>
      <w:bookmarkStart w:id="628" w:name="_Toc11553"/>
      <w:bookmarkStart w:id="629" w:name="_Toc23614"/>
      <w:r>
        <w:rPr>
          <w:rFonts w:hint="eastAsia" w:ascii="宋体" w:hAnsi="宋体" w:eastAsia="宋体" w:cs="宋体"/>
          <w:b/>
          <w:kern w:val="0"/>
          <w:sz w:val="24"/>
          <w:szCs w:val="24"/>
        </w:rPr>
        <w:t>18.竣工验收</w:t>
      </w:r>
      <w:bookmarkEnd w:id="622"/>
      <w:bookmarkEnd w:id="623"/>
      <w:bookmarkEnd w:id="624"/>
      <w:bookmarkEnd w:id="625"/>
      <w:bookmarkEnd w:id="626"/>
      <w:bookmarkEnd w:id="627"/>
      <w:bookmarkEnd w:id="628"/>
      <w:bookmarkEnd w:id="629"/>
    </w:p>
    <w:p>
      <w:pPr>
        <w:autoSpaceDE w:val="0"/>
        <w:autoSpaceDN w:val="0"/>
        <w:adjustRightInd w:val="0"/>
        <w:spacing w:line="500" w:lineRule="exact"/>
        <w:ind w:firstLine="480"/>
        <w:jc w:val="left"/>
        <w:rPr>
          <w:rFonts w:hint="eastAsia" w:ascii="宋体" w:hAnsi="宋体" w:eastAsia="宋体" w:cs="宋体"/>
          <w:kern w:val="0"/>
          <w:sz w:val="24"/>
          <w:szCs w:val="24"/>
        </w:rPr>
      </w:pPr>
      <w:r>
        <w:rPr>
          <w:rFonts w:hint="eastAsia" w:ascii="宋体" w:hAnsi="宋体" w:eastAsia="宋体" w:cs="宋体"/>
          <w:sz w:val="24"/>
          <w:szCs w:val="24"/>
        </w:rPr>
        <w:t>验收资料一式肆份，电子文档一份。</w:t>
      </w:r>
    </w:p>
    <w:p>
      <w:pPr>
        <w:numPr>
          <w:ilvl w:val="0"/>
          <w:numId w:val="5"/>
        </w:numPr>
        <w:autoSpaceDE w:val="0"/>
        <w:autoSpaceDN w:val="0"/>
        <w:adjustRightInd w:val="0"/>
        <w:spacing w:line="500" w:lineRule="exact"/>
        <w:ind w:firstLine="482"/>
        <w:jc w:val="left"/>
        <w:outlineLvl w:val="0"/>
        <w:rPr>
          <w:rFonts w:hint="eastAsia" w:ascii="宋体" w:hAnsi="宋体" w:eastAsia="宋体" w:cs="宋体"/>
          <w:b/>
          <w:kern w:val="0"/>
          <w:sz w:val="24"/>
          <w:szCs w:val="24"/>
        </w:rPr>
      </w:pPr>
      <w:bookmarkStart w:id="630" w:name="_Toc210903320"/>
      <w:bookmarkStart w:id="631" w:name="_Toc222376029"/>
      <w:bookmarkStart w:id="632" w:name="_Toc5801"/>
      <w:bookmarkStart w:id="633" w:name="_Toc20481"/>
      <w:bookmarkStart w:id="634" w:name="_Toc19047"/>
      <w:bookmarkStart w:id="635" w:name="_Toc491246909"/>
      <w:bookmarkStart w:id="636" w:name="_Toc209499059"/>
      <w:r>
        <w:rPr>
          <w:rFonts w:hint="eastAsia" w:ascii="宋体" w:hAnsi="宋体" w:eastAsia="宋体" w:cs="宋体"/>
          <w:b/>
          <w:kern w:val="0"/>
          <w:sz w:val="24"/>
          <w:szCs w:val="24"/>
        </w:rPr>
        <w:t>缺陷责任与保修责任</w:t>
      </w:r>
      <w:bookmarkEnd w:id="630"/>
      <w:bookmarkEnd w:id="631"/>
      <w:bookmarkEnd w:id="632"/>
      <w:bookmarkEnd w:id="633"/>
      <w:bookmarkEnd w:id="634"/>
    </w:p>
    <w:p>
      <w:pPr>
        <w:autoSpaceDE w:val="0"/>
        <w:autoSpaceDN w:val="0"/>
        <w:adjustRightInd w:val="0"/>
        <w:spacing w:line="500" w:lineRule="exact"/>
        <w:ind w:firstLine="482"/>
        <w:jc w:val="left"/>
        <w:rPr>
          <w:rFonts w:hint="eastAsia" w:ascii="宋体" w:hAnsi="宋体" w:eastAsia="宋体" w:cs="宋体"/>
          <w:sz w:val="24"/>
          <w:szCs w:val="24"/>
        </w:rPr>
      </w:pPr>
      <w:r>
        <w:rPr>
          <w:rFonts w:hint="eastAsia" w:ascii="宋体" w:hAnsi="宋体" w:eastAsia="宋体" w:cs="宋体"/>
          <w:b/>
          <w:bCs/>
          <w:kern w:val="0"/>
          <w:sz w:val="24"/>
          <w:szCs w:val="24"/>
        </w:rPr>
        <w:t>19.1 缺陷责任</w:t>
      </w:r>
    </w:p>
    <w:p>
      <w:pPr>
        <w:pStyle w:val="38"/>
        <w:ind w:left="0" w:leftChars="0" w:firstLine="480"/>
        <w:rPr>
          <w:rFonts w:hint="eastAsia" w:ascii="宋体" w:hAnsi="宋体" w:eastAsia="宋体" w:cs="宋体"/>
          <w:kern w:val="2"/>
          <w:sz w:val="24"/>
          <w:szCs w:val="24"/>
        </w:rPr>
      </w:pPr>
      <w:r>
        <w:rPr>
          <w:rFonts w:hint="eastAsia" w:ascii="宋体" w:hAnsi="宋体" w:eastAsia="宋体" w:cs="宋体"/>
          <w:kern w:val="2"/>
          <w:sz w:val="24"/>
          <w:szCs w:val="24"/>
        </w:rPr>
        <w:t>缺陷责任期的具体期限：自工程竣工验收合格之日起一年。</w:t>
      </w:r>
    </w:p>
    <w:p>
      <w:pPr>
        <w:autoSpaceDE w:val="0"/>
        <w:autoSpaceDN w:val="0"/>
        <w:adjustRightInd w:val="0"/>
        <w:spacing w:line="500" w:lineRule="exact"/>
        <w:ind w:firstLine="482"/>
        <w:jc w:val="left"/>
        <w:rPr>
          <w:rFonts w:hint="eastAsia" w:ascii="宋体" w:hAnsi="宋体" w:eastAsia="宋体" w:cs="宋体"/>
          <w:b/>
          <w:bCs/>
          <w:kern w:val="0"/>
          <w:sz w:val="24"/>
          <w:szCs w:val="24"/>
        </w:rPr>
      </w:pPr>
      <w:bookmarkStart w:id="637" w:name="_Toc210903321"/>
      <w:bookmarkStart w:id="638" w:name="_Toc222376030"/>
      <w:r>
        <w:rPr>
          <w:rFonts w:hint="eastAsia" w:ascii="宋体" w:hAnsi="宋体" w:eastAsia="宋体" w:cs="宋体"/>
          <w:b/>
          <w:bCs/>
          <w:kern w:val="0"/>
          <w:sz w:val="24"/>
          <w:szCs w:val="24"/>
        </w:rPr>
        <w:t>19.2 保修责任</w:t>
      </w:r>
      <w:bookmarkEnd w:id="635"/>
      <w:bookmarkEnd w:id="636"/>
      <w:bookmarkEnd w:id="637"/>
      <w:bookmarkEnd w:id="638"/>
    </w:p>
    <w:p>
      <w:pPr>
        <w:spacing w:line="500" w:lineRule="exact"/>
        <w:ind w:firstLine="480"/>
        <w:jc w:val="left"/>
        <w:rPr>
          <w:rFonts w:hint="eastAsia" w:ascii="宋体" w:hAnsi="宋体" w:eastAsia="宋体" w:cs="宋体"/>
          <w:sz w:val="24"/>
          <w:szCs w:val="24"/>
        </w:rPr>
      </w:pPr>
      <w:r>
        <w:rPr>
          <w:rFonts w:hint="eastAsia" w:ascii="宋体" w:hAnsi="宋体" w:eastAsia="宋体" w:cs="宋体"/>
          <w:sz w:val="24"/>
          <w:szCs w:val="24"/>
        </w:rPr>
        <w:t>根据《建设工程质量管理条例》及有关规定，工程的质量保修期如下：</w:t>
      </w:r>
    </w:p>
    <w:p>
      <w:pPr>
        <w:spacing w:line="500" w:lineRule="exact"/>
        <w:ind w:firstLine="480"/>
        <w:jc w:val="left"/>
        <w:rPr>
          <w:rFonts w:hint="eastAsia" w:ascii="宋体" w:hAnsi="宋体" w:eastAsia="宋体" w:cs="宋体"/>
          <w:sz w:val="24"/>
          <w:szCs w:val="24"/>
        </w:rPr>
      </w:pPr>
      <w:r>
        <w:rPr>
          <w:rFonts w:hint="eastAsia" w:ascii="宋体" w:hAnsi="宋体" w:eastAsia="宋体" w:cs="宋体"/>
          <w:sz w:val="24"/>
          <w:szCs w:val="24"/>
        </w:rPr>
        <w:t>（1）地基基础工程和主体结构工程为设计文件规定的该工程的合理使用年限。</w:t>
      </w:r>
    </w:p>
    <w:p>
      <w:pPr>
        <w:spacing w:line="500" w:lineRule="exact"/>
        <w:ind w:firstLine="480"/>
        <w:jc w:val="left"/>
        <w:rPr>
          <w:rFonts w:hint="eastAsia" w:ascii="宋体" w:hAnsi="宋体" w:eastAsia="宋体" w:cs="宋体"/>
          <w:sz w:val="24"/>
          <w:szCs w:val="24"/>
        </w:rPr>
      </w:pPr>
      <w:r>
        <w:rPr>
          <w:rFonts w:hint="eastAsia" w:ascii="宋体" w:hAnsi="宋体" w:eastAsia="宋体" w:cs="宋体"/>
          <w:sz w:val="24"/>
          <w:szCs w:val="24"/>
        </w:rPr>
        <w:t>（2）屋面防水工程、有防水要求的卫生间、房间和外墙面的防渗漏为</w:t>
      </w:r>
      <w:r>
        <w:rPr>
          <w:rFonts w:hint="eastAsia" w:ascii="宋体" w:hAnsi="宋体" w:eastAsia="宋体" w:cs="宋体"/>
          <w:sz w:val="24"/>
          <w:szCs w:val="24"/>
          <w:u w:val="single"/>
        </w:rPr>
        <w:t>5</w:t>
      </w:r>
      <w:r>
        <w:rPr>
          <w:rFonts w:hint="eastAsia" w:ascii="宋体" w:hAnsi="宋体" w:eastAsia="宋体" w:cs="宋体"/>
          <w:sz w:val="24"/>
          <w:szCs w:val="24"/>
        </w:rPr>
        <w:t>年。</w:t>
      </w:r>
    </w:p>
    <w:p>
      <w:pPr>
        <w:spacing w:line="500" w:lineRule="exact"/>
        <w:ind w:firstLine="480"/>
        <w:jc w:val="left"/>
        <w:rPr>
          <w:rFonts w:hint="eastAsia" w:ascii="宋体" w:hAnsi="宋体" w:eastAsia="宋体" w:cs="宋体"/>
          <w:sz w:val="24"/>
          <w:szCs w:val="24"/>
        </w:rPr>
      </w:pPr>
      <w:r>
        <w:rPr>
          <w:rFonts w:hint="eastAsia" w:ascii="宋体" w:hAnsi="宋体" w:eastAsia="宋体" w:cs="宋体"/>
          <w:sz w:val="24"/>
          <w:szCs w:val="24"/>
        </w:rPr>
        <w:t xml:space="preserve">（3）供热与供冷系统为 </w:t>
      </w:r>
      <w:r>
        <w:rPr>
          <w:rFonts w:hint="eastAsia" w:ascii="宋体" w:hAnsi="宋体" w:eastAsia="宋体" w:cs="宋体"/>
          <w:sz w:val="24"/>
          <w:szCs w:val="24"/>
          <w:u w:val="single"/>
        </w:rPr>
        <w:t>2</w:t>
      </w:r>
      <w:r>
        <w:rPr>
          <w:rFonts w:hint="eastAsia" w:ascii="宋体" w:hAnsi="宋体" w:eastAsia="宋体" w:cs="宋体"/>
          <w:sz w:val="24"/>
          <w:szCs w:val="24"/>
        </w:rPr>
        <w:t>个采暖期、供冷期。</w:t>
      </w:r>
    </w:p>
    <w:p>
      <w:pPr>
        <w:spacing w:line="500" w:lineRule="exact"/>
        <w:ind w:firstLine="480"/>
        <w:jc w:val="left"/>
        <w:rPr>
          <w:rFonts w:hint="eastAsia" w:ascii="宋体" w:hAnsi="宋体" w:eastAsia="宋体" w:cs="宋体"/>
          <w:sz w:val="24"/>
          <w:szCs w:val="24"/>
        </w:rPr>
      </w:pPr>
      <w:r>
        <w:rPr>
          <w:rFonts w:hint="eastAsia" w:ascii="宋体" w:hAnsi="宋体" w:eastAsia="宋体" w:cs="宋体"/>
          <w:sz w:val="24"/>
          <w:szCs w:val="24"/>
        </w:rPr>
        <w:t>（4）电气管线、给排水管道、设备安装和装修工程为</w:t>
      </w:r>
      <w:r>
        <w:rPr>
          <w:rFonts w:hint="eastAsia" w:ascii="宋体" w:hAnsi="宋体" w:eastAsia="宋体" w:cs="宋体"/>
          <w:sz w:val="24"/>
          <w:szCs w:val="24"/>
          <w:u w:val="single"/>
        </w:rPr>
        <w:t>2</w:t>
      </w:r>
      <w:r>
        <w:rPr>
          <w:rFonts w:hint="eastAsia" w:ascii="宋体" w:hAnsi="宋体" w:eastAsia="宋体" w:cs="宋体"/>
          <w:sz w:val="24"/>
          <w:szCs w:val="24"/>
        </w:rPr>
        <w:t>年。</w:t>
      </w:r>
    </w:p>
    <w:p>
      <w:pPr>
        <w:autoSpaceDE w:val="0"/>
        <w:autoSpaceDN w:val="0"/>
        <w:adjustRightInd w:val="0"/>
        <w:spacing w:line="500" w:lineRule="exact"/>
        <w:ind w:firstLine="482"/>
        <w:jc w:val="left"/>
        <w:outlineLvl w:val="0"/>
        <w:rPr>
          <w:rFonts w:hint="eastAsia" w:ascii="宋体" w:hAnsi="宋体" w:eastAsia="宋体" w:cs="宋体"/>
          <w:b/>
          <w:kern w:val="0"/>
          <w:sz w:val="24"/>
          <w:szCs w:val="24"/>
        </w:rPr>
      </w:pPr>
      <w:bookmarkStart w:id="639" w:name="_Toc9349"/>
      <w:bookmarkStart w:id="640" w:name="_Toc210903322"/>
      <w:bookmarkStart w:id="641" w:name="_Toc24500"/>
      <w:bookmarkStart w:id="642" w:name="_Toc222376031"/>
      <w:bookmarkStart w:id="643" w:name="_Toc956"/>
      <w:bookmarkStart w:id="644" w:name="_Toc209499060"/>
      <w:bookmarkStart w:id="645" w:name="_Toc491246910"/>
      <w:r>
        <w:rPr>
          <w:rFonts w:hint="eastAsia" w:ascii="宋体" w:hAnsi="宋体" w:eastAsia="宋体" w:cs="宋体"/>
          <w:b/>
          <w:kern w:val="0"/>
          <w:sz w:val="24"/>
          <w:szCs w:val="24"/>
        </w:rPr>
        <w:t>22.违约</w:t>
      </w:r>
      <w:bookmarkEnd w:id="639"/>
      <w:bookmarkEnd w:id="640"/>
      <w:bookmarkEnd w:id="641"/>
      <w:bookmarkEnd w:id="642"/>
      <w:bookmarkEnd w:id="643"/>
    </w:p>
    <w:p>
      <w:pPr>
        <w:autoSpaceDE w:val="0"/>
        <w:autoSpaceDN w:val="0"/>
        <w:adjustRightInd w:val="0"/>
        <w:spacing w:line="500" w:lineRule="exact"/>
        <w:ind w:firstLine="482"/>
        <w:jc w:val="left"/>
        <w:rPr>
          <w:rFonts w:hint="eastAsia" w:ascii="宋体" w:hAnsi="宋体" w:eastAsia="宋体" w:cs="宋体"/>
          <w:b/>
          <w:bCs/>
          <w:kern w:val="0"/>
          <w:sz w:val="24"/>
          <w:szCs w:val="24"/>
        </w:rPr>
      </w:pPr>
      <w:bookmarkStart w:id="646" w:name="_Toc222376032"/>
      <w:bookmarkStart w:id="647" w:name="_Toc210903323"/>
      <w:r>
        <w:rPr>
          <w:rFonts w:hint="eastAsia" w:ascii="宋体" w:hAnsi="宋体" w:eastAsia="宋体" w:cs="宋体"/>
          <w:b/>
          <w:bCs/>
          <w:kern w:val="0"/>
          <w:sz w:val="24"/>
          <w:szCs w:val="24"/>
        </w:rPr>
        <w:t>22.1 承包人违约</w:t>
      </w:r>
      <w:bookmarkEnd w:id="644"/>
      <w:bookmarkEnd w:id="645"/>
      <w:bookmarkEnd w:id="646"/>
      <w:bookmarkEnd w:id="647"/>
    </w:p>
    <w:p>
      <w:pPr>
        <w:spacing w:line="500" w:lineRule="exact"/>
        <w:ind w:firstLine="480"/>
        <w:jc w:val="left"/>
        <w:rPr>
          <w:rFonts w:hint="eastAsia" w:ascii="宋体" w:hAnsi="宋体" w:eastAsia="宋体" w:cs="宋体"/>
          <w:sz w:val="24"/>
          <w:szCs w:val="24"/>
        </w:rPr>
      </w:pPr>
      <w:bookmarkStart w:id="648" w:name="_Toc210903324"/>
      <w:bookmarkStart w:id="649" w:name="_Toc209499061"/>
      <w:bookmarkStart w:id="650" w:name="_Toc222376033"/>
      <w:bookmarkStart w:id="651" w:name="_Toc491246911"/>
      <w:r>
        <w:rPr>
          <w:rFonts w:hint="eastAsia" w:ascii="宋体" w:hAnsi="宋体" w:eastAsia="宋体" w:cs="宋体"/>
          <w:sz w:val="24"/>
          <w:szCs w:val="24"/>
        </w:rPr>
        <w:t>承包人在接到开工通知后14天内，如未能按投标文件及合同条款中承诺的人员、施工设备按时、如数进入工地的，发包人可单方解除本协议，并追究承包人的违约责任（包括但不限于仲裁费、保全费、保全保险费、执行费、律师服务费、公告费、公证费等）。因本条款已宽限承包人14日进场施工，承包人继续逾期进场施工将对项目工期产生巨大影响，致使工程延期的，发包人有权单方解除本合同，承包人在收到解除合同的书面通知后，应足额返还发包人已付的所有款项。</w:t>
      </w:r>
    </w:p>
    <w:p>
      <w:pPr>
        <w:autoSpaceDE w:val="0"/>
        <w:autoSpaceDN w:val="0"/>
        <w:adjustRightInd w:val="0"/>
        <w:spacing w:line="500" w:lineRule="exact"/>
        <w:ind w:firstLine="482"/>
        <w:jc w:val="left"/>
        <w:outlineLvl w:val="9"/>
        <w:rPr>
          <w:rFonts w:hint="eastAsia" w:ascii="宋体" w:hAnsi="宋体" w:eastAsia="宋体" w:cs="宋体"/>
          <w:b/>
          <w:kern w:val="0"/>
          <w:sz w:val="24"/>
          <w:szCs w:val="24"/>
        </w:rPr>
      </w:pPr>
      <w:bookmarkStart w:id="652" w:name="_Toc22096"/>
      <w:bookmarkStart w:id="653" w:name="_Toc9584"/>
    </w:p>
    <w:p>
      <w:pPr>
        <w:autoSpaceDE w:val="0"/>
        <w:autoSpaceDN w:val="0"/>
        <w:adjustRightInd w:val="0"/>
        <w:spacing w:line="500" w:lineRule="exact"/>
        <w:ind w:firstLine="482"/>
        <w:jc w:val="left"/>
        <w:outlineLvl w:val="0"/>
        <w:rPr>
          <w:rFonts w:hint="eastAsia" w:ascii="宋体" w:hAnsi="宋体" w:eastAsia="宋体" w:cs="宋体"/>
          <w:b/>
          <w:kern w:val="0"/>
          <w:sz w:val="24"/>
          <w:szCs w:val="24"/>
        </w:rPr>
      </w:pPr>
      <w:bookmarkStart w:id="654" w:name="_Toc32591"/>
      <w:r>
        <w:rPr>
          <w:rFonts w:hint="eastAsia" w:ascii="宋体" w:hAnsi="宋体" w:eastAsia="宋体" w:cs="宋体"/>
          <w:b/>
          <w:kern w:val="0"/>
          <w:sz w:val="24"/>
          <w:szCs w:val="24"/>
        </w:rPr>
        <w:t>24.争议的解决</w:t>
      </w:r>
      <w:bookmarkEnd w:id="648"/>
      <w:bookmarkEnd w:id="649"/>
      <w:bookmarkEnd w:id="650"/>
      <w:bookmarkEnd w:id="651"/>
      <w:bookmarkEnd w:id="652"/>
      <w:bookmarkEnd w:id="653"/>
      <w:bookmarkEnd w:id="654"/>
    </w:p>
    <w:p>
      <w:pPr>
        <w:adjustRightInd w:val="0"/>
        <w:snapToGrid w:val="0"/>
        <w:spacing w:line="460" w:lineRule="exact"/>
        <w:ind w:firstLine="480"/>
        <w:outlineLvl w:val="3"/>
        <w:rPr>
          <w:rFonts w:hint="eastAsia" w:ascii="宋体" w:hAnsi="宋体" w:eastAsia="宋体" w:cs="宋体"/>
          <w:sz w:val="24"/>
          <w:szCs w:val="24"/>
        </w:rPr>
      </w:pPr>
      <w:r>
        <w:rPr>
          <w:rFonts w:hint="eastAsia" w:ascii="宋体" w:hAnsi="宋体" w:eastAsia="宋体" w:cs="宋体"/>
          <w:kern w:val="0"/>
          <w:sz w:val="24"/>
          <w:szCs w:val="24"/>
        </w:rPr>
        <w:t>本合同双方约定的争议调解机构为</w:t>
      </w:r>
      <w:r>
        <w:rPr>
          <w:rFonts w:hint="eastAsia" w:ascii="宋体" w:hAnsi="宋体" w:eastAsia="宋体" w:cs="宋体"/>
          <w:sz w:val="24"/>
          <w:szCs w:val="24"/>
        </w:rPr>
        <w:t>上一级水利行政主管部门</w:t>
      </w:r>
      <w:r>
        <w:rPr>
          <w:rFonts w:hint="eastAsia" w:ascii="宋体" w:hAnsi="宋体" w:eastAsia="宋体" w:cs="宋体"/>
          <w:kern w:val="0"/>
          <w:sz w:val="24"/>
          <w:szCs w:val="24"/>
        </w:rPr>
        <w:t>，不再设置专门的争议调解机构。</w:t>
      </w:r>
      <w:r>
        <w:rPr>
          <w:rFonts w:hint="eastAsia" w:ascii="宋体" w:hAnsi="宋体" w:eastAsia="宋体" w:cs="宋体"/>
          <w:snapToGrid w:val="0"/>
          <w:kern w:val="0"/>
          <w:sz w:val="24"/>
          <w:szCs w:val="24"/>
        </w:rPr>
        <w:t>调解不成时，任何一方当事人可向</w:t>
      </w:r>
      <w:r>
        <w:rPr>
          <w:rFonts w:hint="eastAsia" w:ascii="宋体" w:hAnsi="宋体" w:eastAsia="宋体" w:cs="宋体"/>
          <w:b/>
          <w:bCs/>
          <w:sz w:val="24"/>
          <w:szCs w:val="24"/>
          <w:u w:val="single"/>
        </w:rPr>
        <w:t>海南仲裁委员会</w:t>
      </w:r>
      <w:r>
        <w:rPr>
          <w:rFonts w:hint="eastAsia" w:ascii="宋体" w:hAnsi="宋体" w:eastAsia="宋体" w:cs="宋体"/>
          <w:sz w:val="24"/>
          <w:szCs w:val="24"/>
        </w:rPr>
        <w:t>申请仲裁</w:t>
      </w:r>
      <w:r>
        <w:rPr>
          <w:rFonts w:hint="eastAsia" w:ascii="宋体" w:hAnsi="宋体" w:eastAsia="宋体" w:cs="宋体"/>
          <w:snapToGrid w:val="0"/>
          <w:kern w:val="0"/>
          <w:sz w:val="24"/>
          <w:szCs w:val="24"/>
        </w:rPr>
        <w:t>。</w:t>
      </w:r>
    </w:p>
    <w:p>
      <w:pPr>
        <w:pStyle w:val="13"/>
        <w:spacing w:line="500" w:lineRule="exact"/>
        <w:ind w:firstLine="482"/>
        <w:outlineLvl w:val="0"/>
        <w:rPr>
          <w:rFonts w:hint="eastAsia" w:ascii="宋体" w:hAnsi="宋体" w:eastAsia="宋体" w:cs="宋体"/>
          <w:b/>
          <w:kern w:val="0"/>
          <w:sz w:val="24"/>
          <w:szCs w:val="24"/>
        </w:rPr>
      </w:pPr>
      <w:bookmarkStart w:id="655" w:name="_Toc222376034"/>
      <w:bookmarkStart w:id="656" w:name="_Toc5457"/>
      <w:bookmarkStart w:id="657" w:name="_Toc6053"/>
      <w:bookmarkStart w:id="658" w:name="_Toc28357"/>
      <w:r>
        <w:rPr>
          <w:rFonts w:hint="eastAsia" w:ascii="宋体" w:hAnsi="宋体" w:eastAsia="宋体" w:cs="宋体"/>
          <w:b/>
          <w:kern w:val="0"/>
          <w:sz w:val="24"/>
          <w:szCs w:val="24"/>
        </w:rPr>
        <w:t>25.工程结算价</w:t>
      </w:r>
      <w:bookmarkEnd w:id="655"/>
      <w:bookmarkEnd w:id="656"/>
      <w:bookmarkEnd w:id="657"/>
      <w:bookmarkEnd w:id="658"/>
    </w:p>
    <w:p>
      <w:pPr>
        <w:spacing w:line="500" w:lineRule="exact"/>
        <w:ind w:firstLine="480"/>
        <w:rPr>
          <w:rFonts w:hint="eastAsia" w:ascii="宋体" w:hAnsi="宋体" w:eastAsia="宋体" w:cs="宋体"/>
          <w:b/>
          <w:sz w:val="24"/>
          <w:szCs w:val="24"/>
        </w:rPr>
      </w:pPr>
      <w:r>
        <w:rPr>
          <w:rFonts w:hint="eastAsia" w:ascii="宋体" w:hAnsi="宋体" w:eastAsia="宋体" w:cs="宋体"/>
          <w:sz w:val="24"/>
          <w:szCs w:val="24"/>
        </w:rPr>
        <w:t>牵及到合同价调整，仅对设计变更引起的工程量增加或减少进行调整，不涉及设计变更的项目，最终建安费报酬以工程结算工作量按实结算,</w:t>
      </w:r>
      <w:r>
        <w:rPr>
          <w:rFonts w:hint="eastAsia" w:ascii="宋体" w:hAnsi="宋体" w:eastAsia="宋体" w:cs="宋体"/>
          <w:kern w:val="0"/>
          <w:sz w:val="24"/>
          <w:szCs w:val="24"/>
        </w:rPr>
        <w:t>单价均不作调整。</w:t>
      </w:r>
      <w:r>
        <w:rPr>
          <w:rFonts w:hint="eastAsia" w:ascii="宋体" w:hAnsi="宋体" w:eastAsia="宋体" w:cs="宋体"/>
          <w:sz w:val="24"/>
          <w:szCs w:val="24"/>
        </w:rPr>
        <w:t>在工程量表中有同种工作内容的单价，应以工程量表中的价格计算变更费用。工程量表中没有列出同类工作的单价，但有可参考的项目，则其单价应参照类似项目的单价进行调整。在工程量表中没有同类或可参考的工作内容的单价，应按照与合同单价水平相一致的原则去审核该项目的单价。确因设计原因需要变更，需经业主、施工单位、监理单位、设计单位共同签字确认。</w:t>
      </w:r>
    </w:p>
    <w:p>
      <w:pPr>
        <w:ind w:firstLine="480"/>
        <w:jc w:val="center"/>
        <w:rPr>
          <w:rFonts w:hint="eastAsia" w:ascii="宋体" w:hAnsi="宋体" w:eastAsia="宋体" w:cs="宋体"/>
          <w:bCs/>
          <w:sz w:val="24"/>
          <w:szCs w:val="24"/>
        </w:rPr>
      </w:pPr>
    </w:p>
    <w:p>
      <w:pPr>
        <w:ind w:firstLine="480"/>
        <w:jc w:val="center"/>
        <w:rPr>
          <w:rFonts w:hint="eastAsia" w:ascii="宋体" w:hAnsi="宋体" w:eastAsia="宋体" w:cs="宋体"/>
          <w:bCs/>
          <w:sz w:val="24"/>
          <w:szCs w:val="24"/>
        </w:rPr>
      </w:pPr>
    </w:p>
    <w:p>
      <w:pPr>
        <w:ind w:firstLine="480"/>
        <w:jc w:val="center"/>
        <w:rPr>
          <w:rFonts w:hint="eastAsia" w:ascii="宋体" w:hAnsi="宋体" w:eastAsia="宋体" w:cs="宋体"/>
          <w:bCs/>
          <w:sz w:val="24"/>
          <w:szCs w:val="24"/>
        </w:rPr>
      </w:pPr>
    </w:p>
    <w:p>
      <w:pPr>
        <w:ind w:firstLine="480"/>
        <w:jc w:val="center"/>
        <w:rPr>
          <w:rFonts w:hint="eastAsia" w:ascii="宋体" w:hAnsi="宋体" w:eastAsia="宋体" w:cs="宋体"/>
          <w:bCs/>
          <w:sz w:val="24"/>
          <w:szCs w:val="24"/>
        </w:rPr>
      </w:pPr>
    </w:p>
    <w:p>
      <w:pPr>
        <w:ind w:firstLine="480"/>
        <w:rPr>
          <w:rFonts w:hint="eastAsia" w:ascii="宋体" w:hAnsi="宋体" w:eastAsia="宋体" w:cs="宋体"/>
          <w:bCs/>
          <w:sz w:val="24"/>
          <w:szCs w:val="24"/>
        </w:rPr>
      </w:pPr>
    </w:p>
    <w:p>
      <w:pPr>
        <w:ind w:firstLine="480"/>
        <w:jc w:val="center"/>
        <w:rPr>
          <w:rFonts w:hint="eastAsia" w:ascii="宋体" w:hAnsi="宋体" w:eastAsia="宋体" w:cs="宋体"/>
          <w:bCs/>
          <w:sz w:val="24"/>
          <w:szCs w:val="24"/>
        </w:rPr>
      </w:pPr>
    </w:p>
    <w:p>
      <w:pPr>
        <w:ind w:firstLine="480"/>
        <w:jc w:val="center"/>
        <w:rPr>
          <w:rFonts w:hint="eastAsia" w:ascii="宋体" w:hAnsi="宋体" w:eastAsia="宋体" w:cs="宋体"/>
          <w:bCs/>
          <w:sz w:val="24"/>
          <w:szCs w:val="24"/>
        </w:rPr>
      </w:pPr>
    </w:p>
    <w:p>
      <w:pPr>
        <w:ind w:firstLine="480"/>
        <w:rPr>
          <w:rFonts w:hint="eastAsia" w:ascii="宋体" w:hAnsi="宋体" w:eastAsia="宋体" w:cs="宋体"/>
          <w:bCs/>
          <w:sz w:val="24"/>
          <w:szCs w:val="24"/>
        </w:rPr>
      </w:pPr>
    </w:p>
    <w:p>
      <w:pPr>
        <w:widowControl/>
        <w:spacing w:line="240" w:lineRule="auto"/>
        <w:ind w:firstLine="0" w:firstLineChars="0"/>
        <w:jc w:val="left"/>
        <w:rPr>
          <w:rFonts w:hint="eastAsia" w:ascii="宋体" w:hAnsi="宋体" w:eastAsia="宋体" w:cs="宋体"/>
          <w:b/>
          <w:bCs/>
          <w:sz w:val="24"/>
          <w:szCs w:val="24"/>
        </w:rPr>
      </w:pPr>
      <w:r>
        <w:rPr>
          <w:rFonts w:hint="eastAsia" w:ascii="宋体" w:hAnsi="宋体" w:eastAsia="宋体" w:cs="宋体"/>
          <w:b/>
          <w:bCs/>
          <w:sz w:val="24"/>
          <w:szCs w:val="24"/>
        </w:rPr>
        <w:br w:type="page"/>
      </w:r>
    </w:p>
    <w:p>
      <w:pPr>
        <w:ind w:firstLine="482"/>
        <w:jc w:val="center"/>
        <w:rPr>
          <w:rFonts w:ascii="仿宋" w:hAnsi="仿宋" w:eastAsia="仿宋"/>
          <w:b/>
          <w:bCs/>
          <w:sz w:val="24"/>
          <w:szCs w:val="24"/>
        </w:rPr>
      </w:pPr>
      <w:r>
        <w:rPr>
          <w:rFonts w:ascii="仿宋" w:hAnsi="仿宋" w:eastAsia="仿宋"/>
          <w:b/>
          <w:bCs/>
          <w:sz w:val="24"/>
          <w:szCs w:val="24"/>
        </w:rPr>
        <w:t>承包人主要施工管理人员</w:t>
      </w:r>
      <w:r>
        <w:rPr>
          <w:rFonts w:hint="eastAsia" w:ascii="仿宋" w:hAnsi="仿宋" w:eastAsia="仿宋"/>
          <w:b/>
          <w:bCs/>
          <w:sz w:val="24"/>
          <w:szCs w:val="24"/>
        </w:rPr>
        <w:t>表</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2"/>
        <w:jc w:val="center"/>
        <w:textAlignment w:val="auto"/>
        <w:outlineLvl w:val="9"/>
        <w:rPr>
          <w:rFonts w:ascii="仿宋" w:hAnsi="仿宋" w:eastAsia="仿宋" w:cs="黑体"/>
          <w:b/>
          <w:sz w:val="24"/>
          <w:szCs w:val="24"/>
        </w:rPr>
      </w:pPr>
      <w:r>
        <w:rPr>
          <w:rFonts w:ascii="仿宋" w:hAnsi="仿宋" w:eastAsia="仿宋"/>
          <w:b/>
          <w:sz w:val="24"/>
          <w:szCs w:val="24"/>
        </w:rPr>
        <w:br w:type="page"/>
      </w:r>
      <w:r>
        <w:rPr>
          <w:rFonts w:hint="eastAsia" w:ascii="仿宋" w:hAnsi="仿宋" w:eastAsia="仿宋" w:cs="黑体"/>
          <w:b/>
          <w:sz w:val="24"/>
          <w:szCs w:val="24"/>
        </w:rPr>
        <w:t>建设工程承发包廉洁协议书</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textAlignment w:val="auto"/>
        <w:outlineLvl w:val="9"/>
        <w:rPr>
          <w:rFonts w:hint="eastAsia"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textAlignment w:val="auto"/>
        <w:outlineLvl w:val="9"/>
        <w:rPr>
          <w:rFonts w:ascii="仿宋" w:hAnsi="仿宋" w:eastAsia="仿宋"/>
          <w:sz w:val="24"/>
          <w:szCs w:val="24"/>
        </w:rPr>
      </w:pPr>
      <w:r>
        <w:rPr>
          <w:rFonts w:hint="eastAsia" w:ascii="仿宋" w:hAnsi="仿宋" w:eastAsia="仿宋"/>
          <w:sz w:val="24"/>
          <w:szCs w:val="24"/>
        </w:rPr>
        <w:t>为了强化建设市场管理，确保</w:t>
      </w:r>
      <w:r>
        <w:rPr>
          <w:rFonts w:hint="eastAsia" w:ascii="仿宋" w:hAnsi="仿宋" w:eastAsia="仿宋"/>
          <w:b/>
          <w:bCs/>
          <w:color w:val="FF0000"/>
          <w:sz w:val="24"/>
          <w:szCs w:val="24"/>
          <w:u w:val="single"/>
          <w:lang w:val="en-US" w:eastAsia="zh-CN"/>
        </w:rPr>
        <w:t xml:space="preserve">          </w:t>
      </w:r>
      <w:r>
        <w:rPr>
          <w:rFonts w:hint="eastAsia" w:ascii="仿宋" w:hAnsi="仿宋" w:eastAsia="仿宋"/>
          <w:sz w:val="24"/>
          <w:szCs w:val="24"/>
        </w:rPr>
        <w:t>项目建设工程承发包中遵纪守法廉洁经营，保障双方的合法权益，建设单位（甲方）与施工单位（乙方）共同履行工程建设合同。特签订廉洁协议如下：</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textAlignment w:val="auto"/>
        <w:outlineLvl w:val="9"/>
        <w:rPr>
          <w:rFonts w:ascii="仿宋" w:hAnsi="仿宋" w:eastAsia="仿宋"/>
          <w:sz w:val="24"/>
          <w:szCs w:val="24"/>
        </w:rPr>
      </w:pPr>
      <w:r>
        <w:rPr>
          <w:rFonts w:hint="eastAsia" w:ascii="仿宋" w:hAnsi="仿宋" w:eastAsia="仿宋"/>
          <w:sz w:val="24"/>
          <w:szCs w:val="24"/>
        </w:rPr>
        <w:t>甲乙双方自觉遵守国家和省、市人民政府与省、市建设主管部门有关建设工程承发包的有关法令、法规及规章制度。甲方按规定严格审核乙方资质，择优录用，乙方不得用不正当手段参与竞争包揽业务。</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textAlignment w:val="auto"/>
        <w:outlineLvl w:val="9"/>
        <w:rPr>
          <w:rFonts w:ascii="仿宋" w:hAnsi="仿宋" w:eastAsia="仿宋"/>
          <w:sz w:val="24"/>
          <w:szCs w:val="24"/>
        </w:rPr>
      </w:pPr>
      <w:r>
        <w:rPr>
          <w:rFonts w:hint="eastAsia" w:ascii="仿宋" w:hAnsi="仿宋" w:eastAsia="仿宋"/>
          <w:sz w:val="24"/>
          <w:szCs w:val="24"/>
        </w:rPr>
        <w:t>甲方有责任教育所属的管理人员在履行合同中与乙方密切合作，廉洁奉公，不谋私利。对乙方反映甲方人员在业务交往中不负责任，推诿扯皮，甚至有意借故刁难，从而影响履行合同的行为，甲方应尽快给予排除纠正，并视情节轻重批评或者处理有关人员。</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textAlignment w:val="auto"/>
        <w:outlineLvl w:val="9"/>
        <w:rPr>
          <w:rFonts w:ascii="仿宋" w:hAnsi="仿宋" w:eastAsia="仿宋"/>
          <w:sz w:val="24"/>
          <w:szCs w:val="24"/>
        </w:rPr>
      </w:pPr>
      <w:r>
        <w:rPr>
          <w:rFonts w:hint="eastAsia" w:ascii="仿宋" w:hAnsi="仿宋" w:eastAsia="仿宋"/>
          <w:sz w:val="24"/>
          <w:szCs w:val="24"/>
        </w:rPr>
        <w:t>甲方欢迎乙方向纪检监察部门举报甲方领导干部、管理人员在业务交往中的吃、拿、卡、要的行为。甲方确保乙方不会因举报而遭受工作业务上的报复行为。甲方对举报属实，严格遵守廉洁协议的乙方给予承包后续工程的优先考虑权。</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textAlignment w:val="auto"/>
        <w:outlineLvl w:val="9"/>
        <w:rPr>
          <w:rFonts w:ascii="仿宋" w:hAnsi="仿宋" w:eastAsia="仿宋"/>
          <w:sz w:val="24"/>
          <w:szCs w:val="24"/>
        </w:rPr>
      </w:pPr>
      <w:r>
        <w:rPr>
          <w:rFonts w:hint="eastAsia" w:ascii="仿宋" w:hAnsi="仿宋" w:eastAsia="仿宋"/>
          <w:sz w:val="24"/>
          <w:szCs w:val="24"/>
        </w:rPr>
        <w:t>乙方不得以任何理由向甲方单位负责人、项目（部门）负责人、管理人员等私下送钱送物，装修房屋或为个人谋取其他好处。此类问题一经发现，乙方要被处于合同价1--5%的罚款。由甲方上级单位及有关部门执行，同时转函到乙方上级单位。并报送纪检监察部门。</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textAlignment w:val="auto"/>
        <w:outlineLvl w:val="9"/>
        <w:rPr>
          <w:rFonts w:ascii="仿宋" w:hAnsi="仿宋" w:eastAsia="仿宋"/>
          <w:sz w:val="24"/>
          <w:szCs w:val="24"/>
        </w:rPr>
      </w:pPr>
      <w:r>
        <w:rPr>
          <w:rFonts w:hint="eastAsia" w:ascii="仿宋" w:hAnsi="仿宋" w:eastAsia="仿宋"/>
          <w:sz w:val="24"/>
          <w:szCs w:val="24"/>
        </w:rPr>
        <w:t>乙方不得违反工程招标、投标规定或以行贿手段承包工程。若触犯刑律除检察机关处理，甲方有权终止合同，并及时报送建设主管部门和纪检监察部门处理。</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textAlignment w:val="auto"/>
        <w:outlineLvl w:val="9"/>
        <w:rPr>
          <w:rFonts w:ascii="仿宋" w:hAnsi="仿宋" w:eastAsia="仿宋"/>
          <w:sz w:val="24"/>
          <w:szCs w:val="24"/>
        </w:rPr>
      </w:pPr>
      <w:r>
        <w:rPr>
          <w:rFonts w:hint="eastAsia" w:ascii="仿宋" w:hAnsi="仿宋" w:eastAsia="仿宋"/>
          <w:sz w:val="24"/>
          <w:szCs w:val="24"/>
        </w:rPr>
        <w:t>以上协议，分别由工程承发包单位监督实施，包括分包工程项目经理签订的廉洁责任状。上级纪检监察部门有权随时检查廉洁协议执行情况，凡在工程承发包过程中如果廉洁方面出现了问题，纪检监察部门有一票否决权。</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textAlignment w:val="auto"/>
        <w:outlineLvl w:val="9"/>
        <w:rPr>
          <w:rFonts w:hint="eastAsia"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0" w:rightChars="0"/>
        <w:textAlignment w:val="auto"/>
        <w:outlineLvl w:val="9"/>
        <w:rPr>
          <w:rFonts w:ascii="仿宋" w:hAnsi="仿宋" w:eastAsia="仿宋"/>
          <w:sz w:val="24"/>
          <w:szCs w:val="24"/>
        </w:rPr>
      </w:pPr>
      <w:r>
        <w:rPr>
          <w:rFonts w:hint="eastAsia" w:ascii="仿宋" w:hAnsi="仿宋" w:eastAsia="仿宋"/>
          <w:sz w:val="24"/>
          <w:szCs w:val="24"/>
        </w:rPr>
        <w:t>建设单位（盖章）：</w:t>
      </w:r>
      <w:r>
        <w:rPr>
          <w:rFonts w:hint="eastAsia" w:ascii="宋体" w:hAnsi="宋体" w:eastAsia="宋体" w:cs="宋体"/>
          <w:sz w:val="24"/>
          <w:szCs w:val="24"/>
        </w:rPr>
        <w:t> </w:t>
      </w:r>
      <w:r>
        <w:rPr>
          <w:rFonts w:hint="eastAsia" w:ascii="宋体" w:hAnsi="宋体" w:eastAsia="宋体" w:cs="宋体"/>
          <w:sz w:val="24"/>
          <w:szCs w:val="24"/>
          <w:lang w:val="en-US" w:eastAsia="zh-CN"/>
        </w:rPr>
        <w:t xml:space="preserve">                    </w:t>
      </w:r>
      <w:r>
        <w:rPr>
          <w:rFonts w:hint="eastAsia" w:ascii="仿宋" w:hAnsi="仿宋" w:eastAsia="仿宋"/>
          <w:sz w:val="24"/>
          <w:szCs w:val="24"/>
        </w:rPr>
        <w:t>施工单位（盖章）：</w:t>
      </w:r>
    </w:p>
    <w:p>
      <w:pPr>
        <w:keepNext w:val="0"/>
        <w:keepLines w:val="0"/>
        <w:pageBreakBefore w:val="0"/>
        <w:widowControl w:val="0"/>
        <w:kinsoku/>
        <w:wordWrap/>
        <w:overflowPunct/>
        <w:topLinePunct w:val="0"/>
        <w:autoSpaceDE/>
        <w:autoSpaceDN/>
        <w:bidi w:val="0"/>
        <w:adjustRightInd/>
        <w:snapToGrid/>
        <w:spacing w:line="460" w:lineRule="exact"/>
        <w:ind w:right="0" w:rightChars="0"/>
        <w:textAlignment w:val="auto"/>
        <w:outlineLvl w:val="9"/>
        <w:rPr>
          <w:rFonts w:ascii="仿宋" w:hAnsi="仿宋" w:eastAsia="仿宋"/>
          <w:sz w:val="24"/>
          <w:szCs w:val="24"/>
        </w:rPr>
      </w:pPr>
      <w:r>
        <w:rPr>
          <w:rFonts w:hint="eastAsia" w:ascii="仿宋" w:hAnsi="仿宋" w:eastAsia="仿宋"/>
          <w:sz w:val="24"/>
          <w:szCs w:val="24"/>
        </w:rPr>
        <w:t xml:space="preserve">法人代表（签名）：                   </w:t>
      </w:r>
      <w:r>
        <w:rPr>
          <w:rFonts w:hint="eastAsia" w:ascii="仿宋" w:hAnsi="仿宋" w:eastAsia="仿宋"/>
          <w:sz w:val="24"/>
          <w:szCs w:val="24"/>
          <w:lang w:val="en-US" w:eastAsia="zh-CN"/>
        </w:rPr>
        <w:t xml:space="preserve">   </w:t>
      </w:r>
      <w:r>
        <w:rPr>
          <w:rFonts w:hint="eastAsia" w:ascii="仿宋" w:hAnsi="仿宋" w:eastAsia="仿宋"/>
          <w:sz w:val="24"/>
          <w:szCs w:val="24"/>
        </w:rPr>
        <w:t>法人代表（签名）：</w:t>
      </w:r>
    </w:p>
    <w:p>
      <w:pPr>
        <w:keepNext w:val="0"/>
        <w:keepLines w:val="0"/>
        <w:pageBreakBefore w:val="0"/>
        <w:widowControl w:val="0"/>
        <w:kinsoku/>
        <w:wordWrap/>
        <w:overflowPunct/>
        <w:topLinePunct w:val="0"/>
        <w:autoSpaceDE/>
        <w:autoSpaceDN/>
        <w:bidi w:val="0"/>
        <w:adjustRightInd/>
        <w:snapToGrid/>
        <w:spacing w:line="460" w:lineRule="exact"/>
        <w:ind w:right="0" w:rightChars="0"/>
        <w:textAlignment w:val="auto"/>
        <w:outlineLvl w:val="9"/>
        <w:rPr>
          <w:rFonts w:ascii="仿宋" w:hAnsi="仿宋" w:eastAsia="仿宋"/>
          <w:sz w:val="24"/>
          <w:szCs w:val="24"/>
        </w:rPr>
      </w:pPr>
      <w:r>
        <w:rPr>
          <w:rFonts w:hint="eastAsia" w:ascii="仿宋" w:hAnsi="仿宋" w:eastAsia="仿宋"/>
          <w:sz w:val="24"/>
          <w:szCs w:val="24"/>
        </w:rPr>
        <w:t xml:space="preserve">或委托代理人（签名）：               </w:t>
      </w:r>
      <w:r>
        <w:rPr>
          <w:rFonts w:hint="eastAsia" w:ascii="仿宋" w:hAnsi="仿宋" w:eastAsia="仿宋"/>
          <w:sz w:val="24"/>
          <w:szCs w:val="24"/>
          <w:lang w:val="en-US" w:eastAsia="zh-CN"/>
        </w:rPr>
        <w:t xml:space="preserve">   </w:t>
      </w:r>
      <w:r>
        <w:rPr>
          <w:rFonts w:hint="eastAsia" w:ascii="仿宋" w:hAnsi="仿宋" w:eastAsia="仿宋"/>
          <w:sz w:val="24"/>
          <w:szCs w:val="24"/>
        </w:rPr>
        <w:t>或委托代理人（签名）：</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1440" w:firstLineChars="600"/>
        <w:textAlignment w:val="auto"/>
        <w:outlineLvl w:val="9"/>
        <w:rPr>
          <w:rFonts w:ascii="仿宋" w:hAnsi="仿宋" w:eastAsia="仿宋" w:cs="黑体"/>
          <w:sz w:val="24"/>
          <w:szCs w:val="24"/>
        </w:rPr>
      </w:pPr>
      <w:r>
        <w:rPr>
          <w:rFonts w:hint="eastAsia" w:ascii="仿宋" w:hAnsi="仿宋" w:eastAsia="仿宋"/>
          <w:sz w:val="24"/>
          <w:szCs w:val="24"/>
        </w:rPr>
        <w:t xml:space="preserve">年  月  日                                年  月  日 </w:t>
      </w:r>
    </w:p>
    <w:p>
      <w:pPr>
        <w:keepNext w:val="0"/>
        <w:keepLines w:val="0"/>
        <w:pageBreakBefore w:val="0"/>
        <w:kinsoku/>
        <w:wordWrap/>
        <w:overflowPunct/>
        <w:topLinePunct w:val="0"/>
        <w:autoSpaceDE/>
        <w:autoSpaceDN/>
        <w:bidi w:val="0"/>
        <w:spacing w:line="460" w:lineRule="atLeast"/>
        <w:ind w:left="0" w:leftChars="0" w:right="0" w:rightChars="0" w:firstLine="482"/>
        <w:jc w:val="both"/>
        <w:outlineLvl w:val="9"/>
        <w:rPr>
          <w:rFonts w:hint="eastAsia" w:ascii="仿宋" w:hAnsi="仿宋" w:eastAsia="仿宋" w:cs="黑体"/>
          <w:b/>
          <w:sz w:val="24"/>
          <w:szCs w:val="24"/>
        </w:rPr>
      </w:pPr>
    </w:p>
    <w:p>
      <w:pPr>
        <w:keepNext w:val="0"/>
        <w:keepLines w:val="0"/>
        <w:pageBreakBefore w:val="0"/>
        <w:kinsoku/>
        <w:wordWrap/>
        <w:overflowPunct/>
        <w:topLinePunct w:val="0"/>
        <w:autoSpaceDE/>
        <w:autoSpaceDN/>
        <w:bidi w:val="0"/>
        <w:spacing w:line="460" w:lineRule="atLeast"/>
        <w:ind w:left="0" w:leftChars="0" w:right="0" w:rightChars="0" w:firstLine="482"/>
        <w:jc w:val="center"/>
        <w:outlineLvl w:val="9"/>
        <w:rPr>
          <w:rFonts w:ascii="仿宋" w:hAnsi="仿宋" w:eastAsia="仿宋" w:cs="黑体"/>
          <w:b/>
          <w:bCs/>
          <w:sz w:val="24"/>
          <w:szCs w:val="24"/>
        </w:rPr>
      </w:pPr>
      <w:r>
        <w:rPr>
          <w:rFonts w:hint="eastAsia" w:ascii="仿宋" w:hAnsi="仿宋" w:eastAsia="仿宋" w:cs="黑体"/>
          <w:b/>
          <w:bCs/>
          <w:sz w:val="24"/>
          <w:szCs w:val="24"/>
        </w:rPr>
        <w:t>在建工程安全施工协议</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甲方：</w:t>
      </w:r>
      <w:r>
        <w:rPr>
          <w:rFonts w:hint="eastAsia" w:ascii="仿宋" w:hAnsi="仿宋" w:eastAsia="仿宋" w:cstheme="minorEastAsia"/>
          <w:bCs/>
          <w:sz w:val="24"/>
          <w:szCs w:val="24"/>
          <w:u w:val="single"/>
          <w:lang w:val="en-US" w:eastAsia="zh-CN"/>
        </w:rPr>
        <w:t xml:space="preserve">                          </w:t>
      </w:r>
      <w:r>
        <w:rPr>
          <w:rFonts w:hint="eastAsia" w:ascii="仿宋" w:hAnsi="仿宋" w:eastAsia="仿宋" w:cstheme="minorEastAsia"/>
          <w:bCs/>
          <w:sz w:val="24"/>
          <w:szCs w:val="24"/>
        </w:rPr>
        <w:t>（以下简称：甲方）</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乙方</w:t>
      </w:r>
      <w:r>
        <w:rPr>
          <w:rFonts w:hint="eastAsia" w:ascii="仿宋" w:hAnsi="仿宋" w:eastAsia="仿宋" w:cstheme="minorEastAsia"/>
          <w:bCs/>
          <w:color w:val="FF0000"/>
          <w:sz w:val="24"/>
          <w:szCs w:val="24"/>
          <w:u w:val="single"/>
        </w:rPr>
        <w:t>：</w:t>
      </w:r>
      <w:r>
        <w:rPr>
          <w:rFonts w:hint="eastAsia" w:ascii="仿宋" w:hAnsi="仿宋" w:eastAsia="仿宋" w:cstheme="minorEastAsia"/>
          <w:bCs/>
          <w:color w:val="FF0000"/>
          <w:sz w:val="24"/>
          <w:szCs w:val="24"/>
          <w:u w:val="single"/>
          <w:lang w:val="en-US" w:eastAsia="zh-CN"/>
        </w:rPr>
        <w:t xml:space="preserve">                          </w:t>
      </w:r>
      <w:r>
        <w:rPr>
          <w:rFonts w:hint="eastAsia" w:ascii="仿宋" w:hAnsi="仿宋" w:eastAsia="仿宋" w:cstheme="minorEastAsia"/>
          <w:bCs/>
          <w:sz w:val="24"/>
          <w:szCs w:val="24"/>
        </w:rPr>
        <w:t>（以下简称：乙方）</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鉴于：</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乙方将承建由甲方投资建设的</w:t>
      </w:r>
      <w:r>
        <w:rPr>
          <w:rFonts w:hint="eastAsia" w:ascii="仿宋" w:hAnsi="仿宋" w:eastAsia="仿宋"/>
          <w:b/>
          <w:bCs/>
          <w:color w:val="FF0000"/>
          <w:sz w:val="24"/>
          <w:szCs w:val="24"/>
          <w:u w:val="single"/>
          <w:lang w:val="en-US" w:eastAsia="zh-CN"/>
        </w:rPr>
        <w:t xml:space="preserve">        </w:t>
      </w:r>
      <w:r>
        <w:rPr>
          <w:rFonts w:hint="eastAsia" w:ascii="仿宋" w:hAnsi="仿宋" w:eastAsia="仿宋" w:cstheme="minorEastAsia"/>
          <w:bCs/>
          <w:sz w:val="24"/>
          <w:szCs w:val="24"/>
        </w:rPr>
        <w:t>项目（以下简称：“本工程”），乙方同意按照</w:t>
      </w:r>
      <w:r>
        <w:rPr>
          <w:rFonts w:hint="eastAsia" w:ascii="仿宋" w:hAnsi="仿宋" w:eastAsia="仿宋" w:cstheme="minorEastAsia"/>
          <w:b/>
          <w:sz w:val="24"/>
          <w:szCs w:val="24"/>
          <w:u w:val="single"/>
        </w:rPr>
        <w:t xml:space="preserve">    年    月    日</w:t>
      </w:r>
      <w:r>
        <w:rPr>
          <w:rFonts w:hint="eastAsia" w:ascii="仿宋" w:hAnsi="仿宋" w:eastAsia="仿宋" w:cstheme="minorEastAsia"/>
          <w:bCs/>
          <w:sz w:val="24"/>
          <w:szCs w:val="24"/>
        </w:rPr>
        <w:t>签订的《建设工程施工合同》（以下简称《总承包合同》）的合同文件的要求履行其责任和义务，保证以诚信、敬业和积极的态度完成本工程相关工作，并依照中华人民共和国相关法律、法规和规章等文件的规定，经双方友好协商，达成本协议如下：</w:t>
      </w:r>
    </w:p>
    <w:p>
      <w:pPr>
        <w:keepNext w:val="0"/>
        <w:keepLines w:val="0"/>
        <w:pageBreakBefore w:val="0"/>
        <w:kinsoku/>
        <w:wordWrap/>
        <w:overflowPunct/>
        <w:topLinePunct w:val="0"/>
        <w:autoSpaceDE/>
        <w:autoSpaceDN/>
        <w:bidi w:val="0"/>
        <w:spacing w:line="460" w:lineRule="atLeast"/>
        <w:ind w:left="0" w:leftChars="0" w:right="0" w:rightChars="0" w:firstLine="482"/>
        <w:jc w:val="both"/>
        <w:outlineLvl w:val="9"/>
        <w:rPr>
          <w:rFonts w:ascii="仿宋" w:hAnsi="仿宋" w:eastAsia="仿宋" w:cstheme="minorEastAsia"/>
          <w:b/>
          <w:sz w:val="24"/>
          <w:szCs w:val="24"/>
        </w:rPr>
      </w:pPr>
      <w:r>
        <w:rPr>
          <w:rFonts w:hint="eastAsia" w:ascii="仿宋" w:hAnsi="仿宋" w:eastAsia="仿宋" w:cstheme="minorEastAsia"/>
          <w:b/>
          <w:sz w:val="24"/>
          <w:szCs w:val="24"/>
        </w:rPr>
        <w:t>一、本协议适用法律</w:t>
      </w:r>
    </w:p>
    <w:p>
      <w:pPr>
        <w:pStyle w:val="17"/>
        <w:keepNext w:val="0"/>
        <w:keepLines w:val="0"/>
        <w:pageBreakBefore w:val="0"/>
        <w:kinsoku/>
        <w:wordWrap/>
        <w:overflowPunct/>
        <w:topLinePunct w:val="0"/>
        <w:autoSpaceDE/>
        <w:autoSpaceDN/>
        <w:bidi w:val="0"/>
        <w:spacing w:line="460" w:lineRule="atLeast"/>
        <w:ind w:left="0" w:leftChars="0" w:right="0" w:rightChars="0" w:firstLine="480" w:firstLineChars="200"/>
        <w:jc w:val="both"/>
        <w:outlineLvl w:val="9"/>
        <w:rPr>
          <w:rFonts w:ascii="仿宋" w:hAnsi="仿宋" w:cstheme="minorEastAsia"/>
          <w:bCs/>
          <w:sz w:val="24"/>
          <w:szCs w:val="24"/>
        </w:rPr>
      </w:pPr>
      <w:r>
        <w:rPr>
          <w:rFonts w:hint="eastAsia" w:ascii="仿宋" w:hAnsi="仿宋" w:cstheme="minorEastAsia"/>
          <w:bCs/>
          <w:sz w:val="24"/>
          <w:szCs w:val="24"/>
        </w:rPr>
        <w:t>本协议适用中华人民共和国法律、行政法规及本地区省市地方法规以及中华人民共和国及本地区省市建设行政主管部门和其他有关主管部门制定的行政规章和规范性文件。</w:t>
      </w:r>
    </w:p>
    <w:p>
      <w:pPr>
        <w:keepNext w:val="0"/>
        <w:keepLines w:val="0"/>
        <w:pageBreakBefore w:val="0"/>
        <w:kinsoku/>
        <w:wordWrap/>
        <w:overflowPunct/>
        <w:topLinePunct w:val="0"/>
        <w:autoSpaceDE/>
        <w:autoSpaceDN/>
        <w:bidi w:val="0"/>
        <w:snapToGrid w:val="0"/>
        <w:spacing w:line="460" w:lineRule="atLeast"/>
        <w:ind w:left="0" w:leftChars="0" w:right="0" w:rightChars="0" w:firstLine="482"/>
        <w:jc w:val="both"/>
        <w:outlineLvl w:val="9"/>
        <w:rPr>
          <w:rFonts w:ascii="仿宋" w:hAnsi="仿宋" w:eastAsia="仿宋" w:cstheme="minorEastAsia"/>
          <w:b/>
          <w:sz w:val="24"/>
          <w:szCs w:val="24"/>
        </w:rPr>
      </w:pPr>
      <w:r>
        <w:rPr>
          <w:rFonts w:hint="eastAsia" w:ascii="仿宋" w:hAnsi="仿宋" w:eastAsia="仿宋" w:cstheme="minorEastAsia"/>
          <w:b/>
          <w:sz w:val="24"/>
          <w:szCs w:val="24"/>
        </w:rPr>
        <w:t xml:space="preserve">二、文件的组成及解释顺序  </w:t>
      </w:r>
    </w:p>
    <w:p>
      <w:pPr>
        <w:pStyle w:val="17"/>
        <w:keepNext w:val="0"/>
        <w:keepLines w:val="0"/>
        <w:pageBreakBefore w:val="0"/>
        <w:kinsoku/>
        <w:wordWrap/>
        <w:overflowPunct/>
        <w:topLinePunct w:val="0"/>
        <w:autoSpaceDE/>
        <w:autoSpaceDN/>
        <w:bidi w:val="0"/>
        <w:spacing w:line="460" w:lineRule="atLeast"/>
        <w:ind w:left="0" w:leftChars="0" w:right="0" w:rightChars="0" w:firstLine="480" w:firstLineChars="200"/>
        <w:jc w:val="both"/>
        <w:outlineLvl w:val="9"/>
        <w:rPr>
          <w:rFonts w:ascii="仿宋" w:hAnsi="仿宋" w:cstheme="minorEastAsia"/>
          <w:bCs/>
          <w:sz w:val="24"/>
          <w:szCs w:val="24"/>
        </w:rPr>
      </w:pPr>
      <w:r>
        <w:rPr>
          <w:rFonts w:hint="eastAsia" w:ascii="仿宋" w:hAnsi="仿宋" w:cstheme="minorEastAsia"/>
          <w:bCs/>
          <w:sz w:val="24"/>
          <w:szCs w:val="24"/>
        </w:rPr>
        <w:t>本协议是作为《总承包合同》的说明和相互补充。如果本协议与《总承包合同》文件之间出现歧义或相互矛盾，或《总承包合同》文件中出现明显错误时，应以本协议为准。</w:t>
      </w:r>
    </w:p>
    <w:p>
      <w:pPr>
        <w:pStyle w:val="17"/>
        <w:keepNext w:val="0"/>
        <w:keepLines w:val="0"/>
        <w:pageBreakBefore w:val="0"/>
        <w:kinsoku/>
        <w:wordWrap/>
        <w:overflowPunct/>
        <w:topLinePunct w:val="0"/>
        <w:autoSpaceDE/>
        <w:autoSpaceDN/>
        <w:bidi w:val="0"/>
        <w:spacing w:line="460" w:lineRule="atLeast"/>
        <w:ind w:left="0" w:leftChars="0" w:right="0" w:rightChars="0" w:firstLine="480" w:firstLineChars="200"/>
        <w:jc w:val="both"/>
        <w:outlineLvl w:val="9"/>
        <w:rPr>
          <w:rFonts w:ascii="仿宋" w:hAnsi="仿宋" w:cstheme="minorEastAsia"/>
          <w:bCs/>
          <w:sz w:val="24"/>
          <w:szCs w:val="24"/>
        </w:rPr>
      </w:pPr>
      <w:r>
        <w:rPr>
          <w:rFonts w:hint="eastAsia" w:ascii="仿宋" w:hAnsi="仿宋" w:cstheme="minorEastAsia"/>
          <w:bCs/>
          <w:sz w:val="24"/>
          <w:szCs w:val="24"/>
        </w:rPr>
        <w:t>在本协议的履行过程中，双方签署同意的与本协议订立或履行有关的协议、信函、备忘录等亦构成《总承包合同》组成部分，具有同等法律效力。</w:t>
      </w:r>
    </w:p>
    <w:p>
      <w:pPr>
        <w:pStyle w:val="17"/>
        <w:keepNext w:val="0"/>
        <w:keepLines w:val="0"/>
        <w:pageBreakBefore w:val="0"/>
        <w:kinsoku/>
        <w:wordWrap/>
        <w:overflowPunct/>
        <w:topLinePunct w:val="0"/>
        <w:autoSpaceDE/>
        <w:autoSpaceDN/>
        <w:bidi w:val="0"/>
        <w:spacing w:line="460" w:lineRule="atLeast"/>
        <w:ind w:left="0" w:leftChars="0" w:right="0" w:rightChars="0" w:firstLine="482"/>
        <w:jc w:val="both"/>
        <w:outlineLvl w:val="9"/>
        <w:rPr>
          <w:rFonts w:ascii="仿宋" w:hAnsi="仿宋" w:cstheme="minorEastAsia"/>
          <w:b/>
          <w:sz w:val="24"/>
          <w:szCs w:val="24"/>
        </w:rPr>
      </w:pPr>
      <w:r>
        <w:rPr>
          <w:rFonts w:hint="eastAsia" w:ascii="仿宋" w:hAnsi="仿宋" w:cstheme="minorEastAsia"/>
          <w:b/>
          <w:sz w:val="24"/>
          <w:szCs w:val="24"/>
        </w:rPr>
        <w:t>三、安全生产</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（一）甲方权利：</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1.对于乙方违反国家及本地区省、市有关安全生产的法律、法规、标准、规范的行为，或者乙方未严格落实本协议约定责任，甲方有权对乙方处罚、要求限期整改、停工，若对甲方带来重大经济损失及恶劣社会影响，甲方有权单方终止合同。</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2.对于乙方的安全生产及其管理情况，甲方具有知情权、检查权。</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3.甲方有权参加项目安全施工例会和工程监理会。</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（二）乙方责任：</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乙方作为本工程总承包单位，对本工程的安全生产、消防保卫、环境保护、卫生防疫（包含但不限于）等工作统一管理，全面负责。</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1.企业资质及相关资格要求：</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1）乙方应具备《中华人民共和国建筑法》第二十六条（或其他在建工程相关资质要求）：“承包建筑工程的单位应当持有依法取得的资质证书，并在其资质等级许可的业务范围内承揽工程。”规定的有效资质。同时必须具备有效的安全生产许可证。</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2）乙方依法将建设工程分包给其他单位的，分包施工单位必须具备相应资质和安全生产许可证，必须与分包单位签订符合国家及本地区省、市相关规定的《分包合同》和《安全生产协议书》，明确各自的安全生产方面的责任、权利、义务。乙方负责审核本工程各专业分包单位应具备相应的有效资质及有效的安全生产许可证符合国家及本地区省、市相关规定，并报监理审批。乙方和分包单位对分包工程的安全生产承担总承包安全管理责任和连带责任。若乙方未执行此要求，乙方承担由此引起的全部安全管理责任和经济损失。</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（3）乙方的企业法人及负责本工程的项目经理、安全生产负责人必须通过本地区省市建设行政主管部门安全考核并持证。</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（4）乙方派出的项目经理必须具备法规规定当期的任职资格；总工程师必须具备国家考核批准的高级工程师任职资格。</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（5）乙方的本工程项目经理、副经理、总工程师、安全生产负责人不得兼任其它工程项目职务。</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（6）乙方安全机构设置：</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①乙方应当成立由项目经理领导的安全生产管理体系，全面领导本工程安全、消防、保卫、环保、卫生、防疫等工作。</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②乙方项目部必须设置独立的安全生产部门，按国家及本地区省市相关规定足额配备专职安全生产管理人员，同时必须遵照《国家安全生产监督管理局11号令》的有关规定配备注册安全工程师，保证出勤率达到100%。</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③在整个工程施工期间，安全负责人或注册安全工程师应负责组织召集和主持每周至少一次由所有在现场工作的工人和其他工作人员参加的安全生产例会，每天对现场安全生产状况进行全面检查并作好记录，负责安全技术交底和技术方案的安全把关，负责制定或审核安全隐患的整改措施并监督落实，负责安全资料的整理和管理，确保所有的安全设施都处于良好的运转状态。</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2.乙方必须合法用工</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1）乙方所有工人在进场作业前必须严格进行“三级安全”教育，考核合格后方准许上岗，填写“三级安全教育卡”，并向监理单位备案；乙方应按总监理工程师的要求，随时向总监理工程师出示这类证件；总监理工程师有权将不具备这类证件的工人逐出现场。</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2）乙方应对作业人员根据国家规范要求进行安全生产和岗前技术教育培训及考核，并留存记录。对于停工项目，重新开工前必须对作业人员重新进行安全生产和岗前技术再教育培训及考核，并留存记录。未经教育培训或者教育培训考核不合格的人员，不得上岗作业。</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3）作业人员进入新的岗位或者在采用新技术、新工艺、新设备、新材料时，乙方应当对作业人员进行相应的安全生产教育培训、考核，并留存记录。未经教育培训或者教育培训考核不合格的人员，不得上岗作业。</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（4）乙方特种作业人员，必须按照国家有关规定经过专门的安全作业培训，并取得特种作业操作资格证书后，方可上岗作业。乙方须在特种作业人员上岗前把特种作业操作资格证书向监理单位审核、备案。</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（5）乙方及分包单位必须与所属劳务人员签订符合国家及本地区省、市规定的劳务合同，并给用工人员办理人身意外伤害保险，上述资料在乙方及监理单位备案。</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（6）乙方保证甲方免于承担任何因乙方违章使用工人、违章使用未取得特种作业操作资格证书的人员从事特种作业而可能导致的任何损失或损害。</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3.乙方必须依法组织施工：</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（1）乙方须在整个合同履约期内，遵守有关安全生产的法律、法规、规范、规章和规范性文件等的要求或规定，依法组织施工。</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u w:val="single"/>
        </w:rPr>
      </w:pPr>
      <w:r>
        <w:rPr>
          <w:rFonts w:hint="eastAsia" w:ascii="仿宋" w:hAnsi="仿宋" w:eastAsia="仿宋" w:cstheme="minorEastAsia"/>
          <w:bCs/>
          <w:sz w:val="24"/>
          <w:szCs w:val="24"/>
        </w:rPr>
        <w:t>（2）乙方严禁违法分包或转包本工程。对于因乙方违法分包或转包本工程而导致生产安全事故的由乙方承担全部损失和责任。</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3）乙方施工前按要求向分包单位提供与分包工程施工作业有关的资料，分包单位采取相应的安全技术措施。对于因乙方未向分包单位提供与分包工程施工作业有关的资料而导致生产安全事故的由乙方承担全部损失和责任。</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（4）乙方不得违章指挥、违章作业。对于因乙方违章指挥、违章作业而导致生产安全事故的由乙方承担全部损失和责任。</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5）乙方负责编制本工程的施工组织设计或专项方案及安全保障技术措施，必须经监理注册安全工程师审核和具有注册监理工程师资格的总监理工程师审批通过后，乙方按批准的施工组织设计（施工方案）组织施工，并对由于安全技术措施不完善造成的生产安全事故负全责。总监理工程师的此类审批不解除或减轻乙方受合同制约的任何责任。</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（6）按照国家</w:t>
      </w:r>
      <w:r>
        <w:rPr>
          <w:rStyle w:val="134"/>
          <w:rFonts w:hint="eastAsia" w:ascii="仿宋" w:hAnsi="仿宋" w:eastAsia="仿宋" w:cstheme="minorEastAsia"/>
          <w:bCs/>
          <w:sz w:val="24"/>
          <w:szCs w:val="24"/>
        </w:rPr>
        <w:t>建质[2004]213号《</w:t>
      </w:r>
      <w:r>
        <w:rPr>
          <w:rStyle w:val="135"/>
          <w:rFonts w:hint="eastAsia" w:ascii="仿宋" w:hAnsi="仿宋" w:eastAsia="仿宋" w:cstheme="minorEastAsia"/>
          <w:bCs w:val="0"/>
          <w:sz w:val="24"/>
          <w:szCs w:val="24"/>
        </w:rPr>
        <w:t>危险性较大工程安全专项施工方案编制及专家论证审查办法》规定，</w:t>
      </w:r>
      <w:r>
        <w:rPr>
          <w:rFonts w:hint="eastAsia" w:ascii="仿宋" w:hAnsi="仿宋" w:eastAsia="仿宋" w:cstheme="minorEastAsia"/>
          <w:bCs/>
          <w:sz w:val="24"/>
          <w:szCs w:val="24"/>
        </w:rPr>
        <w:t>对达到一定规模的危险性较大的分部分项工程必须编制专项施工方案，并附具安全验算结果，经施工单位注册安全工程师、技术负责人审核、总监理工程师审批签字后实施，由专职安全生产管理人员进行现场监督；需要组织专家组对施工方案进行论证审查的危险性较大工程，必须按规定进行专家论证。如因各种因素需要对施工组织设计（施工方案）进行变更时，必须向甲方、监理单位报告，按规定重新组织专家论证，并经原审批人审核批准后方可施工。对于因乙方未按批准的施工组织设计（施工方案）组织施工而导致生产安全事故的由乙方承担全部损失和责任。</w:t>
      </w:r>
    </w:p>
    <w:p>
      <w:pPr>
        <w:keepNext w:val="0"/>
        <w:keepLines w:val="0"/>
        <w:pageBreakBefore w:val="0"/>
        <w:tabs>
          <w:tab w:val="left" w:pos="1350"/>
          <w:tab w:val="left" w:pos="1440"/>
        </w:tabs>
        <w:kinsoku/>
        <w:wordWrap/>
        <w:overflowPunct/>
        <w:topLinePunct w:val="0"/>
        <w:autoSpaceDE/>
        <w:autoSpaceDN/>
        <w:bidi w:val="0"/>
        <w:snapToGrid w:val="0"/>
        <w:spacing w:line="460" w:lineRule="atLeast"/>
        <w:ind w:left="0" w:leftChars="0" w:right="0" w:rightChars="0" w:firstLine="484" w:firstLineChars="202"/>
        <w:jc w:val="both"/>
        <w:outlineLvl w:val="9"/>
        <w:rPr>
          <w:rFonts w:ascii="仿宋" w:hAnsi="仿宋" w:eastAsia="仿宋" w:cstheme="minorEastAsia"/>
          <w:bCs/>
          <w:sz w:val="24"/>
          <w:szCs w:val="24"/>
        </w:rPr>
      </w:pPr>
      <w:r>
        <w:rPr>
          <w:rFonts w:hint="eastAsia" w:ascii="仿宋" w:hAnsi="仿宋" w:eastAsia="仿宋" w:cstheme="minorEastAsia"/>
          <w:bCs/>
          <w:sz w:val="24"/>
          <w:szCs w:val="24"/>
        </w:rPr>
        <w:t>（7）建设工程施工前，乙方应当对有关安全施工的技术要求向施工作业班组、作业人员做出详细安全技术交底，书面告知危险岗位的操作规程和违章操作的危害，并由双方签字确认。</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8）乙方应根据有关法律、法规、规定和条例等的要求，制定一套安全生产应急预案，并组织管理人员、作业人员定期进行演练，保证一旦出现任何安全事故，能立即保护好现场，抢救伤员，防止事故扩大，并立即向甲方和监理单位以及任何按照法律、行政法规或规章规定必须向其报告的有关行政主管部门报告。该预案应当经项目经理、技术负责人、安全负责人和注册安全工程师签字，由总监理工程师审批实施。</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9）乙方应当配合政府管理单位、甲方、监理单位的安全检查；对乙方违反法规规定的，上述单位有权予以处罚、责令整改直至停工；对由乙方原因造成的整改或停工造成的经济、工期损失以及法律责任由乙方自行负责；同时甲方保留对本工程造成损失及负面影响的追究权利。</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10）乙方必须按合同约定按时支付劳务用工人员工资，并留存支付记录，因乙方拖欠劳务用工人员工资而引发的劳务用工人员滋事、围攻、游行示威、伤亡事件所造成的工程延期及其它经济损失和负面影响，以及因此受到行政主管部门处罚或追究行政、法律责任由乙方承担全部责任。</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4.乙方施工现场要严格执行施工管理规定：</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1）乙方应当在施工现场入口处、施工起重机械、临时用电设施、脚手架、出入通道口、楼梯口、电梯井口、孔洞口、桥梁口、隧道口、基坑边沿、爆破物及有害危险气体和液体存放处等危险部位，设置明显的安全警示标志（指示牌、警告牌、火警、匪警和急救电话提示牌、宣传画、标语等）。安全警示标志必须符合国家标准。</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2）乙方应当根据不同施工阶段和周围环境及季节、气候的变化，在施工现场采取相应的安全施工措施。施工现场暂时停止施工的，施工单位应当做好现场防护，所需费用由责任方承担，或者按照合同约定执行。</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（3）乙方对因建设工程施工可能造成损害的毗邻建筑物、构筑物和地下管线等，应当采取专项防护措施。</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（4）乙方应根据施工安全需要，按规范在施工现场设立和维护脚手架、安全网、防护棚、防护门、安全通道等安全防护设施，保持安全状态，并在有关工作完成或竣工交付后撤除。</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（5）乙方作业人员应当遵守安全施工的强制性标准、规章制度和操作规程，使用或提供合格的施工机械、机具，并正确使用。</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6）乙方应对采购、租赁的安全防护用具、机械设备、施工机具及配件设专人管理，并符合相关规范、标准要求。定期对安全防护用具、机械设备、施工机具及配件进行检查、维修和保养，确保安全可靠，建立相应的资料档案，并按照国家有关规定及时报废。严禁乙方使用不合格的安全防护用具、施工机械、机具。特种作业设备必须由具有合法的国家规定特种作业操作证的人员操作。机械设备应当具有生产（制造）许可证、产品合格证，必须履行进场、安装监理验收制度，监理单位验收合格方能使用。</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（7）乙方在使用施工起重机械和整体提升脚手架、模板等自升式架设设施前：</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①安装、顶升、使用和拆除必须严格依照国家和行业的有关法规、办法及操作规程实施。</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②乙方应当组织有关单位进行验收，或委托具有相应资质的检验、检测机构进行验收；使用承租的机械设备和施工机具及配件的，由乙方、监理、分包单位、出租单位和安装单位共同进行验收，验收合格并经总监理工程师签字同意后方可使用。</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③在验收前应当经有相应资质的检验、检测机构监督检验合格方可使用。</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④乙方应当自施工起重机械和整体提升脚手架、模板等自升式架设设施验收合格之日起30日内，向建设行政主管部门或者其他有关部门登记。登记标志应当置于或者附着于该设备的显著位置。</w:t>
      </w:r>
    </w:p>
    <w:p>
      <w:pPr>
        <w:pStyle w:val="34"/>
        <w:keepNext w:val="0"/>
        <w:keepLines w:val="0"/>
        <w:pageBreakBefore w:val="0"/>
        <w:kinsoku/>
        <w:wordWrap/>
        <w:overflowPunct/>
        <w:topLinePunct w:val="0"/>
        <w:autoSpaceDE/>
        <w:autoSpaceDN/>
        <w:bidi w:val="0"/>
        <w:spacing w:beforeAutospacing="0" w:afterAutospacing="0" w:line="460" w:lineRule="atLeast"/>
        <w:ind w:left="0" w:leftChars="0" w:right="0" w:rightChars="0" w:firstLine="480" w:firstLineChars="200"/>
        <w:jc w:val="both"/>
        <w:outlineLvl w:val="9"/>
        <w:rPr>
          <w:rFonts w:ascii="仿宋" w:hAnsi="仿宋" w:eastAsia="仿宋" w:cstheme="minorEastAsia"/>
          <w:bCs/>
        </w:rPr>
      </w:pPr>
      <w:r>
        <w:rPr>
          <w:rFonts w:hint="eastAsia" w:ascii="仿宋" w:hAnsi="仿宋" w:eastAsia="仿宋" w:cstheme="minorEastAsia"/>
          <w:bCs/>
        </w:rPr>
        <w:t>（8）乙方租赁使用的塔吊等大型机械设备发生生产安全事故，有下列情形之一的，由乙方承担全部责任和损失。</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①未与租赁单位签订符合国家和本地区省、市政府相关部门规定的安全生产管理协议。</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②承租无合法资质的企业的和未经检测合格的大型机械设备。</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③使用没有合法资质的施工单位进行起重设备安装、拆卸。</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④操作、指挥人员误操作或使用没有特种作业操作证人员上岗发生生产安全事故。</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9）同一施工现场使用2台以上塔吊的，乙方应编制群塔作业方案，严格按方案实施，并承担相应责任。因群塔作业方案不符合要求而导致生产安全事故的，由乙方负责。相邻工地的相邻塔吊应当按规定立塔，后立塔的施工现场乙方应确保塔吊之间的安全距离。因安全距离不符合标准而导致生产安全事故的，由后立塔的乙方负主要责任。</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（10）乙方须对本工程塔吊、外用电梯、卷扬机、电动吊篮等起重设备全面管理，严禁违章指挥、违章作业，若由此发生事故，乙方承担全部损失和责任。</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（11）乙方须确保塔吊、外用电梯、提升机、电动吊篮、整体提升脚手架等机械设备的各项安全防护装置、限位装置安全、灵敏有效。</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（12）作业人员任意拆改施工安全防护设施，造成生产安全事故的，由拆改防护设施人员的单位负主要责任，乙方负施工现场安全管理责任。</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（13）施工现场由于特殊原因需要进行交叉作业的，必须采取相应的安全防护措施。由于交叉作业造成的生产安全事故，乙方负施工现场安全管理责任。</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（14）乙方必须保证所有应用在永久工程上的材料、设备、设施等产品（包含但不限于）的构造、性能符合向甲方的承诺及设计要求，同时符合国家及行业相关安全、消防、环保的法律、法规、规范、标准等。</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（15）施工区、办公区、民工宿舍区必须严格按JGJ46-2005《施工现场临时用电安全技术规范》进行电气配置及使用。</w:t>
      </w:r>
    </w:p>
    <w:p>
      <w:pPr>
        <w:keepNext w:val="0"/>
        <w:keepLines w:val="0"/>
        <w:pageBreakBefore w:val="0"/>
        <w:kinsoku/>
        <w:wordWrap/>
        <w:overflowPunct/>
        <w:topLinePunct w:val="0"/>
        <w:autoSpaceDE/>
        <w:autoSpaceDN/>
        <w:bidi w:val="0"/>
        <w:spacing w:line="460" w:lineRule="atLeast"/>
        <w:ind w:left="0" w:leftChars="0" w:right="0" w:rightChars="0" w:firstLine="463" w:firstLineChars="193"/>
        <w:jc w:val="both"/>
        <w:outlineLvl w:val="9"/>
        <w:rPr>
          <w:rFonts w:ascii="仿宋" w:hAnsi="仿宋" w:eastAsia="仿宋" w:cstheme="minorEastAsia"/>
          <w:bCs/>
          <w:sz w:val="24"/>
          <w:szCs w:val="24"/>
        </w:rPr>
      </w:pPr>
      <w:r>
        <w:rPr>
          <w:rFonts w:hint="eastAsia" w:ascii="仿宋" w:hAnsi="仿宋" w:eastAsia="仿宋" w:cstheme="minorEastAsia"/>
          <w:bCs/>
          <w:sz w:val="24"/>
          <w:szCs w:val="24"/>
        </w:rPr>
        <w:t>（16）乙方应为邻近地区的所有者和占有者、公众和其他人员提供便利，并提供保证所必须的道路、人行道、防护棚及围栏。</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17）高度重视所有授权驻现场人员的安全，并采取任何必要和适当的措施，保持现场（在其管理的整个范围内）和工程（包括所有尚未竣工的和尚未移交给发包人的工程）的井然有序和安全可靠，以免发生人身事故。</w:t>
      </w:r>
    </w:p>
    <w:p>
      <w:pPr>
        <w:pStyle w:val="34"/>
        <w:keepNext w:val="0"/>
        <w:keepLines w:val="0"/>
        <w:pageBreakBefore w:val="0"/>
        <w:kinsoku/>
        <w:wordWrap/>
        <w:overflowPunct/>
        <w:topLinePunct w:val="0"/>
        <w:autoSpaceDE/>
        <w:autoSpaceDN/>
        <w:bidi w:val="0"/>
        <w:spacing w:beforeAutospacing="0" w:afterAutospacing="0" w:line="460" w:lineRule="atLeast"/>
        <w:ind w:left="0" w:leftChars="0" w:right="0" w:rightChars="0" w:firstLine="480" w:firstLineChars="200"/>
        <w:jc w:val="both"/>
        <w:outlineLvl w:val="9"/>
        <w:rPr>
          <w:rFonts w:ascii="仿宋" w:hAnsi="仿宋" w:eastAsia="仿宋" w:cstheme="minorEastAsia"/>
          <w:bCs/>
        </w:rPr>
      </w:pPr>
      <w:r>
        <w:rPr>
          <w:rFonts w:hint="eastAsia" w:ascii="仿宋" w:hAnsi="仿宋" w:eastAsia="仿宋" w:cstheme="minorEastAsia"/>
          <w:bCs/>
        </w:rPr>
        <w:t>5.对乙方施工现场管理具体要求：</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（1）安全防护设施：</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①按规范要求设置与维护“四口、五临边” （“四口”包括：楼梯口、电梯井口、预留洞口、通道口； “五临边”包括：尚未安装栏杆的阳台周边，无外架防护的层面周边，框架工程楼层周边，上下跑道及斜道的两侧边，卸料平台的侧边）的安全防护设施，并保持安全状态。严禁任意拆改安全防护设施。</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②乙方应当根据工种类别及作业环境不同，为进入施工现场人员配备：安全带、安全绳、安全帽、绝缘鞋、绝缘手套、防护口罩和防护衣等安全生产用品，并严格管理，确保正确使用。</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③所有机械设备，包括各类电动工具的安全保护和接地装置及操作说明。对使用的所有提升机、外用吊篮等运输、作业机械设备进行安全防护，包括安全开关、警示铃、警示灯、护身栏杆、脚手架和安全网等等；所有机械设备应有安全操作防护装置和详细的安全操作规程等。</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④乙方须对所有用于提升的挂钩、挂绳、钢丝绳等进行定期检测、检查和标定；如果监理工程师认为，任何此类设施已经损坏或有使用不当之处，乙方应立即以合格的产品进行更换；所有此类设施的安装、使用和拆除必须严格依照政府的有关法规、规章和条例等的要求。</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⑤乙方应为那些不便于人员进出的永久工程的施工区，设立紧急情况下逃生的疏散通道。</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（2）消防安全：</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①乙方在施工现场建立消防安全责任制度，确定消防安全责任人，制定用火、用电、使用易燃易爆材料等各项消防安全管理制度和操作规程，并严格贯彻实施。</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②严格执行施工前安全报批程序，未经安全消防部门批准不得开工。</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③加强对施工现场、仓库的物资、设备、易燃、易爆等危险品及重点要害部位的管理，制定完善的安全管理措施，制定技术预防措施，施工过程可选用的装修及其它材料应符合国家的防火规范，并应同时提交检验合格证。</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④按规范规定，在施工现场、办公区、生活区配置消火栓、足够数量的灭火器、警戒标志等消防器材，保证施工现场消防系统设施齐备、完好，在正式消防给水系统投入使用前，不得拆除或者停用临时消防竖管。</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⑤设置消防通道、并在出入口设置明显指示标志。严禁在消防通道堆放施工设备、材料及各种物品，保持消防通道畅通。主要作业场所和临时安全疏散通道24小时36伏安全照明和必要的警示等，以防止各种可能的事故。</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⑥结构工程内不准作为仓库使用，严禁在结构工程内存放易燃、可燃、易爆物品，因施工需要进入工程内的易燃、可燃材料，要根据工程计划限量进入并采取可靠的防火措施。</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⑦对涉及明火施工的工作要严格履行施工现场的动火批准手续，执行用火证等的管理制度，严禁违章动火。安装、使用电器设备，必须符合用电及防火规定，防止发生火灾。施工用配电设施及其他用电设施必须有专人看守和管理。施工现场范围内严禁吸烟和携带火种。</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⑧每日清理并运走施工垃圾，保持工地及出入口清洁。当甲方要求及时清理时，要积极配合，保证消防通道的畅通。</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⑨乙方要加强对生活区的防火措施，生活区的设置必须符合消防管理规范。冬季使用煤火应注意通风，杜绝煤气中毒现象发生。</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（3）安全文明施工：</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①本工程施工现场应按照国家及本地区省、市建设行政主管部门创建文明安全工地的标准和要求进行文明安全施工管理，包括有关设施的设置、办法的制定与实施和资料的准备等。</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 xml:space="preserve">②乙方应充分认识本工程所处地理位置，保证本工程的施工始终严格依照不低于本地区省、市建设行政主管部门有关安全文明施工的各项标准和规定。 </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③在现场入口的显著位置设立建设行政主管部门规定的图板，内容包括现场施工总平面图、总平面管理、安全生产、文明施工、环境保护、质量控制、材料管理等的规章制度和主要参建单位名称和工程概况等说明。</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④乙方应将施工现场的办公、生活区与作业区分开设置，并保持安全距离，办公、生活区的选址应当符合安全性要求。应加强施工人员办公区域、民工宿舍及食堂的消防、卫生管理，必须避免传染病及食物中毒现象。如发现或发生传染病及食物中毒现象，必须立即启动应急预案紧急处置，同时应立即向甲方通报，并按规定向政府相关部门报告。</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⑤乙方严禁在尚未竣工的建筑物内设置员工集体宿舍。施工现场临时搭建的建筑物应当符合安全使用要求。施工现场使用的装配式活动房屋应当具有产品合格证。</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⑥乙方应设置装备良好的临时急救站和配备称职的医护人员。</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（4）环境保护和ISO14000标准：</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①乙方应在整个合同履约期内，依照ISO14000标准制定并实施相应的环保制度和措施。</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②乙方应当遵守有关环境保护法律、法规的规定，在施工现场采取措施，防止或者减少粉尘、废气、废水、固体废物、噪声、振动和施工照明对人和环境的危害和污染，并对施工现场实行封闭围挡。乙方应保证在合同期间，现场中扬尘、气体散发、地面排水及排污不能超过本地区有关规定的数值（如果有）。</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③任何情况下，乙方应保证在永久工程和临时工程中不得使用任何对人体或环境有害的材料，也不得在永久性工程中使用政府虽未明令禁止但会给居住或使用人带来不适感觉或味觉的任何材料和添加剂。所有施工材料必须使用符合环保要求的材料。</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④乙方应在其项目质量保证计划中明确防止误用的保证措施，如果乙方违背此项约定的责任，任何后果由乙方完全负责。</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⑤一切所需的有关施工场地交通、环卫和施工噪音管理等手续，由乙方负责办理全部施工工程手续，并承担相应责任。</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⑥竣工验收须经过室内环境检验测试，检验单位须是省、市质检站认可的单位，其检验结果同时提交发包人和总监理工程师，所需费用由乙方负责。</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⑦乙方应在现场设置扰民、民扰工程问题办公室，并由专人负责接待工作。</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（5）现场保卫和治安：</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①乙方应为现场提供24小时的保安保卫服务，配备足够的保安人员和保安设备，做好公共安全的维护工作,现场实施封闭式管理,防止与本工程无关的任何未经授权的人员（该授权人员仅限于甲方和乙方的雇员、其分包人的雇员、监理工程师授权的人员、设计人和监理工程师的雇员以及政府及有关主管部门的执行公务或履行职责的工作人员）进入现场。</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②乙方须始终采取一切合理的预防措施，防止雇员或工人发生任何违法、暴乱、或妨害治安行为，防止任何人员利用本工程、附属工程、临设工程、设备、设施等进行秘密集会、破坏、抛撒传单进行反动宣传等危害公共治安、公共安全的违法活动以及自身伤害行为，保护工程周围居民和公众及其财产不受上述行为的危害。禁止任何现场内的打架斗殴事件发生。对因违反此条款而引发的一切经济损失和安全责任由乙方承担。</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③乙方的保安人员应是训练有素的专业保安人员，乙方可以直接雇佣专业保安公司负责现场保安和保卫；保安保卫制度除规定现场出入大门控制外，还应规定不规律的现场周边和全现场的保安巡逻。</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④乙方应制定并实施严格的人员、材料和设备等的现场出入制度并报项目管理部审批，防止现场材料、设备或其他任何物品的被盗或被窃；车辆的出入须有出入审批制度，并有指定的专人负责管理；人员进出现场应有出入证，其中应包括工程名称、证号、持有人姓名、性别、职务、所属公司等内容；出入证应加盖印章和做塑封。</w:t>
      </w:r>
    </w:p>
    <w:p>
      <w:pPr>
        <w:keepNext w:val="0"/>
        <w:keepLines w:val="0"/>
        <w:pageBreakBefore w:val="0"/>
        <w:tabs>
          <w:tab w:val="left" w:pos="1768"/>
        </w:tabs>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bCs/>
          <w:sz w:val="24"/>
          <w:szCs w:val="24"/>
        </w:rPr>
      </w:pPr>
      <w:r>
        <w:rPr>
          <w:rFonts w:hint="eastAsia" w:ascii="仿宋" w:hAnsi="仿宋" w:eastAsia="仿宋" w:cstheme="minorEastAsia"/>
          <w:bCs/>
          <w:sz w:val="24"/>
          <w:szCs w:val="24"/>
        </w:rPr>
        <w:t>⑤如果指定分包人、指定供应商和甲方及甲方雇佣的所有人员已经遵照执行了乙方有关现场保安和保卫管理的各项制度，但因乙方保安和保卫工作的不力或缺陷而给任何指定分包人、指定供应商以及甲方在现场的任何财产造成了损失，乙方须承担相应的赔偿责任。</w:t>
      </w:r>
    </w:p>
    <w:p>
      <w:pPr>
        <w:keepNext w:val="0"/>
        <w:keepLines w:val="0"/>
        <w:pageBreakBefore w:val="0"/>
        <w:kinsoku/>
        <w:wordWrap/>
        <w:overflowPunct/>
        <w:topLinePunct w:val="0"/>
        <w:autoSpaceDE/>
        <w:autoSpaceDN/>
        <w:bidi w:val="0"/>
        <w:snapToGrid w:val="0"/>
        <w:spacing w:line="460" w:lineRule="atLeast"/>
        <w:ind w:left="0" w:leftChars="0" w:right="0" w:rightChars="0" w:firstLine="482"/>
        <w:jc w:val="both"/>
        <w:outlineLvl w:val="9"/>
        <w:rPr>
          <w:rFonts w:ascii="仿宋" w:hAnsi="仿宋" w:eastAsia="仿宋" w:cstheme="minorEastAsia"/>
          <w:bCs/>
          <w:sz w:val="24"/>
          <w:szCs w:val="24"/>
        </w:rPr>
      </w:pPr>
      <w:r>
        <w:rPr>
          <w:rFonts w:hint="eastAsia" w:ascii="仿宋" w:hAnsi="仿宋" w:eastAsia="仿宋" w:cstheme="minorEastAsia"/>
          <w:b/>
          <w:sz w:val="24"/>
          <w:szCs w:val="24"/>
        </w:rPr>
        <w:t xml:space="preserve">四、事故报告与处理 </w:t>
      </w:r>
      <w:r>
        <w:rPr>
          <w:rFonts w:hint="eastAsia" w:ascii="仿宋" w:hAnsi="仿宋" w:eastAsia="仿宋" w:cstheme="minorEastAsia"/>
          <w:bCs/>
          <w:sz w:val="24"/>
          <w:szCs w:val="24"/>
        </w:rPr>
        <w:t xml:space="preserve"> </w:t>
      </w:r>
    </w:p>
    <w:p>
      <w:pPr>
        <w:pStyle w:val="30"/>
        <w:keepNext w:val="0"/>
        <w:keepLines w:val="0"/>
        <w:pageBreakBefore w:val="0"/>
        <w:kinsoku/>
        <w:wordWrap/>
        <w:overflowPunct/>
        <w:topLinePunct w:val="0"/>
        <w:autoSpaceDE/>
        <w:autoSpaceDN/>
        <w:bidi w:val="0"/>
        <w:spacing w:after="0" w:line="460" w:lineRule="atLeast"/>
        <w:ind w:left="0" w:leftChars="0" w:right="0" w:rightChars="0" w:firstLine="480" w:firstLineChars="200"/>
        <w:jc w:val="both"/>
        <w:outlineLvl w:val="9"/>
        <w:rPr>
          <w:rFonts w:ascii="仿宋" w:hAnsi="仿宋" w:cstheme="minorEastAsia"/>
          <w:bCs/>
          <w:sz w:val="24"/>
          <w:szCs w:val="24"/>
        </w:rPr>
      </w:pPr>
      <w:r>
        <w:rPr>
          <w:rFonts w:hint="eastAsia" w:ascii="仿宋" w:hAnsi="仿宋" w:cstheme="minorEastAsia"/>
          <w:bCs/>
          <w:sz w:val="24"/>
          <w:szCs w:val="24"/>
        </w:rPr>
        <w:t>（一）一旦发生任何事故，乙方应尽快向甲方报告事故的详情。此外，在发生任何死亡或重大事故时，乙方应立即用最快的可行方法通知甲方、监理工程师以及任何按照法律、行政法规或规章必须向其报告的有关行政主管部门。</w:t>
      </w:r>
    </w:p>
    <w:p>
      <w:pPr>
        <w:keepNext w:val="0"/>
        <w:keepLines w:val="0"/>
        <w:pageBreakBefore w:val="0"/>
        <w:tabs>
          <w:tab w:val="left" w:pos="720"/>
          <w:tab w:val="left" w:pos="1680"/>
        </w:tabs>
        <w:kinsoku/>
        <w:wordWrap/>
        <w:overflowPunct/>
        <w:topLinePunct w:val="0"/>
        <w:autoSpaceDE/>
        <w:autoSpaceDN/>
        <w:bidi w:val="0"/>
        <w:snapToGrid w:val="0"/>
        <w:spacing w:line="460" w:lineRule="atLeast"/>
        <w:ind w:left="0" w:leftChars="0" w:right="0" w:rightChars="0" w:firstLine="511" w:firstLineChars="213"/>
        <w:jc w:val="both"/>
        <w:outlineLvl w:val="9"/>
        <w:rPr>
          <w:rFonts w:ascii="仿宋" w:hAnsi="仿宋" w:eastAsia="仿宋" w:cstheme="minorEastAsia"/>
          <w:bCs/>
          <w:sz w:val="24"/>
          <w:szCs w:val="24"/>
        </w:rPr>
      </w:pPr>
      <w:r>
        <w:rPr>
          <w:rFonts w:hint="eastAsia" w:ascii="仿宋" w:hAnsi="仿宋" w:eastAsia="仿宋" w:cstheme="minorEastAsia"/>
          <w:bCs/>
          <w:sz w:val="24"/>
          <w:szCs w:val="24"/>
        </w:rPr>
        <w:t>（二）事故发生后因乙方伪造事故现场、故意拖延或隐瞒不报，致使事故现场被破坏或事故原因难以查清的，乙方承担全部责任。</w:t>
      </w:r>
    </w:p>
    <w:p>
      <w:pPr>
        <w:keepNext w:val="0"/>
        <w:keepLines w:val="0"/>
        <w:pageBreakBefore w:val="0"/>
        <w:tabs>
          <w:tab w:val="left" w:pos="720"/>
          <w:tab w:val="left" w:pos="1680"/>
        </w:tabs>
        <w:kinsoku/>
        <w:wordWrap/>
        <w:overflowPunct/>
        <w:topLinePunct w:val="0"/>
        <w:autoSpaceDE/>
        <w:autoSpaceDN/>
        <w:bidi w:val="0"/>
        <w:snapToGrid w:val="0"/>
        <w:spacing w:line="460" w:lineRule="atLeast"/>
        <w:ind w:left="0" w:leftChars="0" w:right="0" w:rightChars="0" w:firstLine="511" w:firstLineChars="213"/>
        <w:jc w:val="both"/>
        <w:outlineLvl w:val="9"/>
        <w:rPr>
          <w:rFonts w:ascii="仿宋" w:hAnsi="仿宋" w:eastAsia="仿宋" w:cstheme="minorEastAsia"/>
          <w:bCs/>
          <w:sz w:val="24"/>
          <w:szCs w:val="24"/>
        </w:rPr>
      </w:pPr>
      <w:r>
        <w:rPr>
          <w:rFonts w:hint="eastAsia" w:ascii="仿宋" w:hAnsi="仿宋" w:eastAsia="仿宋" w:cstheme="minorEastAsia"/>
          <w:bCs/>
          <w:sz w:val="24"/>
          <w:szCs w:val="24"/>
        </w:rPr>
        <w:t>（三）乙方发生安全、消防、食物中毒、环保等事故，对甲方造成不良社会影响，甲方有权要求乙方立即整改、停工整顿并向乙方索赔，乙方应承担由此造成的经济损失（包括但不限于仲裁费、保全费、保全保险费、执行费、律师服务费、公告费、公证费等）以及由此产生的工期损失。</w:t>
      </w:r>
    </w:p>
    <w:p>
      <w:pPr>
        <w:pStyle w:val="30"/>
        <w:keepNext w:val="0"/>
        <w:keepLines w:val="0"/>
        <w:pageBreakBefore w:val="0"/>
        <w:kinsoku/>
        <w:wordWrap/>
        <w:overflowPunct/>
        <w:topLinePunct w:val="0"/>
        <w:autoSpaceDE/>
        <w:autoSpaceDN/>
        <w:bidi w:val="0"/>
        <w:spacing w:after="0" w:line="460" w:lineRule="atLeast"/>
        <w:ind w:left="0" w:leftChars="0" w:right="0" w:rightChars="0" w:firstLine="480" w:firstLineChars="200"/>
        <w:jc w:val="both"/>
        <w:outlineLvl w:val="9"/>
        <w:rPr>
          <w:rFonts w:ascii="仿宋" w:hAnsi="仿宋" w:cstheme="minorEastAsia"/>
          <w:bCs/>
          <w:sz w:val="24"/>
          <w:szCs w:val="24"/>
        </w:rPr>
      </w:pPr>
      <w:r>
        <w:rPr>
          <w:rFonts w:hint="eastAsia" w:ascii="仿宋" w:hAnsi="仿宋" w:cstheme="minorEastAsia"/>
          <w:bCs/>
          <w:kern w:val="2"/>
          <w:sz w:val="24"/>
          <w:szCs w:val="24"/>
        </w:rPr>
        <w:t>（四）</w:t>
      </w:r>
      <w:r>
        <w:rPr>
          <w:rFonts w:hint="eastAsia" w:ascii="仿宋" w:hAnsi="仿宋" w:cstheme="minorEastAsia"/>
          <w:bCs/>
          <w:sz w:val="24"/>
          <w:szCs w:val="24"/>
        </w:rPr>
        <w:t>在对本协议内容及有关安全生产法规明确无误，并对安全生产的责任风险已有充分预见的基础上，乙方承诺，乙方在施工期间对施工现场的安全生产负全责（包括所有分包工程的安全生产），施工期间如施工现场或因施工发生的安全事故，包括造成的经济损失，人员伤亡，以及由此导致的民事、行政、刑事责任均由乙方承担。若甲方因人民法院判决或行政机关决定承担责任的，有权就损失部分（包括但不限于仲裁费、保全费、保全保险费、执行费、律师服务费、公告费、公证费等）向乙方代为追偿。</w:t>
      </w:r>
    </w:p>
    <w:p>
      <w:pPr>
        <w:pStyle w:val="30"/>
        <w:keepNext w:val="0"/>
        <w:keepLines w:val="0"/>
        <w:pageBreakBefore w:val="0"/>
        <w:kinsoku/>
        <w:wordWrap/>
        <w:overflowPunct/>
        <w:topLinePunct w:val="0"/>
        <w:autoSpaceDE/>
        <w:autoSpaceDN/>
        <w:bidi w:val="0"/>
        <w:spacing w:after="0" w:line="460" w:lineRule="atLeast"/>
        <w:ind w:left="0" w:leftChars="0" w:right="0" w:rightChars="0" w:firstLine="511" w:firstLineChars="213"/>
        <w:jc w:val="both"/>
        <w:outlineLvl w:val="9"/>
        <w:rPr>
          <w:rFonts w:ascii="仿宋" w:hAnsi="仿宋" w:cstheme="minorEastAsia"/>
          <w:bCs/>
          <w:sz w:val="24"/>
          <w:szCs w:val="24"/>
        </w:rPr>
      </w:pPr>
      <w:r>
        <w:rPr>
          <w:rFonts w:hint="eastAsia" w:ascii="仿宋" w:hAnsi="仿宋" w:cstheme="minorEastAsia"/>
          <w:bCs/>
          <w:sz w:val="24"/>
          <w:szCs w:val="24"/>
        </w:rPr>
        <w:t>（五）乙方应于本协议书签订之日起十日内，将施工资质（复印件）、安全生产许可证（复印件），施工现场责任人、管理人员、专职安全生产管理人员、工程技术人员、特殊工种人员及工人基本情况以书面形式提供给甲方，并将上述人员资格证书（复印件）报甲方备案。</w:t>
      </w:r>
    </w:p>
    <w:p>
      <w:pPr>
        <w:pStyle w:val="30"/>
        <w:keepNext w:val="0"/>
        <w:keepLines w:val="0"/>
        <w:pageBreakBefore w:val="0"/>
        <w:kinsoku/>
        <w:wordWrap/>
        <w:overflowPunct/>
        <w:topLinePunct w:val="0"/>
        <w:autoSpaceDE/>
        <w:autoSpaceDN/>
        <w:bidi w:val="0"/>
        <w:spacing w:after="0" w:line="460" w:lineRule="atLeast"/>
        <w:ind w:left="0" w:leftChars="0" w:right="0" w:rightChars="0" w:firstLine="480" w:firstLineChars="200"/>
        <w:jc w:val="both"/>
        <w:outlineLvl w:val="9"/>
        <w:rPr>
          <w:rFonts w:ascii="仿宋" w:hAnsi="仿宋" w:cstheme="minorEastAsia"/>
          <w:bCs/>
          <w:sz w:val="24"/>
          <w:szCs w:val="24"/>
        </w:rPr>
      </w:pPr>
      <w:r>
        <w:rPr>
          <w:rFonts w:hint="eastAsia" w:ascii="仿宋" w:hAnsi="仿宋" w:cstheme="minorEastAsia"/>
          <w:bCs/>
          <w:sz w:val="24"/>
          <w:szCs w:val="24"/>
        </w:rPr>
        <w:t>（六）乙方应于本协议书签订之日起十日内，向甲方提交工程施工组织表和依照相关法律、法规、规定编制的施工现场安全、消防、防汛、治安、卫生、传染病预防等管理制度、防护方案及应急预案。遇“两会”、节假日，乙方应向甲方提供节假日值班安排。</w:t>
      </w:r>
    </w:p>
    <w:p>
      <w:pPr>
        <w:pStyle w:val="30"/>
        <w:keepNext w:val="0"/>
        <w:keepLines w:val="0"/>
        <w:pageBreakBefore w:val="0"/>
        <w:kinsoku/>
        <w:wordWrap/>
        <w:overflowPunct/>
        <w:topLinePunct w:val="0"/>
        <w:autoSpaceDE/>
        <w:autoSpaceDN/>
        <w:bidi w:val="0"/>
        <w:spacing w:after="0" w:line="460" w:lineRule="atLeast"/>
        <w:ind w:left="0" w:leftChars="0" w:right="0" w:rightChars="0" w:firstLine="480" w:firstLineChars="200"/>
        <w:jc w:val="both"/>
        <w:outlineLvl w:val="9"/>
        <w:rPr>
          <w:rFonts w:ascii="仿宋" w:hAnsi="仿宋" w:cstheme="minorEastAsia"/>
          <w:bCs/>
          <w:sz w:val="24"/>
          <w:szCs w:val="24"/>
        </w:rPr>
      </w:pPr>
      <w:r>
        <w:rPr>
          <w:rFonts w:hint="eastAsia" w:ascii="仿宋" w:hAnsi="仿宋" w:cstheme="minorEastAsia"/>
          <w:bCs/>
          <w:sz w:val="24"/>
          <w:szCs w:val="24"/>
        </w:rPr>
        <w:t>（七）双方确认，本工程的安全生产事宜，本协议有约定的，以约定为准；本协议未作约定的，以《安全生产法》及其他有关安全生产的法律、法规、标准、规范的相关内容为准。</w:t>
      </w:r>
    </w:p>
    <w:p>
      <w:pPr>
        <w:pStyle w:val="30"/>
        <w:keepNext w:val="0"/>
        <w:keepLines w:val="0"/>
        <w:pageBreakBefore w:val="0"/>
        <w:kinsoku/>
        <w:wordWrap/>
        <w:overflowPunct/>
        <w:topLinePunct w:val="0"/>
        <w:autoSpaceDE/>
        <w:autoSpaceDN/>
        <w:bidi w:val="0"/>
        <w:spacing w:after="0" w:line="460" w:lineRule="atLeast"/>
        <w:ind w:left="0" w:leftChars="0" w:right="0" w:rightChars="0" w:firstLine="480" w:firstLineChars="200"/>
        <w:jc w:val="both"/>
        <w:outlineLvl w:val="9"/>
        <w:rPr>
          <w:rFonts w:ascii="仿宋" w:hAnsi="仿宋" w:cstheme="minorEastAsia"/>
          <w:bCs/>
          <w:sz w:val="24"/>
          <w:szCs w:val="24"/>
        </w:rPr>
      </w:pPr>
      <w:r>
        <w:rPr>
          <w:rFonts w:hint="eastAsia" w:ascii="仿宋" w:hAnsi="仿宋" w:cstheme="minorEastAsia"/>
          <w:bCs/>
          <w:sz w:val="24"/>
          <w:szCs w:val="24"/>
        </w:rPr>
        <w:t>（八）本协议份数及生效日期：随主合同份数，自甲乙双方签字盖章之日起生效。</w:t>
      </w:r>
    </w:p>
    <w:p>
      <w:pPr>
        <w:pStyle w:val="30"/>
        <w:keepNext w:val="0"/>
        <w:keepLines w:val="0"/>
        <w:pageBreakBefore w:val="0"/>
        <w:kinsoku/>
        <w:wordWrap/>
        <w:overflowPunct/>
        <w:topLinePunct w:val="0"/>
        <w:autoSpaceDE/>
        <w:autoSpaceDN/>
        <w:bidi w:val="0"/>
        <w:spacing w:after="0" w:line="460" w:lineRule="atLeast"/>
        <w:ind w:left="0" w:leftChars="0" w:right="0" w:rightChars="0" w:firstLine="480" w:firstLineChars="200"/>
        <w:jc w:val="both"/>
        <w:outlineLvl w:val="9"/>
        <w:rPr>
          <w:rFonts w:ascii="仿宋" w:hAnsi="仿宋" w:cstheme="minorEastAsia"/>
          <w:bCs/>
          <w:sz w:val="24"/>
          <w:szCs w:val="24"/>
        </w:rPr>
      </w:pPr>
      <w:r>
        <w:rPr>
          <w:rFonts w:hint="eastAsia" w:ascii="仿宋" w:hAnsi="仿宋" w:cstheme="minorEastAsia"/>
          <w:bCs/>
          <w:sz w:val="24"/>
          <w:szCs w:val="24"/>
        </w:rPr>
        <w:t>（九）争议解决方式：双方均可向海南仲裁委员会申请仲裁。</w:t>
      </w:r>
    </w:p>
    <w:p>
      <w:pPr>
        <w:keepNext w:val="0"/>
        <w:keepLines w:val="0"/>
        <w:pageBreakBefore w:val="0"/>
        <w:kinsoku/>
        <w:wordWrap/>
        <w:overflowPunct/>
        <w:topLinePunct w:val="0"/>
        <w:autoSpaceDE/>
        <w:autoSpaceDN/>
        <w:bidi w:val="0"/>
        <w:spacing w:line="460" w:lineRule="atLeast"/>
        <w:ind w:right="0" w:rightChars="0" w:firstLine="720" w:firstLineChars="300"/>
        <w:jc w:val="both"/>
        <w:outlineLvl w:val="9"/>
        <w:rPr>
          <w:rFonts w:ascii="仿宋" w:hAnsi="仿宋" w:eastAsia="仿宋" w:cstheme="minorEastAsia"/>
          <w:sz w:val="24"/>
          <w:szCs w:val="24"/>
        </w:rPr>
      </w:pPr>
      <w:r>
        <w:rPr>
          <w:rFonts w:hint="eastAsia" w:ascii="仿宋" w:hAnsi="仿宋" w:eastAsia="仿宋" w:cstheme="minorEastAsia"/>
          <w:sz w:val="24"/>
          <w:szCs w:val="24"/>
        </w:rPr>
        <w:t>甲方</w:t>
      </w:r>
      <w:r>
        <w:rPr>
          <w:rFonts w:hint="eastAsia" w:ascii="仿宋" w:hAnsi="仿宋" w:eastAsia="仿宋" w:cstheme="minorEastAsia"/>
          <w:sz w:val="24"/>
          <w:szCs w:val="24"/>
          <w:lang w:eastAsia="zh-CN"/>
        </w:rPr>
        <w:t>：</w:t>
      </w:r>
      <w:r>
        <w:rPr>
          <w:rFonts w:hint="eastAsia" w:ascii="仿宋" w:hAnsi="仿宋" w:eastAsia="仿宋" w:cstheme="minorEastAsia"/>
          <w:sz w:val="24"/>
          <w:szCs w:val="24"/>
          <w:lang w:val="en-US" w:eastAsia="zh-CN"/>
        </w:rPr>
        <w:t xml:space="preserve"> </w:t>
      </w:r>
      <w:r>
        <w:rPr>
          <w:rFonts w:hint="eastAsia" w:ascii="宋体" w:hAnsi="宋体" w:eastAsia="宋体" w:cs="宋体"/>
          <w:sz w:val="24"/>
          <w:szCs w:val="24"/>
        </w:rPr>
        <w:t> </w:t>
      </w:r>
      <w:r>
        <w:rPr>
          <w:rFonts w:hint="eastAsia" w:ascii="仿宋" w:hAnsi="仿宋" w:eastAsia="仿宋" w:cstheme="minorEastAsia"/>
          <w:sz w:val="24"/>
          <w:szCs w:val="24"/>
        </w:rPr>
        <w:t xml:space="preserve">    </w:t>
      </w:r>
      <w:r>
        <w:rPr>
          <w:rFonts w:hint="eastAsia" w:ascii="仿宋" w:hAnsi="仿宋" w:eastAsia="仿宋" w:cstheme="minorEastAsia"/>
          <w:sz w:val="24"/>
          <w:szCs w:val="24"/>
          <w:lang w:val="en-US" w:eastAsia="zh-CN"/>
        </w:rPr>
        <w:t xml:space="preserve">                          </w:t>
      </w:r>
      <w:r>
        <w:rPr>
          <w:rFonts w:hint="eastAsia" w:ascii="仿宋" w:hAnsi="仿宋" w:eastAsia="仿宋" w:cstheme="minorEastAsia"/>
          <w:sz w:val="24"/>
          <w:szCs w:val="24"/>
        </w:rPr>
        <w:t xml:space="preserve">乙方：  </w:t>
      </w:r>
    </w:p>
    <w:p>
      <w:pPr>
        <w:keepNext w:val="0"/>
        <w:keepLines w:val="0"/>
        <w:pageBreakBefore w:val="0"/>
        <w:kinsoku/>
        <w:wordWrap/>
        <w:overflowPunct/>
        <w:topLinePunct w:val="0"/>
        <w:autoSpaceDE/>
        <w:autoSpaceDN/>
        <w:bidi w:val="0"/>
        <w:spacing w:line="460" w:lineRule="atLeast"/>
        <w:ind w:right="0" w:rightChars="0" w:firstLine="480" w:firstLineChars="200"/>
        <w:jc w:val="both"/>
        <w:outlineLvl w:val="9"/>
        <w:rPr>
          <w:rFonts w:ascii="仿宋" w:hAnsi="仿宋" w:eastAsia="仿宋" w:cstheme="minorEastAsia"/>
          <w:sz w:val="24"/>
          <w:szCs w:val="24"/>
        </w:rPr>
      </w:pPr>
      <w:r>
        <w:rPr>
          <w:rFonts w:hint="eastAsia" w:ascii="仿宋" w:hAnsi="仿宋" w:eastAsia="仿宋" w:cstheme="minorEastAsia"/>
          <w:sz w:val="24"/>
          <w:szCs w:val="24"/>
        </w:rPr>
        <w:t>（盖章）                               （盖章）</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sz w:val="24"/>
          <w:szCs w:val="24"/>
        </w:rPr>
      </w:pPr>
      <w:r>
        <w:rPr>
          <w:rFonts w:hint="eastAsia" w:ascii="仿宋" w:hAnsi="仿宋" w:eastAsia="仿宋" w:cstheme="minorEastAsia"/>
          <w:sz w:val="24"/>
          <w:szCs w:val="24"/>
        </w:rPr>
        <w:t>法人代表（签名）：                 法人代表（签名）：</w:t>
      </w:r>
    </w:p>
    <w:p>
      <w:pPr>
        <w:keepNext w:val="0"/>
        <w:keepLines w:val="0"/>
        <w:pageBreakBefore w:val="0"/>
        <w:kinsoku/>
        <w:wordWrap/>
        <w:overflowPunct/>
        <w:topLinePunct w:val="0"/>
        <w:autoSpaceDE/>
        <w:autoSpaceDN/>
        <w:bidi w:val="0"/>
        <w:spacing w:line="460" w:lineRule="atLeast"/>
        <w:ind w:left="0" w:leftChars="0" w:right="0" w:rightChars="0" w:firstLine="480"/>
        <w:jc w:val="both"/>
        <w:outlineLvl w:val="9"/>
        <w:rPr>
          <w:rFonts w:ascii="仿宋" w:hAnsi="仿宋" w:eastAsia="仿宋" w:cstheme="minorEastAsia"/>
          <w:sz w:val="24"/>
          <w:szCs w:val="24"/>
        </w:rPr>
      </w:pPr>
      <w:r>
        <w:rPr>
          <w:rFonts w:hint="eastAsia" w:ascii="仿宋" w:hAnsi="仿宋" w:eastAsia="仿宋" w:cstheme="minorEastAsia"/>
          <w:sz w:val="24"/>
          <w:szCs w:val="24"/>
        </w:rPr>
        <w:t>或委托代理人（签名）：             或委托代理人（签名）：</w:t>
      </w:r>
    </w:p>
    <w:p>
      <w:pPr>
        <w:pStyle w:val="38"/>
        <w:keepNext w:val="0"/>
        <w:keepLines w:val="0"/>
        <w:pageBreakBefore w:val="0"/>
        <w:kinsoku/>
        <w:wordWrap/>
        <w:overflowPunct/>
        <w:topLinePunct w:val="0"/>
        <w:autoSpaceDE/>
        <w:autoSpaceDN/>
        <w:bidi w:val="0"/>
        <w:spacing w:line="460" w:lineRule="atLeast"/>
        <w:ind w:left="0" w:leftChars="0" w:right="0" w:rightChars="0"/>
        <w:jc w:val="both"/>
        <w:outlineLvl w:val="9"/>
      </w:pPr>
      <w:r>
        <w:rPr>
          <w:rFonts w:hint="eastAsia" w:ascii="仿宋" w:hAnsi="仿宋" w:eastAsia="仿宋" w:cstheme="minorEastAsia"/>
          <w:sz w:val="24"/>
          <w:szCs w:val="24"/>
        </w:rPr>
        <w:t xml:space="preserve">年   月   日                       年   月   日 </w:t>
      </w:r>
    </w:p>
    <w:p>
      <w:pPr>
        <w:pStyle w:val="38"/>
      </w:pPr>
    </w:p>
    <w:p>
      <w:pPr>
        <w:rPr>
          <w:rFonts w:hint="eastAsia"/>
        </w:rPr>
      </w:pPr>
      <w:r>
        <w:rPr>
          <w:rFonts w:hint="eastAsia"/>
        </w:rPr>
        <w:br w:type="page"/>
      </w:r>
    </w:p>
    <w:p>
      <w:pPr>
        <w:rPr>
          <w:rFonts w:hint="eastAsia"/>
        </w:rPr>
        <w:sectPr>
          <w:pgSz w:w="11906" w:h="16838"/>
          <w:pgMar w:top="1440" w:right="1800" w:bottom="1440" w:left="1800" w:header="851" w:footer="992" w:gutter="0"/>
          <w:cols w:space="425" w:num="1"/>
          <w:docGrid w:type="lines" w:linePitch="312" w:charSpace="0"/>
        </w:sectPr>
      </w:pPr>
    </w:p>
    <w:p>
      <w:pPr>
        <w:pStyle w:val="4"/>
        <w:bidi w:val="0"/>
        <w:rPr>
          <w:rFonts w:hint="default"/>
          <w:lang w:val="en-US" w:eastAsia="zh-CN"/>
        </w:rPr>
      </w:pPr>
      <w:r>
        <w:rPr>
          <w:rFonts w:hint="eastAsia"/>
          <w:lang w:eastAsia="zh-CN"/>
        </w:rPr>
        <w:tab/>
      </w:r>
      <w:bookmarkStart w:id="659" w:name="_Toc14868"/>
      <w:bookmarkStart w:id="660" w:name="_Toc152045785"/>
      <w:bookmarkStart w:id="661" w:name="_Toc152042574"/>
      <w:bookmarkStart w:id="662" w:name="_Toc87865799"/>
      <w:bookmarkStart w:id="663" w:name="_Toc246996353"/>
      <w:bookmarkStart w:id="664" w:name="_Toc247085870"/>
      <w:bookmarkStart w:id="665" w:name="_Toc179632804"/>
      <w:bookmarkStart w:id="666" w:name="_Toc246997096"/>
      <w:bookmarkStart w:id="667" w:name="_Toc144974854"/>
      <w:r>
        <w:rPr>
          <w:rFonts w:hint="eastAsia"/>
        </w:rPr>
        <w:t>第</w:t>
      </w:r>
      <w:r>
        <w:rPr>
          <w:rFonts w:hint="eastAsia"/>
          <w:lang w:val="en-US" w:eastAsia="zh-CN"/>
        </w:rPr>
        <w:t>五</w:t>
      </w:r>
      <w:r>
        <w:rPr>
          <w:rFonts w:hint="eastAsia"/>
        </w:rPr>
        <w:t xml:space="preserve">章  </w:t>
      </w:r>
      <w:r>
        <w:rPr>
          <w:rFonts w:hint="eastAsia"/>
          <w:lang w:val="en-US" w:eastAsia="zh-CN"/>
        </w:rPr>
        <w:t>工程量清单</w:t>
      </w:r>
      <w:bookmarkEnd w:id="659"/>
    </w:p>
    <w:p>
      <w:pPr>
        <w:rPr>
          <w:rFonts w:hint="eastAsia" w:ascii="黑体" w:hAnsi="黑体" w:eastAsia="黑体" w:cs="黑体"/>
          <w:bCs/>
          <w:szCs w:val="28"/>
          <w:lang w:eastAsia="zh-CN"/>
        </w:rPr>
      </w:pPr>
    </w:p>
    <w:p>
      <w:pPr>
        <w:jc w:val="left"/>
        <w:rPr>
          <w:rFonts w:hint="eastAsia" w:ascii="黑体" w:hAnsi="黑体" w:eastAsia="黑体" w:cs="黑体"/>
          <w:bCs/>
          <w:szCs w:val="28"/>
          <w:lang w:eastAsia="zh-CN"/>
        </w:rPr>
      </w:pPr>
      <w:r>
        <w:rPr>
          <w:rFonts w:hint="eastAsia" w:ascii="黑体" w:hAnsi="黑体" w:eastAsia="黑体" w:cs="黑体"/>
          <w:bCs/>
          <w:szCs w:val="28"/>
          <w:lang w:eastAsia="zh-CN"/>
        </w:rPr>
        <w:br w:type="page"/>
      </w:r>
    </w:p>
    <w:tbl>
      <w:tblPr>
        <w:tblStyle w:val="39"/>
        <w:tblW w:w="97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06"/>
        <w:gridCol w:w="2404"/>
        <w:gridCol w:w="1050"/>
        <w:gridCol w:w="1295"/>
        <w:gridCol w:w="879"/>
        <w:gridCol w:w="488"/>
        <w:gridCol w:w="1367"/>
        <w:gridCol w:w="13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trPr>
        <w:tc>
          <w:tcPr>
            <w:tcW w:w="9760" w:type="dxa"/>
            <w:gridSpan w:val="8"/>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单项工程招标控制价汇总表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trPr>
        <w:tc>
          <w:tcPr>
            <w:tcW w:w="3310" w:type="dxa"/>
            <w:gridSpan w:val="2"/>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工程名称：</w:t>
            </w:r>
            <w:r>
              <w:rPr>
                <w:rFonts w:hint="eastAsia" w:ascii="宋体" w:hAnsi="宋体" w:cs="宋体"/>
                <w:i w:val="0"/>
                <w:iCs w:val="0"/>
                <w:color w:val="000000"/>
                <w:kern w:val="0"/>
                <w:sz w:val="18"/>
                <w:szCs w:val="18"/>
                <w:u w:val="none"/>
                <w:lang w:val="en-US" w:eastAsia="zh-CN" w:bidi="ar"/>
              </w:rPr>
              <w:t>烹饪、面点实训基地改造项目</w:t>
            </w:r>
          </w:p>
        </w:tc>
        <w:tc>
          <w:tcPr>
            <w:tcW w:w="3224" w:type="dxa"/>
            <w:gridSpan w:val="3"/>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单位：元</w:t>
            </w:r>
          </w:p>
        </w:tc>
        <w:tc>
          <w:tcPr>
            <w:tcW w:w="3226" w:type="dxa"/>
            <w:gridSpan w:val="3"/>
            <w:tcBorders>
              <w:top w:val="nil"/>
              <w:left w:val="nil"/>
              <w:bottom w:val="nil"/>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9" w:hRule="atLeast"/>
        </w:trPr>
        <w:tc>
          <w:tcPr>
            <w:tcW w:w="906"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3454"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单位工程名称</w:t>
            </w:r>
          </w:p>
        </w:tc>
        <w:tc>
          <w:tcPr>
            <w:tcW w:w="129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c>
          <w:tcPr>
            <w:tcW w:w="4105"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 (元)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 w:hRule="atLeast"/>
        </w:trPr>
        <w:tc>
          <w:tcPr>
            <w:tcW w:w="906"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454"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9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36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暂估价</w:t>
            </w:r>
          </w:p>
        </w:tc>
        <w:tc>
          <w:tcPr>
            <w:tcW w:w="13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安全文明施工费</w:t>
            </w:r>
          </w:p>
        </w:tc>
        <w:tc>
          <w:tcPr>
            <w:tcW w:w="137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 w:hRule="atLeast"/>
        </w:trPr>
        <w:tc>
          <w:tcPr>
            <w:tcW w:w="90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34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建筑工程</w:t>
            </w:r>
          </w:p>
        </w:tc>
        <w:tc>
          <w:tcPr>
            <w:tcW w:w="12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6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7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90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34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厨房设备采购安装及水电安装工程</w:t>
            </w:r>
          </w:p>
        </w:tc>
        <w:tc>
          <w:tcPr>
            <w:tcW w:w="12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6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7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90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4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2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6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7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 w:hRule="atLeast"/>
        </w:trPr>
        <w:tc>
          <w:tcPr>
            <w:tcW w:w="90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4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2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6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7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90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4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2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6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7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 w:hRule="atLeast"/>
        </w:trPr>
        <w:tc>
          <w:tcPr>
            <w:tcW w:w="90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4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2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6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7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 w:hRule="atLeast"/>
        </w:trPr>
        <w:tc>
          <w:tcPr>
            <w:tcW w:w="90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4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2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6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7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 w:hRule="atLeast"/>
        </w:trPr>
        <w:tc>
          <w:tcPr>
            <w:tcW w:w="90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4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2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6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7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 w:hRule="atLeast"/>
        </w:trPr>
        <w:tc>
          <w:tcPr>
            <w:tcW w:w="90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4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2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6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7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 w:hRule="atLeast"/>
        </w:trPr>
        <w:tc>
          <w:tcPr>
            <w:tcW w:w="90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4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2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6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7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90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4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2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6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7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90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4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2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6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7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90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4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2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6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7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90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4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2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6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7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90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4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2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6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7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90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4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2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6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7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90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4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2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6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7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 w:hRule="atLeast"/>
        </w:trPr>
        <w:tc>
          <w:tcPr>
            <w:tcW w:w="90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4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2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6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7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90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4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2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6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7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 w:hRule="atLeast"/>
        </w:trPr>
        <w:tc>
          <w:tcPr>
            <w:tcW w:w="90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4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2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6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7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 w:hRule="atLeast"/>
        </w:trPr>
        <w:tc>
          <w:tcPr>
            <w:tcW w:w="90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4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2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6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7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90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4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2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6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7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 w:hRule="atLeast"/>
        </w:trPr>
        <w:tc>
          <w:tcPr>
            <w:tcW w:w="90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4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2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6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7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 w:hRule="atLeast"/>
        </w:trPr>
        <w:tc>
          <w:tcPr>
            <w:tcW w:w="90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4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2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6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7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90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4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2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6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7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90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4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2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6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7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90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4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2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6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7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5" w:hRule="atLeast"/>
        </w:trPr>
        <w:tc>
          <w:tcPr>
            <w:tcW w:w="4360" w:type="dxa"/>
            <w:gridSpan w:val="3"/>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129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67"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67"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71"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bl>
    <w:p>
      <w:pPr>
        <w:rPr>
          <w:rFonts w:hint="eastAsia"/>
          <w:lang w:eastAsia="zh-CN"/>
        </w:rPr>
      </w:pPr>
      <w:r>
        <w:rPr>
          <w:rFonts w:hint="eastAsia"/>
          <w:lang w:eastAsia="zh-CN"/>
        </w:rPr>
        <w:br w:type="page"/>
      </w:r>
    </w:p>
    <w:tbl>
      <w:tblPr>
        <w:tblStyle w:val="39"/>
        <w:tblW w:w="971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85"/>
        <w:gridCol w:w="1964"/>
        <w:gridCol w:w="1655"/>
        <w:gridCol w:w="1373"/>
        <w:gridCol w:w="1034"/>
        <w:gridCol w:w="24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 w:hRule="atLeast"/>
        </w:trPr>
        <w:tc>
          <w:tcPr>
            <w:tcW w:w="3249" w:type="dxa"/>
            <w:gridSpan w:val="2"/>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（招-表3）</w:t>
            </w:r>
          </w:p>
        </w:tc>
        <w:tc>
          <w:tcPr>
            <w:tcW w:w="3028" w:type="dxa"/>
            <w:gridSpan w:val="2"/>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441" w:type="dxa"/>
            <w:gridSpan w:val="2"/>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718" w:type="dxa"/>
            <w:gridSpan w:val="6"/>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单位工程招标控制价汇总表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 w:hRule="atLeast"/>
        </w:trPr>
        <w:tc>
          <w:tcPr>
            <w:tcW w:w="3249"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工程名称：建筑工程</w:t>
            </w:r>
          </w:p>
        </w:tc>
        <w:tc>
          <w:tcPr>
            <w:tcW w:w="3028" w:type="dxa"/>
            <w:gridSpan w:val="2"/>
            <w:tcBorders>
              <w:top w:val="nil"/>
              <w:left w:val="nil"/>
              <w:bottom w:val="nil"/>
              <w:right w:val="nil"/>
            </w:tcBorders>
            <w:shd w:val="clear" w:color="FFFFFF" w:fill="FFFFFF"/>
            <w:vAlign w:val="bottom"/>
          </w:tcPr>
          <w:p>
            <w:pPr>
              <w:jc w:val="right"/>
              <w:rPr>
                <w:rFonts w:hint="eastAsia" w:ascii="宋体" w:hAnsi="宋体" w:eastAsia="宋体" w:cs="宋体"/>
                <w:i w:val="0"/>
                <w:iCs w:val="0"/>
                <w:color w:val="000000"/>
                <w:sz w:val="20"/>
                <w:szCs w:val="20"/>
                <w:u w:val="none"/>
              </w:rPr>
            </w:pPr>
          </w:p>
        </w:tc>
        <w:tc>
          <w:tcPr>
            <w:tcW w:w="3441"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 w:hRule="atLeast"/>
        </w:trPr>
        <w:tc>
          <w:tcPr>
            <w:tcW w:w="1285"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3619"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汇总内容</w:t>
            </w:r>
          </w:p>
        </w:tc>
        <w:tc>
          <w:tcPr>
            <w:tcW w:w="2407"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c>
          <w:tcPr>
            <w:tcW w:w="2407"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1" w:hRule="atLeast"/>
        </w:trPr>
        <w:tc>
          <w:tcPr>
            <w:tcW w:w="12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w:t>
            </w:r>
          </w:p>
        </w:tc>
        <w:tc>
          <w:tcPr>
            <w:tcW w:w="3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分部分项工程费</w:t>
            </w:r>
          </w:p>
        </w:tc>
        <w:tc>
          <w:tcPr>
            <w:tcW w:w="240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1" w:hRule="atLeast"/>
        </w:trPr>
        <w:tc>
          <w:tcPr>
            <w:tcW w:w="12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3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新建工程</w:t>
            </w:r>
          </w:p>
        </w:tc>
        <w:tc>
          <w:tcPr>
            <w:tcW w:w="240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1" w:hRule="atLeast"/>
        </w:trPr>
        <w:tc>
          <w:tcPr>
            <w:tcW w:w="12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3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拆除工程</w:t>
            </w:r>
          </w:p>
        </w:tc>
        <w:tc>
          <w:tcPr>
            <w:tcW w:w="240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1" w:hRule="atLeast"/>
        </w:trPr>
        <w:tc>
          <w:tcPr>
            <w:tcW w:w="12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3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恢复工程-土建部分</w:t>
            </w:r>
          </w:p>
        </w:tc>
        <w:tc>
          <w:tcPr>
            <w:tcW w:w="240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1" w:hRule="atLeast"/>
        </w:trPr>
        <w:tc>
          <w:tcPr>
            <w:tcW w:w="12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w:t>
            </w:r>
          </w:p>
        </w:tc>
        <w:tc>
          <w:tcPr>
            <w:tcW w:w="3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措施项目费</w:t>
            </w:r>
          </w:p>
        </w:tc>
        <w:tc>
          <w:tcPr>
            <w:tcW w:w="240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1" w:hRule="atLeast"/>
        </w:trPr>
        <w:tc>
          <w:tcPr>
            <w:tcW w:w="12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施工单价措施项目费</w:t>
            </w:r>
          </w:p>
        </w:tc>
        <w:tc>
          <w:tcPr>
            <w:tcW w:w="240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1" w:hRule="atLeast"/>
        </w:trPr>
        <w:tc>
          <w:tcPr>
            <w:tcW w:w="12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施工总价措施项目费</w:t>
            </w:r>
          </w:p>
        </w:tc>
        <w:tc>
          <w:tcPr>
            <w:tcW w:w="240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1" w:hRule="atLeast"/>
        </w:trPr>
        <w:tc>
          <w:tcPr>
            <w:tcW w:w="12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3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其中：安全防护、文明施工费</w:t>
            </w:r>
          </w:p>
        </w:tc>
        <w:tc>
          <w:tcPr>
            <w:tcW w:w="240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1" w:hRule="atLeast"/>
        </w:trPr>
        <w:tc>
          <w:tcPr>
            <w:tcW w:w="12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3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其中：临时设施费</w:t>
            </w:r>
          </w:p>
        </w:tc>
        <w:tc>
          <w:tcPr>
            <w:tcW w:w="240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1" w:hRule="atLeast"/>
        </w:trPr>
        <w:tc>
          <w:tcPr>
            <w:tcW w:w="12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3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其中：雨季施工增加费</w:t>
            </w:r>
          </w:p>
        </w:tc>
        <w:tc>
          <w:tcPr>
            <w:tcW w:w="240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1" w:hRule="atLeast"/>
        </w:trPr>
        <w:tc>
          <w:tcPr>
            <w:tcW w:w="12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3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其中：夜间施工增加费</w:t>
            </w:r>
          </w:p>
        </w:tc>
        <w:tc>
          <w:tcPr>
            <w:tcW w:w="240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 w:hRule="atLeast"/>
        </w:trPr>
        <w:tc>
          <w:tcPr>
            <w:tcW w:w="12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3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其中：视频监控费</w:t>
            </w:r>
          </w:p>
        </w:tc>
        <w:tc>
          <w:tcPr>
            <w:tcW w:w="240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1" w:hRule="atLeast"/>
        </w:trPr>
        <w:tc>
          <w:tcPr>
            <w:tcW w:w="12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w:t>
            </w:r>
          </w:p>
        </w:tc>
        <w:tc>
          <w:tcPr>
            <w:tcW w:w="3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其他项目费</w:t>
            </w:r>
          </w:p>
        </w:tc>
        <w:tc>
          <w:tcPr>
            <w:tcW w:w="240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 w:hRule="atLeast"/>
        </w:trPr>
        <w:tc>
          <w:tcPr>
            <w:tcW w:w="12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3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其中：暂列金额</w:t>
            </w:r>
          </w:p>
        </w:tc>
        <w:tc>
          <w:tcPr>
            <w:tcW w:w="240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1" w:hRule="atLeast"/>
        </w:trPr>
        <w:tc>
          <w:tcPr>
            <w:tcW w:w="12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3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w:t>
            </w:r>
          </w:p>
        </w:tc>
        <w:tc>
          <w:tcPr>
            <w:tcW w:w="240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 w:hRule="atLeast"/>
        </w:trPr>
        <w:tc>
          <w:tcPr>
            <w:tcW w:w="12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3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其中：计日工</w:t>
            </w:r>
          </w:p>
        </w:tc>
        <w:tc>
          <w:tcPr>
            <w:tcW w:w="240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 w:hRule="atLeast"/>
        </w:trPr>
        <w:tc>
          <w:tcPr>
            <w:tcW w:w="12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3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其中：总承包服务费</w:t>
            </w:r>
          </w:p>
        </w:tc>
        <w:tc>
          <w:tcPr>
            <w:tcW w:w="240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1" w:hRule="atLeast"/>
        </w:trPr>
        <w:tc>
          <w:tcPr>
            <w:tcW w:w="12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w:t>
            </w:r>
          </w:p>
        </w:tc>
        <w:tc>
          <w:tcPr>
            <w:tcW w:w="3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规费</w:t>
            </w:r>
          </w:p>
        </w:tc>
        <w:tc>
          <w:tcPr>
            <w:tcW w:w="240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1" w:hRule="atLeast"/>
        </w:trPr>
        <w:tc>
          <w:tcPr>
            <w:tcW w:w="12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其中：垃圾处置费</w:t>
            </w:r>
          </w:p>
        </w:tc>
        <w:tc>
          <w:tcPr>
            <w:tcW w:w="240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1" w:hRule="atLeast"/>
        </w:trPr>
        <w:tc>
          <w:tcPr>
            <w:tcW w:w="12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其中：社保费</w:t>
            </w:r>
          </w:p>
        </w:tc>
        <w:tc>
          <w:tcPr>
            <w:tcW w:w="240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1" w:hRule="atLeast"/>
        </w:trPr>
        <w:tc>
          <w:tcPr>
            <w:tcW w:w="12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w:t>
            </w:r>
          </w:p>
        </w:tc>
        <w:tc>
          <w:tcPr>
            <w:tcW w:w="3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税金</w:t>
            </w:r>
          </w:p>
        </w:tc>
        <w:tc>
          <w:tcPr>
            <w:tcW w:w="240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 w:hRule="atLeast"/>
        </w:trPr>
        <w:tc>
          <w:tcPr>
            <w:tcW w:w="12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40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1" w:hRule="atLeast"/>
        </w:trPr>
        <w:tc>
          <w:tcPr>
            <w:tcW w:w="12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40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1" w:hRule="atLeast"/>
        </w:trPr>
        <w:tc>
          <w:tcPr>
            <w:tcW w:w="12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40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1" w:hRule="atLeast"/>
        </w:trPr>
        <w:tc>
          <w:tcPr>
            <w:tcW w:w="12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61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40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 w:hRule="atLeast"/>
        </w:trPr>
        <w:tc>
          <w:tcPr>
            <w:tcW w:w="4904" w:type="dxa"/>
            <w:gridSpan w:val="3"/>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招标控制价合计=一+二+三+四+五</w:t>
            </w:r>
          </w:p>
        </w:tc>
        <w:tc>
          <w:tcPr>
            <w:tcW w:w="2407"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7"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bl>
    <w:p>
      <w:pPr>
        <w:rPr>
          <w:rFonts w:hint="eastAsia"/>
          <w:lang w:eastAsia="zh-CN"/>
        </w:rPr>
      </w:pPr>
      <w:r>
        <w:rPr>
          <w:rFonts w:hint="eastAsia"/>
          <w:lang w:eastAsia="zh-CN"/>
        </w:rPr>
        <w:br w:type="page"/>
      </w:r>
    </w:p>
    <w:tbl>
      <w:tblPr>
        <w:tblStyle w:val="39"/>
        <w:tblW w:w="951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99"/>
        <w:gridCol w:w="1416"/>
        <w:gridCol w:w="1257"/>
        <w:gridCol w:w="1519"/>
        <w:gridCol w:w="352"/>
        <w:gridCol w:w="473"/>
        <w:gridCol w:w="916"/>
        <w:gridCol w:w="462"/>
        <w:gridCol w:w="530"/>
        <w:gridCol w:w="988"/>
        <w:gridCol w:w="10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4" w:hRule="atLeast"/>
        </w:trPr>
        <w:tc>
          <w:tcPr>
            <w:tcW w:w="4764"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（招-表4）</w:t>
            </w:r>
          </w:p>
        </w:tc>
        <w:tc>
          <w:tcPr>
            <w:tcW w:w="2144"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610"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1" w:hRule="atLeast"/>
        </w:trPr>
        <w:tc>
          <w:tcPr>
            <w:tcW w:w="9518"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4764"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工程名称：建筑工程</w:t>
            </w:r>
          </w:p>
        </w:tc>
        <w:tc>
          <w:tcPr>
            <w:tcW w:w="2144"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r>
              <w:rPr>
                <w:rFonts w:hint="eastAsia" w:ascii="宋体" w:hAnsi="宋体" w:cs="宋体"/>
                <w:i w:val="0"/>
                <w:iCs w:val="0"/>
                <w:color w:val="000000"/>
                <w:kern w:val="0"/>
                <w:sz w:val="20"/>
                <w:szCs w:val="20"/>
                <w:u w:val="none"/>
                <w:lang w:val="en-US" w:eastAsia="zh-CN" w:bidi="ar"/>
              </w:rPr>
              <w:t>烹饪、面点实训基地改造项目</w:t>
            </w:r>
          </w:p>
        </w:tc>
        <w:tc>
          <w:tcPr>
            <w:tcW w:w="2610"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2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4" w:hRule="atLeast"/>
        </w:trPr>
        <w:tc>
          <w:tcPr>
            <w:tcW w:w="611"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294"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项目编码</w:t>
            </w:r>
          </w:p>
        </w:tc>
        <w:tc>
          <w:tcPr>
            <w:tcW w:w="1298"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1914"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项目特征描述</w:t>
            </w:r>
          </w:p>
        </w:tc>
        <w:tc>
          <w:tcPr>
            <w:tcW w:w="47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计量单位</w:t>
            </w:r>
          </w:p>
        </w:tc>
        <w:tc>
          <w:tcPr>
            <w:tcW w:w="83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工程量</w:t>
            </w:r>
          </w:p>
        </w:tc>
        <w:tc>
          <w:tcPr>
            <w:tcW w:w="3087"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2" w:hRule="atLeast"/>
        </w:trPr>
        <w:tc>
          <w:tcPr>
            <w:tcW w:w="611"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94"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98"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914"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47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83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2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综合单价</w:t>
            </w:r>
          </w:p>
        </w:tc>
        <w:tc>
          <w:tcPr>
            <w:tcW w:w="10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合价</w:t>
            </w:r>
          </w:p>
        </w:tc>
        <w:tc>
          <w:tcPr>
            <w:tcW w:w="1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trPr>
        <w:tc>
          <w:tcPr>
            <w:tcW w:w="61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2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2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整个项目</w:t>
            </w:r>
          </w:p>
        </w:tc>
        <w:tc>
          <w:tcPr>
            <w:tcW w:w="19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8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2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trPr>
        <w:tc>
          <w:tcPr>
            <w:tcW w:w="61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2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2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新建工程</w:t>
            </w:r>
          </w:p>
        </w:tc>
        <w:tc>
          <w:tcPr>
            <w:tcW w:w="19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8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2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trPr>
        <w:tc>
          <w:tcPr>
            <w:tcW w:w="61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010502001001</w:t>
            </w:r>
          </w:p>
        </w:tc>
        <w:tc>
          <w:tcPr>
            <w:tcW w:w="12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矩形柱</w:t>
            </w:r>
          </w:p>
        </w:tc>
        <w:tc>
          <w:tcPr>
            <w:tcW w:w="19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1.混凝土强度等级:C25</w:t>
            </w:r>
          </w:p>
        </w:tc>
        <w:tc>
          <w:tcPr>
            <w:tcW w:w="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8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4.74</w:t>
            </w:r>
          </w:p>
        </w:tc>
        <w:tc>
          <w:tcPr>
            <w:tcW w:w="102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trPr>
        <w:tc>
          <w:tcPr>
            <w:tcW w:w="61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010503001001</w:t>
            </w:r>
          </w:p>
        </w:tc>
        <w:tc>
          <w:tcPr>
            <w:tcW w:w="12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基础梁</w:t>
            </w:r>
          </w:p>
        </w:tc>
        <w:tc>
          <w:tcPr>
            <w:tcW w:w="19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1.混凝土强度等级:c25</w:t>
            </w:r>
          </w:p>
        </w:tc>
        <w:tc>
          <w:tcPr>
            <w:tcW w:w="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8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1.81</w:t>
            </w:r>
          </w:p>
        </w:tc>
        <w:tc>
          <w:tcPr>
            <w:tcW w:w="102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trPr>
        <w:tc>
          <w:tcPr>
            <w:tcW w:w="61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010505001001</w:t>
            </w:r>
          </w:p>
        </w:tc>
        <w:tc>
          <w:tcPr>
            <w:tcW w:w="12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有梁板</w:t>
            </w:r>
          </w:p>
        </w:tc>
        <w:tc>
          <w:tcPr>
            <w:tcW w:w="19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1.混凝土强度等级:c25</w:t>
            </w:r>
          </w:p>
        </w:tc>
        <w:tc>
          <w:tcPr>
            <w:tcW w:w="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8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3.17</w:t>
            </w:r>
          </w:p>
        </w:tc>
        <w:tc>
          <w:tcPr>
            <w:tcW w:w="102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trPr>
        <w:tc>
          <w:tcPr>
            <w:tcW w:w="61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010515001001</w:t>
            </w:r>
          </w:p>
        </w:tc>
        <w:tc>
          <w:tcPr>
            <w:tcW w:w="12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现浇构件钢筋</w:t>
            </w:r>
          </w:p>
        </w:tc>
        <w:tc>
          <w:tcPr>
            <w:tcW w:w="19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8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1.337</w:t>
            </w:r>
          </w:p>
        </w:tc>
        <w:tc>
          <w:tcPr>
            <w:tcW w:w="102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trPr>
        <w:tc>
          <w:tcPr>
            <w:tcW w:w="61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2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010401003001</w:t>
            </w:r>
          </w:p>
        </w:tc>
        <w:tc>
          <w:tcPr>
            <w:tcW w:w="12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实心砖墙</w:t>
            </w:r>
          </w:p>
        </w:tc>
        <w:tc>
          <w:tcPr>
            <w:tcW w:w="19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1.蒸压灰砂砖200厚</w:t>
            </w:r>
          </w:p>
        </w:tc>
        <w:tc>
          <w:tcPr>
            <w:tcW w:w="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8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0.54</w:t>
            </w:r>
          </w:p>
        </w:tc>
        <w:tc>
          <w:tcPr>
            <w:tcW w:w="102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trPr>
        <w:tc>
          <w:tcPr>
            <w:tcW w:w="61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2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011701002001</w:t>
            </w:r>
          </w:p>
        </w:tc>
        <w:tc>
          <w:tcPr>
            <w:tcW w:w="12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外脚手架</w:t>
            </w:r>
          </w:p>
        </w:tc>
        <w:tc>
          <w:tcPr>
            <w:tcW w:w="19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105.4</w:t>
            </w:r>
          </w:p>
        </w:tc>
        <w:tc>
          <w:tcPr>
            <w:tcW w:w="102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trPr>
        <w:tc>
          <w:tcPr>
            <w:tcW w:w="61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2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2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拆除工程</w:t>
            </w:r>
          </w:p>
        </w:tc>
        <w:tc>
          <w:tcPr>
            <w:tcW w:w="19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8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2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trPr>
        <w:tc>
          <w:tcPr>
            <w:tcW w:w="61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2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011606002001</w:t>
            </w:r>
          </w:p>
        </w:tc>
        <w:tc>
          <w:tcPr>
            <w:tcW w:w="12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不锈钢龙骨玻璃幕墙拆除</w:t>
            </w:r>
          </w:p>
        </w:tc>
        <w:tc>
          <w:tcPr>
            <w:tcW w:w="19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1、不锈钢龙骨玻璃幕墙拆除</w:t>
            </w:r>
          </w:p>
        </w:tc>
        <w:tc>
          <w:tcPr>
            <w:tcW w:w="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02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2" w:hRule="atLeast"/>
        </w:trPr>
        <w:tc>
          <w:tcPr>
            <w:tcW w:w="61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2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011601001001</w:t>
            </w:r>
          </w:p>
        </w:tc>
        <w:tc>
          <w:tcPr>
            <w:tcW w:w="12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砖砌体拆除</w:t>
            </w:r>
          </w:p>
        </w:tc>
        <w:tc>
          <w:tcPr>
            <w:tcW w:w="19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1.砌体名称:直形墙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2.砌体材质:实心砖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3.拆除高度:1.3m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4.拆除砌体的截面尺寸:0.12m</w:t>
            </w:r>
          </w:p>
        </w:tc>
        <w:tc>
          <w:tcPr>
            <w:tcW w:w="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8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2.64</w:t>
            </w:r>
          </w:p>
        </w:tc>
        <w:tc>
          <w:tcPr>
            <w:tcW w:w="102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trPr>
        <w:tc>
          <w:tcPr>
            <w:tcW w:w="61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2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011613002001</w:t>
            </w:r>
          </w:p>
        </w:tc>
        <w:tc>
          <w:tcPr>
            <w:tcW w:w="12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无框玻璃幕墙拆除</w:t>
            </w:r>
          </w:p>
        </w:tc>
        <w:tc>
          <w:tcPr>
            <w:tcW w:w="19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1、拆除无框玻璃幕墙</w:t>
            </w:r>
          </w:p>
        </w:tc>
        <w:tc>
          <w:tcPr>
            <w:tcW w:w="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102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trPr>
        <w:tc>
          <w:tcPr>
            <w:tcW w:w="61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011209001001</w:t>
            </w:r>
          </w:p>
        </w:tc>
        <w:tc>
          <w:tcPr>
            <w:tcW w:w="12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拆除带骨架幕墙</w:t>
            </w:r>
          </w:p>
        </w:tc>
        <w:tc>
          <w:tcPr>
            <w:tcW w:w="19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1.拆除带骨架幕墙</w:t>
            </w:r>
          </w:p>
        </w:tc>
        <w:tc>
          <w:tcPr>
            <w:tcW w:w="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2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trPr>
        <w:tc>
          <w:tcPr>
            <w:tcW w:w="61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2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011606003001</w:t>
            </w:r>
          </w:p>
        </w:tc>
        <w:tc>
          <w:tcPr>
            <w:tcW w:w="12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天棚面龙骨及饰面拆除</w:t>
            </w:r>
          </w:p>
        </w:tc>
        <w:tc>
          <w:tcPr>
            <w:tcW w:w="19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1.天棚装饰拆除 轻钢龙骨吊顶及面层</w:t>
            </w:r>
          </w:p>
        </w:tc>
        <w:tc>
          <w:tcPr>
            <w:tcW w:w="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102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trPr>
        <w:tc>
          <w:tcPr>
            <w:tcW w:w="61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2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011610001001</w:t>
            </w:r>
          </w:p>
        </w:tc>
        <w:tc>
          <w:tcPr>
            <w:tcW w:w="12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木门窗拆除</w:t>
            </w:r>
          </w:p>
        </w:tc>
        <w:tc>
          <w:tcPr>
            <w:tcW w:w="19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1.门窗拆除 木门</w:t>
            </w:r>
          </w:p>
        </w:tc>
        <w:tc>
          <w:tcPr>
            <w:tcW w:w="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樘</w:t>
            </w:r>
          </w:p>
        </w:tc>
        <w:tc>
          <w:tcPr>
            <w:tcW w:w="8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2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trPr>
        <w:tc>
          <w:tcPr>
            <w:tcW w:w="61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2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011610002001</w:t>
            </w:r>
          </w:p>
        </w:tc>
        <w:tc>
          <w:tcPr>
            <w:tcW w:w="12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金属门窗拆除</w:t>
            </w:r>
          </w:p>
        </w:tc>
        <w:tc>
          <w:tcPr>
            <w:tcW w:w="19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1.门窗拆除 金属窗</w:t>
            </w:r>
          </w:p>
        </w:tc>
        <w:tc>
          <w:tcPr>
            <w:tcW w:w="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樘</w:t>
            </w:r>
          </w:p>
        </w:tc>
        <w:tc>
          <w:tcPr>
            <w:tcW w:w="8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2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trPr>
        <w:tc>
          <w:tcPr>
            <w:tcW w:w="61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2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011209001002</w:t>
            </w:r>
          </w:p>
        </w:tc>
        <w:tc>
          <w:tcPr>
            <w:tcW w:w="12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拆装带骨幕墙</w:t>
            </w:r>
          </w:p>
        </w:tc>
        <w:tc>
          <w:tcPr>
            <w:tcW w:w="19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1.带骨幕墙拆装</w:t>
            </w:r>
          </w:p>
        </w:tc>
        <w:tc>
          <w:tcPr>
            <w:tcW w:w="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02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trPr>
        <w:tc>
          <w:tcPr>
            <w:tcW w:w="61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2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011605001001</w:t>
            </w:r>
          </w:p>
        </w:tc>
        <w:tc>
          <w:tcPr>
            <w:tcW w:w="12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平面块料拆除</w:t>
            </w:r>
          </w:p>
        </w:tc>
        <w:tc>
          <w:tcPr>
            <w:tcW w:w="19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1.楼地面装饰铲除 面砖、陶瓷块料</w:t>
            </w:r>
          </w:p>
        </w:tc>
        <w:tc>
          <w:tcPr>
            <w:tcW w:w="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102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1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2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011605001002</w:t>
            </w:r>
          </w:p>
        </w:tc>
        <w:tc>
          <w:tcPr>
            <w:tcW w:w="12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平面块料拆除</w:t>
            </w:r>
          </w:p>
        </w:tc>
        <w:tc>
          <w:tcPr>
            <w:tcW w:w="19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1.楼地面装饰铲除 水泥砂浆</w:t>
            </w:r>
          </w:p>
        </w:tc>
        <w:tc>
          <w:tcPr>
            <w:tcW w:w="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102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trPr>
        <w:tc>
          <w:tcPr>
            <w:tcW w:w="61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2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011605001003</w:t>
            </w:r>
          </w:p>
        </w:tc>
        <w:tc>
          <w:tcPr>
            <w:tcW w:w="12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阶梯教室木地板拆除</w:t>
            </w:r>
          </w:p>
        </w:tc>
        <w:tc>
          <w:tcPr>
            <w:tcW w:w="19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1.木地板拆除</w:t>
            </w:r>
          </w:p>
        </w:tc>
        <w:tc>
          <w:tcPr>
            <w:tcW w:w="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190</w:t>
            </w:r>
          </w:p>
        </w:tc>
        <w:tc>
          <w:tcPr>
            <w:tcW w:w="102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trPr>
        <w:tc>
          <w:tcPr>
            <w:tcW w:w="61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2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市场价1</w:t>
            </w:r>
          </w:p>
        </w:tc>
        <w:tc>
          <w:tcPr>
            <w:tcW w:w="12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水电拆除</w:t>
            </w:r>
          </w:p>
        </w:tc>
        <w:tc>
          <w:tcPr>
            <w:tcW w:w="19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1.拆除开关、插座、灯具、线管等。</w:t>
            </w:r>
          </w:p>
        </w:tc>
        <w:tc>
          <w:tcPr>
            <w:tcW w:w="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w:t>
            </w:r>
          </w:p>
        </w:tc>
        <w:tc>
          <w:tcPr>
            <w:tcW w:w="102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9" w:hRule="atLeast"/>
        </w:trPr>
        <w:tc>
          <w:tcPr>
            <w:tcW w:w="61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2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01B001</w:t>
            </w:r>
          </w:p>
        </w:tc>
        <w:tc>
          <w:tcPr>
            <w:tcW w:w="12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建筑垃圾运输</w:t>
            </w:r>
          </w:p>
        </w:tc>
        <w:tc>
          <w:tcPr>
            <w:tcW w:w="19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1.人工搬运建筑垃圾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2.建筑垃圾外运5KM以内</w:t>
            </w:r>
          </w:p>
        </w:tc>
        <w:tc>
          <w:tcPr>
            <w:tcW w:w="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8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02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trPr>
        <w:tc>
          <w:tcPr>
            <w:tcW w:w="61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2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2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恢复工程-土建部分</w:t>
            </w:r>
          </w:p>
        </w:tc>
        <w:tc>
          <w:tcPr>
            <w:tcW w:w="19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8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2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trPr>
        <w:tc>
          <w:tcPr>
            <w:tcW w:w="7458" w:type="dxa"/>
            <w:gridSpan w:val="9"/>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026"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34"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4" w:hRule="atLeast"/>
        </w:trPr>
        <w:tc>
          <w:tcPr>
            <w:tcW w:w="4764"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（招-表4）</w:t>
            </w:r>
          </w:p>
        </w:tc>
        <w:tc>
          <w:tcPr>
            <w:tcW w:w="2144"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610"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1" w:hRule="atLeast"/>
        </w:trPr>
        <w:tc>
          <w:tcPr>
            <w:tcW w:w="9518"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4764"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工程名称：建筑工程</w:t>
            </w:r>
          </w:p>
        </w:tc>
        <w:tc>
          <w:tcPr>
            <w:tcW w:w="2144"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r>
              <w:rPr>
                <w:rFonts w:hint="eastAsia" w:ascii="宋体" w:hAnsi="宋体" w:cs="宋体"/>
                <w:i w:val="0"/>
                <w:iCs w:val="0"/>
                <w:color w:val="000000"/>
                <w:kern w:val="0"/>
                <w:sz w:val="20"/>
                <w:szCs w:val="20"/>
                <w:u w:val="none"/>
                <w:lang w:val="en-US" w:eastAsia="zh-CN" w:bidi="ar"/>
              </w:rPr>
              <w:t>烹饪、面点实训基地改造项目</w:t>
            </w:r>
          </w:p>
        </w:tc>
        <w:tc>
          <w:tcPr>
            <w:tcW w:w="2610"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2 页  共 2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4" w:hRule="atLeast"/>
        </w:trPr>
        <w:tc>
          <w:tcPr>
            <w:tcW w:w="611"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294"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项目编码</w:t>
            </w:r>
          </w:p>
        </w:tc>
        <w:tc>
          <w:tcPr>
            <w:tcW w:w="1298"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1914"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项目特征描述</w:t>
            </w:r>
          </w:p>
        </w:tc>
        <w:tc>
          <w:tcPr>
            <w:tcW w:w="47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计量单位</w:t>
            </w:r>
          </w:p>
        </w:tc>
        <w:tc>
          <w:tcPr>
            <w:tcW w:w="83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工程量</w:t>
            </w:r>
          </w:p>
        </w:tc>
        <w:tc>
          <w:tcPr>
            <w:tcW w:w="3087"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2" w:hRule="atLeast"/>
        </w:trPr>
        <w:tc>
          <w:tcPr>
            <w:tcW w:w="611"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94"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98"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914"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47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83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2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综合单价</w:t>
            </w:r>
          </w:p>
        </w:tc>
        <w:tc>
          <w:tcPr>
            <w:tcW w:w="10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合价</w:t>
            </w:r>
          </w:p>
        </w:tc>
        <w:tc>
          <w:tcPr>
            <w:tcW w:w="1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55" w:hRule="atLeast"/>
        </w:trPr>
        <w:tc>
          <w:tcPr>
            <w:tcW w:w="61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2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011102003001</w:t>
            </w:r>
          </w:p>
        </w:tc>
        <w:tc>
          <w:tcPr>
            <w:tcW w:w="12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二、三楼地面</w:t>
            </w:r>
          </w:p>
        </w:tc>
        <w:tc>
          <w:tcPr>
            <w:tcW w:w="19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1.找平层厚度、砂浆配合比:20mm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2.结合层厚度、砂浆配合比:1:3</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3.面层材料品种、规格、颜色:耐磨防滑砖、300*300</w:t>
            </w:r>
          </w:p>
        </w:tc>
        <w:tc>
          <w:tcPr>
            <w:tcW w:w="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438.79</w:t>
            </w:r>
          </w:p>
        </w:tc>
        <w:tc>
          <w:tcPr>
            <w:tcW w:w="102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55" w:hRule="atLeast"/>
        </w:trPr>
        <w:tc>
          <w:tcPr>
            <w:tcW w:w="61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2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011102003002</w:t>
            </w:r>
          </w:p>
        </w:tc>
        <w:tc>
          <w:tcPr>
            <w:tcW w:w="12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地下室楼地面</w:t>
            </w:r>
          </w:p>
        </w:tc>
        <w:tc>
          <w:tcPr>
            <w:tcW w:w="19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1.找平层厚度、砂浆配合比:20mm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2.结合层厚度、砂浆配合比:1:3</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3.面层材料品种、规格、颜色:耐磨防滑砖、600*600</w:t>
            </w:r>
          </w:p>
        </w:tc>
        <w:tc>
          <w:tcPr>
            <w:tcW w:w="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1098.78</w:t>
            </w:r>
          </w:p>
        </w:tc>
        <w:tc>
          <w:tcPr>
            <w:tcW w:w="102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trPr>
        <w:tc>
          <w:tcPr>
            <w:tcW w:w="61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2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01B002</w:t>
            </w:r>
          </w:p>
        </w:tc>
        <w:tc>
          <w:tcPr>
            <w:tcW w:w="12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地下室阶梯座椅拆装</w:t>
            </w:r>
          </w:p>
        </w:tc>
        <w:tc>
          <w:tcPr>
            <w:tcW w:w="19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1、阶梯座椅拆装</w:t>
            </w:r>
          </w:p>
        </w:tc>
        <w:tc>
          <w:tcPr>
            <w:tcW w:w="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8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102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2" w:hRule="atLeast"/>
        </w:trPr>
        <w:tc>
          <w:tcPr>
            <w:tcW w:w="61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2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011209001001</w:t>
            </w:r>
          </w:p>
        </w:tc>
        <w:tc>
          <w:tcPr>
            <w:tcW w:w="12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带骨架幕墙</w:t>
            </w:r>
          </w:p>
        </w:tc>
        <w:tc>
          <w:tcPr>
            <w:tcW w:w="19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1.骨架材料种类、规:格、中距:不锈钢框体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2.面层材料品种、规格、颜色:δ8钢化玻璃</w:t>
            </w:r>
          </w:p>
        </w:tc>
        <w:tc>
          <w:tcPr>
            <w:tcW w:w="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2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9" w:hRule="atLeast"/>
        </w:trPr>
        <w:tc>
          <w:tcPr>
            <w:tcW w:w="61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2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011302001001</w:t>
            </w:r>
          </w:p>
        </w:tc>
        <w:tc>
          <w:tcPr>
            <w:tcW w:w="12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吊顶天棚</w:t>
            </w:r>
          </w:p>
        </w:tc>
        <w:tc>
          <w:tcPr>
            <w:tcW w:w="19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1.龙骨材料种类、规格、中距:铝合金条板天棚龙骨</w:t>
            </w:r>
          </w:p>
        </w:tc>
        <w:tc>
          <w:tcPr>
            <w:tcW w:w="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02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trPr>
        <w:tc>
          <w:tcPr>
            <w:tcW w:w="61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2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市场价2</w:t>
            </w:r>
          </w:p>
        </w:tc>
        <w:tc>
          <w:tcPr>
            <w:tcW w:w="12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阶梯座椅</w:t>
            </w:r>
          </w:p>
        </w:tc>
        <w:tc>
          <w:tcPr>
            <w:tcW w:w="19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1.阶梯座椅（含安装）</w:t>
            </w:r>
          </w:p>
        </w:tc>
        <w:tc>
          <w:tcPr>
            <w:tcW w:w="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8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166</w:t>
            </w:r>
          </w:p>
        </w:tc>
        <w:tc>
          <w:tcPr>
            <w:tcW w:w="102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2" w:hRule="atLeast"/>
        </w:trPr>
        <w:tc>
          <w:tcPr>
            <w:tcW w:w="61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2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010507004001</w:t>
            </w:r>
          </w:p>
        </w:tc>
        <w:tc>
          <w:tcPr>
            <w:tcW w:w="12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阶梯教室阶梯硬化地板</w:t>
            </w:r>
          </w:p>
        </w:tc>
        <w:tc>
          <w:tcPr>
            <w:tcW w:w="19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1.砌筑120厚砖胎膜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2.踏步高、宽:150*900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3.混凝土强度等级:C20</w:t>
            </w:r>
          </w:p>
        </w:tc>
        <w:tc>
          <w:tcPr>
            <w:tcW w:w="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8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73.5</w:t>
            </w:r>
          </w:p>
        </w:tc>
        <w:tc>
          <w:tcPr>
            <w:tcW w:w="102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8" w:hRule="atLeast"/>
        </w:trPr>
        <w:tc>
          <w:tcPr>
            <w:tcW w:w="61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2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010401003001</w:t>
            </w:r>
          </w:p>
        </w:tc>
        <w:tc>
          <w:tcPr>
            <w:tcW w:w="12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实心砖墙</w:t>
            </w:r>
          </w:p>
        </w:tc>
        <w:tc>
          <w:tcPr>
            <w:tcW w:w="19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1.砖品种、规格、强度等级:蒸压灰砂砖240*115*53</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2.砂浆强度等级、配合比:水泥石灰砂浆 M7.5</w:t>
            </w:r>
          </w:p>
        </w:tc>
        <w:tc>
          <w:tcPr>
            <w:tcW w:w="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8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2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6" w:hRule="atLeast"/>
        </w:trPr>
        <w:tc>
          <w:tcPr>
            <w:tcW w:w="61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2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011204003001</w:t>
            </w:r>
          </w:p>
        </w:tc>
        <w:tc>
          <w:tcPr>
            <w:tcW w:w="12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块料墙面</w:t>
            </w:r>
          </w:p>
        </w:tc>
        <w:tc>
          <w:tcPr>
            <w:tcW w:w="19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1.找平层：水泥石灰砂浆1:1:6</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2.面层：乳胶漆刷涂两遍</w:t>
            </w:r>
          </w:p>
        </w:tc>
        <w:tc>
          <w:tcPr>
            <w:tcW w:w="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02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trPr>
        <w:tc>
          <w:tcPr>
            <w:tcW w:w="61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2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2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措施项目</w:t>
            </w:r>
          </w:p>
        </w:tc>
        <w:tc>
          <w:tcPr>
            <w:tcW w:w="19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8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2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0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trPr>
        <w:tc>
          <w:tcPr>
            <w:tcW w:w="61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trPr>
        <w:tc>
          <w:tcPr>
            <w:tcW w:w="61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trPr>
        <w:tc>
          <w:tcPr>
            <w:tcW w:w="61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trPr>
        <w:tc>
          <w:tcPr>
            <w:tcW w:w="7458" w:type="dxa"/>
            <w:gridSpan w:val="9"/>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0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trPr>
        <w:tc>
          <w:tcPr>
            <w:tcW w:w="7458" w:type="dxa"/>
            <w:gridSpan w:val="9"/>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1026"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34"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0" w:type="auto"/>
            <w:tcBorders>
              <w:top w:val="nil"/>
              <w:left w:val="nil"/>
              <w:bottom w:val="nil"/>
              <w:right w:val="nil"/>
            </w:tcBorders>
            <w:shd w:val="clear" w:color="auto" w:fill="auto"/>
            <w:noWrap/>
            <w:vAlign w:val="bottom"/>
          </w:tcPr>
          <w:p>
            <w:pPr>
              <w:rPr>
                <w:rFonts w:hint="eastAsia"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bl>
    <w:p>
      <w:pPr>
        <w:pStyle w:val="3"/>
        <w:ind w:left="0" w:leftChars="0" w:firstLine="0" w:firstLineChars="0"/>
        <w:rPr>
          <w:rFonts w:hint="eastAsia"/>
          <w:lang w:eastAsia="zh-CN"/>
        </w:rPr>
      </w:pPr>
    </w:p>
    <w:p>
      <w:r>
        <w:br w:type="page"/>
      </w:r>
    </w:p>
    <w:tbl>
      <w:tblPr>
        <w:tblStyle w:val="39"/>
        <w:tblW w:w="947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78"/>
        <w:gridCol w:w="1222"/>
        <w:gridCol w:w="1747"/>
        <w:gridCol w:w="871"/>
        <w:gridCol w:w="595"/>
        <w:gridCol w:w="616"/>
        <w:gridCol w:w="833"/>
        <w:gridCol w:w="246"/>
        <w:gridCol w:w="609"/>
        <w:gridCol w:w="1045"/>
        <w:gridCol w:w="10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4548"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（招-表6）</w:t>
            </w:r>
          </w:p>
        </w:tc>
        <w:tc>
          <w:tcPr>
            <w:tcW w:w="2281"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650"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0" w:hRule="atLeast"/>
        </w:trPr>
        <w:tc>
          <w:tcPr>
            <w:tcW w:w="9479"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总价措施项目清单与计价表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9" w:hRule="atLeast"/>
        </w:trPr>
        <w:tc>
          <w:tcPr>
            <w:tcW w:w="4548"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工程名称：建筑工程</w:t>
            </w:r>
          </w:p>
        </w:tc>
        <w:tc>
          <w:tcPr>
            <w:tcW w:w="2281" w:type="dxa"/>
            <w:gridSpan w:val="4"/>
            <w:tcBorders>
              <w:top w:val="nil"/>
              <w:left w:val="nil"/>
              <w:bottom w:val="nil"/>
              <w:right w:val="nil"/>
            </w:tcBorders>
            <w:shd w:val="clear" w:color="FFFFFF"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r>
              <w:rPr>
                <w:rFonts w:hint="eastAsia" w:ascii="宋体" w:hAnsi="宋体" w:cs="宋体"/>
                <w:i w:val="0"/>
                <w:iCs w:val="0"/>
                <w:color w:val="000000"/>
                <w:kern w:val="0"/>
                <w:sz w:val="20"/>
                <w:szCs w:val="20"/>
                <w:u w:val="none"/>
                <w:lang w:val="en-US" w:eastAsia="zh-CN" w:bidi="ar"/>
              </w:rPr>
              <w:t>烹饪、面点实训基地改造项目</w:t>
            </w:r>
          </w:p>
        </w:tc>
        <w:tc>
          <w:tcPr>
            <w:tcW w:w="2650"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3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8" w:hRule="atLeast"/>
        </w:trPr>
        <w:tc>
          <w:tcPr>
            <w:tcW w:w="682"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229"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762"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47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计算基础</w:t>
            </w:r>
          </w:p>
        </w:tc>
        <w:tc>
          <w:tcPr>
            <w:tcW w:w="601"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833"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c>
          <w:tcPr>
            <w:tcW w:w="860"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1051"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调整后金额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c>
          <w:tcPr>
            <w:tcW w:w="986"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8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7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安全文明施工与环境保护基本费</w:t>
            </w:r>
          </w:p>
        </w:tc>
        <w:tc>
          <w:tcPr>
            <w:tcW w:w="14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8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9" w:hRule="atLeast"/>
        </w:trPr>
        <w:tc>
          <w:tcPr>
            <w:tcW w:w="68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w:t>
            </w:r>
          </w:p>
        </w:tc>
        <w:tc>
          <w:tcPr>
            <w:tcW w:w="17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1千万元以内部分</w:t>
            </w:r>
          </w:p>
        </w:tc>
        <w:tc>
          <w:tcPr>
            <w:tcW w:w="14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综合价含主设(1千万元以内部分)</w:t>
            </w:r>
          </w:p>
        </w:tc>
        <w:tc>
          <w:tcPr>
            <w:tcW w:w="6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8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8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9" w:hRule="atLeast"/>
        </w:trPr>
        <w:tc>
          <w:tcPr>
            <w:tcW w:w="68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w:t>
            </w:r>
          </w:p>
        </w:tc>
        <w:tc>
          <w:tcPr>
            <w:tcW w:w="17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1～5千万元以内部分</w:t>
            </w:r>
          </w:p>
        </w:tc>
        <w:tc>
          <w:tcPr>
            <w:tcW w:w="14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综合价含主设(1~5千万元以内部分)</w:t>
            </w:r>
          </w:p>
        </w:tc>
        <w:tc>
          <w:tcPr>
            <w:tcW w:w="6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8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8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9" w:hRule="atLeast"/>
        </w:trPr>
        <w:tc>
          <w:tcPr>
            <w:tcW w:w="68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w:t>
            </w:r>
          </w:p>
        </w:tc>
        <w:tc>
          <w:tcPr>
            <w:tcW w:w="17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5千万元～1亿元以内部分</w:t>
            </w:r>
          </w:p>
        </w:tc>
        <w:tc>
          <w:tcPr>
            <w:tcW w:w="14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综合价含主设(5千万元~1亿元以内部分)</w:t>
            </w:r>
          </w:p>
        </w:tc>
        <w:tc>
          <w:tcPr>
            <w:tcW w:w="6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8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8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8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2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w:t>
            </w:r>
          </w:p>
        </w:tc>
        <w:tc>
          <w:tcPr>
            <w:tcW w:w="17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1亿元以上部分</w:t>
            </w:r>
          </w:p>
        </w:tc>
        <w:tc>
          <w:tcPr>
            <w:tcW w:w="14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综合价含主设(1亿元以上部分)</w:t>
            </w:r>
          </w:p>
        </w:tc>
        <w:tc>
          <w:tcPr>
            <w:tcW w:w="6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w:t>
            </w:r>
          </w:p>
        </w:tc>
        <w:tc>
          <w:tcPr>
            <w:tcW w:w="8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8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9" w:hRule="atLeast"/>
        </w:trPr>
        <w:tc>
          <w:tcPr>
            <w:tcW w:w="68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2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7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安全文明施工与环境保护费(浮动部分)</w:t>
            </w:r>
          </w:p>
        </w:tc>
        <w:tc>
          <w:tcPr>
            <w:tcW w:w="14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安全防护、文明施工基本费</w:t>
            </w:r>
          </w:p>
        </w:tc>
        <w:tc>
          <w:tcPr>
            <w:tcW w:w="6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8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8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63" w:hRule="atLeast"/>
        </w:trPr>
        <w:tc>
          <w:tcPr>
            <w:tcW w:w="68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2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7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建施安责险</w:t>
            </w:r>
          </w:p>
        </w:tc>
        <w:tc>
          <w:tcPr>
            <w:tcW w:w="14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不含建施安责险费*0.001</w:t>
            </w:r>
          </w:p>
        </w:tc>
        <w:tc>
          <w:tcPr>
            <w:tcW w:w="6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8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8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默认的安责险费率是按照最优设置，但是由于安责险费率中浮动费率根据具体条件不同费率不同，所以请参照琼建质【2019】38号中的附件1计算实际费率；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8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2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7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临时设施费</w:t>
            </w:r>
          </w:p>
        </w:tc>
        <w:tc>
          <w:tcPr>
            <w:tcW w:w="14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8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9" w:hRule="atLeast"/>
        </w:trPr>
        <w:tc>
          <w:tcPr>
            <w:tcW w:w="68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2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w:t>
            </w:r>
          </w:p>
        </w:tc>
        <w:tc>
          <w:tcPr>
            <w:tcW w:w="17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1千万元以内部分</w:t>
            </w:r>
          </w:p>
        </w:tc>
        <w:tc>
          <w:tcPr>
            <w:tcW w:w="14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综合价含主设(1千万元以内部分)</w:t>
            </w:r>
          </w:p>
        </w:tc>
        <w:tc>
          <w:tcPr>
            <w:tcW w:w="6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w:t>
            </w:r>
          </w:p>
        </w:tc>
        <w:tc>
          <w:tcPr>
            <w:tcW w:w="8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8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9" w:hRule="atLeast"/>
        </w:trPr>
        <w:tc>
          <w:tcPr>
            <w:tcW w:w="68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w:t>
            </w:r>
          </w:p>
        </w:tc>
        <w:tc>
          <w:tcPr>
            <w:tcW w:w="17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1～5千万元以内部分</w:t>
            </w:r>
          </w:p>
        </w:tc>
        <w:tc>
          <w:tcPr>
            <w:tcW w:w="14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综合价含主设(1~5千万元以内部分)</w:t>
            </w:r>
          </w:p>
        </w:tc>
        <w:tc>
          <w:tcPr>
            <w:tcW w:w="6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w:t>
            </w:r>
          </w:p>
        </w:tc>
        <w:tc>
          <w:tcPr>
            <w:tcW w:w="8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8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9" w:hRule="atLeast"/>
        </w:trPr>
        <w:tc>
          <w:tcPr>
            <w:tcW w:w="68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2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w:t>
            </w:r>
          </w:p>
        </w:tc>
        <w:tc>
          <w:tcPr>
            <w:tcW w:w="17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5千万元～1亿元以内部分</w:t>
            </w:r>
          </w:p>
        </w:tc>
        <w:tc>
          <w:tcPr>
            <w:tcW w:w="14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综合价含主设(5千万元~1亿元以内部分)</w:t>
            </w:r>
          </w:p>
        </w:tc>
        <w:tc>
          <w:tcPr>
            <w:tcW w:w="6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0.82</w:t>
            </w:r>
          </w:p>
        </w:tc>
        <w:tc>
          <w:tcPr>
            <w:tcW w:w="8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8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8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2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w:t>
            </w:r>
          </w:p>
        </w:tc>
        <w:tc>
          <w:tcPr>
            <w:tcW w:w="17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1亿元以上部分</w:t>
            </w:r>
          </w:p>
        </w:tc>
        <w:tc>
          <w:tcPr>
            <w:tcW w:w="14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综合价含主设(1亿元以上部分)</w:t>
            </w:r>
          </w:p>
        </w:tc>
        <w:tc>
          <w:tcPr>
            <w:tcW w:w="6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0.41</w:t>
            </w:r>
          </w:p>
        </w:tc>
        <w:tc>
          <w:tcPr>
            <w:tcW w:w="8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8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82"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229"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762"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夜间施工增加费</w:t>
            </w:r>
          </w:p>
        </w:tc>
        <w:tc>
          <w:tcPr>
            <w:tcW w:w="147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分部分项合计+单</w:t>
            </w:r>
          </w:p>
        </w:tc>
        <w:tc>
          <w:tcPr>
            <w:tcW w:w="601"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0.14</w:t>
            </w:r>
          </w:p>
        </w:tc>
        <w:tc>
          <w:tcPr>
            <w:tcW w:w="833"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60"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51"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86"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trPr>
        <w:tc>
          <w:tcPr>
            <w:tcW w:w="9479" w:type="dxa"/>
            <w:gridSpan w:val="11"/>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编制人（造价人员）：                       复核人（造价工程师）：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9" w:hRule="atLeast"/>
        </w:trPr>
        <w:tc>
          <w:tcPr>
            <w:tcW w:w="9479" w:type="dxa"/>
            <w:gridSpan w:val="11"/>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注：1.“项目名称”可根据海南省现行的计价定额设置。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2.按施工方案计算的措施费，若无“计算基础”和“费率”的数值，也可只填“金额”数值，但应在备注栏说明施工方案出处或计算方法。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4548"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（招-表6）</w:t>
            </w:r>
          </w:p>
        </w:tc>
        <w:tc>
          <w:tcPr>
            <w:tcW w:w="2281"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650"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0" w:hRule="atLeast"/>
        </w:trPr>
        <w:tc>
          <w:tcPr>
            <w:tcW w:w="9479"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总价措施项目清单与计价表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9" w:hRule="atLeast"/>
        </w:trPr>
        <w:tc>
          <w:tcPr>
            <w:tcW w:w="4548"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工程名称：建筑工程</w:t>
            </w:r>
          </w:p>
        </w:tc>
        <w:tc>
          <w:tcPr>
            <w:tcW w:w="2281" w:type="dxa"/>
            <w:gridSpan w:val="4"/>
            <w:tcBorders>
              <w:top w:val="nil"/>
              <w:left w:val="nil"/>
              <w:bottom w:val="nil"/>
              <w:right w:val="nil"/>
            </w:tcBorders>
            <w:shd w:val="clear" w:color="FFFFFF"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r>
              <w:rPr>
                <w:rFonts w:hint="eastAsia" w:ascii="宋体" w:hAnsi="宋体" w:cs="宋体"/>
                <w:i w:val="0"/>
                <w:iCs w:val="0"/>
                <w:color w:val="000000"/>
                <w:kern w:val="0"/>
                <w:sz w:val="20"/>
                <w:szCs w:val="20"/>
                <w:u w:val="none"/>
                <w:lang w:val="en-US" w:eastAsia="zh-CN" w:bidi="ar"/>
              </w:rPr>
              <w:t>烹饪、面点实训基地改造项目</w:t>
            </w:r>
          </w:p>
        </w:tc>
        <w:tc>
          <w:tcPr>
            <w:tcW w:w="2650"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2 页  共 3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8" w:hRule="atLeast"/>
        </w:trPr>
        <w:tc>
          <w:tcPr>
            <w:tcW w:w="682"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229"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762"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47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计算基础</w:t>
            </w:r>
          </w:p>
        </w:tc>
        <w:tc>
          <w:tcPr>
            <w:tcW w:w="601"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833"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c>
          <w:tcPr>
            <w:tcW w:w="860"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1051"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调整后金额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c>
          <w:tcPr>
            <w:tcW w:w="986"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8" w:hRule="atLeast"/>
        </w:trPr>
        <w:tc>
          <w:tcPr>
            <w:tcW w:w="68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7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价措施项目合计-人材机价差</w:t>
            </w:r>
          </w:p>
        </w:tc>
        <w:tc>
          <w:tcPr>
            <w:tcW w:w="6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8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9" w:hRule="atLeast"/>
        </w:trPr>
        <w:tc>
          <w:tcPr>
            <w:tcW w:w="68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2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7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雨季施工增加费</w:t>
            </w:r>
          </w:p>
        </w:tc>
        <w:tc>
          <w:tcPr>
            <w:tcW w:w="14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分部分项合计+单价措施项目合计-人材机价差</w:t>
            </w:r>
          </w:p>
        </w:tc>
        <w:tc>
          <w:tcPr>
            <w:tcW w:w="6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0.61</w:t>
            </w:r>
          </w:p>
        </w:tc>
        <w:tc>
          <w:tcPr>
            <w:tcW w:w="8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8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9" w:hRule="atLeast"/>
        </w:trPr>
        <w:tc>
          <w:tcPr>
            <w:tcW w:w="68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2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7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视频监控费</w:t>
            </w:r>
          </w:p>
        </w:tc>
        <w:tc>
          <w:tcPr>
            <w:tcW w:w="14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8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编制预算或控制价时，视频监控费暂按租赁价每台球机1000元/月、每两台枪机800元/月计算，工程结算时，按实际费用计算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8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2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7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安全文明施工与环境保护基本费</w:t>
            </w:r>
          </w:p>
        </w:tc>
        <w:tc>
          <w:tcPr>
            <w:tcW w:w="14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8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9" w:hRule="atLeast"/>
        </w:trPr>
        <w:tc>
          <w:tcPr>
            <w:tcW w:w="68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2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w:t>
            </w:r>
          </w:p>
        </w:tc>
        <w:tc>
          <w:tcPr>
            <w:tcW w:w="17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1千万元以内部分</w:t>
            </w:r>
          </w:p>
        </w:tc>
        <w:tc>
          <w:tcPr>
            <w:tcW w:w="14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综合价含主设(1千万元以内部分)</w:t>
            </w:r>
          </w:p>
        </w:tc>
        <w:tc>
          <w:tcPr>
            <w:tcW w:w="6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8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8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9" w:hRule="atLeast"/>
        </w:trPr>
        <w:tc>
          <w:tcPr>
            <w:tcW w:w="68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2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w:t>
            </w:r>
          </w:p>
        </w:tc>
        <w:tc>
          <w:tcPr>
            <w:tcW w:w="17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1～5千万元以内部分</w:t>
            </w:r>
          </w:p>
        </w:tc>
        <w:tc>
          <w:tcPr>
            <w:tcW w:w="14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综合价含主设(1~5千万元以内部分)</w:t>
            </w:r>
          </w:p>
        </w:tc>
        <w:tc>
          <w:tcPr>
            <w:tcW w:w="6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8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8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9" w:hRule="atLeast"/>
        </w:trPr>
        <w:tc>
          <w:tcPr>
            <w:tcW w:w="68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2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w:t>
            </w:r>
          </w:p>
        </w:tc>
        <w:tc>
          <w:tcPr>
            <w:tcW w:w="17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5千万元～1亿元以内部分</w:t>
            </w:r>
          </w:p>
        </w:tc>
        <w:tc>
          <w:tcPr>
            <w:tcW w:w="14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综合价含主设(5千万元~1亿元以内部分)</w:t>
            </w:r>
          </w:p>
        </w:tc>
        <w:tc>
          <w:tcPr>
            <w:tcW w:w="6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8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8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8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2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w:t>
            </w:r>
          </w:p>
        </w:tc>
        <w:tc>
          <w:tcPr>
            <w:tcW w:w="17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1亿元以上部分</w:t>
            </w:r>
          </w:p>
        </w:tc>
        <w:tc>
          <w:tcPr>
            <w:tcW w:w="14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综合价含主设(1亿元以上部分)</w:t>
            </w:r>
          </w:p>
        </w:tc>
        <w:tc>
          <w:tcPr>
            <w:tcW w:w="6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w:t>
            </w:r>
          </w:p>
        </w:tc>
        <w:tc>
          <w:tcPr>
            <w:tcW w:w="8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8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9" w:hRule="atLeast"/>
        </w:trPr>
        <w:tc>
          <w:tcPr>
            <w:tcW w:w="68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2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7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安全文明施工与环境保护费(浮动部分)</w:t>
            </w:r>
          </w:p>
        </w:tc>
        <w:tc>
          <w:tcPr>
            <w:tcW w:w="14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安全防护、文明施工基本费</w:t>
            </w:r>
          </w:p>
        </w:tc>
        <w:tc>
          <w:tcPr>
            <w:tcW w:w="6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8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8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31" w:hRule="atLeast"/>
        </w:trPr>
        <w:tc>
          <w:tcPr>
            <w:tcW w:w="682"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229"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762"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建施安责险</w:t>
            </w:r>
          </w:p>
        </w:tc>
        <w:tc>
          <w:tcPr>
            <w:tcW w:w="147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不含建施安责险费*0.001</w:t>
            </w:r>
          </w:p>
        </w:tc>
        <w:tc>
          <w:tcPr>
            <w:tcW w:w="601"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833"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60"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51"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86"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默认的安责险费率是按照最优设置，但是由于安责险费率中浮动费率根据具体条件不同费率不同，所以请参照琼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trPr>
        <w:tc>
          <w:tcPr>
            <w:tcW w:w="9479" w:type="dxa"/>
            <w:gridSpan w:val="11"/>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编制人（造价人员）：                       复核人（造价工程师）：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9" w:hRule="atLeast"/>
        </w:trPr>
        <w:tc>
          <w:tcPr>
            <w:tcW w:w="9479" w:type="dxa"/>
            <w:gridSpan w:val="11"/>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注：1.“项目名称”可根据海南省现行的计价定额设置。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2.按施工方案计算的措施费，若无“计算基础”和“费率”的数值，也可只填“金额”数值，但应在备注栏说明施工方案出处或计算方法。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4548"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（招-表6）</w:t>
            </w:r>
          </w:p>
        </w:tc>
        <w:tc>
          <w:tcPr>
            <w:tcW w:w="2281"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650"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0" w:hRule="atLeast"/>
        </w:trPr>
        <w:tc>
          <w:tcPr>
            <w:tcW w:w="9479"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总价措施项目清单与计价表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9" w:hRule="atLeast"/>
        </w:trPr>
        <w:tc>
          <w:tcPr>
            <w:tcW w:w="4548"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工程名称：建筑工程</w:t>
            </w:r>
          </w:p>
        </w:tc>
        <w:tc>
          <w:tcPr>
            <w:tcW w:w="2281" w:type="dxa"/>
            <w:gridSpan w:val="4"/>
            <w:tcBorders>
              <w:top w:val="nil"/>
              <w:left w:val="nil"/>
              <w:bottom w:val="nil"/>
              <w:right w:val="nil"/>
            </w:tcBorders>
            <w:shd w:val="clear" w:color="FFFFFF"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r>
              <w:rPr>
                <w:rFonts w:hint="eastAsia" w:ascii="宋体" w:hAnsi="宋体" w:cs="宋体"/>
                <w:i w:val="0"/>
                <w:iCs w:val="0"/>
                <w:color w:val="000000"/>
                <w:kern w:val="0"/>
                <w:sz w:val="20"/>
                <w:szCs w:val="20"/>
                <w:u w:val="none"/>
                <w:lang w:val="en-US" w:eastAsia="zh-CN" w:bidi="ar"/>
              </w:rPr>
              <w:t>烹饪、面点实训基地改造项目</w:t>
            </w:r>
          </w:p>
        </w:tc>
        <w:tc>
          <w:tcPr>
            <w:tcW w:w="2650"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3 页  共 3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8" w:hRule="atLeast"/>
        </w:trPr>
        <w:tc>
          <w:tcPr>
            <w:tcW w:w="682"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229"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762"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47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计算基础</w:t>
            </w:r>
          </w:p>
        </w:tc>
        <w:tc>
          <w:tcPr>
            <w:tcW w:w="601"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833"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c>
          <w:tcPr>
            <w:tcW w:w="860"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1051"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调整后金额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c>
          <w:tcPr>
            <w:tcW w:w="986"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7" w:hRule="atLeast"/>
        </w:trPr>
        <w:tc>
          <w:tcPr>
            <w:tcW w:w="68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7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8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建质【2019】38号中的附件1计算实际费率；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8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2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7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临时设施费</w:t>
            </w:r>
          </w:p>
        </w:tc>
        <w:tc>
          <w:tcPr>
            <w:tcW w:w="14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8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9" w:hRule="atLeast"/>
        </w:trPr>
        <w:tc>
          <w:tcPr>
            <w:tcW w:w="68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2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w:t>
            </w:r>
          </w:p>
        </w:tc>
        <w:tc>
          <w:tcPr>
            <w:tcW w:w="17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1千万元以内部分</w:t>
            </w:r>
          </w:p>
        </w:tc>
        <w:tc>
          <w:tcPr>
            <w:tcW w:w="14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综合价含主设(1千万元以内部分)</w:t>
            </w:r>
          </w:p>
        </w:tc>
        <w:tc>
          <w:tcPr>
            <w:tcW w:w="6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w:t>
            </w:r>
          </w:p>
        </w:tc>
        <w:tc>
          <w:tcPr>
            <w:tcW w:w="8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8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9" w:hRule="atLeast"/>
        </w:trPr>
        <w:tc>
          <w:tcPr>
            <w:tcW w:w="68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2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w:t>
            </w:r>
          </w:p>
        </w:tc>
        <w:tc>
          <w:tcPr>
            <w:tcW w:w="17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1～5千万元以内部分</w:t>
            </w:r>
          </w:p>
        </w:tc>
        <w:tc>
          <w:tcPr>
            <w:tcW w:w="14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综合价含主设(1~5千万元以内部分)</w:t>
            </w:r>
          </w:p>
        </w:tc>
        <w:tc>
          <w:tcPr>
            <w:tcW w:w="6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w:t>
            </w:r>
          </w:p>
        </w:tc>
        <w:tc>
          <w:tcPr>
            <w:tcW w:w="8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8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9" w:hRule="atLeast"/>
        </w:trPr>
        <w:tc>
          <w:tcPr>
            <w:tcW w:w="68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2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w:t>
            </w:r>
          </w:p>
        </w:tc>
        <w:tc>
          <w:tcPr>
            <w:tcW w:w="17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5千万元～1亿元以内部分</w:t>
            </w:r>
          </w:p>
        </w:tc>
        <w:tc>
          <w:tcPr>
            <w:tcW w:w="14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综合价含主设(5千万元~1亿元以内部分)</w:t>
            </w:r>
          </w:p>
        </w:tc>
        <w:tc>
          <w:tcPr>
            <w:tcW w:w="6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0.82</w:t>
            </w:r>
          </w:p>
        </w:tc>
        <w:tc>
          <w:tcPr>
            <w:tcW w:w="8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8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8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2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w:t>
            </w:r>
          </w:p>
        </w:tc>
        <w:tc>
          <w:tcPr>
            <w:tcW w:w="17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1亿元以上部分</w:t>
            </w:r>
          </w:p>
        </w:tc>
        <w:tc>
          <w:tcPr>
            <w:tcW w:w="14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综合价含主设(1亿元以上部分)</w:t>
            </w:r>
          </w:p>
        </w:tc>
        <w:tc>
          <w:tcPr>
            <w:tcW w:w="6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0.41</w:t>
            </w:r>
          </w:p>
        </w:tc>
        <w:tc>
          <w:tcPr>
            <w:tcW w:w="8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8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9" w:hRule="atLeast"/>
        </w:trPr>
        <w:tc>
          <w:tcPr>
            <w:tcW w:w="68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2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7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夜间施工增加费</w:t>
            </w:r>
          </w:p>
        </w:tc>
        <w:tc>
          <w:tcPr>
            <w:tcW w:w="14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分部分项合计+单价措施项目合计-人材机价差</w:t>
            </w:r>
          </w:p>
        </w:tc>
        <w:tc>
          <w:tcPr>
            <w:tcW w:w="6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0.14</w:t>
            </w:r>
          </w:p>
        </w:tc>
        <w:tc>
          <w:tcPr>
            <w:tcW w:w="8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8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9" w:hRule="atLeast"/>
        </w:trPr>
        <w:tc>
          <w:tcPr>
            <w:tcW w:w="68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2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7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雨季施工增加费</w:t>
            </w:r>
          </w:p>
        </w:tc>
        <w:tc>
          <w:tcPr>
            <w:tcW w:w="14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分部分项合计+单价措施项目合计-人材机价差</w:t>
            </w:r>
          </w:p>
        </w:tc>
        <w:tc>
          <w:tcPr>
            <w:tcW w:w="6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0.61</w:t>
            </w:r>
          </w:p>
        </w:tc>
        <w:tc>
          <w:tcPr>
            <w:tcW w:w="8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8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9" w:hRule="atLeast"/>
        </w:trPr>
        <w:tc>
          <w:tcPr>
            <w:tcW w:w="68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2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7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视频监控费</w:t>
            </w:r>
          </w:p>
        </w:tc>
        <w:tc>
          <w:tcPr>
            <w:tcW w:w="14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8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编制预算或控制价时，视频监控费暂按租赁价每台球机1000元/月、每两台枪机800元/月计算，工程结算时，按实际费用计算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8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7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8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8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7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8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8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7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8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8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7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6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8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749" w:type="dxa"/>
            <w:gridSpan w:val="6"/>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833"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60"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51"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86"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trPr>
        <w:tc>
          <w:tcPr>
            <w:tcW w:w="9479" w:type="dxa"/>
            <w:gridSpan w:val="11"/>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编制人（造价人员）：                       复核人（造价工程师）：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9" w:hRule="atLeast"/>
        </w:trPr>
        <w:tc>
          <w:tcPr>
            <w:tcW w:w="9479" w:type="dxa"/>
            <w:gridSpan w:val="11"/>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注：1.“项目名称”可根据海南省现行的计价定额设置。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2.按施工方案计算的措施费，若无“计算基础”和“费率”的数值，也可只填“金额”数值，但应在备注栏说明施工方案出处或计算方法。</w:t>
            </w:r>
          </w:p>
        </w:tc>
      </w:tr>
    </w:tbl>
    <w:p>
      <w:r>
        <w:br w:type="page"/>
      </w:r>
    </w:p>
    <w:tbl>
      <w:tblPr>
        <w:tblStyle w:val="39"/>
        <w:tblW w:w="973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52"/>
        <w:gridCol w:w="3241"/>
        <w:gridCol w:w="338"/>
        <w:gridCol w:w="1753"/>
        <w:gridCol w:w="899"/>
        <w:gridCol w:w="644"/>
        <w:gridCol w:w="18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7" w:hRule="atLeast"/>
        </w:trPr>
        <w:tc>
          <w:tcPr>
            <w:tcW w:w="7283" w:type="dxa"/>
            <w:gridSpan w:val="5"/>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（招-表7）</w:t>
            </w:r>
          </w:p>
        </w:tc>
        <w:tc>
          <w:tcPr>
            <w:tcW w:w="2456" w:type="dxa"/>
            <w:gridSpan w:val="2"/>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4" w:hRule="atLeast"/>
        </w:trPr>
        <w:tc>
          <w:tcPr>
            <w:tcW w:w="9739" w:type="dxa"/>
            <w:gridSpan w:val="7"/>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其他项目清单与计价汇总表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4631"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工程名称：建筑工程</w:t>
            </w:r>
          </w:p>
        </w:tc>
        <w:tc>
          <w:tcPr>
            <w:tcW w:w="2652"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r>
              <w:rPr>
                <w:rFonts w:hint="eastAsia" w:ascii="宋体" w:hAnsi="宋体" w:cs="宋体"/>
                <w:i w:val="0"/>
                <w:iCs w:val="0"/>
                <w:color w:val="000000"/>
                <w:kern w:val="0"/>
                <w:sz w:val="20"/>
                <w:szCs w:val="20"/>
                <w:u w:val="none"/>
                <w:lang w:val="en-US" w:eastAsia="zh-CN" w:bidi="ar"/>
              </w:rPr>
              <w:t>烹饪、面点实训基地改造项目</w:t>
            </w:r>
          </w:p>
        </w:tc>
        <w:tc>
          <w:tcPr>
            <w:tcW w:w="2456"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1" w:hRule="atLeast"/>
        </w:trPr>
        <w:tc>
          <w:tcPr>
            <w:tcW w:w="1052"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3241"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091"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c>
          <w:tcPr>
            <w:tcW w:w="1543"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结算金额（元）</w:t>
            </w:r>
          </w:p>
        </w:tc>
        <w:tc>
          <w:tcPr>
            <w:tcW w:w="1812"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 w:hRule="atLeast"/>
        </w:trPr>
        <w:tc>
          <w:tcPr>
            <w:tcW w:w="10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2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暂列金额</w:t>
            </w:r>
          </w:p>
        </w:tc>
        <w:tc>
          <w:tcPr>
            <w:tcW w:w="20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4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 w:hRule="atLeast"/>
        </w:trPr>
        <w:tc>
          <w:tcPr>
            <w:tcW w:w="10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2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c>
          <w:tcPr>
            <w:tcW w:w="20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4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 w:hRule="atLeast"/>
        </w:trPr>
        <w:tc>
          <w:tcPr>
            <w:tcW w:w="10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32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材料暂估价</w:t>
            </w:r>
          </w:p>
        </w:tc>
        <w:tc>
          <w:tcPr>
            <w:tcW w:w="20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4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 w:hRule="atLeast"/>
        </w:trPr>
        <w:tc>
          <w:tcPr>
            <w:tcW w:w="10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32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专业工程暂估价</w:t>
            </w:r>
          </w:p>
        </w:tc>
        <w:tc>
          <w:tcPr>
            <w:tcW w:w="20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4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 w:hRule="atLeast"/>
        </w:trPr>
        <w:tc>
          <w:tcPr>
            <w:tcW w:w="10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2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计日工</w:t>
            </w:r>
          </w:p>
        </w:tc>
        <w:tc>
          <w:tcPr>
            <w:tcW w:w="20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4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 w:hRule="atLeast"/>
        </w:trPr>
        <w:tc>
          <w:tcPr>
            <w:tcW w:w="10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2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总承包服务费</w:t>
            </w:r>
          </w:p>
        </w:tc>
        <w:tc>
          <w:tcPr>
            <w:tcW w:w="20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4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 w:hRule="atLeast"/>
        </w:trPr>
        <w:tc>
          <w:tcPr>
            <w:tcW w:w="10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2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4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 w:hRule="atLeast"/>
        </w:trPr>
        <w:tc>
          <w:tcPr>
            <w:tcW w:w="10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2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4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 w:hRule="atLeast"/>
        </w:trPr>
        <w:tc>
          <w:tcPr>
            <w:tcW w:w="10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2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4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 w:hRule="atLeast"/>
        </w:trPr>
        <w:tc>
          <w:tcPr>
            <w:tcW w:w="10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2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4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 w:hRule="atLeast"/>
        </w:trPr>
        <w:tc>
          <w:tcPr>
            <w:tcW w:w="10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2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4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 w:hRule="atLeast"/>
        </w:trPr>
        <w:tc>
          <w:tcPr>
            <w:tcW w:w="10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2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4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 w:hRule="atLeast"/>
        </w:trPr>
        <w:tc>
          <w:tcPr>
            <w:tcW w:w="10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2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4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 w:hRule="atLeast"/>
        </w:trPr>
        <w:tc>
          <w:tcPr>
            <w:tcW w:w="10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2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4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 w:hRule="atLeast"/>
        </w:trPr>
        <w:tc>
          <w:tcPr>
            <w:tcW w:w="10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2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4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 w:hRule="atLeast"/>
        </w:trPr>
        <w:tc>
          <w:tcPr>
            <w:tcW w:w="10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2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4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 w:hRule="atLeast"/>
        </w:trPr>
        <w:tc>
          <w:tcPr>
            <w:tcW w:w="10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2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4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 w:hRule="atLeast"/>
        </w:trPr>
        <w:tc>
          <w:tcPr>
            <w:tcW w:w="10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2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4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 w:hRule="atLeast"/>
        </w:trPr>
        <w:tc>
          <w:tcPr>
            <w:tcW w:w="10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2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4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 w:hRule="atLeast"/>
        </w:trPr>
        <w:tc>
          <w:tcPr>
            <w:tcW w:w="10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2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4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 w:hRule="atLeast"/>
        </w:trPr>
        <w:tc>
          <w:tcPr>
            <w:tcW w:w="10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2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4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 w:hRule="atLeast"/>
        </w:trPr>
        <w:tc>
          <w:tcPr>
            <w:tcW w:w="10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2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4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 w:hRule="atLeast"/>
        </w:trPr>
        <w:tc>
          <w:tcPr>
            <w:tcW w:w="10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2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4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 w:hRule="atLeast"/>
        </w:trPr>
        <w:tc>
          <w:tcPr>
            <w:tcW w:w="10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2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4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 w:hRule="atLeast"/>
        </w:trPr>
        <w:tc>
          <w:tcPr>
            <w:tcW w:w="10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2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4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 w:hRule="atLeast"/>
        </w:trPr>
        <w:tc>
          <w:tcPr>
            <w:tcW w:w="10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2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4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 w:hRule="atLeast"/>
        </w:trPr>
        <w:tc>
          <w:tcPr>
            <w:tcW w:w="10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2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4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 w:hRule="atLeast"/>
        </w:trPr>
        <w:tc>
          <w:tcPr>
            <w:tcW w:w="10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2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4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 w:hRule="atLeast"/>
        </w:trPr>
        <w:tc>
          <w:tcPr>
            <w:tcW w:w="10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2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4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 w:hRule="atLeast"/>
        </w:trPr>
        <w:tc>
          <w:tcPr>
            <w:tcW w:w="10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2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4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 w:hRule="atLeast"/>
        </w:trPr>
        <w:tc>
          <w:tcPr>
            <w:tcW w:w="10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2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4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 w:hRule="atLeast"/>
        </w:trPr>
        <w:tc>
          <w:tcPr>
            <w:tcW w:w="10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2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4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7" w:hRule="atLeast"/>
        </w:trPr>
        <w:tc>
          <w:tcPr>
            <w:tcW w:w="4293" w:type="dxa"/>
            <w:gridSpan w:val="2"/>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2091"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543"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12"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bl>
    <w:p>
      <w:r>
        <w:br w:type="page"/>
      </w:r>
    </w:p>
    <w:tbl>
      <w:tblPr>
        <w:tblStyle w:val="39"/>
        <w:tblW w:w="97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58"/>
        <w:gridCol w:w="3889"/>
        <w:gridCol w:w="296"/>
        <w:gridCol w:w="1099"/>
        <w:gridCol w:w="1099"/>
        <w:gridCol w:w="845"/>
        <w:gridCol w:w="15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2" w:hRule="atLeast"/>
        </w:trPr>
        <w:tc>
          <w:tcPr>
            <w:tcW w:w="9780" w:type="dxa"/>
            <w:gridSpan w:val="7"/>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暂列金额明细表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4847"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工程名称：建筑工程</w:t>
            </w:r>
          </w:p>
        </w:tc>
        <w:tc>
          <w:tcPr>
            <w:tcW w:w="2494"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r>
              <w:rPr>
                <w:rFonts w:hint="eastAsia" w:ascii="宋体" w:hAnsi="宋体" w:cs="宋体"/>
                <w:i w:val="0"/>
                <w:iCs w:val="0"/>
                <w:color w:val="000000"/>
                <w:kern w:val="0"/>
                <w:sz w:val="20"/>
                <w:szCs w:val="20"/>
                <w:u w:val="none"/>
                <w:lang w:val="en-US" w:eastAsia="zh-CN" w:bidi="ar"/>
              </w:rPr>
              <w:t>烹饪、面点实训基地改造项目</w:t>
            </w:r>
          </w:p>
        </w:tc>
        <w:tc>
          <w:tcPr>
            <w:tcW w:w="2439"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 w:hRule="atLeast"/>
        </w:trPr>
        <w:tc>
          <w:tcPr>
            <w:tcW w:w="958"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418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名称</w:t>
            </w:r>
          </w:p>
        </w:tc>
        <w:tc>
          <w:tcPr>
            <w:tcW w:w="1099"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1944"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暂定金额（元）</w:t>
            </w:r>
          </w:p>
        </w:tc>
        <w:tc>
          <w:tcPr>
            <w:tcW w:w="159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 w:hRule="atLeast"/>
        </w:trPr>
        <w:tc>
          <w:tcPr>
            <w:tcW w:w="95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9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 w:hRule="atLeast"/>
        </w:trPr>
        <w:tc>
          <w:tcPr>
            <w:tcW w:w="95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1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9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 w:hRule="atLeast"/>
        </w:trPr>
        <w:tc>
          <w:tcPr>
            <w:tcW w:w="95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1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9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 w:hRule="atLeast"/>
        </w:trPr>
        <w:tc>
          <w:tcPr>
            <w:tcW w:w="95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1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9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 w:hRule="atLeast"/>
        </w:trPr>
        <w:tc>
          <w:tcPr>
            <w:tcW w:w="95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1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9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 w:hRule="atLeast"/>
        </w:trPr>
        <w:tc>
          <w:tcPr>
            <w:tcW w:w="95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1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9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 w:hRule="atLeast"/>
        </w:trPr>
        <w:tc>
          <w:tcPr>
            <w:tcW w:w="95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1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9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 w:hRule="atLeast"/>
        </w:trPr>
        <w:tc>
          <w:tcPr>
            <w:tcW w:w="95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1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9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 w:hRule="atLeast"/>
        </w:trPr>
        <w:tc>
          <w:tcPr>
            <w:tcW w:w="95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1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9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 w:hRule="atLeast"/>
        </w:trPr>
        <w:tc>
          <w:tcPr>
            <w:tcW w:w="95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1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9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 w:hRule="atLeast"/>
        </w:trPr>
        <w:tc>
          <w:tcPr>
            <w:tcW w:w="95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1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9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 w:hRule="atLeast"/>
        </w:trPr>
        <w:tc>
          <w:tcPr>
            <w:tcW w:w="95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1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9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 w:hRule="atLeast"/>
        </w:trPr>
        <w:tc>
          <w:tcPr>
            <w:tcW w:w="95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1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9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 w:hRule="atLeast"/>
        </w:trPr>
        <w:tc>
          <w:tcPr>
            <w:tcW w:w="95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1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9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 w:hRule="atLeast"/>
        </w:trPr>
        <w:tc>
          <w:tcPr>
            <w:tcW w:w="95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1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9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 w:hRule="atLeast"/>
        </w:trPr>
        <w:tc>
          <w:tcPr>
            <w:tcW w:w="95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1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9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 w:hRule="atLeast"/>
        </w:trPr>
        <w:tc>
          <w:tcPr>
            <w:tcW w:w="95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1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9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 w:hRule="atLeast"/>
        </w:trPr>
        <w:tc>
          <w:tcPr>
            <w:tcW w:w="95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1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9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 w:hRule="atLeast"/>
        </w:trPr>
        <w:tc>
          <w:tcPr>
            <w:tcW w:w="95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1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9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 w:hRule="atLeast"/>
        </w:trPr>
        <w:tc>
          <w:tcPr>
            <w:tcW w:w="95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1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9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 w:hRule="atLeast"/>
        </w:trPr>
        <w:tc>
          <w:tcPr>
            <w:tcW w:w="95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1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9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 w:hRule="atLeast"/>
        </w:trPr>
        <w:tc>
          <w:tcPr>
            <w:tcW w:w="95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1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9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 w:hRule="atLeast"/>
        </w:trPr>
        <w:tc>
          <w:tcPr>
            <w:tcW w:w="95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1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9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 w:hRule="atLeast"/>
        </w:trPr>
        <w:tc>
          <w:tcPr>
            <w:tcW w:w="95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1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9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 w:hRule="atLeast"/>
        </w:trPr>
        <w:tc>
          <w:tcPr>
            <w:tcW w:w="95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1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9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 w:hRule="atLeast"/>
        </w:trPr>
        <w:tc>
          <w:tcPr>
            <w:tcW w:w="95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1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9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 w:hRule="atLeast"/>
        </w:trPr>
        <w:tc>
          <w:tcPr>
            <w:tcW w:w="95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1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9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 w:hRule="atLeast"/>
        </w:trPr>
        <w:tc>
          <w:tcPr>
            <w:tcW w:w="95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1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9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 w:hRule="atLeast"/>
        </w:trPr>
        <w:tc>
          <w:tcPr>
            <w:tcW w:w="95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1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9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 w:hRule="atLeast"/>
        </w:trPr>
        <w:tc>
          <w:tcPr>
            <w:tcW w:w="95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1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9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 w:hRule="atLeast"/>
        </w:trPr>
        <w:tc>
          <w:tcPr>
            <w:tcW w:w="6242" w:type="dxa"/>
            <w:gridSpan w:val="4"/>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1944"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94"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 w:hRule="atLeast"/>
        </w:trPr>
        <w:tc>
          <w:tcPr>
            <w:tcW w:w="9780" w:type="dxa"/>
            <w:gridSpan w:val="7"/>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注：此表由招标人填写，如不能详列，也可只列暂列金额总额，投标人应将上述暂列金额计入投标总价中。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 w:hRule="atLeast"/>
        </w:trPr>
        <w:tc>
          <w:tcPr>
            <w:tcW w:w="4847" w:type="dxa"/>
            <w:gridSpan w:val="2"/>
            <w:tcBorders>
              <w:top w:val="nil"/>
              <w:left w:val="nil"/>
              <w:bottom w:val="nil"/>
              <w:right w:val="nil"/>
            </w:tcBorders>
            <w:shd w:val="clear" w:color="FFFFFF" w:fill="FFFFFF"/>
            <w:vAlign w:val="bottom"/>
          </w:tcPr>
          <w:p>
            <w:pPr>
              <w:jc w:val="left"/>
              <w:rPr>
                <w:rFonts w:hint="eastAsia" w:ascii="宋体" w:hAnsi="宋体" w:eastAsia="宋体" w:cs="宋体"/>
                <w:i w:val="0"/>
                <w:iCs w:val="0"/>
                <w:color w:val="000000"/>
                <w:sz w:val="18"/>
                <w:szCs w:val="18"/>
                <w:u w:val="none"/>
              </w:rPr>
            </w:pPr>
          </w:p>
        </w:tc>
        <w:tc>
          <w:tcPr>
            <w:tcW w:w="2494"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439" w:type="dxa"/>
            <w:gridSpan w:val="2"/>
            <w:tcBorders>
              <w:top w:val="nil"/>
              <w:left w:val="nil"/>
              <w:bottom w:val="nil"/>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nil"/>
              <w:left w:val="nil"/>
              <w:bottom w:val="nil"/>
              <w:right w:val="nil"/>
            </w:tcBorders>
            <w:shd w:val="clear" w:color="auto" w:fill="auto"/>
            <w:noWrap/>
            <w:vAlign w:val="bottom"/>
          </w:tcPr>
          <w:p>
            <w:pPr>
              <w:rPr>
                <w:rFonts w:hint="eastAsia"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bl>
    <w:p>
      <w:r>
        <w:br w:type="page"/>
      </w:r>
    </w:p>
    <w:tbl>
      <w:tblPr>
        <w:tblStyle w:val="39"/>
        <w:tblW w:w="943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2"/>
        <w:gridCol w:w="763"/>
        <w:gridCol w:w="78"/>
        <w:gridCol w:w="953"/>
        <w:gridCol w:w="3297"/>
        <w:gridCol w:w="2256"/>
        <w:gridCol w:w="668"/>
        <w:gridCol w:w="8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 w:hRule="atLeast"/>
        </w:trPr>
        <w:tc>
          <w:tcPr>
            <w:tcW w:w="1572" w:type="dxa"/>
            <w:gridSpan w:val="3"/>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（招-表8）</w:t>
            </w:r>
          </w:p>
        </w:tc>
        <w:tc>
          <w:tcPr>
            <w:tcW w:w="4022" w:type="dxa"/>
            <w:gridSpan w:val="2"/>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844"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9" w:hRule="atLeast"/>
        </w:trPr>
        <w:tc>
          <w:tcPr>
            <w:tcW w:w="9438" w:type="dxa"/>
            <w:gridSpan w:val="8"/>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规费、税金项目计价表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4" w:hRule="atLeast"/>
        </w:trPr>
        <w:tc>
          <w:tcPr>
            <w:tcW w:w="1572"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工程名称：建筑工程</w:t>
            </w:r>
          </w:p>
        </w:tc>
        <w:tc>
          <w:tcPr>
            <w:tcW w:w="4022" w:type="dxa"/>
            <w:gridSpan w:val="2"/>
            <w:tcBorders>
              <w:top w:val="nil"/>
              <w:left w:val="nil"/>
              <w:bottom w:val="nil"/>
              <w:right w:val="nil"/>
            </w:tcBorders>
            <w:shd w:val="clear" w:color="FFFFFF"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r>
              <w:rPr>
                <w:rFonts w:hint="eastAsia" w:ascii="宋体" w:hAnsi="宋体" w:cs="宋体"/>
                <w:i w:val="0"/>
                <w:iCs w:val="0"/>
                <w:color w:val="000000"/>
                <w:kern w:val="0"/>
                <w:sz w:val="20"/>
                <w:szCs w:val="20"/>
                <w:u w:val="none"/>
                <w:lang w:val="en-US" w:eastAsia="zh-CN" w:bidi="ar"/>
              </w:rPr>
              <w:t>烹饪、面点实训基地改造项目</w:t>
            </w:r>
          </w:p>
        </w:tc>
        <w:tc>
          <w:tcPr>
            <w:tcW w:w="3844"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0" w:hRule="atLeast"/>
        </w:trPr>
        <w:tc>
          <w:tcPr>
            <w:tcW w:w="627"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864"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110"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计算基础</w:t>
            </w:r>
          </w:p>
        </w:tc>
        <w:tc>
          <w:tcPr>
            <w:tcW w:w="527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计算基数</w:t>
            </w:r>
          </w:p>
        </w:tc>
        <w:tc>
          <w:tcPr>
            <w:tcW w:w="704"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计算费率(%)</w:t>
            </w:r>
          </w:p>
        </w:tc>
        <w:tc>
          <w:tcPr>
            <w:tcW w:w="858"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95" w:hRule="atLeast"/>
        </w:trPr>
        <w:tc>
          <w:tcPr>
            <w:tcW w:w="62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6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规费</w:t>
            </w:r>
          </w:p>
        </w:tc>
        <w:tc>
          <w:tcPr>
            <w:tcW w:w="11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其中：建筑垃圾处置费+其中：社会保险费</w:t>
            </w:r>
          </w:p>
        </w:tc>
        <w:tc>
          <w:tcPr>
            <w:tcW w:w="52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D1 + D2</w:t>
            </w:r>
          </w:p>
        </w:tc>
        <w:tc>
          <w:tcPr>
            <w:tcW w:w="7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5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1" w:hRule="atLeast"/>
        </w:trPr>
        <w:tc>
          <w:tcPr>
            <w:tcW w:w="62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86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其中：垃圾处置费</w:t>
            </w:r>
          </w:p>
        </w:tc>
        <w:tc>
          <w:tcPr>
            <w:tcW w:w="11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2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5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6" w:hRule="atLeast"/>
        </w:trPr>
        <w:tc>
          <w:tcPr>
            <w:tcW w:w="62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86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其中：社保费</w:t>
            </w:r>
          </w:p>
        </w:tc>
        <w:tc>
          <w:tcPr>
            <w:tcW w:w="11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(分部分项定额人工费+单价措施定额人工费+分部分项定额机上人工费+单价措施定额机上人工费)*0.7</w:t>
            </w:r>
          </w:p>
        </w:tc>
        <w:tc>
          <w:tcPr>
            <w:tcW w:w="52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(FBFX_DERGF+DJCS_DERGF+FBFX_DEJSRGF+DJCS_DEJSRGF)*0.7</w:t>
            </w:r>
          </w:p>
        </w:tc>
        <w:tc>
          <w:tcPr>
            <w:tcW w:w="7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23.5</w:t>
            </w:r>
          </w:p>
        </w:tc>
        <w:tc>
          <w:tcPr>
            <w:tcW w:w="85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95" w:hRule="atLeast"/>
        </w:trPr>
        <w:tc>
          <w:tcPr>
            <w:tcW w:w="62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6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税金</w:t>
            </w:r>
          </w:p>
        </w:tc>
        <w:tc>
          <w:tcPr>
            <w:tcW w:w="111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分部分项工程费+措施项目费+其他项目费+规费</w:t>
            </w:r>
          </w:p>
        </w:tc>
        <w:tc>
          <w:tcPr>
            <w:tcW w:w="52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w:t>
            </w:r>
          </w:p>
        </w:tc>
        <w:tc>
          <w:tcPr>
            <w:tcW w:w="7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85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2601" w:type="dxa"/>
            <w:gridSpan w:val="4"/>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527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04"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58"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3" w:hRule="atLeast"/>
        </w:trPr>
        <w:tc>
          <w:tcPr>
            <w:tcW w:w="1572" w:type="dxa"/>
            <w:gridSpan w:val="3"/>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编制人（造价人员）：</w:t>
            </w:r>
          </w:p>
        </w:tc>
        <w:tc>
          <w:tcPr>
            <w:tcW w:w="7866" w:type="dxa"/>
            <w:gridSpan w:val="5"/>
            <w:tcBorders>
              <w:top w:val="nil"/>
              <w:left w:val="nil"/>
              <w:bottom w:val="nil"/>
              <w:right w:val="nil"/>
            </w:tcBorders>
            <w:shd w:val="clear" w:color="FFFFFF"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复核人（造价工程师）：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 w:hRule="atLeast"/>
        </w:trPr>
        <w:tc>
          <w:tcPr>
            <w:tcW w:w="9438" w:type="dxa"/>
            <w:gridSpan w:val="8"/>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注：“项目名称”可根据海南省现行的计价定额设置。</w:t>
            </w:r>
          </w:p>
        </w:tc>
      </w:tr>
    </w:tbl>
    <w:p>
      <w:r>
        <w:br w:type="page"/>
      </w:r>
    </w:p>
    <w:tbl>
      <w:tblPr>
        <w:tblStyle w:val="39"/>
        <w:tblW w:w="969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82"/>
        <w:gridCol w:w="1961"/>
        <w:gridCol w:w="1650"/>
        <w:gridCol w:w="1372"/>
        <w:gridCol w:w="1030"/>
        <w:gridCol w:w="24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 w:hRule="atLeast"/>
        </w:trPr>
        <w:tc>
          <w:tcPr>
            <w:tcW w:w="3243" w:type="dxa"/>
            <w:gridSpan w:val="2"/>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（招-表3）</w:t>
            </w:r>
          </w:p>
        </w:tc>
        <w:tc>
          <w:tcPr>
            <w:tcW w:w="3022" w:type="dxa"/>
            <w:gridSpan w:val="2"/>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434" w:type="dxa"/>
            <w:gridSpan w:val="2"/>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 w:hRule="atLeast"/>
        </w:trPr>
        <w:tc>
          <w:tcPr>
            <w:tcW w:w="9699" w:type="dxa"/>
            <w:gridSpan w:val="6"/>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单位工程招标控制价汇总表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3243"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工程名称：厨房设备采购安装及水电安装工程</w:t>
            </w:r>
          </w:p>
        </w:tc>
        <w:tc>
          <w:tcPr>
            <w:tcW w:w="3022" w:type="dxa"/>
            <w:gridSpan w:val="2"/>
            <w:tcBorders>
              <w:top w:val="nil"/>
              <w:left w:val="nil"/>
              <w:bottom w:val="nil"/>
              <w:right w:val="nil"/>
            </w:tcBorders>
            <w:shd w:val="clear" w:color="FFFFFF" w:fill="FFFFFF"/>
            <w:vAlign w:val="bottom"/>
          </w:tcPr>
          <w:p>
            <w:pPr>
              <w:jc w:val="right"/>
              <w:rPr>
                <w:rFonts w:hint="eastAsia" w:ascii="宋体" w:hAnsi="宋体" w:eastAsia="宋体" w:cs="宋体"/>
                <w:i w:val="0"/>
                <w:iCs w:val="0"/>
                <w:color w:val="000000"/>
                <w:sz w:val="20"/>
                <w:szCs w:val="20"/>
                <w:u w:val="none"/>
              </w:rPr>
            </w:pPr>
          </w:p>
        </w:tc>
        <w:tc>
          <w:tcPr>
            <w:tcW w:w="3434"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 w:hRule="atLeast"/>
        </w:trPr>
        <w:tc>
          <w:tcPr>
            <w:tcW w:w="1282"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3611"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汇总内容</w:t>
            </w:r>
          </w:p>
        </w:tc>
        <w:tc>
          <w:tcPr>
            <w:tcW w:w="2402"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c>
          <w:tcPr>
            <w:tcW w:w="240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 w:hRule="atLeast"/>
        </w:trPr>
        <w:tc>
          <w:tcPr>
            <w:tcW w:w="128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w:t>
            </w:r>
          </w:p>
        </w:tc>
        <w:tc>
          <w:tcPr>
            <w:tcW w:w="361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分部分项工程费</w:t>
            </w:r>
          </w:p>
        </w:tc>
        <w:tc>
          <w:tcPr>
            <w:tcW w:w="240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 w:hRule="atLeast"/>
        </w:trPr>
        <w:tc>
          <w:tcPr>
            <w:tcW w:w="128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361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恢复工程-水电部分</w:t>
            </w:r>
          </w:p>
        </w:tc>
        <w:tc>
          <w:tcPr>
            <w:tcW w:w="240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 w:hRule="atLeast"/>
        </w:trPr>
        <w:tc>
          <w:tcPr>
            <w:tcW w:w="128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361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设备安装工程</w:t>
            </w:r>
          </w:p>
        </w:tc>
        <w:tc>
          <w:tcPr>
            <w:tcW w:w="240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 w:hRule="atLeast"/>
        </w:trPr>
        <w:tc>
          <w:tcPr>
            <w:tcW w:w="128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361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配电工程</w:t>
            </w:r>
          </w:p>
        </w:tc>
        <w:tc>
          <w:tcPr>
            <w:tcW w:w="240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 w:hRule="atLeast"/>
        </w:trPr>
        <w:tc>
          <w:tcPr>
            <w:tcW w:w="128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w:t>
            </w:r>
          </w:p>
        </w:tc>
        <w:tc>
          <w:tcPr>
            <w:tcW w:w="361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措施项目费</w:t>
            </w:r>
          </w:p>
        </w:tc>
        <w:tc>
          <w:tcPr>
            <w:tcW w:w="240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 w:hRule="atLeast"/>
        </w:trPr>
        <w:tc>
          <w:tcPr>
            <w:tcW w:w="128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61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施工单价措施项目费</w:t>
            </w:r>
          </w:p>
        </w:tc>
        <w:tc>
          <w:tcPr>
            <w:tcW w:w="240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 w:hRule="atLeast"/>
        </w:trPr>
        <w:tc>
          <w:tcPr>
            <w:tcW w:w="128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61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施工总价措施项目费</w:t>
            </w:r>
          </w:p>
        </w:tc>
        <w:tc>
          <w:tcPr>
            <w:tcW w:w="240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 w:hRule="atLeast"/>
        </w:trPr>
        <w:tc>
          <w:tcPr>
            <w:tcW w:w="128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361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其中：安全防护、文明施工费</w:t>
            </w:r>
          </w:p>
        </w:tc>
        <w:tc>
          <w:tcPr>
            <w:tcW w:w="240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 w:hRule="atLeast"/>
        </w:trPr>
        <w:tc>
          <w:tcPr>
            <w:tcW w:w="128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361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其中：临时设施费</w:t>
            </w:r>
          </w:p>
        </w:tc>
        <w:tc>
          <w:tcPr>
            <w:tcW w:w="240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 w:hRule="atLeast"/>
        </w:trPr>
        <w:tc>
          <w:tcPr>
            <w:tcW w:w="128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361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其中：雨季施工增加费</w:t>
            </w:r>
          </w:p>
        </w:tc>
        <w:tc>
          <w:tcPr>
            <w:tcW w:w="240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 w:hRule="atLeast"/>
        </w:trPr>
        <w:tc>
          <w:tcPr>
            <w:tcW w:w="128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361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其中：夜间施工增加费</w:t>
            </w:r>
          </w:p>
        </w:tc>
        <w:tc>
          <w:tcPr>
            <w:tcW w:w="240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 w:hRule="atLeast"/>
        </w:trPr>
        <w:tc>
          <w:tcPr>
            <w:tcW w:w="128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361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其中：视频监控费</w:t>
            </w:r>
          </w:p>
        </w:tc>
        <w:tc>
          <w:tcPr>
            <w:tcW w:w="240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 w:hRule="atLeast"/>
        </w:trPr>
        <w:tc>
          <w:tcPr>
            <w:tcW w:w="128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w:t>
            </w:r>
          </w:p>
        </w:tc>
        <w:tc>
          <w:tcPr>
            <w:tcW w:w="361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其他项目费</w:t>
            </w:r>
          </w:p>
        </w:tc>
        <w:tc>
          <w:tcPr>
            <w:tcW w:w="240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 w:hRule="atLeast"/>
        </w:trPr>
        <w:tc>
          <w:tcPr>
            <w:tcW w:w="128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361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其中：暂列金额</w:t>
            </w:r>
          </w:p>
        </w:tc>
        <w:tc>
          <w:tcPr>
            <w:tcW w:w="240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 w:hRule="atLeast"/>
        </w:trPr>
        <w:tc>
          <w:tcPr>
            <w:tcW w:w="128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361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w:t>
            </w:r>
          </w:p>
        </w:tc>
        <w:tc>
          <w:tcPr>
            <w:tcW w:w="240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 w:hRule="atLeast"/>
        </w:trPr>
        <w:tc>
          <w:tcPr>
            <w:tcW w:w="128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361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其中：计日工</w:t>
            </w:r>
          </w:p>
        </w:tc>
        <w:tc>
          <w:tcPr>
            <w:tcW w:w="240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 w:hRule="atLeast"/>
        </w:trPr>
        <w:tc>
          <w:tcPr>
            <w:tcW w:w="128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361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其中：总承包服务费</w:t>
            </w:r>
          </w:p>
        </w:tc>
        <w:tc>
          <w:tcPr>
            <w:tcW w:w="240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 w:hRule="atLeast"/>
        </w:trPr>
        <w:tc>
          <w:tcPr>
            <w:tcW w:w="128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w:t>
            </w:r>
          </w:p>
        </w:tc>
        <w:tc>
          <w:tcPr>
            <w:tcW w:w="361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规费</w:t>
            </w:r>
          </w:p>
        </w:tc>
        <w:tc>
          <w:tcPr>
            <w:tcW w:w="240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 w:hRule="atLeast"/>
        </w:trPr>
        <w:tc>
          <w:tcPr>
            <w:tcW w:w="128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61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其中：垃圾处置费</w:t>
            </w:r>
          </w:p>
        </w:tc>
        <w:tc>
          <w:tcPr>
            <w:tcW w:w="240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 w:hRule="atLeast"/>
        </w:trPr>
        <w:tc>
          <w:tcPr>
            <w:tcW w:w="128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61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其中：社保费</w:t>
            </w:r>
          </w:p>
        </w:tc>
        <w:tc>
          <w:tcPr>
            <w:tcW w:w="240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 w:hRule="atLeast"/>
        </w:trPr>
        <w:tc>
          <w:tcPr>
            <w:tcW w:w="128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w:t>
            </w:r>
          </w:p>
        </w:tc>
        <w:tc>
          <w:tcPr>
            <w:tcW w:w="361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税金</w:t>
            </w:r>
          </w:p>
        </w:tc>
        <w:tc>
          <w:tcPr>
            <w:tcW w:w="240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 w:hRule="atLeast"/>
        </w:trPr>
        <w:tc>
          <w:tcPr>
            <w:tcW w:w="128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61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40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 w:hRule="atLeast"/>
        </w:trPr>
        <w:tc>
          <w:tcPr>
            <w:tcW w:w="128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61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40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 w:hRule="atLeast"/>
        </w:trPr>
        <w:tc>
          <w:tcPr>
            <w:tcW w:w="128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61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40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 w:hRule="atLeast"/>
        </w:trPr>
        <w:tc>
          <w:tcPr>
            <w:tcW w:w="128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61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40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3" w:hRule="atLeast"/>
        </w:trPr>
        <w:tc>
          <w:tcPr>
            <w:tcW w:w="4893" w:type="dxa"/>
            <w:gridSpan w:val="3"/>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招标控制价合计=一+二+三+四+五</w:t>
            </w:r>
          </w:p>
        </w:tc>
        <w:tc>
          <w:tcPr>
            <w:tcW w:w="2402"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4"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bl>
    <w:p>
      <w:r>
        <w:br w:type="page"/>
      </w:r>
    </w:p>
    <w:tbl>
      <w:tblPr>
        <w:tblStyle w:val="39"/>
        <w:tblW w:w="983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04"/>
        <w:gridCol w:w="1416"/>
        <w:gridCol w:w="1616"/>
        <w:gridCol w:w="1893"/>
        <w:gridCol w:w="357"/>
        <w:gridCol w:w="473"/>
        <w:gridCol w:w="721"/>
        <w:gridCol w:w="430"/>
        <w:gridCol w:w="474"/>
        <w:gridCol w:w="904"/>
        <w:gridCol w:w="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249"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（招-表4）</w:t>
            </w:r>
          </w:p>
        </w:tc>
        <w:tc>
          <w:tcPr>
            <w:tcW w:w="2063"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526"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trPr>
        <w:tc>
          <w:tcPr>
            <w:tcW w:w="9838"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4" w:hRule="atLeast"/>
        </w:trPr>
        <w:tc>
          <w:tcPr>
            <w:tcW w:w="5249"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工程名称：厨房设备采购安装及水电安装工程</w:t>
            </w:r>
          </w:p>
        </w:tc>
        <w:tc>
          <w:tcPr>
            <w:tcW w:w="2063"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r>
              <w:rPr>
                <w:rFonts w:hint="eastAsia" w:ascii="宋体" w:hAnsi="宋体" w:cs="宋体"/>
                <w:i w:val="0"/>
                <w:iCs w:val="0"/>
                <w:color w:val="000000"/>
                <w:kern w:val="0"/>
                <w:sz w:val="20"/>
                <w:szCs w:val="20"/>
                <w:u w:val="none"/>
                <w:lang w:val="en-US" w:eastAsia="zh-CN" w:bidi="ar"/>
              </w:rPr>
              <w:t>烹饪、面点实训基地改造项目</w:t>
            </w:r>
          </w:p>
        </w:tc>
        <w:tc>
          <w:tcPr>
            <w:tcW w:w="2526"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10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619"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338"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项目编码</w:t>
            </w:r>
          </w:p>
        </w:tc>
        <w:tc>
          <w:tcPr>
            <w:tcW w:w="152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2128"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项目特征描述</w:t>
            </w:r>
          </w:p>
        </w:tc>
        <w:tc>
          <w:tcPr>
            <w:tcW w:w="483"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计量单位</w:t>
            </w:r>
          </w:p>
        </w:tc>
        <w:tc>
          <w:tcPr>
            <w:tcW w:w="75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工程量</w:t>
            </w:r>
          </w:p>
        </w:tc>
        <w:tc>
          <w:tcPr>
            <w:tcW w:w="2988"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7" w:hRule="atLeast"/>
        </w:trPr>
        <w:tc>
          <w:tcPr>
            <w:tcW w:w="619"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338"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52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128"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483"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75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综合单价</w:t>
            </w: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合价</w:t>
            </w: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整个项目</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恢复工程-水电部分</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030412002001</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工厂灯</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1.名称:工业条形灯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2.规格:300*1200</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6"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030411001001</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配管</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1.名称:PVC管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2.材质:pvc管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3.规格:DN600 8KN/㎡</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4.配置形式:胶圈接口</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030411004001</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配线</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1.配线形式:管内穿线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2.规格:6mm2以内</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420</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030404034001</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照明开关</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1.照明开关</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030404035001</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插座</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1.五孔插座</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031001006001</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给水管</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1.材质、规格:PPR、外径32mm</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031001006002</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排水管</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1.材质、规格:PVC、外径50mm</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031003001001</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螺纹阀门</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1.三角阀门</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031004014001</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给、排水附(配)件</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1.材质:水龙头</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设备安装工程</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二楼厨房设备</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8"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03B001</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双头单尾燃气小炒炉</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1.品牌:和泰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2.规格:1800*1000*800+450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3.产品说明:1、炉面板采用优质1.0mm磨砂不锈钢冲压面板；2、炉体骨架采用角铁及扁通组成，涂有防锈漆； 3、侧板、门板、后背板厚度为0.8mm磨砂不锈钢板；4、脚管采用Φ60钢管加优质可调节子弹脚；</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7"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03B002</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燃气蒸汽机七星蒸炉</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1.品牌:铁坚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2.规格:1000*900*800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3.产品说明:1、炉面板采用优质1.0mm磨砂不锈钢冲压面板；2、炉</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7838" w:type="dxa"/>
            <w:gridSpan w:val="9"/>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988"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249"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（招-表4）</w:t>
            </w:r>
          </w:p>
        </w:tc>
        <w:tc>
          <w:tcPr>
            <w:tcW w:w="2063"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526"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trPr>
        <w:tc>
          <w:tcPr>
            <w:tcW w:w="9838"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4" w:hRule="atLeast"/>
        </w:trPr>
        <w:tc>
          <w:tcPr>
            <w:tcW w:w="5249"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工程名称：厨房设备采购安装及水电安装工程</w:t>
            </w:r>
          </w:p>
        </w:tc>
        <w:tc>
          <w:tcPr>
            <w:tcW w:w="2063"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r>
              <w:rPr>
                <w:rFonts w:hint="eastAsia" w:ascii="宋体" w:hAnsi="宋体" w:cs="宋体"/>
                <w:i w:val="0"/>
                <w:iCs w:val="0"/>
                <w:color w:val="000000"/>
                <w:kern w:val="0"/>
                <w:sz w:val="20"/>
                <w:szCs w:val="20"/>
                <w:u w:val="none"/>
                <w:lang w:val="en-US" w:eastAsia="zh-CN" w:bidi="ar"/>
              </w:rPr>
              <w:t>烹饪、面点实训基地改造项目</w:t>
            </w:r>
          </w:p>
        </w:tc>
        <w:tc>
          <w:tcPr>
            <w:tcW w:w="2526"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2 页  共 10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619"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338"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项目编码</w:t>
            </w:r>
          </w:p>
        </w:tc>
        <w:tc>
          <w:tcPr>
            <w:tcW w:w="152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2128"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项目特征描述</w:t>
            </w:r>
          </w:p>
        </w:tc>
        <w:tc>
          <w:tcPr>
            <w:tcW w:w="483"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计量单位</w:t>
            </w:r>
          </w:p>
        </w:tc>
        <w:tc>
          <w:tcPr>
            <w:tcW w:w="75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工程量</w:t>
            </w:r>
          </w:p>
        </w:tc>
        <w:tc>
          <w:tcPr>
            <w:tcW w:w="2988"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7" w:hRule="atLeast"/>
        </w:trPr>
        <w:tc>
          <w:tcPr>
            <w:tcW w:w="619"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338"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52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128"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483"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75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综合单价</w:t>
            </w: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合价</w:t>
            </w: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90"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体骨架采用角铁及扁通组成，涂有防锈漆； 3、侧板、门板、后背板厚度为0.8mm磨砂不锈钢板；4、脚管采用Φ60钢管加优质可调节子弹脚；</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46"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03B003</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单头单尾电炒炉</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1.品牌:和泰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2.规格:1100*1000*800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3.产品说明:1、炉面板采用优质1.0mm磨砂不锈钢冲压面板；2、炉体骨架采用角铁及扁通组成，涂有防锈漆； 3、侧板、门板、后背板厚度为0.8mm磨砂不锈钢板；4、脚管采用Φ60钢管加优质可调节子弹脚；</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46"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01B001</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燃气四头煲仔炉</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1.品牌:和泰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2.规格:600*750*800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3.产品说明:1、炉面板采用优质1.0mm磨砂不锈钢冲压面板；2、炉体骨架采用角铁及扁通组成，涂有防锈漆； 3、侧板、门板、后背板厚度为0.8mm磨砂不锈钢板；4、脚管采用Φ60钢管加优质可调节子弹脚；</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6"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01B002</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炉拼台</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1.规格:300*1000*800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2.产品说明:用料：面板采用优质1.2mm磨砂不锈钢制作</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6"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01B003</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炉拼台</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1.规格:500*1000*800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2.产品说明:用料：面板采用优质1.2mm磨砂不锈钢制作</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6"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01B004</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地沟盖板</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1.规格:300*580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2.产品说明:用料：面板采用优质1.2mm磨砂不锈钢制作</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7838" w:type="dxa"/>
            <w:gridSpan w:val="9"/>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988"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249"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（招-表4）</w:t>
            </w:r>
          </w:p>
        </w:tc>
        <w:tc>
          <w:tcPr>
            <w:tcW w:w="2063"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526"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trPr>
        <w:tc>
          <w:tcPr>
            <w:tcW w:w="9838"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4" w:hRule="atLeast"/>
        </w:trPr>
        <w:tc>
          <w:tcPr>
            <w:tcW w:w="5249"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工程名称：厨房设备采购安装及水电安装工程</w:t>
            </w:r>
          </w:p>
        </w:tc>
        <w:tc>
          <w:tcPr>
            <w:tcW w:w="2063"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r>
              <w:rPr>
                <w:rFonts w:hint="eastAsia" w:ascii="宋体" w:hAnsi="宋体" w:cs="宋体"/>
                <w:i w:val="0"/>
                <w:iCs w:val="0"/>
                <w:color w:val="000000"/>
                <w:kern w:val="0"/>
                <w:sz w:val="20"/>
                <w:szCs w:val="20"/>
                <w:u w:val="none"/>
                <w:lang w:val="en-US" w:eastAsia="zh-CN" w:bidi="ar"/>
              </w:rPr>
              <w:t>烹饪、面点实训基地改造项目</w:t>
            </w:r>
          </w:p>
        </w:tc>
        <w:tc>
          <w:tcPr>
            <w:tcW w:w="2526"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3 页  共 10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619"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338"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项目编码</w:t>
            </w:r>
          </w:p>
        </w:tc>
        <w:tc>
          <w:tcPr>
            <w:tcW w:w="152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2128"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项目特征描述</w:t>
            </w:r>
          </w:p>
        </w:tc>
        <w:tc>
          <w:tcPr>
            <w:tcW w:w="483"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计量单位</w:t>
            </w:r>
          </w:p>
        </w:tc>
        <w:tc>
          <w:tcPr>
            <w:tcW w:w="75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工程量</w:t>
            </w:r>
          </w:p>
        </w:tc>
        <w:tc>
          <w:tcPr>
            <w:tcW w:w="2988"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7" w:hRule="atLeast"/>
        </w:trPr>
        <w:tc>
          <w:tcPr>
            <w:tcW w:w="619"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338"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52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128"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483"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75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综合单价</w:t>
            </w: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合价</w:t>
            </w: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三楼厨房设备</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8"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01B005</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双头单尾燃气小炒炉</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1.品牌:和泰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2.规格:1800*850*800+450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3.产品说明:1、炉面板采用优质1.0mm磨砂不锈钢冲压面板；2、炉体骨架采用角铁及扁通组成，涂有防锈漆； 3、侧板、门板、后背板厚度为0.8mm磨砂不锈钢板；4、脚管采用Φ60钢管加优质可调节子弹脚；</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46"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01B006</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单头单尾炒炉</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1.品牌:和泰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2.规格:850*800*800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3.产品说明:1、炉面板采用优质1.0mm磨砂不锈钢冲压面板；2、炉体骨架采用角铁及扁通组成，涂有防锈漆； 3、侧板、门板、后背板厚度为0.8mm磨砂不锈钢板；4、脚管采用Φ60钢管加优质可调节子弹脚；</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二楼抽烟系统</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3"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01B007</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不锈钢烟罩</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1.规格:9626*2200*600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2.产品说明:用料：采用优质1.2mm磨砂不锈钢制作</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3"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01B008</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不锈钢烟罩</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1.规格:9626*2200*600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2.产品说明:用料：采用优质1.2mm磨砂不锈钢制作</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3"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01B011</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不锈钢烟罩</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1.规格:12000*1000*600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2.产品说明:用料：采用优质1.2mm磨砂不锈钢制作</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01B012</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不锈钢隔油网</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1.规格:500*500*50</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7838" w:type="dxa"/>
            <w:gridSpan w:val="9"/>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988"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249"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（招-表4）</w:t>
            </w:r>
          </w:p>
        </w:tc>
        <w:tc>
          <w:tcPr>
            <w:tcW w:w="2063"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526"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trPr>
        <w:tc>
          <w:tcPr>
            <w:tcW w:w="9838"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4" w:hRule="atLeast"/>
        </w:trPr>
        <w:tc>
          <w:tcPr>
            <w:tcW w:w="5249"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工程名称：厨房设备采购安装及水电安装工程</w:t>
            </w:r>
          </w:p>
        </w:tc>
        <w:tc>
          <w:tcPr>
            <w:tcW w:w="2063"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r>
              <w:rPr>
                <w:rFonts w:hint="eastAsia" w:ascii="宋体" w:hAnsi="宋体" w:cs="宋体"/>
                <w:i w:val="0"/>
                <w:iCs w:val="0"/>
                <w:color w:val="000000"/>
                <w:kern w:val="0"/>
                <w:sz w:val="20"/>
                <w:szCs w:val="20"/>
                <w:u w:val="none"/>
                <w:lang w:val="en-US" w:eastAsia="zh-CN" w:bidi="ar"/>
              </w:rPr>
              <w:t>烹饪、面点实训基地改造项目</w:t>
            </w:r>
          </w:p>
        </w:tc>
        <w:tc>
          <w:tcPr>
            <w:tcW w:w="2526"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4 页  共 10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619"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338"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项目编码</w:t>
            </w:r>
          </w:p>
        </w:tc>
        <w:tc>
          <w:tcPr>
            <w:tcW w:w="152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2128"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项目特征描述</w:t>
            </w:r>
          </w:p>
        </w:tc>
        <w:tc>
          <w:tcPr>
            <w:tcW w:w="483"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计量单位</w:t>
            </w:r>
          </w:p>
        </w:tc>
        <w:tc>
          <w:tcPr>
            <w:tcW w:w="75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工程量</w:t>
            </w:r>
          </w:p>
        </w:tc>
        <w:tc>
          <w:tcPr>
            <w:tcW w:w="2988"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7" w:hRule="atLeast"/>
        </w:trPr>
        <w:tc>
          <w:tcPr>
            <w:tcW w:w="619"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338"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52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128"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483"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75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综合单价</w:t>
            </w: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合价</w:t>
            </w: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4"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2.产品说明:用料：采用优质1.2mm磨砂不锈钢制作</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01B013</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风柜（排风）</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1.品牌:恒利通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2.规格:18.5kw/380v</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6"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01B014</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电机</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1.品牌:恒利通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2.规格:18.5kw/380v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3.产品说明：用料：采用铜线电机</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6"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01B015</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油烟净化器</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1.品牌:清朗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2.规格:风量：48000m³/h</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3.产品说明：低空排放</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6"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01B016</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降压驱动电箱</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1.品牌:德力西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2.规格:18.5kw/380v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3.产品说明：匹配抽烟风柜电机</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01B017</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风柜及净化器支架</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1.槽钢支架现场焊接</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3"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01B018</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不锈钢风管、弯头、直管</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1.规格:800*900（均值）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2.产品说明:用料：采用优质1.0mm不锈钢板制作</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215</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3"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01B019</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不锈钢风管、弯头、直管</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1.规格:800*900（均值）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2.产品说明:用料：采用优质1.0mm不锈钢板制作</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215</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01B020</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软接</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1.产品说明:材料：优质帆布</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01B021</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法栏、吊码、角铁</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01B022</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风柜减震弹簧</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01B023</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双缸灭火装置</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1.品牌：裕蓉</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01B024</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风柜（送风）</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1.品牌:恒利通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2.规格:7.5kw</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6"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01B025</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电机</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1.品牌:恒利通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2.规格:7.5kw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3.产品说明:用料：采用铜线电机</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7838" w:type="dxa"/>
            <w:gridSpan w:val="9"/>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988"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249"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（招-表4）</w:t>
            </w:r>
          </w:p>
        </w:tc>
        <w:tc>
          <w:tcPr>
            <w:tcW w:w="2063"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526"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trPr>
        <w:tc>
          <w:tcPr>
            <w:tcW w:w="9838"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4" w:hRule="atLeast"/>
        </w:trPr>
        <w:tc>
          <w:tcPr>
            <w:tcW w:w="5249"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工程名称：厨房设备采购安装及水电安装工程</w:t>
            </w:r>
          </w:p>
        </w:tc>
        <w:tc>
          <w:tcPr>
            <w:tcW w:w="2063"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r>
              <w:rPr>
                <w:rFonts w:hint="eastAsia" w:ascii="宋体" w:hAnsi="宋体" w:cs="宋体"/>
                <w:i w:val="0"/>
                <w:iCs w:val="0"/>
                <w:color w:val="000000"/>
                <w:kern w:val="0"/>
                <w:sz w:val="20"/>
                <w:szCs w:val="20"/>
                <w:u w:val="none"/>
                <w:lang w:val="en-US" w:eastAsia="zh-CN" w:bidi="ar"/>
              </w:rPr>
              <w:t>烹饪、面点实训基地改造项目</w:t>
            </w:r>
          </w:p>
        </w:tc>
        <w:tc>
          <w:tcPr>
            <w:tcW w:w="2526"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5 页  共 10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619"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338"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项目编码</w:t>
            </w:r>
          </w:p>
        </w:tc>
        <w:tc>
          <w:tcPr>
            <w:tcW w:w="152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2128"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项目特征描述</w:t>
            </w:r>
          </w:p>
        </w:tc>
        <w:tc>
          <w:tcPr>
            <w:tcW w:w="483"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计量单位</w:t>
            </w:r>
          </w:p>
        </w:tc>
        <w:tc>
          <w:tcPr>
            <w:tcW w:w="75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工程量</w:t>
            </w:r>
          </w:p>
        </w:tc>
        <w:tc>
          <w:tcPr>
            <w:tcW w:w="2988"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7" w:hRule="atLeast"/>
        </w:trPr>
        <w:tc>
          <w:tcPr>
            <w:tcW w:w="619"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338"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52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128"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483"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75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综合单价</w:t>
            </w: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合价</w:t>
            </w: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7"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01B026</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送风镀锌板风管、弯头、变口</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1.规格:600*600/300*400（均值）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2.产品说明:用料：采用优质0.8mm镀锌板制作</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7"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01B027</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送风镀锌板风管、弯头、变口</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1.规格:600*600/300*400（均值）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2.产品说明:用料：采用优质0.8mm镀锌板制作</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01B028</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不锈钢风嘴</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6"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01B029</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降压驱动电箱</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1.品牌:德力西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2.规格:7.5kw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3.产品说明:匹配抽烟风柜电机</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01B030</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支架</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1.采用槽钢支架现场焊接</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01B031</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软接</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1.产品说明:材料：优质帆布</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4"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01B032</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拆除旧烟罩、炉灶、搬运炉灶工作台等等</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01B033</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风柜减震弹簧</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01B034</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法兰、吊码</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7"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01B035</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五金辅助材料</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1.包括:玻璃胶、膨胀螺丝、自攻螺丝、角铁、丝杆、螺母、支架、焊丝、焊条、磨片、切片等</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01B036</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吊车费</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三楼抽烟系统</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01B037</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抽烟风柜</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1.品牌:恒利通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2.规格:7.5kw</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6"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01B038</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电机</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1.品牌:恒利通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2.规格:7.5kw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3.产品说明：用料：采用铜线电机</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01B039</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不锈钢风管、弯头、直</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1.规格:600*600（均值）</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7838" w:type="dxa"/>
            <w:gridSpan w:val="9"/>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988"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249"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（招-表4）</w:t>
            </w:r>
          </w:p>
        </w:tc>
        <w:tc>
          <w:tcPr>
            <w:tcW w:w="2063"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526"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trPr>
        <w:tc>
          <w:tcPr>
            <w:tcW w:w="9838"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4" w:hRule="atLeast"/>
        </w:trPr>
        <w:tc>
          <w:tcPr>
            <w:tcW w:w="5249"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工程名称：厨房设备采购安装及水电安装工程</w:t>
            </w:r>
          </w:p>
        </w:tc>
        <w:tc>
          <w:tcPr>
            <w:tcW w:w="2063"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r>
              <w:rPr>
                <w:rFonts w:hint="eastAsia" w:ascii="宋体" w:hAnsi="宋体" w:cs="宋体"/>
                <w:i w:val="0"/>
                <w:iCs w:val="0"/>
                <w:color w:val="000000"/>
                <w:kern w:val="0"/>
                <w:sz w:val="20"/>
                <w:szCs w:val="20"/>
                <w:u w:val="none"/>
                <w:lang w:val="en-US" w:eastAsia="zh-CN" w:bidi="ar"/>
              </w:rPr>
              <w:t>烹饪、面点实训基地改造项目</w:t>
            </w:r>
          </w:p>
        </w:tc>
        <w:tc>
          <w:tcPr>
            <w:tcW w:w="2526"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6 页  共 10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619"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338"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项目编码</w:t>
            </w:r>
          </w:p>
        </w:tc>
        <w:tc>
          <w:tcPr>
            <w:tcW w:w="152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2128"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项目特征描述</w:t>
            </w:r>
          </w:p>
        </w:tc>
        <w:tc>
          <w:tcPr>
            <w:tcW w:w="483"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计量单位</w:t>
            </w:r>
          </w:p>
        </w:tc>
        <w:tc>
          <w:tcPr>
            <w:tcW w:w="75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工程量</w:t>
            </w:r>
          </w:p>
        </w:tc>
        <w:tc>
          <w:tcPr>
            <w:tcW w:w="2988"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7" w:hRule="atLeast"/>
        </w:trPr>
        <w:tc>
          <w:tcPr>
            <w:tcW w:w="619"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338"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52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128"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483"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75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综合单价</w:t>
            </w: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合价</w:t>
            </w: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4"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2.产品说明:用料：采用优质1.0mm不锈钢板制作</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3"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01B040</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不锈钢烟罩</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1.规格:12000*1000*600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2.产品说明:用料：采用优质1.2mm磨砂不锈钢制作</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6"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01B041</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不锈钢隔油网</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1.规格:500*500*50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2.产品说明:用料：采用优质1.2mm磨砂不锈钢制作</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6"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01B042</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降压驱动电箱</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1.品牌:德力西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2.规格:7.5kw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3.产品说明：匹配抽烟风柜电机</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6"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01B043</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油烟净化器</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1.品牌:清朗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2.规格:风量：风量：20000m³/h</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3.产品说明：低空排放</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01B044</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软接</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1.产品说明:材料：优质帆布</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01B045</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抽风风柜及净化器支架</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1.槽钢支架现场焊接</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01B046</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双缸灭火装置</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1.品牌：裕蓉</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01B047</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法栏、吊码、角铁</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01B048</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风柜减震弹簧</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4"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01B049</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拆除搬运安装旧烟罩风管炉灶工作台等</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01B050</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改装原有灭火装置</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01B051</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风柜（送风）</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1.品牌:恒利通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2.规格:7.5kw</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6"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01B052</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电机</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1.品牌:恒利通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2.规格:7.5kw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3.产品说明:用料：采用铜线电机</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4"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01B053</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送风镀锌板风管、弯头、变口</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1.规格:600*600/300*400（均</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7838" w:type="dxa"/>
            <w:gridSpan w:val="9"/>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988"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249"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（招-表4）</w:t>
            </w:r>
          </w:p>
        </w:tc>
        <w:tc>
          <w:tcPr>
            <w:tcW w:w="2063"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526"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trPr>
        <w:tc>
          <w:tcPr>
            <w:tcW w:w="9838"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4" w:hRule="atLeast"/>
        </w:trPr>
        <w:tc>
          <w:tcPr>
            <w:tcW w:w="5249"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工程名称：厨房设备采购安装及水电安装工程</w:t>
            </w:r>
          </w:p>
        </w:tc>
        <w:tc>
          <w:tcPr>
            <w:tcW w:w="2063"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r>
              <w:rPr>
                <w:rFonts w:hint="eastAsia" w:ascii="宋体" w:hAnsi="宋体" w:cs="宋体"/>
                <w:i w:val="0"/>
                <w:iCs w:val="0"/>
                <w:color w:val="000000"/>
                <w:kern w:val="0"/>
                <w:sz w:val="20"/>
                <w:szCs w:val="20"/>
                <w:u w:val="none"/>
                <w:lang w:val="en-US" w:eastAsia="zh-CN" w:bidi="ar"/>
              </w:rPr>
              <w:t>烹饪、面点实训基地改造项目</w:t>
            </w:r>
          </w:p>
        </w:tc>
        <w:tc>
          <w:tcPr>
            <w:tcW w:w="2526"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7 页  共 10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619"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338"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项目编码</w:t>
            </w:r>
          </w:p>
        </w:tc>
        <w:tc>
          <w:tcPr>
            <w:tcW w:w="152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2128"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项目特征描述</w:t>
            </w:r>
          </w:p>
        </w:tc>
        <w:tc>
          <w:tcPr>
            <w:tcW w:w="483"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计量单位</w:t>
            </w:r>
          </w:p>
        </w:tc>
        <w:tc>
          <w:tcPr>
            <w:tcW w:w="75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工程量</w:t>
            </w:r>
          </w:p>
        </w:tc>
        <w:tc>
          <w:tcPr>
            <w:tcW w:w="2988"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7" w:hRule="atLeast"/>
        </w:trPr>
        <w:tc>
          <w:tcPr>
            <w:tcW w:w="619"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338"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52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128"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483"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75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综合单价</w:t>
            </w: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合价</w:t>
            </w: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4"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2.产品说明:用料：采用优质1mm镀锌板制作</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6"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01B054</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降压驱动电箱</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1.品牌:德力西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2.规格:7.5kw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3.产品说明:匹配抽烟风柜电机</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01B055</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支架</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1.采用槽钢支架现场焊接</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01B056</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软接</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1.产品说明:材料：优质帆布</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01B057</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拆装旧烟罩风管</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01B058</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改装原有灭火装置</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01B059</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双缸灭火装置</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1.品牌：裕蓉</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01B060</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风柜减震弹簧</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01B061</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风嘴</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01B062</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法栏、吊码、角铁</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三楼煤气系统</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01"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01B063</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气化炉</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1.品牌:中邦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2.规格:100KG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3.产品说明：中邦气化器，功率15KW，全自动气化，气化完成率为99.6%以上。全自动安全装置，保证机器的正常使用。</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01B064</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漏气自动断气阀</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1.品牌:伊藤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2.规格:LAX-10C</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7"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01B065</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无缝钢管(煤气管道）</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1.规格:2寸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2.产品说明：气温-15至80摄氏度不会变化其尺寸大，真正耐高低温。</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01B066</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中压阀627-498</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01B067</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带止回阀胶管</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01B068</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高压表</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1.品牌:中邦</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01B069</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中压表</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1.品牌:中邦</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7838" w:type="dxa"/>
            <w:gridSpan w:val="9"/>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988"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249"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（招-表4）</w:t>
            </w:r>
          </w:p>
        </w:tc>
        <w:tc>
          <w:tcPr>
            <w:tcW w:w="2063"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526"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trPr>
        <w:tc>
          <w:tcPr>
            <w:tcW w:w="9838"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4" w:hRule="atLeast"/>
        </w:trPr>
        <w:tc>
          <w:tcPr>
            <w:tcW w:w="5249"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工程名称：厨房设备采购安装及水电安装工程</w:t>
            </w:r>
          </w:p>
        </w:tc>
        <w:tc>
          <w:tcPr>
            <w:tcW w:w="2063"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r>
              <w:rPr>
                <w:rFonts w:hint="eastAsia" w:ascii="宋体" w:hAnsi="宋体" w:cs="宋体"/>
                <w:i w:val="0"/>
                <w:iCs w:val="0"/>
                <w:color w:val="000000"/>
                <w:kern w:val="0"/>
                <w:sz w:val="20"/>
                <w:szCs w:val="20"/>
                <w:u w:val="none"/>
                <w:lang w:val="en-US" w:eastAsia="zh-CN" w:bidi="ar"/>
              </w:rPr>
              <w:t>烹饪、面点实训基地改造项目</w:t>
            </w:r>
          </w:p>
        </w:tc>
        <w:tc>
          <w:tcPr>
            <w:tcW w:w="2526"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8 页  共 10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619"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338"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项目编码</w:t>
            </w:r>
          </w:p>
        </w:tc>
        <w:tc>
          <w:tcPr>
            <w:tcW w:w="152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2128"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项目特征描述</w:t>
            </w:r>
          </w:p>
        </w:tc>
        <w:tc>
          <w:tcPr>
            <w:tcW w:w="483"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计量单位</w:t>
            </w:r>
          </w:p>
        </w:tc>
        <w:tc>
          <w:tcPr>
            <w:tcW w:w="75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工程量</w:t>
            </w:r>
          </w:p>
        </w:tc>
        <w:tc>
          <w:tcPr>
            <w:tcW w:w="2988"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7" w:hRule="atLeast"/>
        </w:trPr>
        <w:tc>
          <w:tcPr>
            <w:tcW w:w="619"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338"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52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128"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483"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75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综合单价</w:t>
            </w: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合价</w:t>
            </w: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01B070</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四分球阀</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1.品牌:达柏林</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01B071</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1寸过滤器</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1.品牌:中邦</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01B072</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1寸球阀</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1.品牌:达柏林</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01B073</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煤气专用不锈钢波纹管</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1.品牌:达柏林</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01B075</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2寸活接</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1.品牌:中邦</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01B076</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2寸低压阀</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01B077</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低压表</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1.品牌:中邦</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01B078</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油水分离器</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1.品牌:中邦</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01B079</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燃气报警器</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1.品牌:安艺</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01B080</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煤气探测器</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1.品牌:安艺</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01B081</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报警器与检测器连接线及线管</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1.品牌:安艺</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01B082</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悬挂式灭火球</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01B083</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防爆灯</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1.品牌:保时安</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01B084</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防爆风机</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1.规格:550w</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01B085</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高压软管</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01B086</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煤气接驳配件以及辅助材料费</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1.包括焊接弯头.、法兰等</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二楼煤气系统</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01"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01B087</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气化炉</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1.品牌:中邦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2.规格:200KG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3.产品说明：中邦气化器，功率15KW，全自动气化，气化完成率为99.6%以上。全自动安全装置，保证机器的正常使用。</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01B088</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漏气自动断气阀</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1.品牌:伊藤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2.规格:LAX-20C</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01B090</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中压阀627-498</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4"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03B004</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中低减压阀AMCO-1803-DN50</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01B102</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油水分离器</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1.规格:DN40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2.品牌:中邦</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7838" w:type="dxa"/>
            <w:gridSpan w:val="9"/>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988"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249"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（招-表4）</w:t>
            </w:r>
          </w:p>
        </w:tc>
        <w:tc>
          <w:tcPr>
            <w:tcW w:w="2063"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526"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trPr>
        <w:tc>
          <w:tcPr>
            <w:tcW w:w="9838"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4" w:hRule="atLeast"/>
        </w:trPr>
        <w:tc>
          <w:tcPr>
            <w:tcW w:w="5249"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工程名称：厨房设备采购安装及水电安装工程</w:t>
            </w:r>
          </w:p>
        </w:tc>
        <w:tc>
          <w:tcPr>
            <w:tcW w:w="2063"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r>
              <w:rPr>
                <w:rFonts w:hint="eastAsia" w:ascii="宋体" w:hAnsi="宋体" w:cs="宋体"/>
                <w:i w:val="0"/>
                <w:iCs w:val="0"/>
                <w:color w:val="000000"/>
                <w:kern w:val="0"/>
                <w:sz w:val="20"/>
                <w:szCs w:val="20"/>
                <w:u w:val="none"/>
                <w:lang w:val="en-US" w:eastAsia="zh-CN" w:bidi="ar"/>
              </w:rPr>
              <w:t>烹饪、面点实训基地改造项目</w:t>
            </w:r>
          </w:p>
        </w:tc>
        <w:tc>
          <w:tcPr>
            <w:tcW w:w="2526"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9 页  共 10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619"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338"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项目编码</w:t>
            </w:r>
          </w:p>
        </w:tc>
        <w:tc>
          <w:tcPr>
            <w:tcW w:w="152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2128"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项目特征描述</w:t>
            </w:r>
          </w:p>
        </w:tc>
        <w:tc>
          <w:tcPr>
            <w:tcW w:w="483"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计量单位</w:t>
            </w:r>
          </w:p>
        </w:tc>
        <w:tc>
          <w:tcPr>
            <w:tcW w:w="75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工程量</w:t>
            </w:r>
          </w:p>
        </w:tc>
        <w:tc>
          <w:tcPr>
            <w:tcW w:w="2988"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7" w:hRule="atLeast"/>
        </w:trPr>
        <w:tc>
          <w:tcPr>
            <w:tcW w:w="619"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338"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52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128"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483"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75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综合单价</w:t>
            </w: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合价</w:t>
            </w: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01B091</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带止回阀胶管</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01B092</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高压表</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1.品牌:中邦</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01B093</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中压表</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1.品牌:中邦</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01B101</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低压表</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1.品牌:中邦</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03B005</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法兰球阀DN50</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1.规格:DN50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2.品牌:达柏林</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03B006</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法兰球阀DN25</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1.规格:DN25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2.品牌:达柏林</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03B007</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法兰球阀DN20</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1.规格:DN20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2.品牌:达柏林</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03B008</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法兰过滤器DN20</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1.规格:DN20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2.品牌:达柏林</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03B009</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报警器主机</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1.品牌:安艺</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03B010</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报警器探头</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1.品牌:安艺</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03B011</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法兰防爆自动切断阀</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03B012</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400型防爆轴流风机</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03B013</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8kg悬挂式自动感应灭火球</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01B107</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防爆灯</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1.品牌:保时安</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03B014</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接钢瓶燃气球阀DN15</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1.规格:DN15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2.品牌:达柏林</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03B015</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丝扣球阀DN15</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1.规格:DN15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2.品牌:达柏林</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03B016</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管道安全阀DN15</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1.规格:DN15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2.品牌:达柏林</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7"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01B089</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无缝钢管(煤气管道）</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1.规格:2寸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2.产品说明：气温-15至80摄氏度不会变化其尺寸大，真正耐高低温。</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03B017</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煤气专用不锈钢波纹管</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1.品牌:达柏林</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01B110</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煤气接驳配件以及辅助材料费</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1.包括焊接弯头.、法兰等</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地下一层厨房设备</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7838" w:type="dxa"/>
            <w:gridSpan w:val="9"/>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988"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249"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（招-表4）</w:t>
            </w:r>
          </w:p>
        </w:tc>
        <w:tc>
          <w:tcPr>
            <w:tcW w:w="2063"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526"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trPr>
        <w:tc>
          <w:tcPr>
            <w:tcW w:w="9838"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4" w:hRule="atLeast"/>
        </w:trPr>
        <w:tc>
          <w:tcPr>
            <w:tcW w:w="5249"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工程名称：厨房设备采购安装及水电安装工程</w:t>
            </w:r>
          </w:p>
        </w:tc>
        <w:tc>
          <w:tcPr>
            <w:tcW w:w="2063"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r>
              <w:rPr>
                <w:rFonts w:hint="eastAsia" w:ascii="宋体" w:hAnsi="宋体" w:cs="宋体"/>
                <w:i w:val="0"/>
                <w:iCs w:val="0"/>
                <w:color w:val="000000"/>
                <w:kern w:val="0"/>
                <w:sz w:val="20"/>
                <w:szCs w:val="20"/>
                <w:u w:val="none"/>
                <w:lang w:val="en-US" w:eastAsia="zh-CN" w:bidi="ar"/>
              </w:rPr>
              <w:t>烹饪、面点实训基地改造项目</w:t>
            </w:r>
          </w:p>
        </w:tc>
        <w:tc>
          <w:tcPr>
            <w:tcW w:w="2526"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10 页  共 10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619"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338"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项目编码</w:t>
            </w:r>
          </w:p>
        </w:tc>
        <w:tc>
          <w:tcPr>
            <w:tcW w:w="152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2128"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项目特征描述</w:t>
            </w:r>
          </w:p>
        </w:tc>
        <w:tc>
          <w:tcPr>
            <w:tcW w:w="483"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计量单位</w:t>
            </w:r>
          </w:p>
        </w:tc>
        <w:tc>
          <w:tcPr>
            <w:tcW w:w="75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工程量</w:t>
            </w:r>
          </w:p>
        </w:tc>
        <w:tc>
          <w:tcPr>
            <w:tcW w:w="2988"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7" w:hRule="atLeast"/>
        </w:trPr>
        <w:tc>
          <w:tcPr>
            <w:tcW w:w="619"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338"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52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128"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483"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75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综合单价</w:t>
            </w: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合价</w:t>
            </w: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4"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01B111</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拆除安装炉灶、搬运炉灶工作台等</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配电工程</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电缆</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6"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030408001002</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电力电缆</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1.名称:铜芯电力电缆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2.型号、规格:ZC-YJV 3x50+2x25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3.敷设方式：桥架敷设</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030408004002</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电缆槽盒</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配电系统</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4"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w:t>
            </w: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030404017001</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配电箱</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1.设备成套配电柜箱体（宽*高*深）700*900*200</w:t>
            </w: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措施项目</w:t>
            </w: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61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7838" w:type="dxa"/>
            <w:gridSpan w:val="9"/>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7838" w:type="dxa"/>
            <w:gridSpan w:val="9"/>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988"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bl>
    <w:p>
      <w:r>
        <w:br w:type="page"/>
      </w:r>
    </w:p>
    <w:tbl>
      <w:tblPr>
        <w:tblStyle w:val="39"/>
        <w:tblW w:w="94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70"/>
        <w:gridCol w:w="1198"/>
        <w:gridCol w:w="1708"/>
        <w:gridCol w:w="861"/>
        <w:gridCol w:w="584"/>
        <w:gridCol w:w="716"/>
        <w:gridCol w:w="830"/>
        <w:gridCol w:w="245"/>
        <w:gridCol w:w="599"/>
        <w:gridCol w:w="1031"/>
        <w:gridCol w:w="10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4" w:hRule="atLeast"/>
        </w:trPr>
        <w:tc>
          <w:tcPr>
            <w:tcW w:w="4437"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（招-表6）</w:t>
            </w:r>
          </w:p>
        </w:tc>
        <w:tc>
          <w:tcPr>
            <w:tcW w:w="2375"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646"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9458"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总价措施项目清单与计价表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9" w:hRule="atLeast"/>
        </w:trPr>
        <w:tc>
          <w:tcPr>
            <w:tcW w:w="4437"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工程名称：厨房设备采购安装及水电安装工程</w:t>
            </w:r>
          </w:p>
        </w:tc>
        <w:tc>
          <w:tcPr>
            <w:tcW w:w="2375" w:type="dxa"/>
            <w:gridSpan w:val="4"/>
            <w:tcBorders>
              <w:top w:val="nil"/>
              <w:left w:val="nil"/>
              <w:bottom w:val="nil"/>
              <w:right w:val="nil"/>
            </w:tcBorders>
            <w:shd w:val="clear" w:color="FFFFFF"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r>
              <w:rPr>
                <w:rFonts w:hint="eastAsia" w:ascii="宋体" w:hAnsi="宋体" w:cs="宋体"/>
                <w:i w:val="0"/>
                <w:iCs w:val="0"/>
                <w:color w:val="000000"/>
                <w:kern w:val="0"/>
                <w:sz w:val="20"/>
                <w:szCs w:val="20"/>
                <w:u w:val="none"/>
                <w:lang w:val="en-US" w:eastAsia="zh-CN" w:bidi="ar"/>
              </w:rPr>
              <w:t>烹饪、面点实训基地改造项目</w:t>
            </w:r>
          </w:p>
        </w:tc>
        <w:tc>
          <w:tcPr>
            <w:tcW w:w="2646"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3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8" w:hRule="atLeast"/>
        </w:trPr>
        <w:tc>
          <w:tcPr>
            <w:tcW w:w="670"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198"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708"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44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计算基础</w:t>
            </w:r>
          </w:p>
        </w:tc>
        <w:tc>
          <w:tcPr>
            <w:tcW w:w="716"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83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c>
          <w:tcPr>
            <w:tcW w:w="844"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1031"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调整后金额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c>
          <w:tcPr>
            <w:tcW w:w="1016"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59" w:hRule="atLeast"/>
        </w:trPr>
        <w:tc>
          <w:tcPr>
            <w:tcW w:w="6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安全文明施工与环境保护基本费</w:t>
            </w:r>
          </w:p>
        </w:tc>
        <w:tc>
          <w:tcPr>
            <w:tcW w:w="1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分部分项人工费+单价措施项目人工费-人工价差+分部分项机上人工费+单价措施机上人工费-机上人工价差</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5.85</w:t>
            </w:r>
          </w:p>
        </w:tc>
        <w:tc>
          <w:tcPr>
            <w:tcW w:w="8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1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8" w:hRule="atLeast"/>
        </w:trPr>
        <w:tc>
          <w:tcPr>
            <w:tcW w:w="6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安全文明施工与环境保护费(浮动部分)</w:t>
            </w:r>
          </w:p>
        </w:tc>
        <w:tc>
          <w:tcPr>
            <w:tcW w:w="1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安全防护、文明施工基本费</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8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1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19" w:hRule="atLeast"/>
        </w:trPr>
        <w:tc>
          <w:tcPr>
            <w:tcW w:w="6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1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建施安责险</w:t>
            </w:r>
          </w:p>
        </w:tc>
        <w:tc>
          <w:tcPr>
            <w:tcW w:w="1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不含建施安责险费*0.001</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8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1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默认的安责险费率是按照最优设置，但是由于安责险费率中浮动费率根据具体条件不同费率不同，所以请参照琼建质【2019】38号中的附件1计算实际费率；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59" w:hRule="atLeast"/>
        </w:trPr>
        <w:tc>
          <w:tcPr>
            <w:tcW w:w="6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1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临时设施费</w:t>
            </w:r>
          </w:p>
        </w:tc>
        <w:tc>
          <w:tcPr>
            <w:tcW w:w="1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分部分项人工费+单价措施项目人工费-人工价差+分部分项机上人工费+单价措施机上人工费-机上人工价差</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17.75</w:t>
            </w:r>
          </w:p>
        </w:tc>
        <w:tc>
          <w:tcPr>
            <w:tcW w:w="8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1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59" w:hRule="atLeast"/>
        </w:trPr>
        <w:tc>
          <w:tcPr>
            <w:tcW w:w="6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夜间施工增加费</w:t>
            </w:r>
          </w:p>
        </w:tc>
        <w:tc>
          <w:tcPr>
            <w:tcW w:w="1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分部分项人工费+单价措施项目人工费-人工价差+分部分项机上人工费+单价措施机上人工费-机上人工价差</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0.76</w:t>
            </w:r>
          </w:p>
        </w:tc>
        <w:tc>
          <w:tcPr>
            <w:tcW w:w="8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1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53" w:hRule="atLeast"/>
        </w:trPr>
        <w:tc>
          <w:tcPr>
            <w:tcW w:w="670"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198"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708"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雨季施工增加费</w:t>
            </w:r>
          </w:p>
        </w:tc>
        <w:tc>
          <w:tcPr>
            <w:tcW w:w="144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分部分项人工费+单价措施项目人工费-人工价差+分部分项机上人工费+单价措施机上人工费-机上人</w:t>
            </w:r>
          </w:p>
        </w:tc>
        <w:tc>
          <w:tcPr>
            <w:tcW w:w="716"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3.06</w:t>
            </w:r>
          </w:p>
        </w:tc>
        <w:tc>
          <w:tcPr>
            <w:tcW w:w="83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4"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31"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16"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3" w:hRule="atLeast"/>
        </w:trPr>
        <w:tc>
          <w:tcPr>
            <w:tcW w:w="9458" w:type="dxa"/>
            <w:gridSpan w:val="11"/>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编制人（造价人员）：                       复核人（造价工程师）：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9" w:hRule="atLeast"/>
        </w:trPr>
        <w:tc>
          <w:tcPr>
            <w:tcW w:w="9458" w:type="dxa"/>
            <w:gridSpan w:val="11"/>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注：1.“项目名称”可根据海南省现行的计价定额设置。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2.按施工方案计算的措施费，若无“计算基础”和“费率”的数值，也可只填“金额”数值，但应在备注栏说明施工方案出处或计算方法。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4" w:hRule="atLeast"/>
        </w:trPr>
        <w:tc>
          <w:tcPr>
            <w:tcW w:w="4437"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（招-表6）</w:t>
            </w:r>
          </w:p>
        </w:tc>
        <w:tc>
          <w:tcPr>
            <w:tcW w:w="2375"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646"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9458"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总价措施项目清单与计价表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9" w:hRule="atLeast"/>
        </w:trPr>
        <w:tc>
          <w:tcPr>
            <w:tcW w:w="4437"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工程名称：厨房设备采购安装及水电安装工程</w:t>
            </w:r>
          </w:p>
        </w:tc>
        <w:tc>
          <w:tcPr>
            <w:tcW w:w="2375" w:type="dxa"/>
            <w:gridSpan w:val="4"/>
            <w:tcBorders>
              <w:top w:val="nil"/>
              <w:left w:val="nil"/>
              <w:bottom w:val="nil"/>
              <w:right w:val="nil"/>
            </w:tcBorders>
            <w:shd w:val="clear" w:color="FFFFFF"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r>
              <w:rPr>
                <w:rFonts w:hint="eastAsia" w:ascii="宋体" w:hAnsi="宋体" w:cs="宋体"/>
                <w:i w:val="0"/>
                <w:iCs w:val="0"/>
                <w:color w:val="000000"/>
                <w:kern w:val="0"/>
                <w:sz w:val="20"/>
                <w:szCs w:val="20"/>
                <w:u w:val="none"/>
                <w:lang w:val="en-US" w:eastAsia="zh-CN" w:bidi="ar"/>
              </w:rPr>
              <w:t>烹饪、面点实训基地改造项目</w:t>
            </w:r>
          </w:p>
        </w:tc>
        <w:tc>
          <w:tcPr>
            <w:tcW w:w="2646"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2 页  共 3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8" w:hRule="atLeast"/>
        </w:trPr>
        <w:tc>
          <w:tcPr>
            <w:tcW w:w="670"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198"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708"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44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计算基础</w:t>
            </w:r>
          </w:p>
        </w:tc>
        <w:tc>
          <w:tcPr>
            <w:tcW w:w="716"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83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c>
          <w:tcPr>
            <w:tcW w:w="844"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1031"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调整后金额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c>
          <w:tcPr>
            <w:tcW w:w="1016"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8" w:hRule="atLeast"/>
        </w:trPr>
        <w:tc>
          <w:tcPr>
            <w:tcW w:w="6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1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工价差</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1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1" w:hRule="atLeast"/>
        </w:trPr>
        <w:tc>
          <w:tcPr>
            <w:tcW w:w="6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1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视频监控费</w:t>
            </w:r>
          </w:p>
        </w:tc>
        <w:tc>
          <w:tcPr>
            <w:tcW w:w="1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1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编制预算或控制价时，视频监控费暂按租赁价每台球机1000元/月、每两台枪机800元/月计算，工程结算时，按实际费用计算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59" w:hRule="atLeast"/>
        </w:trPr>
        <w:tc>
          <w:tcPr>
            <w:tcW w:w="6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1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安全文明施工与环境保护基本费</w:t>
            </w:r>
          </w:p>
        </w:tc>
        <w:tc>
          <w:tcPr>
            <w:tcW w:w="1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分部分项人工费+单价措施项目人工费-人工价差+分部分项机上人工费+单价措施机上人工费-机上人工价差</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5.85</w:t>
            </w:r>
          </w:p>
        </w:tc>
        <w:tc>
          <w:tcPr>
            <w:tcW w:w="8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1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8" w:hRule="atLeast"/>
        </w:trPr>
        <w:tc>
          <w:tcPr>
            <w:tcW w:w="6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1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安全文明施工与环境保护费(浮动部分)</w:t>
            </w:r>
          </w:p>
        </w:tc>
        <w:tc>
          <w:tcPr>
            <w:tcW w:w="1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安全防护、文明施工基本费</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8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1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19" w:hRule="atLeast"/>
        </w:trPr>
        <w:tc>
          <w:tcPr>
            <w:tcW w:w="6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1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建施安责险</w:t>
            </w:r>
          </w:p>
        </w:tc>
        <w:tc>
          <w:tcPr>
            <w:tcW w:w="1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不含建施安责险费*0.001</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8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1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默认的安责险费率是按照最优设置，但是由于安责险费率中浮动费率根据具体条件不同费率不同，所以请参照琼建质【2019】38号中的附件1计算实际费率；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53" w:hRule="atLeast"/>
        </w:trPr>
        <w:tc>
          <w:tcPr>
            <w:tcW w:w="670"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198"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708"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临时设施费</w:t>
            </w:r>
          </w:p>
        </w:tc>
        <w:tc>
          <w:tcPr>
            <w:tcW w:w="144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分部分项人工费+单价措施项目人工费-人工价差+分部分项机上人工费+单价措施机上人工费-机上人</w:t>
            </w:r>
          </w:p>
        </w:tc>
        <w:tc>
          <w:tcPr>
            <w:tcW w:w="716"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17.75</w:t>
            </w:r>
          </w:p>
        </w:tc>
        <w:tc>
          <w:tcPr>
            <w:tcW w:w="83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4"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31"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16"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3" w:hRule="atLeast"/>
        </w:trPr>
        <w:tc>
          <w:tcPr>
            <w:tcW w:w="9458" w:type="dxa"/>
            <w:gridSpan w:val="11"/>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编制人（造价人员）：                       复核人（造价工程师）：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9" w:hRule="atLeast"/>
        </w:trPr>
        <w:tc>
          <w:tcPr>
            <w:tcW w:w="9458" w:type="dxa"/>
            <w:gridSpan w:val="11"/>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注：1.“项目名称”可根据海南省现行的计价定额设置。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2.按施工方案计算的措施费，若无“计算基础”和“费率”的数值，也可只填“金额”数值，但应在备注栏说明施工方案出处或计算方法。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4" w:hRule="atLeast"/>
        </w:trPr>
        <w:tc>
          <w:tcPr>
            <w:tcW w:w="4437"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（招-表6）</w:t>
            </w:r>
          </w:p>
        </w:tc>
        <w:tc>
          <w:tcPr>
            <w:tcW w:w="2375" w:type="dxa"/>
            <w:gridSpan w:val="4"/>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646"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9458"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总价措施项目清单与计价表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9" w:hRule="atLeast"/>
        </w:trPr>
        <w:tc>
          <w:tcPr>
            <w:tcW w:w="4437"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工程名称：厨房设备采购安装及水电安装工程</w:t>
            </w:r>
          </w:p>
        </w:tc>
        <w:tc>
          <w:tcPr>
            <w:tcW w:w="2375" w:type="dxa"/>
            <w:gridSpan w:val="4"/>
            <w:tcBorders>
              <w:top w:val="nil"/>
              <w:left w:val="nil"/>
              <w:bottom w:val="nil"/>
              <w:right w:val="nil"/>
            </w:tcBorders>
            <w:shd w:val="clear" w:color="FFFFFF"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r>
              <w:rPr>
                <w:rFonts w:hint="eastAsia" w:ascii="宋体" w:hAnsi="宋体" w:cs="宋体"/>
                <w:i w:val="0"/>
                <w:iCs w:val="0"/>
                <w:color w:val="000000"/>
                <w:kern w:val="0"/>
                <w:sz w:val="20"/>
                <w:szCs w:val="20"/>
                <w:u w:val="none"/>
                <w:lang w:val="en-US" w:eastAsia="zh-CN" w:bidi="ar"/>
              </w:rPr>
              <w:t>烹饪、面点实训基地改造项目</w:t>
            </w:r>
          </w:p>
        </w:tc>
        <w:tc>
          <w:tcPr>
            <w:tcW w:w="2646"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3 页  共 3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8" w:hRule="atLeast"/>
        </w:trPr>
        <w:tc>
          <w:tcPr>
            <w:tcW w:w="670"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198"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708"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44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计算基础</w:t>
            </w:r>
          </w:p>
        </w:tc>
        <w:tc>
          <w:tcPr>
            <w:tcW w:w="716"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83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c>
          <w:tcPr>
            <w:tcW w:w="844"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1031"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调整后金额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c>
          <w:tcPr>
            <w:tcW w:w="1016"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8" w:hRule="atLeast"/>
        </w:trPr>
        <w:tc>
          <w:tcPr>
            <w:tcW w:w="6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1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工价差</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1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59" w:hRule="atLeast"/>
        </w:trPr>
        <w:tc>
          <w:tcPr>
            <w:tcW w:w="6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1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夜间施工增加费</w:t>
            </w:r>
          </w:p>
        </w:tc>
        <w:tc>
          <w:tcPr>
            <w:tcW w:w="1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分部分项人工费+单价措施项目人工费-人工价差+分部分项机上人工费+单价措施机上人工费-机上人工价差</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0.76</w:t>
            </w:r>
          </w:p>
        </w:tc>
        <w:tc>
          <w:tcPr>
            <w:tcW w:w="8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1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59" w:hRule="atLeast"/>
        </w:trPr>
        <w:tc>
          <w:tcPr>
            <w:tcW w:w="6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1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雨季施工增加费</w:t>
            </w:r>
          </w:p>
        </w:tc>
        <w:tc>
          <w:tcPr>
            <w:tcW w:w="1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分部分项人工费+单价措施项目人工费-人工价差+分部分项机上人工费+单价措施机上人工费-机上人工价差</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3.06</w:t>
            </w:r>
          </w:p>
        </w:tc>
        <w:tc>
          <w:tcPr>
            <w:tcW w:w="8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1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1" w:hRule="atLeast"/>
        </w:trPr>
        <w:tc>
          <w:tcPr>
            <w:tcW w:w="6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1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视频监控费</w:t>
            </w:r>
          </w:p>
        </w:tc>
        <w:tc>
          <w:tcPr>
            <w:tcW w:w="1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1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编制预算或控制价时，视频监控费暂按租赁价每台球机1000元/月、每两台枪机800元/月计算，工程结算时，按实际费用计算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trPr>
        <w:tc>
          <w:tcPr>
            <w:tcW w:w="6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1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1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trPr>
        <w:tc>
          <w:tcPr>
            <w:tcW w:w="6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1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1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trPr>
        <w:tc>
          <w:tcPr>
            <w:tcW w:w="6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1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1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trPr>
        <w:tc>
          <w:tcPr>
            <w:tcW w:w="6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1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1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trPr>
        <w:tc>
          <w:tcPr>
            <w:tcW w:w="5737" w:type="dxa"/>
            <w:gridSpan w:val="6"/>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83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844"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31"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16"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trPr>
        <w:tc>
          <w:tcPr>
            <w:tcW w:w="9458" w:type="dxa"/>
            <w:gridSpan w:val="11"/>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编制人（造价人员）：                       复核人（造价工程师）：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9" w:hRule="atLeast"/>
        </w:trPr>
        <w:tc>
          <w:tcPr>
            <w:tcW w:w="9458" w:type="dxa"/>
            <w:gridSpan w:val="11"/>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注：1.“项目名称”可根据海南省现行的计价定额设置。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2.按施工方案计算的措施费，若无“计算基础”和“费率”的数值，也可只填“金额”数值，但应在备注栏说明施工方案出处或计算方法。</w:t>
            </w:r>
          </w:p>
        </w:tc>
      </w:tr>
    </w:tbl>
    <w:p>
      <w:r>
        <w:br w:type="page"/>
      </w:r>
    </w:p>
    <w:tbl>
      <w:tblPr>
        <w:tblStyle w:val="39"/>
        <w:tblW w:w="973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52"/>
        <w:gridCol w:w="3241"/>
        <w:gridCol w:w="338"/>
        <w:gridCol w:w="1753"/>
        <w:gridCol w:w="899"/>
        <w:gridCol w:w="644"/>
        <w:gridCol w:w="18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3" w:hRule="atLeast"/>
        </w:trPr>
        <w:tc>
          <w:tcPr>
            <w:tcW w:w="7283" w:type="dxa"/>
            <w:gridSpan w:val="5"/>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（招-表7）</w:t>
            </w:r>
          </w:p>
        </w:tc>
        <w:tc>
          <w:tcPr>
            <w:tcW w:w="2456" w:type="dxa"/>
            <w:gridSpan w:val="2"/>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9739" w:type="dxa"/>
            <w:gridSpan w:val="7"/>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其他项目清单与计价汇总表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4" w:hRule="atLeast"/>
        </w:trPr>
        <w:tc>
          <w:tcPr>
            <w:tcW w:w="4631"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工程名称：厨房设备采购安装及水电安装工程</w:t>
            </w:r>
          </w:p>
        </w:tc>
        <w:tc>
          <w:tcPr>
            <w:tcW w:w="2652"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r>
              <w:rPr>
                <w:rFonts w:hint="eastAsia" w:ascii="宋体" w:hAnsi="宋体" w:cs="宋体"/>
                <w:i w:val="0"/>
                <w:iCs w:val="0"/>
                <w:color w:val="000000"/>
                <w:kern w:val="0"/>
                <w:sz w:val="20"/>
                <w:szCs w:val="20"/>
                <w:u w:val="none"/>
                <w:lang w:val="en-US" w:eastAsia="zh-CN" w:bidi="ar"/>
              </w:rPr>
              <w:t>烹饪、面点实训基地改造项目</w:t>
            </w:r>
          </w:p>
        </w:tc>
        <w:tc>
          <w:tcPr>
            <w:tcW w:w="2456"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6" w:hRule="atLeast"/>
        </w:trPr>
        <w:tc>
          <w:tcPr>
            <w:tcW w:w="1052"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3241"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091"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c>
          <w:tcPr>
            <w:tcW w:w="1543"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结算金额（元）</w:t>
            </w:r>
          </w:p>
        </w:tc>
        <w:tc>
          <w:tcPr>
            <w:tcW w:w="1812"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10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2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暂列金额</w:t>
            </w:r>
          </w:p>
        </w:tc>
        <w:tc>
          <w:tcPr>
            <w:tcW w:w="20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4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10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2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c>
          <w:tcPr>
            <w:tcW w:w="20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4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10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32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材料暂估价</w:t>
            </w:r>
          </w:p>
        </w:tc>
        <w:tc>
          <w:tcPr>
            <w:tcW w:w="20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4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10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32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专业工程暂估价</w:t>
            </w:r>
          </w:p>
        </w:tc>
        <w:tc>
          <w:tcPr>
            <w:tcW w:w="20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4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10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2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计日工</w:t>
            </w:r>
          </w:p>
        </w:tc>
        <w:tc>
          <w:tcPr>
            <w:tcW w:w="20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4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10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2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总承包服务费</w:t>
            </w:r>
          </w:p>
        </w:tc>
        <w:tc>
          <w:tcPr>
            <w:tcW w:w="20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4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10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2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4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10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2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4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10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2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4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10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2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4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10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2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4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10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2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4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10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2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4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0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2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4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0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2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4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10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2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4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0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2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4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10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2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4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10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2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4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0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2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4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0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2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4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0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2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4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0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2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4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10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2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4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10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2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4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0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2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4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0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2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4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10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2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4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10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2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4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0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2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4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10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2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4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10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2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4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2" w:hRule="atLeast"/>
        </w:trPr>
        <w:tc>
          <w:tcPr>
            <w:tcW w:w="4293" w:type="dxa"/>
            <w:gridSpan w:val="2"/>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2091"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43"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812"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bl>
    <w:p>
      <w:r>
        <w:br w:type="page"/>
      </w:r>
    </w:p>
    <w:tbl>
      <w:tblPr>
        <w:tblStyle w:val="39"/>
        <w:tblW w:w="977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58"/>
        <w:gridCol w:w="3889"/>
        <w:gridCol w:w="296"/>
        <w:gridCol w:w="1099"/>
        <w:gridCol w:w="1100"/>
        <w:gridCol w:w="844"/>
        <w:gridCol w:w="15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 w:hRule="atLeast"/>
        </w:trPr>
        <w:tc>
          <w:tcPr>
            <w:tcW w:w="7342" w:type="dxa"/>
            <w:gridSpan w:val="5"/>
            <w:tcBorders>
              <w:top w:val="nil"/>
              <w:left w:val="nil"/>
              <w:bottom w:val="nil"/>
              <w:right w:val="nil"/>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2437" w:type="dxa"/>
            <w:gridSpan w:val="2"/>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9779" w:type="dxa"/>
            <w:gridSpan w:val="7"/>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暂列金额明细表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 w:hRule="atLeast"/>
        </w:trPr>
        <w:tc>
          <w:tcPr>
            <w:tcW w:w="4847"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工程名称：厨房设备采购安装及水电安装工程</w:t>
            </w:r>
          </w:p>
        </w:tc>
        <w:tc>
          <w:tcPr>
            <w:tcW w:w="2495"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r>
              <w:rPr>
                <w:rFonts w:hint="eastAsia" w:ascii="宋体" w:hAnsi="宋体" w:cs="宋体"/>
                <w:i w:val="0"/>
                <w:iCs w:val="0"/>
                <w:color w:val="000000"/>
                <w:kern w:val="0"/>
                <w:sz w:val="20"/>
                <w:szCs w:val="20"/>
                <w:u w:val="none"/>
                <w:lang w:val="en-US" w:eastAsia="zh-CN" w:bidi="ar"/>
              </w:rPr>
              <w:t>烹饪、面点实训基地改造项目</w:t>
            </w:r>
          </w:p>
        </w:tc>
        <w:tc>
          <w:tcPr>
            <w:tcW w:w="2437"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trPr>
        <w:tc>
          <w:tcPr>
            <w:tcW w:w="958"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418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名称</w:t>
            </w:r>
          </w:p>
        </w:tc>
        <w:tc>
          <w:tcPr>
            <w:tcW w:w="1099"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1944"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暂定金额（元）</w:t>
            </w:r>
          </w:p>
        </w:tc>
        <w:tc>
          <w:tcPr>
            <w:tcW w:w="1593"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 w:hRule="atLeast"/>
        </w:trPr>
        <w:tc>
          <w:tcPr>
            <w:tcW w:w="95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9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95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1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9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 w:hRule="atLeast"/>
        </w:trPr>
        <w:tc>
          <w:tcPr>
            <w:tcW w:w="95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1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9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95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1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9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95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1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9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 w:hRule="atLeast"/>
        </w:trPr>
        <w:tc>
          <w:tcPr>
            <w:tcW w:w="95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1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9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 w:hRule="atLeast"/>
        </w:trPr>
        <w:tc>
          <w:tcPr>
            <w:tcW w:w="95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1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9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 w:hRule="atLeast"/>
        </w:trPr>
        <w:tc>
          <w:tcPr>
            <w:tcW w:w="95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1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9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 w:hRule="atLeast"/>
        </w:trPr>
        <w:tc>
          <w:tcPr>
            <w:tcW w:w="95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1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9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 w:hRule="atLeast"/>
        </w:trPr>
        <w:tc>
          <w:tcPr>
            <w:tcW w:w="95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1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9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 w:hRule="atLeast"/>
        </w:trPr>
        <w:tc>
          <w:tcPr>
            <w:tcW w:w="95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1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9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 w:hRule="atLeast"/>
        </w:trPr>
        <w:tc>
          <w:tcPr>
            <w:tcW w:w="95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1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9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 w:hRule="atLeast"/>
        </w:trPr>
        <w:tc>
          <w:tcPr>
            <w:tcW w:w="95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1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9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 w:hRule="atLeast"/>
        </w:trPr>
        <w:tc>
          <w:tcPr>
            <w:tcW w:w="95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1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9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 w:hRule="atLeast"/>
        </w:trPr>
        <w:tc>
          <w:tcPr>
            <w:tcW w:w="95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1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9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 w:hRule="atLeast"/>
        </w:trPr>
        <w:tc>
          <w:tcPr>
            <w:tcW w:w="95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1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9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 w:hRule="atLeast"/>
        </w:trPr>
        <w:tc>
          <w:tcPr>
            <w:tcW w:w="95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1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9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 w:hRule="atLeast"/>
        </w:trPr>
        <w:tc>
          <w:tcPr>
            <w:tcW w:w="95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1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9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 w:hRule="atLeast"/>
        </w:trPr>
        <w:tc>
          <w:tcPr>
            <w:tcW w:w="95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1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9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 w:hRule="atLeast"/>
        </w:trPr>
        <w:tc>
          <w:tcPr>
            <w:tcW w:w="95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1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9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 w:hRule="atLeast"/>
        </w:trPr>
        <w:tc>
          <w:tcPr>
            <w:tcW w:w="95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1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9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 w:hRule="atLeast"/>
        </w:trPr>
        <w:tc>
          <w:tcPr>
            <w:tcW w:w="95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1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9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 w:hRule="atLeast"/>
        </w:trPr>
        <w:tc>
          <w:tcPr>
            <w:tcW w:w="95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1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9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 w:hRule="atLeast"/>
        </w:trPr>
        <w:tc>
          <w:tcPr>
            <w:tcW w:w="95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1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9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 w:hRule="atLeast"/>
        </w:trPr>
        <w:tc>
          <w:tcPr>
            <w:tcW w:w="95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1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9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 w:hRule="atLeast"/>
        </w:trPr>
        <w:tc>
          <w:tcPr>
            <w:tcW w:w="95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1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9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 w:hRule="atLeast"/>
        </w:trPr>
        <w:tc>
          <w:tcPr>
            <w:tcW w:w="95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1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9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 w:hRule="atLeast"/>
        </w:trPr>
        <w:tc>
          <w:tcPr>
            <w:tcW w:w="95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1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9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 w:hRule="atLeast"/>
        </w:trPr>
        <w:tc>
          <w:tcPr>
            <w:tcW w:w="95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1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9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 w:hRule="atLeast"/>
        </w:trPr>
        <w:tc>
          <w:tcPr>
            <w:tcW w:w="95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1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9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 w:hRule="atLeast"/>
        </w:trPr>
        <w:tc>
          <w:tcPr>
            <w:tcW w:w="6242" w:type="dxa"/>
            <w:gridSpan w:val="4"/>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1944"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593"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3" w:hRule="atLeast"/>
        </w:trPr>
        <w:tc>
          <w:tcPr>
            <w:tcW w:w="9779" w:type="dxa"/>
            <w:gridSpan w:val="7"/>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注：此表由招标人填写，如不能详列，也可只列暂列金额总额，投标人应将上述暂列金额计入投标总价中。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 w:hRule="atLeast"/>
        </w:trPr>
        <w:tc>
          <w:tcPr>
            <w:tcW w:w="4847" w:type="dxa"/>
            <w:gridSpan w:val="2"/>
            <w:tcBorders>
              <w:top w:val="nil"/>
              <w:left w:val="nil"/>
              <w:bottom w:val="nil"/>
              <w:right w:val="nil"/>
            </w:tcBorders>
            <w:shd w:val="clear" w:color="FFFFFF" w:fill="FFFFFF"/>
            <w:vAlign w:val="bottom"/>
          </w:tcPr>
          <w:p>
            <w:pPr>
              <w:jc w:val="left"/>
              <w:rPr>
                <w:rFonts w:hint="eastAsia" w:ascii="宋体" w:hAnsi="宋体" w:eastAsia="宋体" w:cs="宋体"/>
                <w:i w:val="0"/>
                <w:iCs w:val="0"/>
                <w:color w:val="000000"/>
                <w:sz w:val="18"/>
                <w:szCs w:val="18"/>
                <w:u w:val="none"/>
              </w:rPr>
            </w:pPr>
          </w:p>
        </w:tc>
        <w:tc>
          <w:tcPr>
            <w:tcW w:w="2495"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2437" w:type="dxa"/>
            <w:gridSpan w:val="2"/>
            <w:tcBorders>
              <w:top w:val="nil"/>
              <w:left w:val="nil"/>
              <w:bottom w:val="nil"/>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trPr>
        <w:tc>
          <w:tcPr>
            <w:tcW w:w="0" w:type="auto"/>
            <w:tcBorders>
              <w:top w:val="nil"/>
              <w:left w:val="nil"/>
              <w:bottom w:val="nil"/>
              <w:right w:val="nil"/>
            </w:tcBorders>
            <w:shd w:val="clear" w:color="auto" w:fill="auto"/>
            <w:noWrap/>
            <w:vAlign w:val="bottom"/>
          </w:tcPr>
          <w:p>
            <w:pPr>
              <w:rPr>
                <w:rFonts w:hint="eastAsia"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c>
          <w:tcPr>
            <w:tcW w:w="0" w:type="auto"/>
            <w:tcBorders>
              <w:top w:val="nil"/>
              <w:left w:val="nil"/>
              <w:bottom w:val="nil"/>
              <w:right w:val="nil"/>
            </w:tcBorders>
            <w:shd w:val="clear" w:color="auto" w:fill="auto"/>
            <w:noWrap/>
            <w:vAlign w:val="bottom"/>
          </w:tcPr>
          <w:p>
            <w:pPr>
              <w:rPr>
                <w:rFonts w:hint="default" w:ascii="??" w:hAnsi="??" w:eastAsia="??" w:cs="??"/>
                <w:i w:val="0"/>
                <w:iCs w:val="0"/>
                <w:color w:val="000000"/>
                <w:sz w:val="18"/>
                <w:szCs w:val="18"/>
                <w:u w:val="none"/>
              </w:rPr>
            </w:pPr>
          </w:p>
        </w:tc>
      </w:tr>
    </w:tbl>
    <w:p>
      <w:r>
        <w:br w:type="page"/>
      </w:r>
    </w:p>
    <w:tbl>
      <w:tblPr>
        <w:tblStyle w:val="39"/>
        <w:tblW w:w="98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56"/>
        <w:gridCol w:w="904"/>
        <w:gridCol w:w="84"/>
        <w:gridCol w:w="1077"/>
        <w:gridCol w:w="3129"/>
        <w:gridCol w:w="2387"/>
        <w:gridCol w:w="737"/>
        <w:gridCol w:w="8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750" w:type="dxa"/>
            <w:gridSpan w:val="3"/>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（招-表8）</w:t>
            </w:r>
          </w:p>
        </w:tc>
        <w:tc>
          <w:tcPr>
            <w:tcW w:w="2835" w:type="dxa"/>
            <w:gridSpan w:val="2"/>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3285" w:type="dxa"/>
            <w:gridSpan w:val="3"/>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9870" w:type="dxa"/>
            <w:gridSpan w:val="8"/>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规费、税金项目计价表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3750"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工程名称：厨房设备采购安装及水电安装工程</w:t>
            </w:r>
          </w:p>
        </w:tc>
        <w:tc>
          <w:tcPr>
            <w:tcW w:w="2835" w:type="dxa"/>
            <w:gridSpan w:val="2"/>
            <w:tcBorders>
              <w:top w:val="nil"/>
              <w:left w:val="nil"/>
              <w:bottom w:val="nil"/>
              <w:right w:val="nil"/>
            </w:tcBorders>
            <w:shd w:val="clear" w:color="FFFFFF"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r>
              <w:rPr>
                <w:rFonts w:hint="eastAsia" w:ascii="宋体" w:hAnsi="宋体" w:cs="宋体"/>
                <w:i w:val="0"/>
                <w:iCs w:val="0"/>
                <w:color w:val="000000"/>
                <w:kern w:val="0"/>
                <w:sz w:val="20"/>
                <w:szCs w:val="20"/>
                <w:u w:val="none"/>
                <w:lang w:val="en-US" w:eastAsia="zh-CN" w:bidi="ar"/>
              </w:rPr>
              <w:t>烹饪、面点实训基地改造项目</w:t>
            </w:r>
          </w:p>
        </w:tc>
        <w:tc>
          <w:tcPr>
            <w:tcW w:w="3285"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305"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222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280"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计算基础</w:t>
            </w:r>
          </w:p>
        </w:tc>
        <w:tc>
          <w:tcPr>
            <w:tcW w:w="151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计算基数</w:t>
            </w:r>
          </w:p>
        </w:tc>
        <w:tc>
          <w:tcPr>
            <w:tcW w:w="129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计算费率(%)</w:t>
            </w:r>
          </w:p>
        </w:tc>
        <w:tc>
          <w:tcPr>
            <w:tcW w:w="1260"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2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规费</w:t>
            </w:r>
          </w:p>
        </w:tc>
        <w:tc>
          <w:tcPr>
            <w:tcW w:w="22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其中：垃圾处置费+其中：社保费</w:t>
            </w: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D1 + D2</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22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其中：垃圾处置费</w:t>
            </w:r>
          </w:p>
        </w:tc>
        <w:tc>
          <w:tcPr>
            <w:tcW w:w="22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22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其中：社保费</w:t>
            </w:r>
          </w:p>
        </w:tc>
        <w:tc>
          <w:tcPr>
            <w:tcW w:w="22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(分部分项定额人工费+单价措施定额人工费+分部分项定额机上人工费+单价措施定额机上人工费)*0.7</w:t>
            </w: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(FBFX_DERGF+DJCS_DERGF+FBFX_DEJSRGF+DJCS_DEJSRGF)*0.7</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23.5</w:t>
            </w:r>
          </w:p>
        </w:tc>
        <w:tc>
          <w:tcPr>
            <w:tcW w:w="126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2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税金</w:t>
            </w:r>
          </w:p>
        </w:tc>
        <w:tc>
          <w:tcPr>
            <w:tcW w:w="22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分部分项工程费+措施项目费+其他项目费+规费</w:t>
            </w: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A+B+C+D</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26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805" w:type="dxa"/>
            <w:gridSpan w:val="4"/>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51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6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750" w:type="dxa"/>
            <w:gridSpan w:val="3"/>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编制人（造价人员）：</w:t>
            </w:r>
          </w:p>
        </w:tc>
        <w:tc>
          <w:tcPr>
            <w:tcW w:w="6120" w:type="dxa"/>
            <w:gridSpan w:val="5"/>
            <w:tcBorders>
              <w:top w:val="nil"/>
              <w:left w:val="nil"/>
              <w:bottom w:val="nil"/>
              <w:right w:val="nil"/>
            </w:tcBorders>
            <w:shd w:val="clear" w:color="FFFFFF"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复核人（造价工程师）：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870" w:type="dxa"/>
            <w:gridSpan w:val="8"/>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注：“项目名称”可根据海南省现行的计价定额设置。</w:t>
            </w:r>
          </w:p>
        </w:tc>
      </w:tr>
    </w:tbl>
    <w:p>
      <w:r>
        <w:br w:type="page"/>
      </w:r>
    </w:p>
    <w:p>
      <w:pPr>
        <w:pStyle w:val="4"/>
        <w:bidi w:val="0"/>
      </w:pPr>
      <w:bookmarkStart w:id="668" w:name="_Toc32642"/>
      <w:r>
        <w:rPr>
          <w:rFonts w:hint="eastAsia"/>
        </w:rPr>
        <w:t>第六章  技术标准和要求</w:t>
      </w:r>
      <w:bookmarkEnd w:id="660"/>
      <w:bookmarkEnd w:id="661"/>
      <w:bookmarkEnd w:id="662"/>
      <w:bookmarkEnd w:id="663"/>
      <w:bookmarkEnd w:id="664"/>
      <w:bookmarkEnd w:id="665"/>
      <w:bookmarkEnd w:id="666"/>
      <w:bookmarkEnd w:id="667"/>
      <w:bookmarkEnd w:id="668"/>
    </w:p>
    <w:p>
      <w:pPr>
        <w:pageBreakBefore w:val="0"/>
        <w:kinsoku/>
        <w:overflowPunct/>
        <w:bidi w:val="0"/>
        <w:spacing w:line="360" w:lineRule="auto"/>
        <w:ind w:firstLine="560" w:firstLineChars="200"/>
        <w:jc w:val="center"/>
        <w:rPr>
          <w:rFonts w:ascii="宋体" w:hAnsi="宋体" w:cs="宋体"/>
          <w:sz w:val="28"/>
          <w:szCs w:val="28"/>
        </w:rPr>
      </w:pPr>
      <w:r>
        <w:rPr>
          <w:rFonts w:hint="eastAsia" w:ascii="宋体" w:hAnsi="宋体" w:cs="宋体"/>
          <w:sz w:val="28"/>
          <w:szCs w:val="28"/>
        </w:rPr>
        <w:t>本项目要求符合国家或项目所在地的行业现行规范和技术标准。</w:t>
      </w:r>
      <w:bookmarkStart w:id="669" w:name="_Toc152042575"/>
      <w:bookmarkStart w:id="670" w:name="_Toc152045786"/>
      <w:bookmarkStart w:id="671" w:name="_Toc144974855"/>
      <w:bookmarkStart w:id="672" w:name="_Toc246997097"/>
      <w:bookmarkStart w:id="673" w:name="_Toc247085872"/>
      <w:bookmarkStart w:id="674" w:name="_Toc246996354"/>
      <w:bookmarkStart w:id="675" w:name="_Toc179632806"/>
    </w:p>
    <w:p>
      <w:pPr>
        <w:pageBreakBefore w:val="0"/>
        <w:kinsoku/>
        <w:wordWrap w:val="0"/>
        <w:overflowPunct/>
        <w:bidi w:val="0"/>
        <w:spacing w:line="360" w:lineRule="auto"/>
        <w:ind w:left="1050" w:hanging="1050" w:hangingChars="500"/>
        <w:rPr>
          <w:rFonts w:ascii="宋体" w:hAnsi="宋体" w:cs="宋体"/>
        </w:rPr>
      </w:pPr>
    </w:p>
    <w:p>
      <w:pPr>
        <w:pStyle w:val="4"/>
        <w:pageBreakBefore w:val="0"/>
        <w:kinsoku/>
        <w:wordWrap w:val="0"/>
        <w:overflowPunct/>
        <w:bidi w:val="0"/>
        <w:spacing w:line="360" w:lineRule="auto"/>
        <w:jc w:val="both"/>
        <w:outlineLvl w:val="9"/>
        <w:rPr>
          <w:rFonts w:hint="eastAsia" w:ascii="宋体" w:hAnsi="宋体" w:cs="宋体"/>
        </w:rPr>
      </w:pPr>
      <w:bookmarkStart w:id="676" w:name="_Toc87865800"/>
    </w:p>
    <w:p>
      <w:pPr>
        <w:pStyle w:val="4"/>
        <w:pageBreakBefore w:val="0"/>
        <w:kinsoku/>
        <w:wordWrap w:val="0"/>
        <w:overflowPunct/>
        <w:bidi w:val="0"/>
        <w:spacing w:line="360" w:lineRule="auto"/>
        <w:jc w:val="both"/>
        <w:outlineLvl w:val="9"/>
        <w:rPr>
          <w:rFonts w:hint="eastAsia" w:ascii="宋体" w:hAnsi="宋体" w:cs="宋体"/>
        </w:rPr>
      </w:pPr>
    </w:p>
    <w:p>
      <w:pPr>
        <w:pStyle w:val="4"/>
        <w:pageBreakBefore w:val="0"/>
        <w:kinsoku/>
        <w:wordWrap w:val="0"/>
        <w:overflowPunct/>
        <w:bidi w:val="0"/>
        <w:spacing w:line="360" w:lineRule="auto"/>
        <w:jc w:val="both"/>
        <w:outlineLvl w:val="9"/>
        <w:rPr>
          <w:rFonts w:hint="eastAsia" w:ascii="宋体" w:hAnsi="宋体" w:cs="宋体"/>
        </w:rPr>
      </w:pPr>
    </w:p>
    <w:bookmarkEnd w:id="669"/>
    <w:bookmarkEnd w:id="670"/>
    <w:bookmarkEnd w:id="671"/>
    <w:bookmarkEnd w:id="672"/>
    <w:bookmarkEnd w:id="673"/>
    <w:bookmarkEnd w:id="674"/>
    <w:bookmarkEnd w:id="675"/>
    <w:bookmarkEnd w:id="676"/>
    <w:p>
      <w:pPr>
        <w:pageBreakBefore w:val="0"/>
        <w:kinsoku/>
        <w:wordWrap w:val="0"/>
        <w:overflowPunct/>
        <w:bidi w:val="0"/>
        <w:spacing w:line="360" w:lineRule="auto"/>
        <w:jc w:val="center"/>
        <w:rPr>
          <w:rFonts w:ascii="宋体" w:hAnsi="宋体" w:cs="宋体"/>
          <w:sz w:val="28"/>
          <w:szCs w:val="28"/>
          <w:u w:val="single"/>
        </w:rPr>
      </w:pPr>
    </w:p>
    <w:p>
      <w:pPr>
        <w:pageBreakBefore w:val="0"/>
        <w:kinsoku/>
        <w:wordWrap w:val="0"/>
        <w:overflowPunct/>
        <w:bidi w:val="0"/>
        <w:spacing w:line="360" w:lineRule="auto"/>
        <w:jc w:val="center"/>
        <w:rPr>
          <w:rFonts w:ascii="宋体" w:hAnsi="宋体" w:cs="宋体"/>
          <w:sz w:val="28"/>
          <w:szCs w:val="28"/>
          <w:u w:val="single"/>
        </w:rPr>
      </w:pPr>
      <w:r>
        <w:rPr>
          <w:rFonts w:ascii="宋体" w:hAnsi="宋体" w:cs="宋体"/>
          <w:sz w:val="28"/>
          <w:szCs w:val="28"/>
          <w:u w:val="single"/>
        </w:rPr>
        <w:br w:type="page"/>
      </w:r>
    </w:p>
    <w:p>
      <w:pPr>
        <w:pStyle w:val="4"/>
        <w:bidi w:val="0"/>
      </w:pPr>
      <w:bookmarkStart w:id="677" w:name="_Toc7133"/>
      <w:r>
        <w:rPr>
          <w:rFonts w:hint="eastAsia"/>
        </w:rPr>
        <w:t>第七章  响应文件格式</w:t>
      </w:r>
      <w:bookmarkEnd w:id="677"/>
    </w:p>
    <w:p>
      <w:pPr>
        <w:pageBreakBefore w:val="0"/>
        <w:kinsoku/>
        <w:wordWrap w:val="0"/>
        <w:overflowPunct/>
        <w:bidi w:val="0"/>
        <w:spacing w:line="360" w:lineRule="auto"/>
        <w:jc w:val="center"/>
        <w:rPr>
          <w:rFonts w:hint="eastAsia" w:ascii="宋体" w:hAnsi="宋体" w:cs="宋体"/>
          <w:sz w:val="28"/>
          <w:szCs w:val="28"/>
          <w:u w:val="single"/>
        </w:rPr>
      </w:pPr>
    </w:p>
    <w:p>
      <w:pPr>
        <w:pageBreakBefore w:val="0"/>
        <w:kinsoku/>
        <w:wordWrap w:val="0"/>
        <w:overflowPunct/>
        <w:bidi w:val="0"/>
        <w:spacing w:line="360" w:lineRule="auto"/>
        <w:jc w:val="center"/>
        <w:rPr>
          <w:rFonts w:hint="eastAsia" w:ascii="宋体" w:hAnsi="宋体" w:cs="宋体"/>
          <w:sz w:val="28"/>
          <w:szCs w:val="28"/>
          <w:u w:val="single"/>
        </w:rPr>
      </w:pPr>
    </w:p>
    <w:p>
      <w:pPr>
        <w:pageBreakBefore w:val="0"/>
        <w:kinsoku/>
        <w:wordWrap w:val="0"/>
        <w:overflowPunct/>
        <w:bidi w:val="0"/>
        <w:spacing w:line="360" w:lineRule="auto"/>
        <w:jc w:val="center"/>
        <w:rPr>
          <w:rFonts w:hint="eastAsia" w:ascii="宋体" w:hAnsi="宋体" w:cs="宋体"/>
          <w:sz w:val="28"/>
          <w:szCs w:val="28"/>
          <w:u w:val="single"/>
        </w:rPr>
      </w:pPr>
    </w:p>
    <w:p>
      <w:pPr>
        <w:pageBreakBefore w:val="0"/>
        <w:kinsoku/>
        <w:wordWrap w:val="0"/>
        <w:overflowPunct/>
        <w:bidi w:val="0"/>
        <w:spacing w:line="360" w:lineRule="auto"/>
        <w:jc w:val="center"/>
        <w:rPr>
          <w:rFonts w:ascii="宋体" w:hAnsi="宋体" w:cs="宋体"/>
          <w:sz w:val="20"/>
          <w:szCs w:val="20"/>
        </w:rPr>
      </w:pPr>
      <w:r>
        <w:rPr>
          <w:rFonts w:hint="eastAsia" w:ascii="宋体" w:hAnsi="宋体" w:cs="宋体"/>
          <w:sz w:val="28"/>
          <w:szCs w:val="28"/>
          <w:u w:val="single"/>
        </w:rPr>
        <w:t xml:space="preserve">                </w:t>
      </w:r>
      <w:r>
        <w:rPr>
          <w:rFonts w:hint="eastAsia" w:ascii="宋体" w:hAnsi="宋体" w:cs="宋体"/>
          <w:sz w:val="28"/>
          <w:szCs w:val="28"/>
        </w:rPr>
        <w:t>（项目名称）</w:t>
      </w:r>
    </w:p>
    <w:p>
      <w:pPr>
        <w:pageBreakBefore w:val="0"/>
        <w:kinsoku/>
        <w:wordWrap w:val="0"/>
        <w:overflowPunct/>
        <w:bidi w:val="0"/>
        <w:spacing w:line="360" w:lineRule="auto"/>
        <w:jc w:val="center"/>
        <w:rPr>
          <w:rFonts w:ascii="宋体" w:hAnsi="宋体" w:cs="宋体"/>
          <w:sz w:val="20"/>
          <w:szCs w:val="20"/>
        </w:rPr>
      </w:pPr>
    </w:p>
    <w:p>
      <w:pPr>
        <w:pageBreakBefore w:val="0"/>
        <w:kinsoku/>
        <w:wordWrap w:val="0"/>
        <w:overflowPunct/>
        <w:bidi w:val="0"/>
        <w:spacing w:line="360" w:lineRule="auto"/>
        <w:jc w:val="center"/>
        <w:rPr>
          <w:rFonts w:ascii="宋体" w:hAnsi="宋体" w:cs="宋体"/>
          <w:sz w:val="72"/>
          <w:szCs w:val="72"/>
        </w:rPr>
      </w:pPr>
    </w:p>
    <w:p>
      <w:pPr>
        <w:pageBreakBefore w:val="0"/>
        <w:kinsoku/>
        <w:wordWrap w:val="0"/>
        <w:overflowPunct/>
        <w:bidi w:val="0"/>
        <w:spacing w:line="360" w:lineRule="auto"/>
        <w:jc w:val="center"/>
        <w:rPr>
          <w:rFonts w:ascii="宋体" w:hAnsi="宋体" w:cs="宋体"/>
          <w:sz w:val="72"/>
          <w:szCs w:val="72"/>
        </w:rPr>
      </w:pPr>
    </w:p>
    <w:p>
      <w:pPr>
        <w:pageBreakBefore w:val="0"/>
        <w:kinsoku/>
        <w:wordWrap w:val="0"/>
        <w:overflowPunct/>
        <w:bidi w:val="0"/>
        <w:spacing w:line="360" w:lineRule="auto"/>
        <w:jc w:val="center"/>
        <w:rPr>
          <w:rFonts w:ascii="宋体" w:hAnsi="宋体" w:cs="宋体"/>
          <w:sz w:val="44"/>
          <w:szCs w:val="44"/>
        </w:rPr>
      </w:pPr>
      <w:r>
        <w:rPr>
          <w:rFonts w:hint="eastAsia" w:ascii="宋体" w:hAnsi="宋体" w:cs="宋体"/>
          <w:sz w:val="72"/>
          <w:szCs w:val="72"/>
        </w:rPr>
        <w:t>响  应  文  件</w:t>
      </w:r>
    </w:p>
    <w:p>
      <w:pPr>
        <w:pageBreakBefore w:val="0"/>
        <w:kinsoku/>
        <w:wordWrap w:val="0"/>
        <w:overflowPunct/>
        <w:bidi w:val="0"/>
        <w:spacing w:line="360" w:lineRule="auto"/>
        <w:rPr>
          <w:rFonts w:ascii="宋体" w:hAnsi="宋体" w:cs="宋体"/>
          <w:sz w:val="28"/>
          <w:szCs w:val="28"/>
        </w:rPr>
      </w:pPr>
    </w:p>
    <w:p>
      <w:pPr>
        <w:pageBreakBefore w:val="0"/>
        <w:kinsoku/>
        <w:wordWrap w:val="0"/>
        <w:overflowPunct/>
        <w:bidi w:val="0"/>
        <w:spacing w:line="360" w:lineRule="auto"/>
        <w:rPr>
          <w:rFonts w:ascii="宋体" w:hAnsi="宋体" w:cs="宋体"/>
          <w:sz w:val="28"/>
          <w:szCs w:val="28"/>
        </w:rPr>
      </w:pPr>
    </w:p>
    <w:p>
      <w:pPr>
        <w:pageBreakBefore w:val="0"/>
        <w:kinsoku/>
        <w:wordWrap w:val="0"/>
        <w:overflowPunct/>
        <w:bidi w:val="0"/>
        <w:spacing w:line="360" w:lineRule="auto"/>
        <w:rPr>
          <w:rFonts w:ascii="宋体" w:hAnsi="宋体" w:cs="宋体"/>
          <w:sz w:val="28"/>
          <w:szCs w:val="28"/>
        </w:rPr>
      </w:pPr>
    </w:p>
    <w:p>
      <w:pPr>
        <w:pageBreakBefore w:val="0"/>
        <w:kinsoku/>
        <w:wordWrap w:val="0"/>
        <w:overflowPunct/>
        <w:bidi w:val="0"/>
        <w:spacing w:line="360" w:lineRule="auto"/>
        <w:jc w:val="center"/>
        <w:rPr>
          <w:rFonts w:ascii="宋体" w:hAnsi="宋体" w:cs="宋体"/>
          <w:sz w:val="28"/>
          <w:szCs w:val="28"/>
          <w:u w:val="single"/>
        </w:rPr>
      </w:pPr>
      <w:r>
        <w:rPr>
          <w:rFonts w:hint="eastAsia" w:ascii="宋体" w:hAnsi="宋体" w:cs="宋体"/>
          <w:sz w:val="28"/>
          <w:szCs w:val="28"/>
        </w:rPr>
        <w:t>供应商：</w:t>
      </w:r>
      <w:r>
        <w:rPr>
          <w:rFonts w:hint="eastAsia" w:ascii="宋体" w:hAnsi="宋体" w:cs="宋体"/>
          <w:sz w:val="28"/>
          <w:szCs w:val="28"/>
          <w:u w:val="single"/>
        </w:rPr>
        <w:t xml:space="preserve">                      </w:t>
      </w:r>
      <w:r>
        <w:rPr>
          <w:rFonts w:hint="eastAsia" w:ascii="宋体" w:hAnsi="宋体" w:cs="宋体"/>
          <w:sz w:val="28"/>
          <w:szCs w:val="28"/>
        </w:rPr>
        <w:t>（盖单位章）</w:t>
      </w:r>
    </w:p>
    <w:p>
      <w:pPr>
        <w:pageBreakBefore w:val="0"/>
        <w:kinsoku/>
        <w:wordWrap w:val="0"/>
        <w:overflowPunct/>
        <w:bidi w:val="0"/>
        <w:spacing w:line="360" w:lineRule="auto"/>
        <w:jc w:val="center"/>
        <w:rPr>
          <w:rFonts w:ascii="宋体" w:hAnsi="宋体" w:cs="宋体"/>
          <w:sz w:val="28"/>
          <w:szCs w:val="28"/>
        </w:rPr>
      </w:pPr>
      <w:r>
        <w:rPr>
          <w:rFonts w:hint="eastAsia" w:ascii="宋体" w:hAnsi="宋体" w:cs="宋体"/>
          <w:sz w:val="28"/>
          <w:szCs w:val="28"/>
        </w:rPr>
        <w:t>法定代表人或其委托代理人：</w:t>
      </w:r>
      <w:r>
        <w:rPr>
          <w:rFonts w:hint="eastAsia" w:ascii="宋体" w:hAnsi="宋体" w:cs="宋体"/>
          <w:sz w:val="28"/>
          <w:szCs w:val="28"/>
          <w:u w:val="single"/>
        </w:rPr>
        <w:t xml:space="preserve">        </w:t>
      </w:r>
      <w:r>
        <w:rPr>
          <w:rFonts w:hint="eastAsia" w:ascii="宋体" w:hAnsi="宋体" w:cs="宋体"/>
          <w:sz w:val="28"/>
          <w:szCs w:val="28"/>
        </w:rPr>
        <w:t>（签字）</w:t>
      </w:r>
    </w:p>
    <w:p>
      <w:pPr>
        <w:pageBreakBefore w:val="0"/>
        <w:kinsoku/>
        <w:wordWrap w:val="0"/>
        <w:overflowPunct/>
        <w:bidi w:val="0"/>
        <w:spacing w:line="360" w:lineRule="auto"/>
        <w:jc w:val="center"/>
        <w:rPr>
          <w:rFonts w:ascii="宋体" w:hAnsi="宋体" w:cs="宋体"/>
          <w:sz w:val="28"/>
          <w:szCs w:val="28"/>
        </w:rPr>
      </w:pP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日</w:t>
      </w:r>
    </w:p>
    <w:p>
      <w:pPr>
        <w:pageBreakBefore w:val="0"/>
        <w:kinsoku/>
        <w:wordWrap w:val="0"/>
        <w:overflowPunct/>
        <w:bidi w:val="0"/>
        <w:spacing w:line="360" w:lineRule="auto"/>
        <w:rPr>
          <w:rFonts w:ascii="宋体" w:hAnsi="宋体" w:cs="宋体"/>
        </w:rPr>
      </w:pPr>
    </w:p>
    <w:p>
      <w:pPr>
        <w:pageBreakBefore w:val="0"/>
        <w:kinsoku/>
        <w:wordWrap w:val="0"/>
        <w:overflowPunct/>
        <w:bidi w:val="0"/>
        <w:spacing w:line="360" w:lineRule="auto"/>
        <w:rPr>
          <w:rFonts w:ascii="宋体" w:hAnsi="宋体" w:cs="宋体"/>
        </w:rPr>
      </w:pPr>
    </w:p>
    <w:p>
      <w:pPr>
        <w:pageBreakBefore w:val="0"/>
        <w:kinsoku/>
        <w:wordWrap w:val="0"/>
        <w:overflowPunct/>
        <w:bidi w:val="0"/>
        <w:spacing w:line="360" w:lineRule="auto"/>
        <w:rPr>
          <w:rFonts w:ascii="宋体" w:hAnsi="宋体" w:cs="宋体"/>
        </w:rPr>
      </w:pPr>
      <w:r>
        <w:rPr>
          <w:rFonts w:ascii="宋体" w:hAnsi="宋体" w:cs="宋体"/>
        </w:rPr>
        <w:br w:type="page"/>
      </w:r>
    </w:p>
    <w:p>
      <w:pPr>
        <w:pageBreakBefore w:val="0"/>
        <w:kinsoku/>
        <w:overflowPunct/>
        <w:bidi w:val="0"/>
        <w:spacing w:line="360" w:lineRule="auto"/>
        <w:jc w:val="center"/>
        <w:rPr>
          <w:sz w:val="30"/>
          <w:szCs w:val="30"/>
        </w:rPr>
      </w:pPr>
      <w:bookmarkStart w:id="678" w:name="_Toc152045787"/>
      <w:bookmarkStart w:id="679" w:name="_Toc144974856"/>
      <w:bookmarkStart w:id="680" w:name="_Toc425177184"/>
      <w:bookmarkStart w:id="681" w:name="_Toc246997098"/>
      <w:bookmarkStart w:id="682" w:name="_Toc394565356"/>
      <w:bookmarkStart w:id="683" w:name="_Toc152042576"/>
      <w:bookmarkStart w:id="684" w:name="_Toc246996355"/>
      <w:bookmarkStart w:id="685" w:name="_Toc74256193"/>
      <w:bookmarkStart w:id="686" w:name="_Toc179632807"/>
      <w:bookmarkStart w:id="687" w:name="_Toc247085873"/>
      <w:r>
        <w:rPr>
          <w:rFonts w:hint="eastAsia"/>
          <w:sz w:val="30"/>
          <w:szCs w:val="30"/>
        </w:rPr>
        <w:t>目    录</w:t>
      </w:r>
      <w:bookmarkEnd w:id="678"/>
      <w:bookmarkEnd w:id="679"/>
      <w:bookmarkEnd w:id="680"/>
      <w:bookmarkEnd w:id="681"/>
      <w:bookmarkEnd w:id="682"/>
      <w:bookmarkEnd w:id="683"/>
      <w:bookmarkEnd w:id="684"/>
      <w:bookmarkEnd w:id="685"/>
      <w:bookmarkEnd w:id="686"/>
      <w:bookmarkEnd w:id="687"/>
    </w:p>
    <w:p>
      <w:pPr>
        <w:pageBreakBefore w:val="0"/>
        <w:kinsoku/>
        <w:wordWrap w:val="0"/>
        <w:overflowPunct/>
        <w:bidi w:val="0"/>
        <w:spacing w:line="360" w:lineRule="auto"/>
        <w:ind w:firstLine="420" w:firstLineChars="200"/>
        <w:rPr>
          <w:rFonts w:ascii="宋体" w:hAnsi="宋体" w:cs="宋体"/>
        </w:rPr>
      </w:pPr>
      <w:r>
        <w:rPr>
          <w:rFonts w:hint="eastAsia" w:ascii="宋体" w:hAnsi="宋体" w:cs="宋体"/>
        </w:rPr>
        <w:t>一、应答函及应答函附录；</w:t>
      </w:r>
    </w:p>
    <w:p>
      <w:pPr>
        <w:pageBreakBefore w:val="0"/>
        <w:kinsoku/>
        <w:wordWrap w:val="0"/>
        <w:overflowPunct/>
        <w:bidi w:val="0"/>
        <w:spacing w:line="360" w:lineRule="auto"/>
        <w:ind w:firstLine="420" w:firstLineChars="200"/>
        <w:rPr>
          <w:rFonts w:ascii="宋体" w:hAnsi="宋体" w:cs="宋体"/>
        </w:rPr>
      </w:pPr>
      <w:r>
        <w:rPr>
          <w:rFonts w:hint="eastAsia" w:ascii="宋体" w:hAnsi="宋体" w:cs="宋体"/>
        </w:rPr>
        <w:t>二、法定代表人身份证明；</w:t>
      </w:r>
    </w:p>
    <w:p>
      <w:pPr>
        <w:pageBreakBefore w:val="0"/>
        <w:kinsoku/>
        <w:wordWrap w:val="0"/>
        <w:overflowPunct/>
        <w:bidi w:val="0"/>
        <w:spacing w:line="360" w:lineRule="auto"/>
        <w:ind w:firstLine="420" w:firstLineChars="200"/>
        <w:rPr>
          <w:rFonts w:ascii="宋体" w:hAnsi="宋体" w:cs="宋体"/>
        </w:rPr>
      </w:pPr>
      <w:r>
        <w:rPr>
          <w:rFonts w:hint="eastAsia" w:ascii="宋体" w:hAnsi="宋体" w:cs="宋体"/>
        </w:rPr>
        <w:t xml:space="preserve">三、法人授权委托书； </w:t>
      </w:r>
    </w:p>
    <w:p>
      <w:pPr>
        <w:pageBreakBefore w:val="0"/>
        <w:kinsoku/>
        <w:wordWrap w:val="0"/>
        <w:overflowPunct/>
        <w:bidi w:val="0"/>
        <w:spacing w:line="360" w:lineRule="auto"/>
        <w:ind w:firstLine="420" w:firstLineChars="200"/>
        <w:rPr>
          <w:rFonts w:ascii="宋体" w:hAnsi="宋体" w:cs="宋体"/>
        </w:rPr>
      </w:pPr>
      <w:r>
        <w:rPr>
          <w:rFonts w:hint="eastAsia" w:ascii="宋体" w:hAnsi="宋体" w:cs="宋体"/>
        </w:rPr>
        <w:t>四、资格审查资料；</w:t>
      </w:r>
    </w:p>
    <w:p>
      <w:pPr>
        <w:pageBreakBefore w:val="0"/>
        <w:kinsoku/>
        <w:wordWrap w:val="0"/>
        <w:overflowPunct/>
        <w:bidi w:val="0"/>
        <w:spacing w:line="360" w:lineRule="auto"/>
        <w:ind w:firstLine="420" w:firstLineChars="200"/>
        <w:rPr>
          <w:rFonts w:hint="eastAsia" w:ascii="宋体" w:hAnsi="宋体" w:eastAsia="宋体" w:cs="宋体"/>
          <w:lang w:val="en-US" w:eastAsia="zh-CN"/>
        </w:rPr>
      </w:pPr>
      <w:r>
        <w:rPr>
          <w:rFonts w:hint="eastAsia" w:ascii="宋体" w:hAnsi="宋体" w:cs="宋体"/>
          <w:lang w:val="en-US" w:eastAsia="zh-CN"/>
        </w:rPr>
        <w:t>五</w:t>
      </w:r>
      <w:r>
        <w:rPr>
          <w:rFonts w:hint="eastAsia" w:ascii="宋体" w:hAnsi="宋体" w:cs="宋体"/>
        </w:rPr>
        <w:t>、供应商资格要求</w:t>
      </w:r>
    </w:p>
    <w:p>
      <w:pPr>
        <w:pageBreakBefore w:val="0"/>
        <w:kinsoku/>
        <w:wordWrap w:val="0"/>
        <w:overflowPunct/>
        <w:bidi w:val="0"/>
        <w:spacing w:line="360" w:lineRule="auto"/>
        <w:ind w:firstLine="420" w:firstLineChars="200"/>
        <w:rPr>
          <w:rFonts w:ascii="宋体" w:hAnsi="宋体" w:cs="宋体"/>
        </w:rPr>
      </w:pPr>
      <w:r>
        <w:rPr>
          <w:rFonts w:hint="eastAsia" w:ascii="宋体" w:hAnsi="宋体" w:cs="宋体"/>
          <w:lang w:val="en-US" w:eastAsia="zh-CN"/>
        </w:rPr>
        <w:t>六</w:t>
      </w:r>
      <w:r>
        <w:rPr>
          <w:rFonts w:hint="eastAsia" w:ascii="宋体" w:hAnsi="宋体" w:cs="宋体"/>
        </w:rPr>
        <w:t>、已标价工程量清单；</w:t>
      </w:r>
      <w:r>
        <w:rPr>
          <w:rFonts w:ascii="宋体" w:hAnsi="宋体" w:cs="宋体"/>
        </w:rPr>
        <w:t xml:space="preserve"> </w:t>
      </w:r>
    </w:p>
    <w:p>
      <w:pPr>
        <w:pageBreakBefore w:val="0"/>
        <w:kinsoku/>
        <w:wordWrap w:val="0"/>
        <w:overflowPunct/>
        <w:bidi w:val="0"/>
        <w:spacing w:line="360" w:lineRule="auto"/>
        <w:ind w:firstLine="420" w:firstLineChars="200"/>
        <w:rPr>
          <w:rFonts w:ascii="宋体" w:hAnsi="宋体" w:cs="宋体"/>
        </w:rPr>
      </w:pPr>
      <w:r>
        <w:rPr>
          <w:rFonts w:hint="eastAsia" w:ascii="宋体" w:hAnsi="宋体" w:cs="宋体"/>
          <w:lang w:val="en-US" w:eastAsia="zh-CN"/>
        </w:rPr>
        <w:t>七</w:t>
      </w:r>
      <w:r>
        <w:rPr>
          <w:rFonts w:hint="eastAsia" w:ascii="宋体" w:hAnsi="宋体" w:cs="宋体"/>
        </w:rPr>
        <w:t>、项目实施方案；</w:t>
      </w:r>
    </w:p>
    <w:p>
      <w:pPr>
        <w:pageBreakBefore w:val="0"/>
        <w:kinsoku/>
        <w:wordWrap w:val="0"/>
        <w:overflowPunct/>
        <w:bidi w:val="0"/>
        <w:spacing w:line="360" w:lineRule="auto"/>
        <w:ind w:firstLine="420" w:firstLineChars="200"/>
        <w:rPr>
          <w:rFonts w:ascii="宋体" w:hAnsi="宋体" w:cs="宋体"/>
        </w:rPr>
      </w:pPr>
      <w:r>
        <w:rPr>
          <w:rFonts w:hint="eastAsia" w:ascii="宋体" w:hAnsi="宋体" w:cs="宋体"/>
          <w:lang w:val="en-US" w:eastAsia="zh-CN"/>
        </w:rPr>
        <w:t>八</w:t>
      </w:r>
      <w:r>
        <w:rPr>
          <w:rFonts w:hint="eastAsia" w:ascii="宋体" w:hAnsi="宋体" w:cs="宋体"/>
        </w:rPr>
        <w:t>、中小企业声明函；</w:t>
      </w:r>
    </w:p>
    <w:p>
      <w:pPr>
        <w:pageBreakBefore w:val="0"/>
        <w:kinsoku/>
        <w:wordWrap w:val="0"/>
        <w:overflowPunct/>
        <w:bidi w:val="0"/>
        <w:spacing w:line="360" w:lineRule="auto"/>
        <w:ind w:firstLine="420" w:firstLineChars="200"/>
        <w:rPr>
          <w:rFonts w:ascii="宋体" w:hAnsi="宋体" w:cs="宋体"/>
        </w:rPr>
      </w:pPr>
      <w:r>
        <w:rPr>
          <w:rFonts w:hint="eastAsia" w:ascii="宋体" w:hAnsi="宋体" w:cs="宋体"/>
          <w:lang w:val="en-US" w:eastAsia="zh-CN"/>
        </w:rPr>
        <w:t>九</w:t>
      </w:r>
      <w:r>
        <w:rPr>
          <w:rFonts w:hint="eastAsia" w:ascii="宋体" w:hAnsi="宋体" w:cs="宋体"/>
        </w:rPr>
        <w:t>、其他材料；</w:t>
      </w:r>
    </w:p>
    <w:p>
      <w:pPr>
        <w:pStyle w:val="2"/>
        <w:pageBreakBefore w:val="0"/>
        <w:kinsoku/>
        <w:wordWrap w:val="0"/>
        <w:overflowPunct/>
        <w:bidi w:val="0"/>
        <w:spacing w:line="360" w:lineRule="auto"/>
        <w:jc w:val="center"/>
        <w:rPr>
          <w:rFonts w:ascii="宋体" w:hAnsi="宋体" w:eastAsia="宋体" w:cs="宋体"/>
        </w:rPr>
      </w:pPr>
      <w:r>
        <w:rPr>
          <w:rFonts w:hint="eastAsia" w:ascii="宋体" w:hAnsi="宋体" w:eastAsia="宋体" w:cs="宋体"/>
        </w:rPr>
        <w:br w:type="page"/>
      </w:r>
      <w:bookmarkStart w:id="688" w:name="_Toc246996356"/>
      <w:bookmarkStart w:id="689" w:name="_Toc144974857"/>
      <w:bookmarkStart w:id="690" w:name="_Toc425177185"/>
      <w:bookmarkStart w:id="691" w:name="_Toc179632808"/>
      <w:bookmarkStart w:id="692" w:name="_Toc152042577"/>
      <w:bookmarkStart w:id="693" w:name="_Toc87865801"/>
      <w:bookmarkStart w:id="694" w:name="_Toc394565357"/>
      <w:bookmarkStart w:id="695" w:name="_Toc246997099"/>
      <w:bookmarkStart w:id="696" w:name="_Toc152045788"/>
      <w:bookmarkStart w:id="697" w:name="_Toc247085874"/>
      <w:bookmarkStart w:id="698" w:name="_Toc74256194"/>
      <w:r>
        <w:rPr>
          <w:rFonts w:hint="eastAsia" w:ascii="宋体" w:hAnsi="宋体" w:eastAsia="宋体" w:cs="宋体"/>
        </w:rPr>
        <w:t>一、应答函及应答函附录</w:t>
      </w:r>
      <w:bookmarkEnd w:id="688"/>
      <w:bookmarkEnd w:id="689"/>
      <w:bookmarkEnd w:id="690"/>
      <w:bookmarkEnd w:id="691"/>
      <w:bookmarkEnd w:id="692"/>
      <w:bookmarkEnd w:id="693"/>
      <w:bookmarkEnd w:id="694"/>
      <w:bookmarkEnd w:id="695"/>
      <w:bookmarkEnd w:id="696"/>
      <w:bookmarkEnd w:id="697"/>
      <w:bookmarkEnd w:id="698"/>
    </w:p>
    <w:p>
      <w:pPr>
        <w:pStyle w:val="5"/>
        <w:pageBreakBefore w:val="0"/>
        <w:kinsoku/>
        <w:wordWrap w:val="0"/>
        <w:overflowPunct/>
        <w:bidi w:val="0"/>
        <w:spacing w:line="360" w:lineRule="auto"/>
        <w:jc w:val="center"/>
        <w:rPr>
          <w:rFonts w:ascii="宋体" w:hAnsi="宋体" w:cs="宋体"/>
        </w:rPr>
      </w:pPr>
      <w:bookmarkStart w:id="699" w:name="_Toc152045789"/>
      <w:bookmarkStart w:id="700" w:name="_Toc394565358"/>
      <w:bookmarkStart w:id="701" w:name="_Toc246997100"/>
      <w:bookmarkStart w:id="702" w:name="_Toc425177186"/>
      <w:bookmarkStart w:id="703" w:name="_Toc152042578"/>
      <w:bookmarkStart w:id="704" w:name="_Toc247085875"/>
      <w:bookmarkStart w:id="705" w:name="_Toc87865802"/>
      <w:bookmarkStart w:id="706" w:name="_Toc246996357"/>
      <w:bookmarkStart w:id="707" w:name="_Toc179632809"/>
      <w:bookmarkStart w:id="708" w:name="_Toc144974858"/>
      <w:bookmarkStart w:id="709" w:name="_Toc74256195"/>
      <w:r>
        <w:rPr>
          <w:rFonts w:hint="eastAsia" w:ascii="宋体" w:hAnsi="宋体" w:cs="宋体"/>
        </w:rPr>
        <w:t>（一）应答函</w:t>
      </w:r>
      <w:bookmarkEnd w:id="699"/>
      <w:bookmarkEnd w:id="700"/>
      <w:bookmarkEnd w:id="701"/>
      <w:bookmarkEnd w:id="702"/>
      <w:bookmarkEnd w:id="703"/>
      <w:bookmarkEnd w:id="704"/>
      <w:bookmarkEnd w:id="705"/>
      <w:bookmarkEnd w:id="706"/>
      <w:bookmarkEnd w:id="707"/>
      <w:bookmarkEnd w:id="708"/>
      <w:bookmarkEnd w:id="709"/>
    </w:p>
    <w:p>
      <w:pPr>
        <w:pageBreakBefore w:val="0"/>
        <w:kinsoku/>
        <w:wordWrap w:val="0"/>
        <w:overflowPunct/>
        <w:bidi w:val="0"/>
        <w:spacing w:line="360" w:lineRule="auto"/>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（采购人名称）：</w:t>
      </w:r>
    </w:p>
    <w:p>
      <w:pPr>
        <w:pageBreakBefore w:val="0"/>
        <w:kinsoku/>
        <w:wordWrap w:val="0"/>
        <w:overflowPunct/>
        <w:bidi w:val="0"/>
        <w:spacing w:line="360" w:lineRule="auto"/>
        <w:rPr>
          <w:rFonts w:ascii="宋体" w:hAnsi="宋体" w:cs="宋体"/>
          <w:szCs w:val="21"/>
        </w:rPr>
      </w:pP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1．我方已仔细研究了</w:t>
      </w:r>
      <w:r>
        <w:rPr>
          <w:rFonts w:hint="eastAsia" w:ascii="宋体" w:hAnsi="宋体" w:cs="宋体"/>
          <w:szCs w:val="21"/>
          <w:u w:val="single"/>
        </w:rPr>
        <w:t xml:space="preserve">                            </w:t>
      </w:r>
      <w:r>
        <w:rPr>
          <w:rFonts w:hint="eastAsia" w:ascii="宋体" w:hAnsi="宋体" w:cs="宋体"/>
          <w:szCs w:val="21"/>
        </w:rPr>
        <w:t>（项目名称）磋商文件的全部内容，愿意以人民币（大写）</w:t>
      </w:r>
      <w:r>
        <w:rPr>
          <w:rFonts w:hint="eastAsia" w:ascii="宋体" w:hAnsi="宋体" w:cs="宋体"/>
          <w:szCs w:val="21"/>
          <w:u w:val="single"/>
        </w:rPr>
        <w:t xml:space="preserve">         </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rPr>
        <w:t>）的第一次报价（最终以最后报价为准），合同履行期限（工期）：</w:t>
      </w:r>
      <w:r>
        <w:rPr>
          <w:rFonts w:hint="eastAsia" w:ascii="宋体" w:hAnsi="宋体" w:cs="宋体"/>
          <w:szCs w:val="21"/>
          <w:u w:val="single"/>
        </w:rPr>
        <w:t xml:space="preserve">                 </w:t>
      </w:r>
      <w:r>
        <w:rPr>
          <w:rFonts w:hint="eastAsia" w:ascii="宋体" w:hAnsi="宋体" w:cs="宋体"/>
          <w:szCs w:val="21"/>
        </w:rPr>
        <w:t xml:space="preserve"> ，质量情况为：</w:t>
      </w:r>
      <w:r>
        <w:rPr>
          <w:rFonts w:hint="eastAsia" w:ascii="宋体" w:hAnsi="宋体" w:cs="宋体"/>
          <w:szCs w:val="21"/>
          <w:u w:val="single"/>
        </w:rPr>
        <w:t xml:space="preserve">        </w:t>
      </w:r>
      <w:r>
        <w:rPr>
          <w:rFonts w:hint="eastAsia" w:ascii="宋体" w:hAnsi="宋体" w:cs="宋体"/>
          <w:szCs w:val="21"/>
        </w:rPr>
        <w:t>，按合同约定完成本项目所有工作。</w:t>
      </w: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2．我方承诺在磋商文件规定的提交响应文件截止时间后不修改、撤销响应文件。</w:t>
      </w: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3．如我方成交，我方承诺：</w:t>
      </w: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（1）在收到成交通知书后，在成交通知书规定的期限内与你方签订合同；</w:t>
      </w: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（2）在签订合同时不向你方提出附加条件；</w:t>
      </w: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（3）按照磋商文件要求提交履约保证金；</w:t>
      </w: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（4）在合同约定的期限内完成合同规定的全部义务。</w:t>
      </w:r>
    </w:p>
    <w:p>
      <w:pPr>
        <w:pageBreakBefore w:val="0"/>
        <w:kinsoku/>
        <w:wordWrap w:val="0"/>
        <w:overflowPunct/>
        <w:bidi w:val="0"/>
        <w:spacing w:line="360" w:lineRule="auto"/>
        <w:ind w:firstLine="420" w:firstLineChars="200"/>
      </w:pPr>
      <w:r>
        <w:rPr>
          <w:rFonts w:hint="eastAsia"/>
        </w:rPr>
        <w:t>（5）保证在收到成交通知书前，按磋商文件的规定向代理机构支付代理机构服务费（如有）。</w:t>
      </w: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4．</w:t>
      </w:r>
      <w:r>
        <w:rPr>
          <w:rFonts w:hint="eastAsia" w:ascii="宋体" w:hAnsi="宋体" w:cs="宋体"/>
        </w:rPr>
        <w:t>我方在此声明，所递交的响应文件及有关资料内容完整、真实和准确。</w:t>
      </w:r>
    </w:p>
    <w:p>
      <w:pPr>
        <w:pageBreakBefore w:val="0"/>
        <w:kinsoku/>
        <w:wordWrap w:val="0"/>
        <w:overflowPunct/>
        <w:bidi w:val="0"/>
        <w:spacing w:line="360" w:lineRule="auto"/>
        <w:ind w:firstLine="420" w:firstLineChars="200"/>
        <w:rPr>
          <w:rFonts w:ascii="宋体" w:hAnsi="宋体" w:cs="宋体"/>
          <w:szCs w:val="21"/>
          <w:u w:val="single"/>
        </w:rPr>
      </w:pPr>
      <w:r>
        <w:rPr>
          <w:rFonts w:hint="eastAsia" w:ascii="宋体" w:hAnsi="宋体" w:cs="宋体"/>
          <w:szCs w:val="21"/>
        </w:rPr>
        <w:t>5．我方已完整阅读了磋商文件的所有内容（包括澄清及所有资料和有关附件），完全理解磋商文件所表达的意思，并接受本磋商文件中的所有条件和规定，放弃对上述文件内容进行询问或质疑的权力。</w:t>
      </w:r>
    </w:p>
    <w:p>
      <w:pPr>
        <w:pageBreakBefore w:val="0"/>
        <w:numPr>
          <w:ilvl w:val="0"/>
          <w:numId w:val="6"/>
        </w:numPr>
        <w:kinsoku/>
        <w:wordWrap w:val="0"/>
        <w:overflowPunct/>
        <w:bidi w:val="0"/>
        <w:spacing w:line="360" w:lineRule="auto"/>
        <w:ind w:firstLine="420" w:firstLineChars="200"/>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（其他补充说明）。</w:t>
      </w:r>
    </w:p>
    <w:p>
      <w:pPr>
        <w:pageBreakBefore w:val="0"/>
        <w:kinsoku/>
        <w:wordWrap w:val="0"/>
        <w:overflowPunct/>
        <w:bidi w:val="0"/>
        <w:spacing w:line="360" w:lineRule="auto"/>
        <w:rPr>
          <w:rFonts w:ascii="宋体" w:hAnsi="宋体" w:cs="宋体"/>
          <w:szCs w:val="21"/>
        </w:rPr>
      </w:pPr>
    </w:p>
    <w:p>
      <w:pPr>
        <w:pageBreakBefore w:val="0"/>
        <w:kinsoku/>
        <w:wordWrap w:val="0"/>
        <w:overflowPunct/>
        <w:bidi w:val="0"/>
        <w:spacing w:line="360" w:lineRule="auto"/>
        <w:ind w:firstLine="3675" w:firstLineChars="1750"/>
        <w:rPr>
          <w:rFonts w:ascii="宋体" w:hAnsi="宋体" w:cs="宋体"/>
          <w:szCs w:val="21"/>
        </w:rPr>
      </w:pPr>
      <w:r>
        <w:rPr>
          <w:rFonts w:hint="eastAsia" w:ascii="宋体" w:hAnsi="宋体" w:cs="宋体"/>
          <w:szCs w:val="21"/>
        </w:rPr>
        <w:t>供应商：</w:t>
      </w:r>
      <w:r>
        <w:rPr>
          <w:rFonts w:hint="eastAsia" w:ascii="宋体" w:hAnsi="宋体" w:cs="宋体"/>
          <w:szCs w:val="21"/>
          <w:u w:val="single"/>
        </w:rPr>
        <w:t xml:space="preserve">                      </w:t>
      </w:r>
      <w:r>
        <w:rPr>
          <w:rFonts w:hint="eastAsia" w:ascii="宋体" w:hAnsi="宋体" w:cs="宋体"/>
          <w:szCs w:val="21"/>
        </w:rPr>
        <w:t>（盖单位章）</w:t>
      </w:r>
    </w:p>
    <w:p>
      <w:pPr>
        <w:pageBreakBefore w:val="0"/>
        <w:kinsoku/>
        <w:wordWrap w:val="0"/>
        <w:overflowPunct/>
        <w:bidi w:val="0"/>
        <w:spacing w:line="360" w:lineRule="auto"/>
        <w:ind w:firstLine="3675" w:firstLineChars="1750"/>
        <w:jc w:val="left"/>
        <w:rPr>
          <w:rFonts w:ascii="宋体" w:hAnsi="宋体" w:cs="宋体"/>
          <w:szCs w:val="21"/>
        </w:rPr>
      </w:pPr>
      <w:r>
        <w:rPr>
          <w:rFonts w:hint="eastAsia" w:ascii="宋体" w:hAnsi="宋体" w:cs="宋体"/>
          <w:szCs w:val="21"/>
        </w:rPr>
        <w:t>法定代表人或授权代表签字：</w:t>
      </w:r>
      <w:r>
        <w:rPr>
          <w:rFonts w:hint="eastAsia" w:ascii="宋体" w:hAnsi="宋体" w:cs="宋体"/>
          <w:szCs w:val="21"/>
          <w:u w:val="single"/>
        </w:rPr>
        <w:t xml:space="preserve">          </w:t>
      </w:r>
      <w:r>
        <w:rPr>
          <w:rFonts w:hint="eastAsia" w:ascii="宋体" w:hAnsi="宋体" w:cs="宋体"/>
          <w:szCs w:val="21"/>
        </w:rPr>
        <w:t>（签名）</w:t>
      </w:r>
    </w:p>
    <w:p>
      <w:pPr>
        <w:pageBreakBefore w:val="0"/>
        <w:kinsoku/>
        <w:wordWrap w:val="0"/>
        <w:overflowPunct/>
        <w:bidi w:val="0"/>
        <w:spacing w:line="360" w:lineRule="auto"/>
        <w:ind w:firstLine="3675" w:firstLineChars="1750"/>
        <w:rPr>
          <w:rFonts w:ascii="宋体" w:hAnsi="宋体" w:cs="宋体"/>
          <w:szCs w:val="21"/>
        </w:rPr>
      </w:pPr>
      <w:r>
        <w:rPr>
          <w:rFonts w:hint="eastAsia" w:ascii="宋体" w:hAnsi="宋体" w:cs="宋体"/>
          <w:szCs w:val="21"/>
        </w:rPr>
        <w:t>地址：</w:t>
      </w:r>
      <w:r>
        <w:rPr>
          <w:rFonts w:hint="eastAsia" w:ascii="宋体" w:hAnsi="宋体" w:cs="宋体"/>
          <w:szCs w:val="21"/>
          <w:u w:val="single"/>
        </w:rPr>
        <w:t xml:space="preserve">                                     </w:t>
      </w:r>
    </w:p>
    <w:p>
      <w:pPr>
        <w:pageBreakBefore w:val="0"/>
        <w:kinsoku/>
        <w:wordWrap w:val="0"/>
        <w:overflowPunct/>
        <w:bidi w:val="0"/>
        <w:spacing w:line="360" w:lineRule="auto"/>
        <w:ind w:firstLine="3675" w:firstLineChars="1750"/>
        <w:rPr>
          <w:rFonts w:ascii="宋体" w:hAnsi="宋体" w:cs="宋体"/>
          <w:szCs w:val="21"/>
        </w:rPr>
      </w:pPr>
      <w:r>
        <w:rPr>
          <w:rFonts w:hint="eastAsia" w:ascii="宋体" w:hAnsi="宋体" w:cs="宋体"/>
          <w:szCs w:val="21"/>
        </w:rPr>
        <w:t>电话：</w:t>
      </w:r>
      <w:r>
        <w:rPr>
          <w:rFonts w:hint="eastAsia" w:ascii="宋体" w:hAnsi="宋体" w:cs="宋体"/>
          <w:szCs w:val="21"/>
          <w:u w:val="single"/>
        </w:rPr>
        <w:t xml:space="preserve">                                     </w:t>
      </w:r>
    </w:p>
    <w:p>
      <w:pPr>
        <w:pageBreakBefore w:val="0"/>
        <w:kinsoku/>
        <w:wordWrap w:val="0"/>
        <w:overflowPunct/>
        <w:bidi w:val="0"/>
        <w:spacing w:line="360" w:lineRule="auto"/>
        <w:ind w:firstLine="3675" w:firstLineChars="1750"/>
        <w:rPr>
          <w:rFonts w:ascii="宋体" w:hAnsi="宋体" w:cs="宋体"/>
          <w:szCs w:val="21"/>
        </w:rPr>
      </w:pPr>
      <w:r>
        <w:rPr>
          <w:rFonts w:hint="eastAsia" w:ascii="宋体" w:hAnsi="宋体" w:cs="宋体"/>
          <w:szCs w:val="21"/>
        </w:rPr>
        <w:t>传真：</w:t>
      </w:r>
      <w:r>
        <w:rPr>
          <w:rFonts w:hint="eastAsia" w:ascii="宋体" w:hAnsi="宋体" w:cs="宋体"/>
          <w:szCs w:val="21"/>
          <w:u w:val="single"/>
        </w:rPr>
        <w:t xml:space="preserve">                                     </w:t>
      </w:r>
    </w:p>
    <w:p>
      <w:pPr>
        <w:pageBreakBefore w:val="0"/>
        <w:kinsoku/>
        <w:wordWrap w:val="0"/>
        <w:overflowPunct/>
        <w:bidi w:val="0"/>
        <w:spacing w:line="360" w:lineRule="auto"/>
        <w:ind w:firstLine="3675" w:firstLineChars="1750"/>
        <w:rPr>
          <w:rFonts w:ascii="宋体" w:hAnsi="宋体" w:cs="宋体"/>
          <w:szCs w:val="21"/>
        </w:rPr>
      </w:pPr>
      <w:r>
        <w:rPr>
          <w:rFonts w:hint="eastAsia" w:ascii="宋体" w:hAnsi="宋体" w:cs="宋体"/>
          <w:szCs w:val="21"/>
        </w:rPr>
        <w:t>邮政编码：</w:t>
      </w:r>
      <w:r>
        <w:rPr>
          <w:rFonts w:hint="eastAsia" w:ascii="宋体" w:hAnsi="宋体" w:cs="宋体"/>
          <w:szCs w:val="21"/>
          <w:u w:val="single"/>
        </w:rPr>
        <w:t xml:space="preserve">                                 </w:t>
      </w:r>
    </w:p>
    <w:p>
      <w:pPr>
        <w:pageBreakBefore w:val="0"/>
        <w:kinsoku/>
        <w:wordWrap w:val="0"/>
        <w:overflowPunct/>
        <w:bidi w:val="0"/>
        <w:spacing w:line="360" w:lineRule="auto"/>
        <w:ind w:firstLine="5040" w:firstLineChars="2400"/>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pageBreakBefore w:val="0"/>
        <w:kinsoku/>
        <w:wordWrap w:val="0"/>
        <w:overflowPunct/>
        <w:bidi w:val="0"/>
        <w:spacing w:line="360" w:lineRule="auto"/>
        <w:rPr>
          <w:rFonts w:ascii="宋体" w:hAnsi="宋体" w:cs="宋体"/>
          <w:szCs w:val="21"/>
        </w:rPr>
      </w:pPr>
    </w:p>
    <w:p>
      <w:pPr>
        <w:pStyle w:val="5"/>
        <w:pageBreakBefore w:val="0"/>
        <w:kinsoku/>
        <w:wordWrap w:val="0"/>
        <w:overflowPunct/>
        <w:bidi w:val="0"/>
        <w:spacing w:line="360" w:lineRule="auto"/>
        <w:jc w:val="center"/>
        <w:rPr>
          <w:rFonts w:ascii="宋体" w:hAnsi="宋体" w:cs="宋体"/>
        </w:rPr>
      </w:pPr>
      <w:bookmarkStart w:id="710" w:name="_Toc246996358"/>
      <w:bookmarkStart w:id="711" w:name="_Toc152042579"/>
      <w:bookmarkStart w:id="712" w:name="_Toc179632810"/>
      <w:bookmarkStart w:id="713" w:name="_Toc74256196"/>
      <w:bookmarkStart w:id="714" w:name="_Toc87865803"/>
      <w:bookmarkStart w:id="715" w:name="_Toc246997101"/>
      <w:bookmarkStart w:id="716" w:name="_Toc152045790"/>
      <w:bookmarkStart w:id="717" w:name="_Toc425177187"/>
      <w:bookmarkStart w:id="718" w:name="_Toc247085876"/>
      <w:bookmarkStart w:id="719" w:name="_Toc144974859"/>
      <w:bookmarkStart w:id="720" w:name="_Toc394565359"/>
      <w:r>
        <w:rPr>
          <w:rFonts w:hint="eastAsia" w:ascii="宋体" w:hAnsi="宋体" w:cs="宋体"/>
        </w:rPr>
        <w:t>（二）应答函附录</w:t>
      </w:r>
      <w:bookmarkEnd w:id="710"/>
      <w:bookmarkEnd w:id="711"/>
      <w:bookmarkEnd w:id="712"/>
      <w:bookmarkEnd w:id="713"/>
      <w:bookmarkEnd w:id="714"/>
      <w:bookmarkEnd w:id="715"/>
      <w:bookmarkEnd w:id="716"/>
      <w:bookmarkEnd w:id="717"/>
      <w:bookmarkEnd w:id="718"/>
      <w:bookmarkEnd w:id="719"/>
      <w:bookmarkEnd w:id="720"/>
    </w:p>
    <w:p>
      <w:pPr>
        <w:pageBreakBefore w:val="0"/>
        <w:kinsoku/>
        <w:wordWrap w:val="0"/>
        <w:overflowPunct/>
        <w:bidi w:val="0"/>
        <w:spacing w:line="360" w:lineRule="auto"/>
        <w:rPr>
          <w:rFonts w:ascii="宋体" w:hAnsi="宋体" w:cs="宋体"/>
          <w:sz w:val="20"/>
          <w:szCs w:val="20"/>
        </w:rPr>
      </w:pP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2616"/>
        <w:gridCol w:w="3213"/>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Align w:val="center"/>
          </w:tcPr>
          <w:p>
            <w:pPr>
              <w:pageBreakBefore w:val="0"/>
              <w:kinsoku/>
              <w:wordWrap w:val="0"/>
              <w:overflowPunct/>
              <w:bidi w:val="0"/>
              <w:spacing w:line="360" w:lineRule="auto"/>
              <w:jc w:val="center"/>
              <w:rPr>
                <w:rFonts w:ascii="宋体" w:hAnsi="宋体" w:cs="宋体"/>
                <w:b/>
                <w:szCs w:val="21"/>
              </w:rPr>
            </w:pPr>
            <w:r>
              <w:rPr>
                <w:rFonts w:hint="eastAsia" w:ascii="宋体" w:hAnsi="宋体" w:cs="宋体"/>
                <w:b/>
                <w:szCs w:val="21"/>
              </w:rPr>
              <w:t>序号</w:t>
            </w:r>
          </w:p>
        </w:tc>
        <w:tc>
          <w:tcPr>
            <w:tcW w:w="2616" w:type="dxa"/>
            <w:vAlign w:val="center"/>
          </w:tcPr>
          <w:p>
            <w:pPr>
              <w:pageBreakBefore w:val="0"/>
              <w:kinsoku/>
              <w:wordWrap w:val="0"/>
              <w:overflowPunct/>
              <w:bidi w:val="0"/>
              <w:spacing w:line="360" w:lineRule="auto"/>
              <w:jc w:val="center"/>
              <w:rPr>
                <w:rFonts w:ascii="宋体" w:hAnsi="宋体" w:cs="宋体"/>
                <w:b/>
                <w:szCs w:val="21"/>
              </w:rPr>
            </w:pPr>
            <w:r>
              <w:rPr>
                <w:rFonts w:hint="eastAsia" w:ascii="宋体" w:hAnsi="宋体" w:cs="宋体"/>
                <w:b/>
                <w:szCs w:val="21"/>
              </w:rPr>
              <w:t>名 称</w:t>
            </w:r>
          </w:p>
        </w:tc>
        <w:tc>
          <w:tcPr>
            <w:tcW w:w="3213" w:type="dxa"/>
            <w:vAlign w:val="center"/>
          </w:tcPr>
          <w:p>
            <w:pPr>
              <w:pageBreakBefore w:val="0"/>
              <w:kinsoku/>
              <w:wordWrap w:val="0"/>
              <w:overflowPunct/>
              <w:bidi w:val="0"/>
              <w:spacing w:line="360" w:lineRule="auto"/>
              <w:jc w:val="center"/>
              <w:rPr>
                <w:rFonts w:ascii="宋体" w:hAnsi="宋体" w:cs="宋体"/>
                <w:b/>
                <w:szCs w:val="21"/>
              </w:rPr>
            </w:pPr>
            <w:r>
              <w:rPr>
                <w:rFonts w:hint="eastAsia" w:ascii="宋体" w:hAnsi="宋体" w:cs="宋体"/>
                <w:b/>
                <w:szCs w:val="21"/>
              </w:rPr>
              <w:t>约定内容</w:t>
            </w:r>
          </w:p>
        </w:tc>
        <w:tc>
          <w:tcPr>
            <w:tcW w:w="1029" w:type="dxa"/>
            <w:vAlign w:val="center"/>
          </w:tcPr>
          <w:p>
            <w:pPr>
              <w:pageBreakBefore w:val="0"/>
              <w:kinsoku/>
              <w:wordWrap w:val="0"/>
              <w:overflowPunct/>
              <w:bidi w:val="0"/>
              <w:spacing w:line="360" w:lineRule="auto"/>
              <w:jc w:val="center"/>
              <w:rPr>
                <w:rFonts w:ascii="宋体" w:hAnsi="宋体" w:cs="宋体"/>
                <w:b/>
                <w:szCs w:val="21"/>
              </w:rPr>
            </w:pPr>
            <w:r>
              <w:rPr>
                <w:rFonts w:hint="eastAsia" w:ascii="宋体" w:hAnsi="宋体" w:cs="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1</w:t>
            </w:r>
          </w:p>
        </w:tc>
        <w:tc>
          <w:tcPr>
            <w:tcW w:w="2616" w:type="dxa"/>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项目负责人（项目经理）</w:t>
            </w:r>
          </w:p>
        </w:tc>
        <w:tc>
          <w:tcPr>
            <w:tcW w:w="3213" w:type="dxa"/>
            <w:vAlign w:val="center"/>
          </w:tcPr>
          <w:p>
            <w:pPr>
              <w:pageBreakBefore w:val="0"/>
              <w:kinsoku/>
              <w:wordWrap w:val="0"/>
              <w:overflowPunct/>
              <w:bidi w:val="0"/>
              <w:spacing w:line="360" w:lineRule="auto"/>
              <w:rPr>
                <w:rFonts w:ascii="宋体" w:hAnsi="宋体" w:cs="宋体"/>
                <w:szCs w:val="21"/>
                <w:u w:val="single"/>
              </w:rPr>
            </w:pPr>
            <w:r>
              <w:rPr>
                <w:rFonts w:hint="eastAsia" w:ascii="宋体" w:hAnsi="宋体" w:cs="宋体"/>
                <w:szCs w:val="21"/>
              </w:rPr>
              <w:t>姓名：</w:t>
            </w:r>
            <w:r>
              <w:rPr>
                <w:rFonts w:hint="eastAsia" w:ascii="宋体" w:hAnsi="宋体" w:cs="宋体"/>
                <w:szCs w:val="21"/>
                <w:u w:val="single"/>
              </w:rPr>
              <w:t xml:space="preserve">           </w:t>
            </w:r>
          </w:p>
        </w:tc>
        <w:tc>
          <w:tcPr>
            <w:tcW w:w="1029" w:type="dxa"/>
            <w:vAlign w:val="center"/>
          </w:tcPr>
          <w:p>
            <w:pPr>
              <w:pageBreakBefore w:val="0"/>
              <w:kinsoku/>
              <w:wordWrap w:val="0"/>
              <w:overflow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Align w:val="center"/>
          </w:tcPr>
          <w:p>
            <w:pPr>
              <w:pageBreakBefore w:val="0"/>
              <w:kinsoku/>
              <w:wordWrap w:val="0"/>
              <w:overflowPunct/>
              <w:bidi w:val="0"/>
              <w:spacing w:line="360" w:lineRule="auto"/>
              <w:jc w:val="center"/>
              <w:rPr>
                <w:rFonts w:ascii="宋体" w:hAnsi="宋体" w:cs="宋体"/>
                <w:sz w:val="24"/>
              </w:rPr>
            </w:pPr>
            <w:r>
              <w:rPr>
                <w:rFonts w:hint="eastAsia" w:ascii="宋体" w:hAnsi="宋体" w:cs="宋体"/>
                <w:sz w:val="24"/>
              </w:rPr>
              <w:t>2</w:t>
            </w:r>
          </w:p>
        </w:tc>
        <w:tc>
          <w:tcPr>
            <w:tcW w:w="2616" w:type="dxa"/>
            <w:vAlign w:val="center"/>
          </w:tcPr>
          <w:p>
            <w:pPr>
              <w:pageBreakBefore w:val="0"/>
              <w:kinsoku/>
              <w:overflowPunct/>
              <w:bidi w:val="0"/>
              <w:spacing w:line="360" w:lineRule="auto"/>
              <w:jc w:val="center"/>
              <w:rPr>
                <w:rFonts w:ascii="宋体" w:hAnsi="宋体" w:cs="宋体"/>
                <w:szCs w:val="21"/>
              </w:rPr>
            </w:pPr>
            <w:r>
              <w:rPr>
                <w:rFonts w:hint="eastAsia" w:ascii="宋体" w:hAnsi="宋体" w:cs="宋体"/>
                <w:szCs w:val="21"/>
              </w:rPr>
              <w:t>磋商有效期</w:t>
            </w:r>
          </w:p>
        </w:tc>
        <w:tc>
          <w:tcPr>
            <w:tcW w:w="3213" w:type="dxa"/>
            <w:vAlign w:val="center"/>
          </w:tcPr>
          <w:p>
            <w:pPr>
              <w:pageBreakBefore w:val="0"/>
              <w:kinsoku/>
              <w:wordWrap w:val="0"/>
              <w:overflowPunct/>
              <w:bidi w:val="0"/>
              <w:spacing w:line="360" w:lineRule="auto"/>
              <w:rPr>
                <w:rFonts w:ascii="宋体" w:hAnsi="宋体" w:cs="宋体"/>
                <w:szCs w:val="21"/>
              </w:rPr>
            </w:pPr>
            <w:r>
              <w:rPr>
                <w:rFonts w:hint="eastAsia" w:ascii="宋体" w:hAnsi="宋体" w:cs="宋体"/>
                <w:szCs w:val="21"/>
              </w:rPr>
              <w:t>从提交响应文件的截止之日起算</w:t>
            </w:r>
            <w:r>
              <w:rPr>
                <w:rFonts w:hint="eastAsia" w:ascii="宋体" w:hAnsi="宋体" w:cs="宋体"/>
                <w:szCs w:val="21"/>
                <w:lang w:val="en-US" w:eastAsia="zh-CN"/>
              </w:rPr>
              <w:t>6</w:t>
            </w:r>
            <w:r>
              <w:rPr>
                <w:rFonts w:hint="eastAsia" w:ascii="宋体" w:hAnsi="宋体" w:cs="宋体"/>
                <w:szCs w:val="21"/>
              </w:rPr>
              <w:t>0日历天</w:t>
            </w:r>
          </w:p>
        </w:tc>
        <w:tc>
          <w:tcPr>
            <w:tcW w:w="1029" w:type="dxa"/>
            <w:vAlign w:val="center"/>
          </w:tcPr>
          <w:p>
            <w:pPr>
              <w:pageBreakBefore w:val="0"/>
              <w:kinsoku/>
              <w:wordWrap w:val="0"/>
              <w:overflow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w:t>
            </w:r>
          </w:p>
        </w:tc>
        <w:tc>
          <w:tcPr>
            <w:tcW w:w="2616" w:type="dxa"/>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w:t>
            </w:r>
          </w:p>
        </w:tc>
        <w:tc>
          <w:tcPr>
            <w:tcW w:w="3213" w:type="dxa"/>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w:t>
            </w:r>
          </w:p>
        </w:tc>
        <w:tc>
          <w:tcPr>
            <w:tcW w:w="1029" w:type="dxa"/>
            <w:vAlign w:val="center"/>
          </w:tcPr>
          <w:p>
            <w:pPr>
              <w:pageBreakBefore w:val="0"/>
              <w:kinsoku/>
              <w:wordWrap w:val="0"/>
              <w:overflow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w:t>
            </w:r>
          </w:p>
        </w:tc>
        <w:tc>
          <w:tcPr>
            <w:tcW w:w="2616" w:type="dxa"/>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w:t>
            </w:r>
          </w:p>
        </w:tc>
        <w:tc>
          <w:tcPr>
            <w:tcW w:w="3213" w:type="dxa"/>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w:t>
            </w:r>
          </w:p>
        </w:tc>
        <w:tc>
          <w:tcPr>
            <w:tcW w:w="1029" w:type="dxa"/>
            <w:vAlign w:val="center"/>
          </w:tcPr>
          <w:p>
            <w:pPr>
              <w:pageBreakBefore w:val="0"/>
              <w:kinsoku/>
              <w:wordWrap w:val="0"/>
              <w:overflow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w:t>
            </w:r>
          </w:p>
        </w:tc>
        <w:tc>
          <w:tcPr>
            <w:tcW w:w="2616" w:type="dxa"/>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w:t>
            </w:r>
          </w:p>
        </w:tc>
        <w:tc>
          <w:tcPr>
            <w:tcW w:w="3213" w:type="dxa"/>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w:t>
            </w:r>
          </w:p>
        </w:tc>
        <w:tc>
          <w:tcPr>
            <w:tcW w:w="1029" w:type="dxa"/>
            <w:vAlign w:val="center"/>
          </w:tcPr>
          <w:p>
            <w:pPr>
              <w:pageBreakBefore w:val="0"/>
              <w:kinsoku/>
              <w:wordWrap w:val="0"/>
              <w:overflowPunct/>
              <w:bidi w:val="0"/>
              <w:spacing w:line="360" w:lineRule="auto"/>
              <w:jc w:val="center"/>
              <w:rPr>
                <w:rFonts w:ascii="宋体" w:hAnsi="宋体" w:cs="宋体"/>
                <w:szCs w:val="21"/>
              </w:rPr>
            </w:pPr>
          </w:p>
        </w:tc>
      </w:tr>
    </w:tbl>
    <w:p>
      <w:pPr>
        <w:pageBreakBefore w:val="0"/>
        <w:kinsoku/>
        <w:wordWrap w:val="0"/>
        <w:overflowPunct/>
        <w:bidi w:val="0"/>
        <w:spacing w:line="360" w:lineRule="auto"/>
        <w:ind w:left="840" w:leftChars="400" w:firstLine="2200" w:firstLineChars="1100"/>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r>
        <w:rPr>
          <w:rFonts w:hint="eastAsia" w:ascii="宋体" w:hAnsi="宋体" w:cs="宋体"/>
          <w:sz w:val="20"/>
          <w:szCs w:val="20"/>
        </w:rPr>
        <w:t>供应商： （盖单位章）</w:t>
      </w:r>
    </w:p>
    <w:p>
      <w:pPr>
        <w:pageBreakBefore w:val="0"/>
        <w:kinsoku/>
        <w:wordWrap w:val="0"/>
        <w:overflowPunct/>
        <w:bidi w:val="0"/>
        <w:spacing w:line="360" w:lineRule="auto"/>
        <w:rPr>
          <w:rFonts w:ascii="宋体" w:hAnsi="宋体" w:cs="宋体"/>
          <w:sz w:val="20"/>
          <w:szCs w:val="20"/>
        </w:rPr>
      </w:pPr>
      <w:r>
        <w:rPr>
          <w:rFonts w:hint="eastAsia" w:ascii="宋体" w:hAnsi="宋体" w:cs="宋体"/>
          <w:sz w:val="20"/>
          <w:szCs w:val="20"/>
        </w:rPr>
        <w:t>法定代表人或其委托代理人： （签字）</w:t>
      </w:r>
    </w:p>
    <w:p>
      <w:pPr>
        <w:pageBreakBefore w:val="0"/>
        <w:kinsoku/>
        <w:wordWrap w:val="0"/>
        <w:overflowPunct/>
        <w:bidi w:val="0"/>
        <w:spacing w:line="360" w:lineRule="auto"/>
        <w:rPr>
          <w:rFonts w:ascii="宋体" w:hAnsi="宋体" w:cs="宋体"/>
          <w:sz w:val="20"/>
          <w:szCs w:val="20"/>
        </w:rPr>
      </w:pPr>
      <w:r>
        <w:rPr>
          <w:rFonts w:hint="eastAsia" w:ascii="宋体" w:hAnsi="宋体" w:cs="宋体"/>
          <w:sz w:val="20"/>
          <w:szCs w:val="20"/>
        </w:rPr>
        <w:t>年 月 日</w:t>
      </w: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rPr>
          <w:rFonts w:hint="eastAsia" w:ascii="宋体" w:hAnsi="宋体" w:eastAsia="宋体" w:cs="宋体"/>
        </w:rPr>
      </w:pPr>
      <w:bookmarkStart w:id="721" w:name="_Toc87865804"/>
      <w:bookmarkStart w:id="722" w:name="_Toc425177188"/>
      <w:bookmarkStart w:id="723" w:name="_Toc246996359"/>
      <w:bookmarkStart w:id="724" w:name="_Toc179632811"/>
      <w:bookmarkStart w:id="725" w:name="_Toc152045791"/>
      <w:bookmarkStart w:id="726" w:name="_Toc144974860"/>
      <w:bookmarkStart w:id="727" w:name="_Toc246997102"/>
      <w:bookmarkStart w:id="728" w:name="_Toc152042580"/>
      <w:bookmarkStart w:id="729" w:name="_Toc247085877"/>
      <w:bookmarkStart w:id="730" w:name="_Toc394565360"/>
      <w:bookmarkStart w:id="731" w:name="_Toc74256197"/>
      <w:r>
        <w:rPr>
          <w:rFonts w:hint="eastAsia" w:ascii="宋体" w:hAnsi="宋体" w:eastAsia="宋体" w:cs="宋体"/>
        </w:rPr>
        <w:br w:type="page"/>
      </w:r>
    </w:p>
    <w:p>
      <w:pPr>
        <w:pStyle w:val="2"/>
        <w:pageBreakBefore w:val="0"/>
        <w:kinsoku/>
        <w:wordWrap w:val="0"/>
        <w:overflowPunct/>
        <w:bidi w:val="0"/>
        <w:spacing w:line="360" w:lineRule="auto"/>
        <w:jc w:val="center"/>
        <w:rPr>
          <w:rFonts w:ascii="宋体" w:hAnsi="宋体" w:eastAsia="宋体" w:cs="宋体"/>
        </w:rPr>
      </w:pPr>
      <w:r>
        <w:rPr>
          <w:rFonts w:hint="eastAsia" w:ascii="宋体" w:hAnsi="宋体" w:eastAsia="宋体" w:cs="宋体"/>
        </w:rPr>
        <w:t>二、法定代表人身份证明</w:t>
      </w:r>
      <w:bookmarkEnd w:id="721"/>
      <w:bookmarkEnd w:id="722"/>
      <w:bookmarkEnd w:id="723"/>
      <w:bookmarkEnd w:id="724"/>
      <w:bookmarkEnd w:id="725"/>
      <w:bookmarkEnd w:id="726"/>
      <w:bookmarkEnd w:id="727"/>
      <w:bookmarkEnd w:id="728"/>
      <w:bookmarkEnd w:id="729"/>
      <w:bookmarkEnd w:id="730"/>
      <w:bookmarkEnd w:id="731"/>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Cs w:val="21"/>
        </w:rPr>
      </w:pP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供应商名称：</w:t>
      </w:r>
      <w:r>
        <w:rPr>
          <w:rFonts w:hint="eastAsia" w:ascii="宋体" w:hAnsi="宋体" w:cs="宋体"/>
          <w:szCs w:val="21"/>
          <w:u w:val="single"/>
        </w:rPr>
        <w:t xml:space="preserve">                            </w:t>
      </w:r>
      <w:r>
        <w:rPr>
          <w:rFonts w:hint="eastAsia" w:ascii="宋体" w:hAnsi="宋体" w:cs="宋体"/>
          <w:szCs w:val="21"/>
        </w:rPr>
        <w:t xml:space="preserve"> </w:t>
      </w: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单位性质：</w:t>
      </w:r>
      <w:r>
        <w:rPr>
          <w:rFonts w:hint="eastAsia" w:ascii="宋体" w:hAnsi="宋体" w:cs="宋体"/>
          <w:szCs w:val="21"/>
          <w:u w:val="single"/>
        </w:rPr>
        <w:t xml:space="preserve">                               </w:t>
      </w:r>
      <w:r>
        <w:rPr>
          <w:rFonts w:hint="eastAsia" w:ascii="宋体" w:hAnsi="宋体" w:cs="宋体"/>
          <w:szCs w:val="21"/>
        </w:rPr>
        <w:t xml:space="preserve"> </w:t>
      </w: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地址：</w:t>
      </w:r>
      <w:r>
        <w:rPr>
          <w:rFonts w:hint="eastAsia" w:ascii="宋体" w:hAnsi="宋体" w:cs="宋体"/>
          <w:szCs w:val="21"/>
          <w:u w:val="single"/>
        </w:rPr>
        <w:t xml:space="preserve">                                   </w:t>
      </w: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成立时间：</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经营期限：</w:t>
      </w:r>
      <w:r>
        <w:rPr>
          <w:rFonts w:hint="eastAsia" w:ascii="宋体" w:hAnsi="宋体" w:cs="宋体"/>
          <w:szCs w:val="21"/>
          <w:u w:val="single"/>
        </w:rPr>
        <w:t xml:space="preserve">                               </w:t>
      </w: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姓名：</w:t>
      </w:r>
      <w:r>
        <w:rPr>
          <w:rFonts w:hint="eastAsia" w:ascii="宋体" w:hAnsi="宋体" w:cs="宋体"/>
          <w:szCs w:val="21"/>
          <w:u w:val="single"/>
        </w:rPr>
        <w:t xml:space="preserve">         </w:t>
      </w:r>
      <w:r>
        <w:rPr>
          <w:rFonts w:hint="eastAsia" w:ascii="宋体" w:hAnsi="宋体" w:cs="宋体"/>
          <w:szCs w:val="21"/>
        </w:rPr>
        <w:t xml:space="preserve"> 性别：</w:t>
      </w:r>
      <w:r>
        <w:rPr>
          <w:rFonts w:hint="eastAsia" w:ascii="宋体" w:hAnsi="宋体" w:cs="宋体"/>
          <w:szCs w:val="21"/>
          <w:u w:val="single"/>
        </w:rPr>
        <w:t xml:space="preserve">         </w:t>
      </w:r>
      <w:r>
        <w:rPr>
          <w:rFonts w:hint="eastAsia" w:ascii="宋体" w:hAnsi="宋体" w:cs="宋体"/>
          <w:szCs w:val="21"/>
        </w:rPr>
        <w:t>年龄：</w:t>
      </w:r>
      <w:r>
        <w:rPr>
          <w:rFonts w:hint="eastAsia" w:ascii="宋体" w:hAnsi="宋体" w:cs="宋体"/>
          <w:szCs w:val="21"/>
          <w:u w:val="single"/>
        </w:rPr>
        <w:t xml:space="preserve">        </w:t>
      </w:r>
      <w:r>
        <w:rPr>
          <w:rFonts w:hint="eastAsia" w:ascii="宋体" w:hAnsi="宋体" w:cs="宋体"/>
          <w:szCs w:val="21"/>
        </w:rPr>
        <w:t>职务：</w:t>
      </w:r>
      <w:r>
        <w:rPr>
          <w:rFonts w:hint="eastAsia" w:ascii="宋体" w:hAnsi="宋体" w:cs="宋体"/>
          <w:szCs w:val="21"/>
          <w:u w:val="single"/>
        </w:rPr>
        <w:t xml:space="preserve">        </w:t>
      </w: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系</w:t>
      </w:r>
      <w:r>
        <w:rPr>
          <w:rFonts w:hint="eastAsia" w:ascii="宋体" w:hAnsi="宋体" w:cs="宋体"/>
          <w:szCs w:val="21"/>
          <w:u w:val="single"/>
        </w:rPr>
        <w:t xml:space="preserve">                             </w:t>
      </w:r>
      <w:r>
        <w:rPr>
          <w:rFonts w:hint="eastAsia" w:ascii="宋体" w:hAnsi="宋体" w:cs="宋体"/>
          <w:szCs w:val="21"/>
        </w:rPr>
        <w:t xml:space="preserve"> （供应商名称）的法定代表人。</w:t>
      </w: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特此证明。</w:t>
      </w:r>
    </w:p>
    <w:p>
      <w:pPr>
        <w:pageBreakBefore w:val="0"/>
        <w:kinsoku/>
        <w:wordWrap w:val="0"/>
        <w:overflowPunct/>
        <w:bidi w:val="0"/>
        <w:spacing w:line="360" w:lineRule="auto"/>
        <w:rPr>
          <w:rFonts w:ascii="宋体" w:hAnsi="宋体" w:cs="宋体"/>
          <w:szCs w:val="21"/>
        </w:rPr>
      </w:pPr>
    </w:p>
    <w:p>
      <w:pPr>
        <w:pageBreakBefore w:val="0"/>
        <w:kinsoku/>
        <w:wordWrap w:val="0"/>
        <w:overflowPunct/>
        <w:bidi w:val="0"/>
        <w:spacing w:line="360" w:lineRule="auto"/>
        <w:rPr>
          <w:rFonts w:ascii="宋体" w:hAnsi="宋体" w:cs="宋体"/>
          <w:szCs w:val="21"/>
        </w:rPr>
      </w:pPr>
    </w:p>
    <w:p>
      <w:pPr>
        <w:pageBreakBefore w:val="0"/>
        <w:kinsoku/>
        <w:wordWrap w:val="0"/>
        <w:overflowPunct/>
        <w:bidi w:val="0"/>
        <w:spacing w:line="360" w:lineRule="auto"/>
        <w:rPr>
          <w:rFonts w:ascii="宋体" w:hAnsi="宋体" w:cs="宋体"/>
          <w:szCs w:val="21"/>
        </w:rPr>
      </w:pPr>
      <w:r>
        <w:rPr>
          <w:rFonts w:hint="eastAsia" w:ascii="宋体" w:hAnsi="宋体" w:cs="宋体"/>
          <w:szCs w:val="21"/>
        </w:rPr>
        <w:t xml:space="preserve">                          供应商：</w:t>
      </w:r>
      <w:r>
        <w:rPr>
          <w:rFonts w:hint="eastAsia" w:ascii="宋体" w:hAnsi="宋体" w:cs="宋体"/>
          <w:szCs w:val="21"/>
          <w:u w:val="single"/>
        </w:rPr>
        <w:t xml:space="preserve">                 </w:t>
      </w:r>
      <w:r>
        <w:rPr>
          <w:rFonts w:hint="eastAsia" w:ascii="宋体" w:hAnsi="宋体" w:cs="宋体"/>
          <w:szCs w:val="21"/>
        </w:rPr>
        <w:t>（盖单位章）</w:t>
      </w:r>
    </w:p>
    <w:p>
      <w:pPr>
        <w:pageBreakBefore w:val="0"/>
        <w:kinsoku/>
        <w:wordWrap w:val="0"/>
        <w:overflowPunct/>
        <w:bidi w:val="0"/>
        <w:spacing w:line="360" w:lineRule="auto"/>
        <w:rPr>
          <w:rFonts w:ascii="宋体" w:hAnsi="宋体" w:cs="宋体"/>
          <w:szCs w:val="21"/>
        </w:rPr>
      </w:pPr>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 xml:space="preserve">日           </w:t>
      </w: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ageBreakBefore w:val="0"/>
        <w:kinsoku/>
        <w:wordWrap w:val="0"/>
        <w:overflowPunct/>
        <w:bidi w:val="0"/>
        <w:spacing w:line="360" w:lineRule="auto"/>
        <w:rPr>
          <w:rFonts w:ascii="宋体" w:hAnsi="宋体" w:cs="宋体"/>
          <w:sz w:val="20"/>
          <w:szCs w:val="20"/>
        </w:rPr>
      </w:pPr>
    </w:p>
    <w:p>
      <w:pPr>
        <w:pageBreakBefore w:val="0"/>
        <w:kinsoku/>
        <w:overflowPunct/>
        <w:bidi w:val="0"/>
        <w:spacing w:line="360" w:lineRule="auto"/>
      </w:pPr>
    </w:p>
    <w:p>
      <w:pPr>
        <w:pStyle w:val="2"/>
        <w:pageBreakBefore w:val="0"/>
        <w:kinsoku/>
        <w:wordWrap w:val="0"/>
        <w:overflowPunct/>
        <w:bidi w:val="0"/>
        <w:spacing w:line="360" w:lineRule="auto"/>
        <w:jc w:val="center"/>
        <w:rPr>
          <w:rFonts w:ascii="宋体" w:hAnsi="宋体" w:eastAsia="宋体" w:cs="宋体"/>
        </w:rPr>
      </w:pPr>
      <w:bookmarkStart w:id="732" w:name="_Toc87865805"/>
      <w:bookmarkStart w:id="733" w:name="_Toc179632812"/>
      <w:bookmarkStart w:id="734" w:name="_Toc74256198"/>
      <w:bookmarkStart w:id="735" w:name="_Toc247085878"/>
      <w:bookmarkStart w:id="736" w:name="_Toc152045792"/>
      <w:bookmarkStart w:id="737" w:name="_Toc152042581"/>
      <w:bookmarkStart w:id="738" w:name="_Toc425177189"/>
      <w:bookmarkStart w:id="739" w:name="_Toc394565361"/>
      <w:bookmarkStart w:id="740" w:name="_Toc246996360"/>
      <w:bookmarkStart w:id="741" w:name="_Toc144974861"/>
      <w:bookmarkStart w:id="742" w:name="_Toc246997103"/>
      <w:r>
        <w:rPr>
          <w:rFonts w:hint="eastAsia" w:ascii="宋体" w:hAnsi="宋体" w:eastAsia="宋体" w:cs="宋体"/>
        </w:rPr>
        <w:t>三、法人授权委托书</w:t>
      </w:r>
      <w:bookmarkEnd w:id="732"/>
      <w:bookmarkEnd w:id="733"/>
      <w:bookmarkEnd w:id="734"/>
      <w:bookmarkEnd w:id="735"/>
      <w:bookmarkEnd w:id="736"/>
      <w:bookmarkEnd w:id="737"/>
      <w:bookmarkEnd w:id="738"/>
      <w:bookmarkEnd w:id="739"/>
      <w:bookmarkEnd w:id="740"/>
      <w:bookmarkEnd w:id="741"/>
      <w:bookmarkEnd w:id="742"/>
    </w:p>
    <w:p>
      <w:pPr>
        <w:pageBreakBefore w:val="0"/>
        <w:kinsoku/>
        <w:wordWrap w:val="0"/>
        <w:overflowPunct/>
        <w:bidi w:val="0"/>
        <w:spacing w:line="360" w:lineRule="auto"/>
        <w:rPr>
          <w:rFonts w:ascii="宋体" w:hAnsi="宋体" w:cs="宋体"/>
          <w:szCs w:val="21"/>
        </w:rPr>
      </w:pPr>
    </w:p>
    <w:p>
      <w:pPr>
        <w:pageBreakBefore w:val="0"/>
        <w:kinsoku/>
        <w:wordWrap w:val="0"/>
        <w:overflowPunct/>
        <w:topLinePunct/>
        <w:bidi w:val="0"/>
        <w:spacing w:line="360" w:lineRule="auto"/>
        <w:ind w:firstLine="420" w:firstLineChars="200"/>
        <w:rPr>
          <w:rFonts w:ascii="宋体" w:hAnsi="宋体" w:cs="宋体"/>
          <w:szCs w:val="21"/>
        </w:rPr>
      </w:pPr>
      <w:r>
        <w:rPr>
          <w:rFonts w:hint="eastAsia" w:ascii="宋体" w:hAnsi="宋体" w:cs="宋体"/>
          <w:szCs w:val="21"/>
        </w:rPr>
        <w:t>本人</w:t>
      </w:r>
      <w:r>
        <w:rPr>
          <w:rFonts w:hint="eastAsia" w:ascii="宋体" w:hAnsi="宋体" w:cs="宋体"/>
          <w:szCs w:val="21"/>
          <w:u w:val="single"/>
        </w:rPr>
        <w:t xml:space="preserve">       </w:t>
      </w:r>
      <w:r>
        <w:rPr>
          <w:rFonts w:hint="eastAsia" w:ascii="宋体" w:hAnsi="宋体" w:cs="宋体"/>
          <w:szCs w:val="21"/>
        </w:rPr>
        <w:t>（姓名）系</w:t>
      </w:r>
      <w:r>
        <w:rPr>
          <w:rFonts w:hint="eastAsia" w:ascii="宋体" w:hAnsi="宋体" w:cs="宋体"/>
          <w:szCs w:val="21"/>
          <w:u w:val="single"/>
        </w:rPr>
        <w:t xml:space="preserve">        </w:t>
      </w:r>
      <w:r>
        <w:rPr>
          <w:rFonts w:hint="eastAsia" w:ascii="宋体" w:hAnsi="宋体" w:cs="宋体"/>
          <w:szCs w:val="21"/>
        </w:rPr>
        <w:t>（供应商名称）的法定代表人，现委托</w:t>
      </w:r>
      <w:r>
        <w:rPr>
          <w:rFonts w:hint="eastAsia" w:ascii="宋体" w:hAnsi="宋体" w:cs="宋体"/>
          <w:szCs w:val="21"/>
          <w:u w:val="single"/>
        </w:rPr>
        <w:t xml:space="preserve">        </w:t>
      </w:r>
      <w:r>
        <w:rPr>
          <w:rFonts w:hint="eastAsia" w:ascii="宋体" w:hAnsi="宋体" w:cs="宋体"/>
          <w:szCs w:val="21"/>
        </w:rPr>
        <w:t>（姓名）为我方代理人。委托代理人根据授权，以我方名义签署、澄清、说明、补正、递交、撤回、修改</w:t>
      </w:r>
      <w:r>
        <w:rPr>
          <w:rFonts w:hint="eastAsia" w:ascii="宋体" w:hAnsi="宋体" w:cs="宋体"/>
          <w:szCs w:val="21"/>
          <w:u w:val="single"/>
        </w:rPr>
        <w:t xml:space="preserve">           </w:t>
      </w:r>
      <w:r>
        <w:rPr>
          <w:rFonts w:hint="eastAsia" w:ascii="宋体" w:hAnsi="宋体" w:cs="宋体"/>
          <w:szCs w:val="21"/>
        </w:rPr>
        <w:t>（项目名称）响应文件、签订合同和处理有关事宜，其法律后果由我方承担。</w:t>
      </w:r>
    </w:p>
    <w:p>
      <w:pPr>
        <w:pageBreakBefore w:val="0"/>
        <w:kinsoku/>
        <w:wordWrap w:val="0"/>
        <w:overflowPunct/>
        <w:bidi w:val="0"/>
        <w:spacing w:line="360" w:lineRule="auto"/>
        <w:rPr>
          <w:rFonts w:ascii="宋体" w:hAnsi="宋体" w:cs="宋体"/>
          <w:szCs w:val="21"/>
        </w:rPr>
      </w:pPr>
      <w:r>
        <w:rPr>
          <w:rFonts w:hint="eastAsia" w:ascii="宋体" w:hAnsi="宋体" w:cs="宋体"/>
          <w:szCs w:val="21"/>
        </w:rPr>
        <w:t xml:space="preserve">    委托期限：</w:t>
      </w:r>
      <w:r>
        <w:rPr>
          <w:rFonts w:hint="eastAsia" w:ascii="宋体" w:hAnsi="宋体" w:cs="宋体"/>
          <w:szCs w:val="21"/>
          <w:u w:val="single"/>
        </w:rPr>
        <w:t xml:space="preserve">             </w:t>
      </w:r>
      <w:r>
        <w:rPr>
          <w:rFonts w:hint="eastAsia" w:ascii="宋体" w:hAnsi="宋体" w:cs="宋体"/>
          <w:szCs w:val="21"/>
        </w:rPr>
        <w:t>。</w:t>
      </w: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代理人无转委托权。</w:t>
      </w: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附：委托代理人、法定代表人身份证复印件。</w:t>
      </w:r>
    </w:p>
    <w:p>
      <w:pPr>
        <w:pageBreakBefore w:val="0"/>
        <w:kinsoku/>
        <w:wordWrap w:val="0"/>
        <w:overflowPunct/>
        <w:bidi w:val="0"/>
        <w:spacing w:line="360" w:lineRule="auto"/>
        <w:rPr>
          <w:rFonts w:ascii="宋体" w:hAnsi="宋体" w:cs="宋体"/>
          <w:szCs w:val="21"/>
        </w:rPr>
      </w:pPr>
    </w:p>
    <w:p>
      <w:pPr>
        <w:pageBreakBefore w:val="0"/>
        <w:kinsoku/>
        <w:wordWrap w:val="0"/>
        <w:overflowPunct/>
        <w:bidi w:val="0"/>
        <w:spacing w:line="360" w:lineRule="auto"/>
        <w:rPr>
          <w:rFonts w:ascii="宋体" w:hAnsi="宋体" w:cs="宋体"/>
          <w:szCs w:val="21"/>
        </w:rPr>
      </w:pP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供应商：</w:t>
      </w:r>
      <w:r>
        <w:rPr>
          <w:rFonts w:hint="eastAsia" w:ascii="宋体" w:hAnsi="宋体" w:cs="宋体"/>
          <w:szCs w:val="21"/>
          <w:u w:val="single"/>
        </w:rPr>
        <w:t xml:space="preserve">                               </w:t>
      </w:r>
      <w:r>
        <w:rPr>
          <w:rFonts w:hint="eastAsia" w:ascii="宋体" w:hAnsi="宋体" w:cs="宋体"/>
          <w:szCs w:val="21"/>
        </w:rPr>
        <w:t>（盖单位章）</w:t>
      </w:r>
    </w:p>
    <w:p>
      <w:pPr>
        <w:pageBreakBefore w:val="0"/>
        <w:kinsoku/>
        <w:wordWrap w:val="0"/>
        <w:overflowPunct/>
        <w:bidi w:val="0"/>
        <w:spacing w:line="360" w:lineRule="auto"/>
        <w:ind w:firstLine="420" w:firstLineChars="200"/>
        <w:rPr>
          <w:rFonts w:ascii="宋体" w:hAnsi="宋体" w:cs="宋体"/>
          <w:szCs w:val="21"/>
        </w:rPr>
      </w:pP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法定代表人：</w:t>
      </w:r>
      <w:r>
        <w:rPr>
          <w:rFonts w:hint="eastAsia" w:ascii="宋体" w:hAnsi="宋体" w:cs="宋体"/>
          <w:szCs w:val="21"/>
          <w:u w:val="single"/>
        </w:rPr>
        <w:t xml:space="preserve">                               </w:t>
      </w:r>
      <w:r>
        <w:rPr>
          <w:rFonts w:hint="eastAsia" w:ascii="宋体" w:hAnsi="宋体" w:cs="宋体"/>
          <w:szCs w:val="21"/>
        </w:rPr>
        <w:t>（签名）</w:t>
      </w:r>
    </w:p>
    <w:p>
      <w:pPr>
        <w:pageBreakBefore w:val="0"/>
        <w:kinsoku/>
        <w:wordWrap w:val="0"/>
        <w:overflowPunct/>
        <w:bidi w:val="0"/>
        <w:spacing w:line="360" w:lineRule="auto"/>
        <w:ind w:firstLine="420" w:firstLineChars="200"/>
        <w:rPr>
          <w:rFonts w:ascii="宋体" w:hAnsi="宋体" w:cs="宋体"/>
          <w:szCs w:val="21"/>
        </w:rPr>
      </w:pP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身份证号码：</w:t>
      </w:r>
      <w:r>
        <w:rPr>
          <w:rFonts w:hint="eastAsia" w:ascii="宋体" w:hAnsi="宋体" w:cs="宋体"/>
          <w:szCs w:val="21"/>
          <w:u w:val="single"/>
        </w:rPr>
        <w:t xml:space="preserve">                                     </w:t>
      </w:r>
    </w:p>
    <w:p>
      <w:pPr>
        <w:pageBreakBefore w:val="0"/>
        <w:kinsoku/>
        <w:wordWrap w:val="0"/>
        <w:overflowPunct/>
        <w:bidi w:val="0"/>
        <w:spacing w:line="360" w:lineRule="auto"/>
        <w:ind w:firstLine="420" w:firstLineChars="200"/>
        <w:rPr>
          <w:rFonts w:ascii="宋体" w:hAnsi="宋体" w:cs="宋体"/>
          <w:szCs w:val="21"/>
        </w:rPr>
      </w:pP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委托代理人：</w:t>
      </w:r>
      <w:r>
        <w:rPr>
          <w:rFonts w:hint="eastAsia" w:ascii="宋体" w:hAnsi="宋体" w:cs="宋体"/>
          <w:szCs w:val="21"/>
          <w:u w:val="single"/>
        </w:rPr>
        <w:t xml:space="preserve">                                </w:t>
      </w:r>
      <w:r>
        <w:rPr>
          <w:rFonts w:hint="eastAsia" w:ascii="宋体" w:hAnsi="宋体" w:cs="宋体"/>
          <w:szCs w:val="21"/>
        </w:rPr>
        <w:t xml:space="preserve">（亲笔签名） </w:t>
      </w:r>
    </w:p>
    <w:p>
      <w:pPr>
        <w:pageBreakBefore w:val="0"/>
        <w:kinsoku/>
        <w:wordWrap w:val="0"/>
        <w:overflowPunct/>
        <w:bidi w:val="0"/>
        <w:spacing w:line="360" w:lineRule="auto"/>
        <w:ind w:firstLine="420" w:firstLineChars="200"/>
        <w:rPr>
          <w:rFonts w:ascii="宋体" w:hAnsi="宋体" w:cs="宋体"/>
          <w:szCs w:val="21"/>
        </w:rPr>
      </w:pPr>
    </w:p>
    <w:p>
      <w:pPr>
        <w:pageBreakBefore w:val="0"/>
        <w:kinsoku/>
        <w:wordWrap w:val="0"/>
        <w:overflowPunct/>
        <w:bidi w:val="0"/>
        <w:spacing w:line="360" w:lineRule="auto"/>
        <w:ind w:firstLine="420" w:firstLineChars="200"/>
        <w:rPr>
          <w:rFonts w:ascii="宋体" w:hAnsi="宋体" w:cs="宋体"/>
          <w:szCs w:val="21"/>
        </w:rPr>
      </w:pPr>
      <w:r>
        <w:rPr>
          <w:rFonts w:hint="eastAsia" w:ascii="宋体" w:hAnsi="宋体" w:cs="宋体"/>
          <w:szCs w:val="21"/>
        </w:rPr>
        <w:t>身份证号码：</w:t>
      </w:r>
      <w:r>
        <w:rPr>
          <w:rFonts w:hint="eastAsia" w:ascii="宋体" w:hAnsi="宋体" w:cs="宋体"/>
          <w:szCs w:val="21"/>
          <w:u w:val="single"/>
        </w:rPr>
        <w:t xml:space="preserve">                                      </w:t>
      </w:r>
    </w:p>
    <w:p>
      <w:pPr>
        <w:pageBreakBefore w:val="0"/>
        <w:kinsoku/>
        <w:wordWrap w:val="0"/>
        <w:overflowPunct/>
        <w:bidi w:val="0"/>
        <w:spacing w:line="360" w:lineRule="auto"/>
        <w:rPr>
          <w:rFonts w:ascii="宋体" w:hAnsi="宋体" w:cs="宋体"/>
          <w:szCs w:val="21"/>
        </w:rPr>
      </w:pPr>
    </w:p>
    <w:p>
      <w:pPr>
        <w:pageBreakBefore w:val="0"/>
        <w:kinsoku/>
        <w:wordWrap w:val="0"/>
        <w:overflowPunct/>
        <w:bidi w:val="0"/>
        <w:spacing w:line="360" w:lineRule="auto"/>
        <w:rPr>
          <w:rFonts w:ascii="宋体" w:hAnsi="宋体" w:cs="宋体"/>
          <w:szCs w:val="21"/>
        </w:rPr>
      </w:pPr>
    </w:p>
    <w:p>
      <w:pPr>
        <w:pageBreakBefore w:val="0"/>
        <w:kinsoku/>
        <w:wordWrap w:val="0"/>
        <w:overflowPunct/>
        <w:bidi w:val="0"/>
        <w:spacing w:line="360" w:lineRule="auto"/>
        <w:ind w:firstLine="2310" w:firstLineChars="1100"/>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pageBreakBefore w:val="0"/>
        <w:kinsoku/>
        <w:wordWrap w:val="0"/>
        <w:overflowPunct/>
        <w:bidi w:val="0"/>
        <w:spacing w:line="360" w:lineRule="auto"/>
        <w:rPr>
          <w:rFonts w:ascii="宋体" w:hAnsi="宋体" w:cs="宋体"/>
          <w:sz w:val="27"/>
          <w:szCs w:val="27"/>
        </w:rPr>
      </w:pPr>
    </w:p>
    <w:p>
      <w:pPr>
        <w:pageBreakBefore w:val="0"/>
        <w:kinsoku/>
        <w:wordWrap w:val="0"/>
        <w:overflowPunct/>
        <w:bidi w:val="0"/>
        <w:spacing w:line="360" w:lineRule="auto"/>
        <w:rPr>
          <w:rFonts w:ascii="宋体" w:hAnsi="宋体" w:cs="宋体"/>
          <w:sz w:val="27"/>
          <w:szCs w:val="27"/>
        </w:rPr>
      </w:pPr>
    </w:p>
    <w:p>
      <w:pPr>
        <w:pageBreakBefore w:val="0"/>
        <w:kinsoku/>
        <w:wordWrap w:val="0"/>
        <w:overflowPunct/>
        <w:bidi w:val="0"/>
        <w:spacing w:line="360" w:lineRule="auto"/>
        <w:rPr>
          <w:rFonts w:ascii="宋体" w:hAnsi="宋体" w:cs="宋体"/>
          <w:sz w:val="27"/>
          <w:szCs w:val="27"/>
        </w:rPr>
      </w:pPr>
    </w:p>
    <w:p>
      <w:pPr>
        <w:pageBreakBefore w:val="0"/>
        <w:kinsoku/>
        <w:wordWrap w:val="0"/>
        <w:overflowPunct/>
        <w:bidi w:val="0"/>
        <w:spacing w:line="360" w:lineRule="auto"/>
        <w:rPr>
          <w:rFonts w:ascii="宋体" w:hAnsi="宋体" w:cs="宋体"/>
          <w:sz w:val="27"/>
          <w:szCs w:val="27"/>
        </w:rPr>
      </w:pPr>
    </w:p>
    <w:p>
      <w:pPr>
        <w:pStyle w:val="2"/>
        <w:pageBreakBefore w:val="0"/>
        <w:kinsoku/>
        <w:overflowPunct/>
        <w:bidi w:val="0"/>
        <w:spacing w:line="360" w:lineRule="auto"/>
        <w:jc w:val="center"/>
        <w:rPr>
          <w:rFonts w:ascii="宋体" w:hAnsi="宋体" w:eastAsia="宋体" w:cs="宋体"/>
        </w:rPr>
      </w:pPr>
      <w:bookmarkStart w:id="743" w:name="_Toc74256203"/>
      <w:bookmarkStart w:id="744" w:name="_Toc246997115"/>
      <w:bookmarkStart w:id="745" w:name="_Toc144974875"/>
      <w:bookmarkStart w:id="746" w:name="_Toc152045807"/>
      <w:bookmarkStart w:id="747" w:name="_Toc425177200"/>
      <w:bookmarkStart w:id="748" w:name="_Toc152042596"/>
      <w:bookmarkStart w:id="749" w:name="_Toc394565372"/>
      <w:bookmarkStart w:id="750" w:name="_Toc87865806"/>
      <w:bookmarkStart w:id="751" w:name="_Toc247085890"/>
      <w:bookmarkStart w:id="752" w:name="_Toc179632827"/>
      <w:bookmarkStart w:id="753" w:name="_Toc246996372"/>
      <w:r>
        <w:rPr>
          <w:rFonts w:hint="eastAsia" w:ascii="宋体" w:hAnsi="宋体" w:eastAsia="宋体" w:cs="宋体"/>
        </w:rPr>
        <w:t>四、资格审查资料</w:t>
      </w:r>
      <w:bookmarkEnd w:id="743"/>
      <w:bookmarkEnd w:id="744"/>
      <w:bookmarkEnd w:id="745"/>
      <w:bookmarkEnd w:id="746"/>
      <w:bookmarkEnd w:id="747"/>
      <w:bookmarkEnd w:id="748"/>
      <w:bookmarkEnd w:id="749"/>
      <w:bookmarkEnd w:id="750"/>
      <w:bookmarkEnd w:id="751"/>
      <w:bookmarkEnd w:id="752"/>
      <w:bookmarkEnd w:id="753"/>
    </w:p>
    <w:p>
      <w:pPr>
        <w:pStyle w:val="5"/>
        <w:pageBreakBefore w:val="0"/>
        <w:kinsoku/>
        <w:wordWrap w:val="0"/>
        <w:overflowPunct/>
        <w:bidi w:val="0"/>
        <w:spacing w:line="360" w:lineRule="auto"/>
        <w:jc w:val="center"/>
        <w:rPr>
          <w:rFonts w:ascii="宋体" w:hAnsi="宋体" w:cs="宋体"/>
        </w:rPr>
      </w:pPr>
      <w:bookmarkStart w:id="754" w:name="_Toc247085891"/>
      <w:bookmarkStart w:id="755" w:name="_Toc179632828"/>
      <w:bookmarkStart w:id="756" w:name="_Toc425177201"/>
      <w:bookmarkStart w:id="757" w:name="_Toc87865807"/>
      <w:bookmarkStart w:id="758" w:name="_Toc144974876"/>
      <w:bookmarkStart w:id="759" w:name="_Toc246996373"/>
      <w:bookmarkStart w:id="760" w:name="_Toc394565373"/>
      <w:bookmarkStart w:id="761" w:name="_Toc152045808"/>
      <w:bookmarkStart w:id="762" w:name="_Toc74256204"/>
      <w:bookmarkStart w:id="763" w:name="_Toc152042597"/>
      <w:bookmarkStart w:id="764" w:name="_Toc246997116"/>
      <w:r>
        <w:rPr>
          <w:rFonts w:hint="eastAsia" w:ascii="宋体" w:hAnsi="宋体" w:cs="宋体"/>
        </w:rPr>
        <w:t>供应商基本情况表</w:t>
      </w:r>
      <w:bookmarkEnd w:id="754"/>
      <w:bookmarkEnd w:id="755"/>
      <w:bookmarkEnd w:id="756"/>
      <w:bookmarkEnd w:id="757"/>
      <w:bookmarkEnd w:id="758"/>
      <w:bookmarkEnd w:id="759"/>
      <w:bookmarkEnd w:id="760"/>
      <w:bookmarkEnd w:id="761"/>
      <w:bookmarkEnd w:id="762"/>
      <w:bookmarkEnd w:id="763"/>
      <w:bookmarkEnd w:id="764"/>
    </w:p>
    <w:tbl>
      <w:tblPr>
        <w:tblStyle w:val="3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898"/>
        <w:gridCol w:w="951"/>
        <w:gridCol w:w="840"/>
        <w:gridCol w:w="420"/>
        <w:gridCol w:w="311"/>
        <w:gridCol w:w="1078"/>
        <w:gridCol w:w="490"/>
        <w:gridCol w:w="860"/>
        <w:gridCol w:w="9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供应商名称</w:t>
            </w:r>
          </w:p>
        </w:tc>
        <w:tc>
          <w:tcPr>
            <w:tcW w:w="6840" w:type="dxa"/>
            <w:gridSpan w:val="9"/>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注册地址</w:t>
            </w:r>
          </w:p>
        </w:tc>
        <w:tc>
          <w:tcPr>
            <w:tcW w:w="3420" w:type="dxa"/>
            <w:gridSpan w:val="5"/>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邮政编码</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jc w:val="center"/>
        </w:trPr>
        <w:tc>
          <w:tcPr>
            <w:tcW w:w="1728" w:type="dxa"/>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联系方式</w:t>
            </w:r>
          </w:p>
        </w:tc>
        <w:tc>
          <w:tcPr>
            <w:tcW w:w="89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联系人</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电 话</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3" w:hRule="atLeast"/>
          <w:jc w:val="center"/>
        </w:trPr>
        <w:tc>
          <w:tcPr>
            <w:tcW w:w="1728" w:type="dxa"/>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c>
          <w:tcPr>
            <w:tcW w:w="89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传  真</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网 址</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组织结构</w:t>
            </w:r>
          </w:p>
        </w:tc>
        <w:tc>
          <w:tcPr>
            <w:tcW w:w="6840" w:type="dxa"/>
            <w:gridSpan w:val="9"/>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法定代表人</w:t>
            </w:r>
          </w:p>
        </w:tc>
        <w:tc>
          <w:tcPr>
            <w:tcW w:w="89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姓名</w:t>
            </w:r>
          </w:p>
        </w:tc>
        <w:tc>
          <w:tcPr>
            <w:tcW w:w="951"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技术职称</w:t>
            </w:r>
          </w:p>
        </w:tc>
        <w:tc>
          <w:tcPr>
            <w:tcW w:w="1879"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c>
          <w:tcPr>
            <w:tcW w:w="86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电话</w:t>
            </w:r>
          </w:p>
        </w:tc>
        <w:tc>
          <w:tcPr>
            <w:tcW w:w="99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成立时间</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c>
          <w:tcPr>
            <w:tcW w:w="4991" w:type="dxa"/>
            <w:gridSpan w:val="7"/>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ind w:firstLine="105" w:firstLineChars="50"/>
              <w:rPr>
                <w:rFonts w:ascii="宋体" w:hAnsi="宋体" w:cs="宋体"/>
                <w:szCs w:val="21"/>
              </w:rPr>
            </w:pPr>
            <w:r>
              <w:rPr>
                <w:rFonts w:hint="eastAsia" w:ascii="宋体" w:hAnsi="宋体" w:cs="宋体"/>
                <w:szCs w:val="21"/>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企业资质等级</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其中</w:t>
            </w:r>
          </w:p>
        </w:tc>
        <w:tc>
          <w:tcPr>
            <w:tcW w:w="2299"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项目负责人（项目经理）</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0"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营业执照号</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高级职称人员</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注册资金</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中级职称人员</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开户银行</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初级职称人员</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6"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账号</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rPr>
            </w:pPr>
            <w:r>
              <w:rPr>
                <w:rFonts w:hint="eastAsia" w:ascii="宋体" w:hAnsi="宋体" w:cs="宋体"/>
                <w:szCs w:val="21"/>
              </w:rPr>
              <w:t>技  工</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80" w:hRule="atLeast"/>
          <w:jc w:val="center"/>
        </w:trPr>
        <w:tc>
          <w:tcPr>
            <w:tcW w:w="1728" w:type="dxa"/>
            <w:tcBorders>
              <w:top w:val="single" w:color="auto" w:sz="4" w:space="0"/>
              <w:left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经营范围</w:t>
            </w:r>
          </w:p>
        </w:tc>
        <w:tc>
          <w:tcPr>
            <w:tcW w:w="6840" w:type="dxa"/>
            <w:gridSpan w:val="9"/>
            <w:tcBorders>
              <w:top w:val="single" w:color="auto" w:sz="4" w:space="0"/>
              <w:left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p>
            <w:pPr>
              <w:pageBreakBefore w:val="0"/>
              <w:kinsoku/>
              <w:wordWrap w:val="0"/>
              <w:overflowPunct/>
              <w:topLinePunct/>
              <w:bidi w:val="0"/>
              <w:spacing w:line="360" w:lineRule="auto"/>
              <w:jc w:val="center"/>
              <w:rPr>
                <w:rFonts w:ascii="宋体" w:hAnsi="宋体" w:cs="宋体"/>
                <w:szCs w:val="21"/>
              </w:rPr>
            </w:pPr>
          </w:p>
          <w:p>
            <w:pPr>
              <w:pageBreakBefore w:val="0"/>
              <w:kinsoku/>
              <w:wordWrap w:val="0"/>
              <w:overflowPunct/>
              <w:topLine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备注</w:t>
            </w:r>
          </w:p>
        </w:tc>
        <w:tc>
          <w:tcPr>
            <w:tcW w:w="6840" w:type="dxa"/>
            <w:gridSpan w:val="9"/>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bidi w:val="0"/>
              <w:spacing w:line="360" w:lineRule="auto"/>
              <w:jc w:val="center"/>
              <w:rPr>
                <w:rFonts w:ascii="宋体" w:hAnsi="宋体" w:cs="宋体"/>
                <w:szCs w:val="21"/>
              </w:rPr>
            </w:pPr>
          </w:p>
        </w:tc>
      </w:tr>
    </w:tbl>
    <w:p>
      <w:pPr>
        <w:pageBreakBefore w:val="0"/>
        <w:kinsoku/>
        <w:wordWrap w:val="0"/>
        <w:overflowPunct/>
        <w:topLinePunct/>
        <w:bidi w:val="0"/>
        <w:spacing w:line="360" w:lineRule="auto"/>
        <w:jc w:val="center"/>
        <w:rPr>
          <w:rFonts w:ascii="宋体" w:hAnsi="宋体" w:cs="宋体"/>
        </w:rPr>
      </w:pPr>
      <w:r>
        <w:rPr>
          <w:rFonts w:hint="eastAsia" w:ascii="宋体" w:hAnsi="宋体" w:cs="宋体"/>
          <w:b/>
          <w:sz w:val="24"/>
        </w:rPr>
        <w:t>注：本表后应附相关资格证明材料的复印件加盖公章</w:t>
      </w:r>
      <w:r>
        <w:rPr>
          <w:rFonts w:hint="eastAsia" w:ascii="宋体" w:hAnsi="宋体" w:cs="宋体"/>
        </w:rPr>
        <w:t>。</w:t>
      </w:r>
    </w:p>
    <w:p>
      <w:pPr>
        <w:pageBreakBefore w:val="0"/>
        <w:kinsoku/>
        <w:wordWrap w:val="0"/>
        <w:overflowPunct/>
        <w:bidi w:val="0"/>
        <w:spacing w:line="360" w:lineRule="auto"/>
        <w:ind w:firstLine="500" w:firstLineChars="250"/>
        <w:jc w:val="center"/>
        <w:rPr>
          <w:rFonts w:ascii="宋体" w:hAnsi="宋体" w:cs="宋体"/>
          <w:sz w:val="24"/>
        </w:rPr>
      </w:pPr>
      <w:r>
        <w:rPr>
          <w:rFonts w:hint="eastAsia" w:ascii="宋体" w:hAnsi="宋体" w:cs="宋体"/>
          <w:sz w:val="20"/>
          <w:szCs w:val="20"/>
        </w:rPr>
        <w:br w:type="page"/>
      </w:r>
    </w:p>
    <w:p>
      <w:pPr>
        <w:pStyle w:val="2"/>
        <w:pageBreakBefore w:val="0"/>
        <w:kinsoku/>
        <w:overflowPunct/>
        <w:bidi w:val="0"/>
        <w:spacing w:line="360" w:lineRule="auto"/>
        <w:jc w:val="center"/>
        <w:rPr>
          <w:rFonts w:ascii="宋体" w:hAnsi="宋体" w:eastAsia="宋体" w:cs="宋体"/>
        </w:rPr>
      </w:pPr>
      <w:bookmarkStart w:id="765" w:name="_Toc144974872"/>
      <w:bookmarkStart w:id="766" w:name="_Toc425177198"/>
      <w:bookmarkStart w:id="767" w:name="_Toc394565370"/>
      <w:bookmarkStart w:id="768" w:name="_Toc87865810"/>
      <w:bookmarkStart w:id="769" w:name="_Toc152045804"/>
      <w:bookmarkStart w:id="770" w:name="_Toc247085888"/>
      <w:bookmarkStart w:id="771" w:name="_Toc179632824"/>
      <w:bookmarkStart w:id="772" w:name="_Toc152042593"/>
      <w:bookmarkStart w:id="773" w:name="_Toc246996370"/>
      <w:bookmarkStart w:id="774" w:name="_Toc246997113"/>
      <w:bookmarkStart w:id="775" w:name="_Toc74256201"/>
      <w:r>
        <w:rPr>
          <w:rFonts w:hint="eastAsia" w:ascii="宋体" w:hAnsi="宋体" w:eastAsia="宋体" w:cs="宋体"/>
        </w:rPr>
        <w:t>（一）项目人员配备组成表</w:t>
      </w:r>
      <w:bookmarkEnd w:id="765"/>
      <w:bookmarkEnd w:id="766"/>
      <w:bookmarkEnd w:id="767"/>
      <w:bookmarkEnd w:id="768"/>
      <w:bookmarkEnd w:id="769"/>
      <w:bookmarkEnd w:id="770"/>
      <w:bookmarkEnd w:id="771"/>
      <w:bookmarkEnd w:id="772"/>
      <w:bookmarkEnd w:id="773"/>
      <w:bookmarkEnd w:id="774"/>
      <w:bookmarkEnd w:id="775"/>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721"/>
        <w:gridCol w:w="719"/>
        <w:gridCol w:w="1081"/>
        <w:gridCol w:w="1080"/>
        <w:gridCol w:w="2340"/>
        <w:gridCol w:w="1359"/>
        <w:gridCol w:w="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7" w:type="dxa"/>
            <w:vMerge w:val="restart"/>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职务</w:t>
            </w:r>
          </w:p>
        </w:tc>
        <w:tc>
          <w:tcPr>
            <w:tcW w:w="721" w:type="dxa"/>
            <w:vMerge w:val="restart"/>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姓名</w:t>
            </w:r>
          </w:p>
        </w:tc>
        <w:tc>
          <w:tcPr>
            <w:tcW w:w="719" w:type="dxa"/>
            <w:vMerge w:val="restart"/>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职称</w:t>
            </w:r>
          </w:p>
        </w:tc>
        <w:tc>
          <w:tcPr>
            <w:tcW w:w="5860" w:type="dxa"/>
            <w:gridSpan w:val="4"/>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执业或职业资格证明</w:t>
            </w:r>
          </w:p>
        </w:tc>
        <w:tc>
          <w:tcPr>
            <w:tcW w:w="672" w:type="dxa"/>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7" w:type="dxa"/>
            <w:vMerge w:val="continue"/>
            <w:vAlign w:val="center"/>
          </w:tcPr>
          <w:p>
            <w:pPr>
              <w:pageBreakBefore w:val="0"/>
              <w:kinsoku/>
              <w:wordWrap w:val="0"/>
              <w:overflowPunct/>
              <w:bidi w:val="0"/>
              <w:spacing w:line="360" w:lineRule="auto"/>
              <w:jc w:val="center"/>
              <w:rPr>
                <w:rFonts w:ascii="宋体" w:hAnsi="宋体" w:cs="宋体"/>
                <w:szCs w:val="21"/>
              </w:rPr>
            </w:pPr>
          </w:p>
        </w:tc>
        <w:tc>
          <w:tcPr>
            <w:tcW w:w="721" w:type="dxa"/>
            <w:vMerge w:val="continue"/>
            <w:vAlign w:val="center"/>
          </w:tcPr>
          <w:p>
            <w:pPr>
              <w:pageBreakBefore w:val="0"/>
              <w:kinsoku/>
              <w:wordWrap w:val="0"/>
              <w:overflowPunct/>
              <w:bidi w:val="0"/>
              <w:spacing w:line="360" w:lineRule="auto"/>
              <w:jc w:val="center"/>
              <w:rPr>
                <w:rFonts w:ascii="宋体" w:hAnsi="宋体" w:cs="宋体"/>
                <w:szCs w:val="21"/>
              </w:rPr>
            </w:pPr>
          </w:p>
        </w:tc>
        <w:tc>
          <w:tcPr>
            <w:tcW w:w="719" w:type="dxa"/>
            <w:vMerge w:val="continue"/>
            <w:vAlign w:val="center"/>
          </w:tcPr>
          <w:p>
            <w:pPr>
              <w:pageBreakBefore w:val="0"/>
              <w:kinsoku/>
              <w:wordWrap w:val="0"/>
              <w:overflowPunct/>
              <w:bidi w:val="0"/>
              <w:spacing w:line="360" w:lineRule="auto"/>
              <w:jc w:val="center"/>
              <w:rPr>
                <w:rFonts w:ascii="宋体" w:hAnsi="宋体" w:cs="宋体"/>
                <w:szCs w:val="21"/>
              </w:rPr>
            </w:pPr>
          </w:p>
        </w:tc>
        <w:tc>
          <w:tcPr>
            <w:tcW w:w="1081" w:type="dxa"/>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证书名称</w:t>
            </w:r>
          </w:p>
        </w:tc>
        <w:tc>
          <w:tcPr>
            <w:tcW w:w="1080" w:type="dxa"/>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级别</w:t>
            </w:r>
          </w:p>
        </w:tc>
        <w:tc>
          <w:tcPr>
            <w:tcW w:w="2340" w:type="dxa"/>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证号</w:t>
            </w:r>
          </w:p>
        </w:tc>
        <w:tc>
          <w:tcPr>
            <w:tcW w:w="1359" w:type="dxa"/>
            <w:vAlign w:val="center"/>
          </w:tcPr>
          <w:p>
            <w:pPr>
              <w:pageBreakBefore w:val="0"/>
              <w:kinsoku/>
              <w:wordWrap w:val="0"/>
              <w:overflowPunct/>
              <w:bidi w:val="0"/>
              <w:spacing w:line="360" w:lineRule="auto"/>
              <w:jc w:val="center"/>
              <w:rPr>
                <w:rFonts w:ascii="宋体" w:hAnsi="宋体" w:cs="宋体"/>
                <w:szCs w:val="21"/>
              </w:rPr>
            </w:pPr>
            <w:r>
              <w:rPr>
                <w:rFonts w:hint="eastAsia" w:ascii="宋体" w:hAnsi="宋体" w:cs="宋体"/>
                <w:szCs w:val="21"/>
              </w:rPr>
              <w:t>专业</w:t>
            </w:r>
          </w:p>
        </w:tc>
        <w:tc>
          <w:tcPr>
            <w:tcW w:w="672" w:type="dxa"/>
            <w:vAlign w:val="center"/>
          </w:tcPr>
          <w:p>
            <w:pPr>
              <w:pageBreakBefore w:val="0"/>
              <w:kinsoku/>
              <w:wordWrap w:val="0"/>
              <w:overflow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vAlign w:val="center"/>
          </w:tcPr>
          <w:p>
            <w:pPr>
              <w:pageBreakBefore w:val="0"/>
              <w:kinsoku/>
              <w:wordWrap w:val="0"/>
              <w:overflowPunct/>
              <w:bidi w:val="0"/>
              <w:spacing w:line="360" w:lineRule="auto"/>
              <w:jc w:val="center"/>
              <w:rPr>
                <w:rFonts w:ascii="宋体" w:hAnsi="宋体" w:cs="宋体"/>
                <w:szCs w:val="21"/>
              </w:rPr>
            </w:pPr>
          </w:p>
        </w:tc>
        <w:tc>
          <w:tcPr>
            <w:tcW w:w="721" w:type="dxa"/>
            <w:vAlign w:val="center"/>
          </w:tcPr>
          <w:p>
            <w:pPr>
              <w:pageBreakBefore w:val="0"/>
              <w:kinsoku/>
              <w:wordWrap w:val="0"/>
              <w:overflowPunct/>
              <w:bidi w:val="0"/>
              <w:spacing w:line="360" w:lineRule="auto"/>
              <w:jc w:val="center"/>
              <w:rPr>
                <w:rFonts w:ascii="宋体" w:hAnsi="宋体" w:cs="宋体"/>
                <w:szCs w:val="21"/>
              </w:rPr>
            </w:pPr>
          </w:p>
        </w:tc>
        <w:tc>
          <w:tcPr>
            <w:tcW w:w="719" w:type="dxa"/>
            <w:vAlign w:val="center"/>
          </w:tcPr>
          <w:p>
            <w:pPr>
              <w:pageBreakBefore w:val="0"/>
              <w:kinsoku/>
              <w:wordWrap w:val="0"/>
              <w:overflowPunct/>
              <w:bidi w:val="0"/>
              <w:spacing w:line="360" w:lineRule="auto"/>
              <w:jc w:val="center"/>
              <w:rPr>
                <w:rFonts w:ascii="宋体" w:hAnsi="宋体" w:cs="宋体"/>
                <w:szCs w:val="21"/>
              </w:rPr>
            </w:pPr>
          </w:p>
        </w:tc>
        <w:tc>
          <w:tcPr>
            <w:tcW w:w="1081" w:type="dxa"/>
            <w:vAlign w:val="center"/>
          </w:tcPr>
          <w:p>
            <w:pPr>
              <w:pageBreakBefore w:val="0"/>
              <w:kinsoku/>
              <w:wordWrap w:val="0"/>
              <w:overflowPunct/>
              <w:bidi w:val="0"/>
              <w:spacing w:line="360" w:lineRule="auto"/>
              <w:jc w:val="center"/>
              <w:rPr>
                <w:rFonts w:ascii="宋体" w:hAnsi="宋体" w:cs="宋体"/>
                <w:szCs w:val="21"/>
              </w:rPr>
            </w:pPr>
          </w:p>
        </w:tc>
        <w:tc>
          <w:tcPr>
            <w:tcW w:w="1080" w:type="dxa"/>
            <w:vAlign w:val="center"/>
          </w:tcPr>
          <w:p>
            <w:pPr>
              <w:pageBreakBefore w:val="0"/>
              <w:kinsoku/>
              <w:wordWrap w:val="0"/>
              <w:overflowPunct/>
              <w:bidi w:val="0"/>
              <w:spacing w:line="360" w:lineRule="auto"/>
              <w:jc w:val="center"/>
              <w:rPr>
                <w:rFonts w:ascii="宋体" w:hAnsi="宋体" w:cs="宋体"/>
                <w:szCs w:val="21"/>
              </w:rPr>
            </w:pPr>
          </w:p>
        </w:tc>
        <w:tc>
          <w:tcPr>
            <w:tcW w:w="2340" w:type="dxa"/>
            <w:vAlign w:val="center"/>
          </w:tcPr>
          <w:p>
            <w:pPr>
              <w:pageBreakBefore w:val="0"/>
              <w:kinsoku/>
              <w:wordWrap w:val="0"/>
              <w:overflowPunct/>
              <w:bidi w:val="0"/>
              <w:spacing w:line="360" w:lineRule="auto"/>
              <w:jc w:val="center"/>
              <w:rPr>
                <w:rFonts w:ascii="宋体" w:hAnsi="宋体" w:cs="宋体"/>
                <w:szCs w:val="21"/>
              </w:rPr>
            </w:pPr>
          </w:p>
        </w:tc>
        <w:tc>
          <w:tcPr>
            <w:tcW w:w="1359" w:type="dxa"/>
            <w:vAlign w:val="center"/>
          </w:tcPr>
          <w:p>
            <w:pPr>
              <w:pageBreakBefore w:val="0"/>
              <w:kinsoku/>
              <w:wordWrap w:val="0"/>
              <w:overflowPunct/>
              <w:bidi w:val="0"/>
              <w:spacing w:line="360" w:lineRule="auto"/>
              <w:jc w:val="center"/>
              <w:rPr>
                <w:rFonts w:ascii="宋体" w:hAnsi="宋体" w:cs="宋体"/>
                <w:szCs w:val="21"/>
              </w:rPr>
            </w:pPr>
          </w:p>
        </w:tc>
        <w:tc>
          <w:tcPr>
            <w:tcW w:w="672" w:type="dxa"/>
            <w:vAlign w:val="center"/>
          </w:tcPr>
          <w:p>
            <w:pPr>
              <w:pageBreakBefore w:val="0"/>
              <w:kinsoku/>
              <w:wordWrap w:val="0"/>
              <w:overflow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Pr>
          <w:p>
            <w:pPr>
              <w:pageBreakBefore w:val="0"/>
              <w:kinsoku/>
              <w:wordWrap w:val="0"/>
              <w:overflowPunct/>
              <w:bidi w:val="0"/>
              <w:spacing w:line="360" w:lineRule="auto"/>
              <w:jc w:val="center"/>
              <w:rPr>
                <w:rFonts w:ascii="宋体" w:hAnsi="宋体" w:cs="宋体"/>
                <w:szCs w:val="21"/>
              </w:rPr>
            </w:pPr>
          </w:p>
        </w:tc>
        <w:tc>
          <w:tcPr>
            <w:tcW w:w="721" w:type="dxa"/>
          </w:tcPr>
          <w:p>
            <w:pPr>
              <w:pageBreakBefore w:val="0"/>
              <w:kinsoku/>
              <w:wordWrap w:val="0"/>
              <w:overflowPunct/>
              <w:bidi w:val="0"/>
              <w:spacing w:line="360" w:lineRule="auto"/>
              <w:jc w:val="center"/>
              <w:rPr>
                <w:rFonts w:ascii="宋体" w:hAnsi="宋体" w:cs="宋体"/>
                <w:szCs w:val="21"/>
              </w:rPr>
            </w:pPr>
          </w:p>
        </w:tc>
        <w:tc>
          <w:tcPr>
            <w:tcW w:w="719" w:type="dxa"/>
          </w:tcPr>
          <w:p>
            <w:pPr>
              <w:pageBreakBefore w:val="0"/>
              <w:kinsoku/>
              <w:wordWrap w:val="0"/>
              <w:overflowPunct/>
              <w:bidi w:val="0"/>
              <w:spacing w:line="360" w:lineRule="auto"/>
              <w:jc w:val="center"/>
              <w:rPr>
                <w:rFonts w:ascii="宋体" w:hAnsi="宋体" w:cs="宋体"/>
                <w:szCs w:val="21"/>
              </w:rPr>
            </w:pPr>
          </w:p>
        </w:tc>
        <w:tc>
          <w:tcPr>
            <w:tcW w:w="1081" w:type="dxa"/>
          </w:tcPr>
          <w:p>
            <w:pPr>
              <w:pageBreakBefore w:val="0"/>
              <w:kinsoku/>
              <w:wordWrap w:val="0"/>
              <w:overflowPunct/>
              <w:bidi w:val="0"/>
              <w:spacing w:line="360" w:lineRule="auto"/>
              <w:jc w:val="center"/>
              <w:rPr>
                <w:rFonts w:ascii="宋体" w:hAnsi="宋体" w:cs="宋体"/>
                <w:szCs w:val="21"/>
              </w:rPr>
            </w:pPr>
          </w:p>
        </w:tc>
        <w:tc>
          <w:tcPr>
            <w:tcW w:w="1080" w:type="dxa"/>
          </w:tcPr>
          <w:p>
            <w:pPr>
              <w:pageBreakBefore w:val="0"/>
              <w:kinsoku/>
              <w:wordWrap w:val="0"/>
              <w:overflowPunct/>
              <w:bidi w:val="0"/>
              <w:spacing w:line="360" w:lineRule="auto"/>
              <w:jc w:val="center"/>
              <w:rPr>
                <w:rFonts w:ascii="宋体" w:hAnsi="宋体" w:cs="宋体"/>
                <w:szCs w:val="21"/>
              </w:rPr>
            </w:pPr>
          </w:p>
        </w:tc>
        <w:tc>
          <w:tcPr>
            <w:tcW w:w="2340" w:type="dxa"/>
          </w:tcPr>
          <w:p>
            <w:pPr>
              <w:pageBreakBefore w:val="0"/>
              <w:kinsoku/>
              <w:wordWrap w:val="0"/>
              <w:overflowPunct/>
              <w:bidi w:val="0"/>
              <w:spacing w:line="360" w:lineRule="auto"/>
              <w:jc w:val="center"/>
              <w:rPr>
                <w:rFonts w:ascii="宋体" w:hAnsi="宋体" w:cs="宋体"/>
                <w:szCs w:val="21"/>
              </w:rPr>
            </w:pPr>
          </w:p>
        </w:tc>
        <w:tc>
          <w:tcPr>
            <w:tcW w:w="1359" w:type="dxa"/>
          </w:tcPr>
          <w:p>
            <w:pPr>
              <w:pageBreakBefore w:val="0"/>
              <w:kinsoku/>
              <w:wordWrap w:val="0"/>
              <w:overflowPunct/>
              <w:bidi w:val="0"/>
              <w:spacing w:line="360" w:lineRule="auto"/>
              <w:jc w:val="center"/>
              <w:rPr>
                <w:rFonts w:ascii="宋体" w:hAnsi="宋体" w:cs="宋体"/>
                <w:szCs w:val="21"/>
              </w:rPr>
            </w:pPr>
          </w:p>
        </w:tc>
        <w:tc>
          <w:tcPr>
            <w:tcW w:w="672" w:type="dxa"/>
          </w:tcPr>
          <w:p>
            <w:pPr>
              <w:pageBreakBefore w:val="0"/>
              <w:kinsoku/>
              <w:wordWrap w:val="0"/>
              <w:overflow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Pr>
          <w:p>
            <w:pPr>
              <w:pageBreakBefore w:val="0"/>
              <w:kinsoku/>
              <w:wordWrap w:val="0"/>
              <w:overflowPunct/>
              <w:bidi w:val="0"/>
              <w:spacing w:line="360" w:lineRule="auto"/>
              <w:jc w:val="center"/>
              <w:rPr>
                <w:rFonts w:ascii="宋体" w:hAnsi="宋体" w:cs="宋体"/>
                <w:szCs w:val="21"/>
              </w:rPr>
            </w:pPr>
          </w:p>
        </w:tc>
        <w:tc>
          <w:tcPr>
            <w:tcW w:w="721" w:type="dxa"/>
          </w:tcPr>
          <w:p>
            <w:pPr>
              <w:pageBreakBefore w:val="0"/>
              <w:kinsoku/>
              <w:wordWrap w:val="0"/>
              <w:overflowPunct/>
              <w:bidi w:val="0"/>
              <w:spacing w:line="360" w:lineRule="auto"/>
              <w:jc w:val="center"/>
              <w:rPr>
                <w:rFonts w:ascii="宋体" w:hAnsi="宋体" w:cs="宋体"/>
                <w:szCs w:val="21"/>
              </w:rPr>
            </w:pPr>
          </w:p>
        </w:tc>
        <w:tc>
          <w:tcPr>
            <w:tcW w:w="719" w:type="dxa"/>
          </w:tcPr>
          <w:p>
            <w:pPr>
              <w:pageBreakBefore w:val="0"/>
              <w:kinsoku/>
              <w:wordWrap w:val="0"/>
              <w:overflowPunct/>
              <w:bidi w:val="0"/>
              <w:spacing w:line="360" w:lineRule="auto"/>
              <w:jc w:val="center"/>
              <w:rPr>
                <w:rFonts w:ascii="宋体" w:hAnsi="宋体" w:cs="宋体"/>
                <w:szCs w:val="21"/>
              </w:rPr>
            </w:pPr>
          </w:p>
        </w:tc>
        <w:tc>
          <w:tcPr>
            <w:tcW w:w="1081" w:type="dxa"/>
          </w:tcPr>
          <w:p>
            <w:pPr>
              <w:pageBreakBefore w:val="0"/>
              <w:kinsoku/>
              <w:wordWrap w:val="0"/>
              <w:overflowPunct/>
              <w:bidi w:val="0"/>
              <w:spacing w:line="360" w:lineRule="auto"/>
              <w:jc w:val="center"/>
              <w:rPr>
                <w:rFonts w:ascii="宋体" w:hAnsi="宋体" w:cs="宋体"/>
                <w:szCs w:val="21"/>
              </w:rPr>
            </w:pPr>
          </w:p>
        </w:tc>
        <w:tc>
          <w:tcPr>
            <w:tcW w:w="1080" w:type="dxa"/>
          </w:tcPr>
          <w:p>
            <w:pPr>
              <w:pageBreakBefore w:val="0"/>
              <w:kinsoku/>
              <w:wordWrap w:val="0"/>
              <w:overflowPunct/>
              <w:bidi w:val="0"/>
              <w:spacing w:line="360" w:lineRule="auto"/>
              <w:jc w:val="center"/>
              <w:rPr>
                <w:rFonts w:ascii="宋体" w:hAnsi="宋体" w:cs="宋体"/>
                <w:szCs w:val="21"/>
              </w:rPr>
            </w:pPr>
          </w:p>
        </w:tc>
        <w:tc>
          <w:tcPr>
            <w:tcW w:w="2340" w:type="dxa"/>
          </w:tcPr>
          <w:p>
            <w:pPr>
              <w:pageBreakBefore w:val="0"/>
              <w:kinsoku/>
              <w:wordWrap w:val="0"/>
              <w:overflowPunct/>
              <w:bidi w:val="0"/>
              <w:spacing w:line="360" w:lineRule="auto"/>
              <w:jc w:val="center"/>
              <w:rPr>
                <w:rFonts w:ascii="宋体" w:hAnsi="宋体" w:cs="宋体"/>
                <w:szCs w:val="21"/>
              </w:rPr>
            </w:pPr>
          </w:p>
        </w:tc>
        <w:tc>
          <w:tcPr>
            <w:tcW w:w="1359" w:type="dxa"/>
          </w:tcPr>
          <w:p>
            <w:pPr>
              <w:pageBreakBefore w:val="0"/>
              <w:kinsoku/>
              <w:wordWrap w:val="0"/>
              <w:overflowPunct/>
              <w:bidi w:val="0"/>
              <w:spacing w:line="360" w:lineRule="auto"/>
              <w:jc w:val="center"/>
              <w:rPr>
                <w:rFonts w:ascii="宋体" w:hAnsi="宋体" w:cs="宋体"/>
                <w:szCs w:val="21"/>
              </w:rPr>
            </w:pPr>
          </w:p>
        </w:tc>
        <w:tc>
          <w:tcPr>
            <w:tcW w:w="672" w:type="dxa"/>
          </w:tcPr>
          <w:p>
            <w:pPr>
              <w:pageBreakBefore w:val="0"/>
              <w:kinsoku/>
              <w:wordWrap w:val="0"/>
              <w:overflow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Pr>
          <w:p>
            <w:pPr>
              <w:pageBreakBefore w:val="0"/>
              <w:kinsoku/>
              <w:wordWrap w:val="0"/>
              <w:overflowPunct/>
              <w:bidi w:val="0"/>
              <w:spacing w:line="360" w:lineRule="auto"/>
              <w:jc w:val="center"/>
              <w:rPr>
                <w:rFonts w:ascii="宋体" w:hAnsi="宋体" w:cs="宋体"/>
                <w:szCs w:val="21"/>
              </w:rPr>
            </w:pPr>
          </w:p>
        </w:tc>
        <w:tc>
          <w:tcPr>
            <w:tcW w:w="721" w:type="dxa"/>
          </w:tcPr>
          <w:p>
            <w:pPr>
              <w:pageBreakBefore w:val="0"/>
              <w:kinsoku/>
              <w:wordWrap w:val="0"/>
              <w:overflowPunct/>
              <w:bidi w:val="0"/>
              <w:spacing w:line="360" w:lineRule="auto"/>
              <w:jc w:val="center"/>
              <w:rPr>
                <w:rFonts w:ascii="宋体" w:hAnsi="宋体" w:cs="宋体"/>
                <w:szCs w:val="21"/>
              </w:rPr>
            </w:pPr>
          </w:p>
        </w:tc>
        <w:tc>
          <w:tcPr>
            <w:tcW w:w="719" w:type="dxa"/>
          </w:tcPr>
          <w:p>
            <w:pPr>
              <w:pageBreakBefore w:val="0"/>
              <w:kinsoku/>
              <w:wordWrap w:val="0"/>
              <w:overflowPunct/>
              <w:bidi w:val="0"/>
              <w:spacing w:line="360" w:lineRule="auto"/>
              <w:jc w:val="center"/>
              <w:rPr>
                <w:rFonts w:ascii="宋体" w:hAnsi="宋体" w:cs="宋体"/>
                <w:szCs w:val="21"/>
              </w:rPr>
            </w:pPr>
          </w:p>
        </w:tc>
        <w:tc>
          <w:tcPr>
            <w:tcW w:w="1081" w:type="dxa"/>
          </w:tcPr>
          <w:p>
            <w:pPr>
              <w:pageBreakBefore w:val="0"/>
              <w:kinsoku/>
              <w:wordWrap w:val="0"/>
              <w:overflowPunct/>
              <w:bidi w:val="0"/>
              <w:spacing w:line="360" w:lineRule="auto"/>
              <w:jc w:val="center"/>
              <w:rPr>
                <w:rFonts w:ascii="宋体" w:hAnsi="宋体" w:cs="宋体"/>
                <w:szCs w:val="21"/>
              </w:rPr>
            </w:pPr>
          </w:p>
        </w:tc>
        <w:tc>
          <w:tcPr>
            <w:tcW w:w="1080" w:type="dxa"/>
          </w:tcPr>
          <w:p>
            <w:pPr>
              <w:pageBreakBefore w:val="0"/>
              <w:kinsoku/>
              <w:wordWrap w:val="0"/>
              <w:overflowPunct/>
              <w:bidi w:val="0"/>
              <w:spacing w:line="360" w:lineRule="auto"/>
              <w:jc w:val="center"/>
              <w:rPr>
                <w:rFonts w:ascii="宋体" w:hAnsi="宋体" w:cs="宋体"/>
                <w:szCs w:val="21"/>
              </w:rPr>
            </w:pPr>
          </w:p>
        </w:tc>
        <w:tc>
          <w:tcPr>
            <w:tcW w:w="2340" w:type="dxa"/>
          </w:tcPr>
          <w:p>
            <w:pPr>
              <w:pageBreakBefore w:val="0"/>
              <w:kinsoku/>
              <w:wordWrap w:val="0"/>
              <w:overflowPunct/>
              <w:bidi w:val="0"/>
              <w:spacing w:line="360" w:lineRule="auto"/>
              <w:jc w:val="center"/>
              <w:rPr>
                <w:rFonts w:ascii="宋体" w:hAnsi="宋体" w:cs="宋体"/>
                <w:szCs w:val="21"/>
              </w:rPr>
            </w:pPr>
          </w:p>
        </w:tc>
        <w:tc>
          <w:tcPr>
            <w:tcW w:w="1359" w:type="dxa"/>
          </w:tcPr>
          <w:p>
            <w:pPr>
              <w:pageBreakBefore w:val="0"/>
              <w:kinsoku/>
              <w:wordWrap w:val="0"/>
              <w:overflowPunct/>
              <w:bidi w:val="0"/>
              <w:spacing w:line="360" w:lineRule="auto"/>
              <w:jc w:val="center"/>
              <w:rPr>
                <w:rFonts w:ascii="宋体" w:hAnsi="宋体" w:cs="宋体"/>
                <w:szCs w:val="21"/>
              </w:rPr>
            </w:pPr>
          </w:p>
        </w:tc>
        <w:tc>
          <w:tcPr>
            <w:tcW w:w="672" w:type="dxa"/>
          </w:tcPr>
          <w:p>
            <w:pPr>
              <w:pageBreakBefore w:val="0"/>
              <w:kinsoku/>
              <w:wordWrap w:val="0"/>
              <w:overflow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Pr>
          <w:p>
            <w:pPr>
              <w:pageBreakBefore w:val="0"/>
              <w:kinsoku/>
              <w:wordWrap w:val="0"/>
              <w:overflowPunct/>
              <w:bidi w:val="0"/>
              <w:spacing w:line="360" w:lineRule="auto"/>
              <w:jc w:val="center"/>
              <w:rPr>
                <w:rFonts w:ascii="宋体" w:hAnsi="宋体" w:cs="宋体"/>
                <w:szCs w:val="21"/>
              </w:rPr>
            </w:pPr>
          </w:p>
        </w:tc>
        <w:tc>
          <w:tcPr>
            <w:tcW w:w="721" w:type="dxa"/>
          </w:tcPr>
          <w:p>
            <w:pPr>
              <w:pageBreakBefore w:val="0"/>
              <w:kinsoku/>
              <w:wordWrap w:val="0"/>
              <w:overflowPunct/>
              <w:bidi w:val="0"/>
              <w:spacing w:line="360" w:lineRule="auto"/>
              <w:jc w:val="center"/>
              <w:rPr>
                <w:rFonts w:ascii="宋体" w:hAnsi="宋体" w:cs="宋体"/>
                <w:szCs w:val="21"/>
              </w:rPr>
            </w:pPr>
          </w:p>
        </w:tc>
        <w:tc>
          <w:tcPr>
            <w:tcW w:w="719" w:type="dxa"/>
          </w:tcPr>
          <w:p>
            <w:pPr>
              <w:pageBreakBefore w:val="0"/>
              <w:kinsoku/>
              <w:wordWrap w:val="0"/>
              <w:overflowPunct/>
              <w:bidi w:val="0"/>
              <w:spacing w:line="360" w:lineRule="auto"/>
              <w:jc w:val="center"/>
              <w:rPr>
                <w:rFonts w:ascii="宋体" w:hAnsi="宋体" w:cs="宋体"/>
                <w:szCs w:val="21"/>
              </w:rPr>
            </w:pPr>
          </w:p>
        </w:tc>
        <w:tc>
          <w:tcPr>
            <w:tcW w:w="1081" w:type="dxa"/>
          </w:tcPr>
          <w:p>
            <w:pPr>
              <w:pageBreakBefore w:val="0"/>
              <w:kinsoku/>
              <w:wordWrap w:val="0"/>
              <w:overflowPunct/>
              <w:bidi w:val="0"/>
              <w:spacing w:line="360" w:lineRule="auto"/>
              <w:jc w:val="center"/>
              <w:rPr>
                <w:rFonts w:ascii="宋体" w:hAnsi="宋体" w:cs="宋体"/>
                <w:szCs w:val="21"/>
              </w:rPr>
            </w:pPr>
          </w:p>
        </w:tc>
        <w:tc>
          <w:tcPr>
            <w:tcW w:w="1080" w:type="dxa"/>
          </w:tcPr>
          <w:p>
            <w:pPr>
              <w:pageBreakBefore w:val="0"/>
              <w:kinsoku/>
              <w:wordWrap w:val="0"/>
              <w:overflowPunct/>
              <w:bidi w:val="0"/>
              <w:spacing w:line="360" w:lineRule="auto"/>
              <w:jc w:val="center"/>
              <w:rPr>
                <w:rFonts w:ascii="宋体" w:hAnsi="宋体" w:cs="宋体"/>
                <w:szCs w:val="21"/>
              </w:rPr>
            </w:pPr>
          </w:p>
        </w:tc>
        <w:tc>
          <w:tcPr>
            <w:tcW w:w="2340" w:type="dxa"/>
          </w:tcPr>
          <w:p>
            <w:pPr>
              <w:pageBreakBefore w:val="0"/>
              <w:kinsoku/>
              <w:wordWrap w:val="0"/>
              <w:overflowPunct/>
              <w:bidi w:val="0"/>
              <w:spacing w:line="360" w:lineRule="auto"/>
              <w:jc w:val="center"/>
              <w:rPr>
                <w:rFonts w:ascii="宋体" w:hAnsi="宋体" w:cs="宋体"/>
                <w:szCs w:val="21"/>
              </w:rPr>
            </w:pPr>
          </w:p>
        </w:tc>
        <w:tc>
          <w:tcPr>
            <w:tcW w:w="1359" w:type="dxa"/>
          </w:tcPr>
          <w:p>
            <w:pPr>
              <w:pageBreakBefore w:val="0"/>
              <w:kinsoku/>
              <w:wordWrap w:val="0"/>
              <w:overflowPunct/>
              <w:bidi w:val="0"/>
              <w:spacing w:line="360" w:lineRule="auto"/>
              <w:jc w:val="center"/>
              <w:rPr>
                <w:rFonts w:ascii="宋体" w:hAnsi="宋体" w:cs="宋体"/>
                <w:szCs w:val="21"/>
              </w:rPr>
            </w:pPr>
          </w:p>
        </w:tc>
        <w:tc>
          <w:tcPr>
            <w:tcW w:w="672" w:type="dxa"/>
          </w:tcPr>
          <w:p>
            <w:pPr>
              <w:pageBreakBefore w:val="0"/>
              <w:kinsoku/>
              <w:wordWrap w:val="0"/>
              <w:overflow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Pr>
          <w:p>
            <w:pPr>
              <w:pageBreakBefore w:val="0"/>
              <w:kinsoku/>
              <w:wordWrap w:val="0"/>
              <w:overflowPunct/>
              <w:bidi w:val="0"/>
              <w:spacing w:line="360" w:lineRule="auto"/>
              <w:jc w:val="center"/>
              <w:rPr>
                <w:rFonts w:ascii="宋体" w:hAnsi="宋体" w:cs="宋体"/>
                <w:szCs w:val="21"/>
              </w:rPr>
            </w:pPr>
          </w:p>
        </w:tc>
        <w:tc>
          <w:tcPr>
            <w:tcW w:w="721" w:type="dxa"/>
          </w:tcPr>
          <w:p>
            <w:pPr>
              <w:pageBreakBefore w:val="0"/>
              <w:kinsoku/>
              <w:wordWrap w:val="0"/>
              <w:overflowPunct/>
              <w:bidi w:val="0"/>
              <w:spacing w:line="360" w:lineRule="auto"/>
              <w:jc w:val="center"/>
              <w:rPr>
                <w:rFonts w:ascii="宋体" w:hAnsi="宋体" w:cs="宋体"/>
                <w:szCs w:val="21"/>
              </w:rPr>
            </w:pPr>
          </w:p>
        </w:tc>
        <w:tc>
          <w:tcPr>
            <w:tcW w:w="719" w:type="dxa"/>
          </w:tcPr>
          <w:p>
            <w:pPr>
              <w:pageBreakBefore w:val="0"/>
              <w:kinsoku/>
              <w:wordWrap w:val="0"/>
              <w:overflowPunct/>
              <w:bidi w:val="0"/>
              <w:spacing w:line="360" w:lineRule="auto"/>
              <w:jc w:val="center"/>
              <w:rPr>
                <w:rFonts w:ascii="宋体" w:hAnsi="宋体" w:cs="宋体"/>
                <w:szCs w:val="21"/>
              </w:rPr>
            </w:pPr>
          </w:p>
        </w:tc>
        <w:tc>
          <w:tcPr>
            <w:tcW w:w="1081" w:type="dxa"/>
          </w:tcPr>
          <w:p>
            <w:pPr>
              <w:pageBreakBefore w:val="0"/>
              <w:kinsoku/>
              <w:wordWrap w:val="0"/>
              <w:overflowPunct/>
              <w:bidi w:val="0"/>
              <w:spacing w:line="360" w:lineRule="auto"/>
              <w:jc w:val="center"/>
              <w:rPr>
                <w:rFonts w:ascii="宋体" w:hAnsi="宋体" w:cs="宋体"/>
                <w:szCs w:val="21"/>
              </w:rPr>
            </w:pPr>
          </w:p>
        </w:tc>
        <w:tc>
          <w:tcPr>
            <w:tcW w:w="1080" w:type="dxa"/>
          </w:tcPr>
          <w:p>
            <w:pPr>
              <w:pageBreakBefore w:val="0"/>
              <w:kinsoku/>
              <w:wordWrap w:val="0"/>
              <w:overflowPunct/>
              <w:bidi w:val="0"/>
              <w:spacing w:line="360" w:lineRule="auto"/>
              <w:jc w:val="center"/>
              <w:rPr>
                <w:rFonts w:ascii="宋体" w:hAnsi="宋体" w:cs="宋体"/>
                <w:szCs w:val="21"/>
              </w:rPr>
            </w:pPr>
          </w:p>
        </w:tc>
        <w:tc>
          <w:tcPr>
            <w:tcW w:w="2340" w:type="dxa"/>
          </w:tcPr>
          <w:p>
            <w:pPr>
              <w:pageBreakBefore w:val="0"/>
              <w:kinsoku/>
              <w:wordWrap w:val="0"/>
              <w:overflowPunct/>
              <w:bidi w:val="0"/>
              <w:spacing w:line="360" w:lineRule="auto"/>
              <w:jc w:val="center"/>
              <w:rPr>
                <w:rFonts w:ascii="宋体" w:hAnsi="宋体" w:cs="宋体"/>
                <w:szCs w:val="21"/>
              </w:rPr>
            </w:pPr>
          </w:p>
        </w:tc>
        <w:tc>
          <w:tcPr>
            <w:tcW w:w="1359" w:type="dxa"/>
          </w:tcPr>
          <w:p>
            <w:pPr>
              <w:pageBreakBefore w:val="0"/>
              <w:kinsoku/>
              <w:wordWrap w:val="0"/>
              <w:overflowPunct/>
              <w:bidi w:val="0"/>
              <w:spacing w:line="360" w:lineRule="auto"/>
              <w:jc w:val="center"/>
              <w:rPr>
                <w:rFonts w:ascii="宋体" w:hAnsi="宋体" w:cs="宋体"/>
                <w:szCs w:val="21"/>
              </w:rPr>
            </w:pPr>
          </w:p>
        </w:tc>
        <w:tc>
          <w:tcPr>
            <w:tcW w:w="672" w:type="dxa"/>
          </w:tcPr>
          <w:p>
            <w:pPr>
              <w:pageBreakBefore w:val="0"/>
              <w:kinsoku/>
              <w:wordWrap w:val="0"/>
              <w:overflow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Pr>
          <w:p>
            <w:pPr>
              <w:pageBreakBefore w:val="0"/>
              <w:kinsoku/>
              <w:wordWrap w:val="0"/>
              <w:overflowPunct/>
              <w:bidi w:val="0"/>
              <w:spacing w:line="360" w:lineRule="auto"/>
              <w:jc w:val="center"/>
              <w:rPr>
                <w:rFonts w:ascii="宋体" w:hAnsi="宋体" w:cs="宋体"/>
                <w:szCs w:val="21"/>
              </w:rPr>
            </w:pPr>
          </w:p>
        </w:tc>
        <w:tc>
          <w:tcPr>
            <w:tcW w:w="721" w:type="dxa"/>
          </w:tcPr>
          <w:p>
            <w:pPr>
              <w:pageBreakBefore w:val="0"/>
              <w:kinsoku/>
              <w:wordWrap w:val="0"/>
              <w:overflowPunct/>
              <w:bidi w:val="0"/>
              <w:spacing w:line="360" w:lineRule="auto"/>
              <w:jc w:val="center"/>
              <w:rPr>
                <w:rFonts w:ascii="宋体" w:hAnsi="宋体" w:cs="宋体"/>
                <w:szCs w:val="21"/>
              </w:rPr>
            </w:pPr>
          </w:p>
        </w:tc>
        <w:tc>
          <w:tcPr>
            <w:tcW w:w="719" w:type="dxa"/>
          </w:tcPr>
          <w:p>
            <w:pPr>
              <w:pageBreakBefore w:val="0"/>
              <w:kinsoku/>
              <w:wordWrap w:val="0"/>
              <w:overflowPunct/>
              <w:bidi w:val="0"/>
              <w:spacing w:line="360" w:lineRule="auto"/>
              <w:jc w:val="center"/>
              <w:rPr>
                <w:rFonts w:ascii="宋体" w:hAnsi="宋体" w:cs="宋体"/>
                <w:szCs w:val="21"/>
              </w:rPr>
            </w:pPr>
          </w:p>
        </w:tc>
        <w:tc>
          <w:tcPr>
            <w:tcW w:w="1081" w:type="dxa"/>
          </w:tcPr>
          <w:p>
            <w:pPr>
              <w:pageBreakBefore w:val="0"/>
              <w:kinsoku/>
              <w:wordWrap w:val="0"/>
              <w:overflowPunct/>
              <w:bidi w:val="0"/>
              <w:spacing w:line="360" w:lineRule="auto"/>
              <w:jc w:val="center"/>
              <w:rPr>
                <w:rFonts w:ascii="宋体" w:hAnsi="宋体" w:cs="宋体"/>
                <w:szCs w:val="21"/>
              </w:rPr>
            </w:pPr>
          </w:p>
        </w:tc>
        <w:tc>
          <w:tcPr>
            <w:tcW w:w="1080" w:type="dxa"/>
          </w:tcPr>
          <w:p>
            <w:pPr>
              <w:pageBreakBefore w:val="0"/>
              <w:kinsoku/>
              <w:wordWrap w:val="0"/>
              <w:overflowPunct/>
              <w:bidi w:val="0"/>
              <w:spacing w:line="360" w:lineRule="auto"/>
              <w:jc w:val="center"/>
              <w:rPr>
                <w:rFonts w:ascii="宋体" w:hAnsi="宋体" w:cs="宋体"/>
                <w:szCs w:val="21"/>
              </w:rPr>
            </w:pPr>
          </w:p>
        </w:tc>
        <w:tc>
          <w:tcPr>
            <w:tcW w:w="2340" w:type="dxa"/>
          </w:tcPr>
          <w:p>
            <w:pPr>
              <w:pageBreakBefore w:val="0"/>
              <w:kinsoku/>
              <w:wordWrap w:val="0"/>
              <w:overflowPunct/>
              <w:bidi w:val="0"/>
              <w:spacing w:line="360" w:lineRule="auto"/>
              <w:jc w:val="center"/>
              <w:rPr>
                <w:rFonts w:ascii="宋体" w:hAnsi="宋体" w:cs="宋体"/>
                <w:szCs w:val="21"/>
              </w:rPr>
            </w:pPr>
          </w:p>
        </w:tc>
        <w:tc>
          <w:tcPr>
            <w:tcW w:w="1359" w:type="dxa"/>
          </w:tcPr>
          <w:p>
            <w:pPr>
              <w:pageBreakBefore w:val="0"/>
              <w:kinsoku/>
              <w:wordWrap w:val="0"/>
              <w:overflowPunct/>
              <w:bidi w:val="0"/>
              <w:spacing w:line="360" w:lineRule="auto"/>
              <w:jc w:val="center"/>
              <w:rPr>
                <w:rFonts w:ascii="宋体" w:hAnsi="宋体" w:cs="宋体"/>
                <w:szCs w:val="21"/>
              </w:rPr>
            </w:pPr>
          </w:p>
        </w:tc>
        <w:tc>
          <w:tcPr>
            <w:tcW w:w="672" w:type="dxa"/>
          </w:tcPr>
          <w:p>
            <w:pPr>
              <w:pageBreakBefore w:val="0"/>
              <w:kinsoku/>
              <w:wordWrap w:val="0"/>
              <w:overflow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Pr>
          <w:p>
            <w:pPr>
              <w:pageBreakBefore w:val="0"/>
              <w:kinsoku/>
              <w:wordWrap w:val="0"/>
              <w:overflowPunct/>
              <w:bidi w:val="0"/>
              <w:spacing w:line="360" w:lineRule="auto"/>
              <w:jc w:val="center"/>
              <w:rPr>
                <w:rFonts w:ascii="宋体" w:hAnsi="宋体" w:cs="宋体"/>
                <w:szCs w:val="21"/>
              </w:rPr>
            </w:pPr>
          </w:p>
        </w:tc>
        <w:tc>
          <w:tcPr>
            <w:tcW w:w="721" w:type="dxa"/>
          </w:tcPr>
          <w:p>
            <w:pPr>
              <w:pageBreakBefore w:val="0"/>
              <w:kinsoku/>
              <w:wordWrap w:val="0"/>
              <w:overflowPunct/>
              <w:bidi w:val="0"/>
              <w:spacing w:line="360" w:lineRule="auto"/>
              <w:jc w:val="center"/>
              <w:rPr>
                <w:rFonts w:ascii="宋体" w:hAnsi="宋体" w:cs="宋体"/>
                <w:szCs w:val="21"/>
              </w:rPr>
            </w:pPr>
          </w:p>
        </w:tc>
        <w:tc>
          <w:tcPr>
            <w:tcW w:w="719" w:type="dxa"/>
          </w:tcPr>
          <w:p>
            <w:pPr>
              <w:pageBreakBefore w:val="0"/>
              <w:kinsoku/>
              <w:wordWrap w:val="0"/>
              <w:overflowPunct/>
              <w:bidi w:val="0"/>
              <w:spacing w:line="360" w:lineRule="auto"/>
              <w:jc w:val="center"/>
              <w:rPr>
                <w:rFonts w:ascii="宋体" w:hAnsi="宋体" w:cs="宋体"/>
                <w:szCs w:val="21"/>
              </w:rPr>
            </w:pPr>
          </w:p>
        </w:tc>
        <w:tc>
          <w:tcPr>
            <w:tcW w:w="1081" w:type="dxa"/>
          </w:tcPr>
          <w:p>
            <w:pPr>
              <w:pageBreakBefore w:val="0"/>
              <w:kinsoku/>
              <w:wordWrap w:val="0"/>
              <w:overflowPunct/>
              <w:bidi w:val="0"/>
              <w:spacing w:line="360" w:lineRule="auto"/>
              <w:jc w:val="center"/>
              <w:rPr>
                <w:rFonts w:ascii="宋体" w:hAnsi="宋体" w:cs="宋体"/>
                <w:szCs w:val="21"/>
              </w:rPr>
            </w:pPr>
          </w:p>
        </w:tc>
        <w:tc>
          <w:tcPr>
            <w:tcW w:w="1080" w:type="dxa"/>
          </w:tcPr>
          <w:p>
            <w:pPr>
              <w:pageBreakBefore w:val="0"/>
              <w:kinsoku/>
              <w:wordWrap w:val="0"/>
              <w:overflowPunct/>
              <w:bidi w:val="0"/>
              <w:spacing w:line="360" w:lineRule="auto"/>
              <w:jc w:val="center"/>
              <w:rPr>
                <w:rFonts w:ascii="宋体" w:hAnsi="宋体" w:cs="宋体"/>
                <w:szCs w:val="21"/>
              </w:rPr>
            </w:pPr>
          </w:p>
        </w:tc>
        <w:tc>
          <w:tcPr>
            <w:tcW w:w="2340" w:type="dxa"/>
          </w:tcPr>
          <w:p>
            <w:pPr>
              <w:pageBreakBefore w:val="0"/>
              <w:kinsoku/>
              <w:wordWrap w:val="0"/>
              <w:overflowPunct/>
              <w:bidi w:val="0"/>
              <w:spacing w:line="360" w:lineRule="auto"/>
              <w:jc w:val="center"/>
              <w:rPr>
                <w:rFonts w:ascii="宋体" w:hAnsi="宋体" w:cs="宋体"/>
                <w:szCs w:val="21"/>
              </w:rPr>
            </w:pPr>
          </w:p>
        </w:tc>
        <w:tc>
          <w:tcPr>
            <w:tcW w:w="1359" w:type="dxa"/>
          </w:tcPr>
          <w:p>
            <w:pPr>
              <w:pageBreakBefore w:val="0"/>
              <w:kinsoku/>
              <w:wordWrap w:val="0"/>
              <w:overflowPunct/>
              <w:bidi w:val="0"/>
              <w:spacing w:line="360" w:lineRule="auto"/>
              <w:jc w:val="center"/>
              <w:rPr>
                <w:rFonts w:ascii="宋体" w:hAnsi="宋体" w:cs="宋体"/>
                <w:szCs w:val="21"/>
              </w:rPr>
            </w:pPr>
          </w:p>
        </w:tc>
        <w:tc>
          <w:tcPr>
            <w:tcW w:w="672" w:type="dxa"/>
          </w:tcPr>
          <w:p>
            <w:pPr>
              <w:pageBreakBefore w:val="0"/>
              <w:kinsoku/>
              <w:wordWrap w:val="0"/>
              <w:overflow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Pr>
          <w:p>
            <w:pPr>
              <w:pageBreakBefore w:val="0"/>
              <w:kinsoku/>
              <w:wordWrap w:val="0"/>
              <w:overflowPunct/>
              <w:bidi w:val="0"/>
              <w:spacing w:line="360" w:lineRule="auto"/>
              <w:jc w:val="center"/>
              <w:rPr>
                <w:rFonts w:ascii="宋体" w:hAnsi="宋体" w:cs="宋体"/>
                <w:szCs w:val="21"/>
              </w:rPr>
            </w:pPr>
          </w:p>
        </w:tc>
        <w:tc>
          <w:tcPr>
            <w:tcW w:w="721" w:type="dxa"/>
          </w:tcPr>
          <w:p>
            <w:pPr>
              <w:pageBreakBefore w:val="0"/>
              <w:kinsoku/>
              <w:wordWrap w:val="0"/>
              <w:overflowPunct/>
              <w:bidi w:val="0"/>
              <w:spacing w:line="360" w:lineRule="auto"/>
              <w:jc w:val="center"/>
              <w:rPr>
                <w:rFonts w:ascii="宋体" w:hAnsi="宋体" w:cs="宋体"/>
                <w:szCs w:val="21"/>
              </w:rPr>
            </w:pPr>
          </w:p>
        </w:tc>
        <w:tc>
          <w:tcPr>
            <w:tcW w:w="719" w:type="dxa"/>
          </w:tcPr>
          <w:p>
            <w:pPr>
              <w:pageBreakBefore w:val="0"/>
              <w:kinsoku/>
              <w:wordWrap w:val="0"/>
              <w:overflowPunct/>
              <w:bidi w:val="0"/>
              <w:spacing w:line="360" w:lineRule="auto"/>
              <w:jc w:val="center"/>
              <w:rPr>
                <w:rFonts w:ascii="宋体" w:hAnsi="宋体" w:cs="宋体"/>
                <w:szCs w:val="21"/>
              </w:rPr>
            </w:pPr>
          </w:p>
        </w:tc>
        <w:tc>
          <w:tcPr>
            <w:tcW w:w="1081" w:type="dxa"/>
          </w:tcPr>
          <w:p>
            <w:pPr>
              <w:pageBreakBefore w:val="0"/>
              <w:kinsoku/>
              <w:wordWrap w:val="0"/>
              <w:overflowPunct/>
              <w:bidi w:val="0"/>
              <w:spacing w:line="360" w:lineRule="auto"/>
              <w:jc w:val="center"/>
              <w:rPr>
                <w:rFonts w:ascii="宋体" w:hAnsi="宋体" w:cs="宋体"/>
                <w:szCs w:val="21"/>
              </w:rPr>
            </w:pPr>
          </w:p>
        </w:tc>
        <w:tc>
          <w:tcPr>
            <w:tcW w:w="1080" w:type="dxa"/>
          </w:tcPr>
          <w:p>
            <w:pPr>
              <w:pageBreakBefore w:val="0"/>
              <w:kinsoku/>
              <w:wordWrap w:val="0"/>
              <w:overflowPunct/>
              <w:bidi w:val="0"/>
              <w:spacing w:line="360" w:lineRule="auto"/>
              <w:jc w:val="center"/>
              <w:rPr>
                <w:rFonts w:ascii="宋体" w:hAnsi="宋体" w:cs="宋体"/>
                <w:szCs w:val="21"/>
              </w:rPr>
            </w:pPr>
          </w:p>
        </w:tc>
        <w:tc>
          <w:tcPr>
            <w:tcW w:w="2340" w:type="dxa"/>
          </w:tcPr>
          <w:p>
            <w:pPr>
              <w:pageBreakBefore w:val="0"/>
              <w:kinsoku/>
              <w:wordWrap w:val="0"/>
              <w:overflowPunct/>
              <w:bidi w:val="0"/>
              <w:spacing w:line="360" w:lineRule="auto"/>
              <w:jc w:val="center"/>
              <w:rPr>
                <w:rFonts w:ascii="宋体" w:hAnsi="宋体" w:cs="宋体"/>
                <w:szCs w:val="21"/>
              </w:rPr>
            </w:pPr>
          </w:p>
        </w:tc>
        <w:tc>
          <w:tcPr>
            <w:tcW w:w="1359" w:type="dxa"/>
          </w:tcPr>
          <w:p>
            <w:pPr>
              <w:pageBreakBefore w:val="0"/>
              <w:kinsoku/>
              <w:wordWrap w:val="0"/>
              <w:overflowPunct/>
              <w:bidi w:val="0"/>
              <w:spacing w:line="360" w:lineRule="auto"/>
              <w:jc w:val="center"/>
              <w:rPr>
                <w:rFonts w:ascii="宋体" w:hAnsi="宋体" w:cs="宋体"/>
                <w:szCs w:val="21"/>
              </w:rPr>
            </w:pPr>
          </w:p>
        </w:tc>
        <w:tc>
          <w:tcPr>
            <w:tcW w:w="672" w:type="dxa"/>
          </w:tcPr>
          <w:p>
            <w:pPr>
              <w:pageBreakBefore w:val="0"/>
              <w:kinsoku/>
              <w:wordWrap w:val="0"/>
              <w:overflow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721"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719"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1081"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1080"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2340"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1359"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721"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719"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1081"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1080"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2340"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1359"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721"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719"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1081"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1080"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2340"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1359"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721"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719"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1081"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1080"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2340"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1359"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721"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719"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1081"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1080"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2340"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1359"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721"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719"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1081"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1080"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2340"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1359"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721"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719"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1081"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1080"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2340"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1359"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pageBreakBefore w:val="0"/>
              <w:kinsoku/>
              <w:wordWrap w:val="0"/>
              <w:overflowPunct/>
              <w:bidi w:val="0"/>
              <w:spacing w:line="360" w:lineRule="auto"/>
              <w:jc w:val="center"/>
              <w:rPr>
                <w:rFonts w:ascii="宋体" w:hAnsi="宋体" w:cs="宋体"/>
                <w:szCs w:val="21"/>
              </w:rPr>
            </w:pPr>
          </w:p>
        </w:tc>
      </w:tr>
    </w:tbl>
    <w:p>
      <w:pPr>
        <w:pageBreakBefore w:val="0"/>
        <w:kinsoku/>
        <w:wordWrap w:val="0"/>
        <w:overflowPunct/>
        <w:topLinePunct/>
        <w:bidi w:val="0"/>
        <w:spacing w:line="360" w:lineRule="auto"/>
        <w:jc w:val="center"/>
        <w:rPr>
          <w:rFonts w:ascii="宋体" w:hAnsi="宋体" w:cs="宋体"/>
          <w:sz w:val="20"/>
        </w:rPr>
      </w:pPr>
    </w:p>
    <w:p>
      <w:pPr>
        <w:pageBreakBefore w:val="0"/>
        <w:kinsoku/>
        <w:wordWrap w:val="0"/>
        <w:overflowPunct/>
        <w:topLinePunct/>
        <w:bidi w:val="0"/>
        <w:spacing w:line="360" w:lineRule="auto"/>
        <w:jc w:val="center"/>
        <w:rPr>
          <w:rFonts w:ascii="宋体" w:hAnsi="宋体" w:cs="宋体"/>
          <w:sz w:val="20"/>
        </w:rPr>
      </w:pPr>
      <w:r>
        <w:rPr>
          <w:rFonts w:hint="eastAsia" w:ascii="宋体" w:hAnsi="宋体" w:cs="宋体"/>
          <w:sz w:val="20"/>
        </w:rPr>
        <w:br w:type="page"/>
      </w:r>
    </w:p>
    <w:p>
      <w:pPr>
        <w:pStyle w:val="5"/>
        <w:pageBreakBefore w:val="0"/>
        <w:kinsoku/>
        <w:wordWrap w:val="0"/>
        <w:overflowPunct/>
        <w:bidi w:val="0"/>
        <w:spacing w:line="360" w:lineRule="auto"/>
        <w:jc w:val="center"/>
        <w:rPr>
          <w:rFonts w:ascii="宋体" w:hAnsi="宋体" w:cs="宋体"/>
        </w:rPr>
      </w:pPr>
      <w:bookmarkStart w:id="776" w:name="_Toc246996371"/>
      <w:bookmarkStart w:id="777" w:name="_Toc144974873"/>
      <w:bookmarkStart w:id="778" w:name="_Toc247085889"/>
      <w:bookmarkStart w:id="779" w:name="_Toc152045805"/>
      <w:bookmarkStart w:id="780" w:name="_Toc152042594"/>
      <w:bookmarkStart w:id="781" w:name="_Toc179632825"/>
      <w:bookmarkStart w:id="782" w:name="_Toc246997114"/>
      <w:bookmarkStart w:id="783" w:name="_Toc394565371"/>
      <w:bookmarkStart w:id="784" w:name="_Toc74256202"/>
      <w:bookmarkStart w:id="785" w:name="_Toc87865811"/>
      <w:bookmarkStart w:id="786" w:name="_Toc425177199"/>
      <w:r>
        <w:rPr>
          <w:rFonts w:hint="eastAsia" w:ascii="宋体" w:hAnsi="宋体" w:cs="宋体"/>
        </w:rPr>
        <w:t>（二）</w:t>
      </w:r>
      <w:bookmarkEnd w:id="776"/>
      <w:bookmarkEnd w:id="777"/>
      <w:bookmarkEnd w:id="778"/>
      <w:bookmarkEnd w:id="779"/>
      <w:bookmarkEnd w:id="780"/>
      <w:bookmarkEnd w:id="781"/>
      <w:bookmarkEnd w:id="782"/>
      <w:bookmarkEnd w:id="783"/>
      <w:r>
        <w:rPr>
          <w:rFonts w:hint="eastAsia" w:ascii="宋体" w:hAnsi="宋体" w:cs="宋体"/>
        </w:rPr>
        <w:t>主要人员简历表</w:t>
      </w:r>
      <w:bookmarkEnd w:id="784"/>
      <w:bookmarkEnd w:id="785"/>
      <w:bookmarkEnd w:id="786"/>
    </w:p>
    <w:p>
      <w:pPr>
        <w:pageBreakBefore w:val="0"/>
        <w:kinsoku/>
        <w:wordWrap w:val="0"/>
        <w:overflowPunct/>
        <w:bidi w:val="0"/>
        <w:spacing w:line="360" w:lineRule="auto"/>
        <w:ind w:firstLine="420" w:firstLineChars="200"/>
        <w:rPr>
          <w:rFonts w:ascii="宋体" w:hAnsi="宋体" w:cs="宋体"/>
          <w:sz w:val="23"/>
          <w:szCs w:val="23"/>
        </w:rPr>
      </w:pPr>
      <w:r>
        <w:rPr>
          <w:rFonts w:hint="eastAsia" w:ascii="宋体" w:hAnsi="宋体" w:cs="宋体"/>
        </w:rPr>
        <w:t xml:space="preserve">“主要人员简历表”中的项目负责人（项目经理）或其他人员根据本项目要求提供相关材料复印件。 </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6"/>
        <w:gridCol w:w="1079"/>
        <w:gridCol w:w="1443"/>
        <w:gridCol w:w="342"/>
        <w:gridCol w:w="751"/>
        <w:gridCol w:w="1247"/>
        <w:gridCol w:w="717"/>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546" w:type="dxa"/>
            <w:vAlign w:val="center"/>
          </w:tcPr>
          <w:p>
            <w:pPr>
              <w:pageBreakBefore w:val="0"/>
              <w:kinsoku/>
              <w:wordWrap w:val="0"/>
              <w:overflowPunct/>
              <w:bidi w:val="0"/>
              <w:spacing w:line="360" w:lineRule="auto"/>
              <w:jc w:val="center"/>
              <w:rPr>
                <w:rFonts w:ascii="宋体" w:hAnsi="宋体" w:cs="宋体"/>
              </w:rPr>
            </w:pPr>
            <w:r>
              <w:rPr>
                <w:rFonts w:hint="eastAsia" w:ascii="宋体" w:hAnsi="宋体" w:cs="宋体"/>
              </w:rPr>
              <w:t>姓  名</w:t>
            </w:r>
          </w:p>
        </w:tc>
        <w:tc>
          <w:tcPr>
            <w:tcW w:w="1079" w:type="dxa"/>
            <w:vAlign w:val="center"/>
          </w:tcPr>
          <w:p>
            <w:pPr>
              <w:pageBreakBefore w:val="0"/>
              <w:kinsoku/>
              <w:wordWrap w:val="0"/>
              <w:overflowPunct/>
              <w:bidi w:val="0"/>
              <w:spacing w:line="360" w:lineRule="auto"/>
              <w:jc w:val="center"/>
              <w:rPr>
                <w:rFonts w:ascii="宋体" w:hAnsi="宋体" w:cs="宋体"/>
              </w:rPr>
            </w:pPr>
          </w:p>
        </w:tc>
        <w:tc>
          <w:tcPr>
            <w:tcW w:w="1443" w:type="dxa"/>
            <w:vAlign w:val="center"/>
          </w:tcPr>
          <w:p>
            <w:pPr>
              <w:pageBreakBefore w:val="0"/>
              <w:kinsoku/>
              <w:wordWrap w:val="0"/>
              <w:overflowPunct/>
              <w:bidi w:val="0"/>
              <w:spacing w:line="360" w:lineRule="auto"/>
              <w:ind w:left="117"/>
              <w:jc w:val="center"/>
              <w:rPr>
                <w:rFonts w:ascii="宋体" w:hAnsi="宋体" w:cs="宋体"/>
              </w:rPr>
            </w:pPr>
            <w:r>
              <w:rPr>
                <w:rFonts w:hint="eastAsia" w:ascii="宋体" w:hAnsi="宋体" w:cs="宋体"/>
              </w:rPr>
              <w:t>年龄</w:t>
            </w:r>
          </w:p>
        </w:tc>
        <w:tc>
          <w:tcPr>
            <w:tcW w:w="1093" w:type="dxa"/>
            <w:gridSpan w:val="2"/>
            <w:vAlign w:val="center"/>
          </w:tcPr>
          <w:p>
            <w:pPr>
              <w:pageBreakBefore w:val="0"/>
              <w:kinsoku/>
              <w:wordWrap w:val="0"/>
              <w:overflowPunct/>
              <w:bidi w:val="0"/>
              <w:spacing w:line="360" w:lineRule="auto"/>
              <w:jc w:val="center"/>
              <w:rPr>
                <w:rFonts w:ascii="宋体" w:hAnsi="宋体" w:cs="宋体"/>
              </w:rPr>
            </w:pPr>
          </w:p>
        </w:tc>
        <w:tc>
          <w:tcPr>
            <w:tcW w:w="1964" w:type="dxa"/>
            <w:gridSpan w:val="2"/>
            <w:vAlign w:val="center"/>
          </w:tcPr>
          <w:p>
            <w:pPr>
              <w:pageBreakBefore w:val="0"/>
              <w:kinsoku/>
              <w:wordWrap w:val="0"/>
              <w:overflowPunct/>
              <w:bidi w:val="0"/>
              <w:spacing w:line="360" w:lineRule="auto"/>
              <w:jc w:val="center"/>
              <w:rPr>
                <w:rFonts w:ascii="宋体" w:hAnsi="宋体" w:cs="宋体"/>
              </w:rPr>
            </w:pPr>
            <w:r>
              <w:rPr>
                <w:rFonts w:hint="eastAsia" w:ascii="宋体" w:hAnsi="宋体" w:cs="宋体"/>
              </w:rPr>
              <w:t>学历</w:t>
            </w:r>
          </w:p>
        </w:tc>
        <w:tc>
          <w:tcPr>
            <w:tcW w:w="1686" w:type="dxa"/>
            <w:vAlign w:val="center"/>
          </w:tcPr>
          <w:p>
            <w:pPr>
              <w:pageBreakBefore w:val="0"/>
              <w:kinsoku/>
              <w:wordWrap w:val="0"/>
              <w:overflowPunct/>
              <w:bidi w:val="0"/>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546" w:type="dxa"/>
            <w:tcBorders>
              <w:bottom w:val="single" w:color="auto" w:sz="4" w:space="0"/>
            </w:tcBorders>
            <w:vAlign w:val="center"/>
          </w:tcPr>
          <w:p>
            <w:pPr>
              <w:pageBreakBefore w:val="0"/>
              <w:kinsoku/>
              <w:wordWrap w:val="0"/>
              <w:overflowPunct/>
              <w:bidi w:val="0"/>
              <w:spacing w:line="360" w:lineRule="auto"/>
              <w:jc w:val="center"/>
              <w:rPr>
                <w:rFonts w:ascii="宋体" w:hAnsi="宋体" w:cs="宋体"/>
              </w:rPr>
            </w:pPr>
            <w:r>
              <w:rPr>
                <w:rFonts w:hint="eastAsia" w:ascii="宋体" w:hAnsi="宋体" w:cs="宋体"/>
              </w:rPr>
              <w:t>职   称</w:t>
            </w:r>
          </w:p>
        </w:tc>
        <w:tc>
          <w:tcPr>
            <w:tcW w:w="1079" w:type="dxa"/>
            <w:tcBorders>
              <w:bottom w:val="single" w:color="auto" w:sz="4" w:space="0"/>
            </w:tcBorders>
            <w:vAlign w:val="center"/>
          </w:tcPr>
          <w:p>
            <w:pPr>
              <w:pageBreakBefore w:val="0"/>
              <w:kinsoku/>
              <w:wordWrap w:val="0"/>
              <w:overflowPunct/>
              <w:bidi w:val="0"/>
              <w:spacing w:line="360" w:lineRule="auto"/>
              <w:jc w:val="center"/>
              <w:rPr>
                <w:rFonts w:ascii="宋体" w:hAnsi="宋体" w:cs="宋体"/>
              </w:rPr>
            </w:pPr>
          </w:p>
        </w:tc>
        <w:tc>
          <w:tcPr>
            <w:tcW w:w="1443" w:type="dxa"/>
            <w:tcBorders>
              <w:bottom w:val="single" w:color="auto" w:sz="4" w:space="0"/>
            </w:tcBorders>
            <w:vAlign w:val="center"/>
          </w:tcPr>
          <w:p>
            <w:pPr>
              <w:pageBreakBefore w:val="0"/>
              <w:kinsoku/>
              <w:wordWrap w:val="0"/>
              <w:overflowPunct/>
              <w:bidi w:val="0"/>
              <w:spacing w:line="360" w:lineRule="auto"/>
              <w:ind w:left="222"/>
              <w:jc w:val="center"/>
              <w:rPr>
                <w:rFonts w:ascii="宋体" w:hAnsi="宋体" w:cs="宋体"/>
              </w:rPr>
            </w:pPr>
            <w:r>
              <w:rPr>
                <w:rFonts w:hint="eastAsia" w:ascii="宋体" w:hAnsi="宋体" w:cs="宋体"/>
              </w:rPr>
              <w:t>职务</w:t>
            </w:r>
          </w:p>
        </w:tc>
        <w:tc>
          <w:tcPr>
            <w:tcW w:w="1093" w:type="dxa"/>
            <w:gridSpan w:val="2"/>
            <w:tcBorders>
              <w:bottom w:val="single" w:color="auto" w:sz="4" w:space="0"/>
            </w:tcBorders>
            <w:vAlign w:val="center"/>
          </w:tcPr>
          <w:p>
            <w:pPr>
              <w:pageBreakBefore w:val="0"/>
              <w:kinsoku/>
              <w:wordWrap w:val="0"/>
              <w:overflowPunct/>
              <w:bidi w:val="0"/>
              <w:spacing w:line="360" w:lineRule="auto"/>
              <w:jc w:val="center"/>
              <w:rPr>
                <w:rFonts w:ascii="宋体" w:hAnsi="宋体" w:cs="宋体"/>
              </w:rPr>
            </w:pPr>
          </w:p>
        </w:tc>
        <w:tc>
          <w:tcPr>
            <w:tcW w:w="1964" w:type="dxa"/>
            <w:gridSpan w:val="2"/>
            <w:tcBorders>
              <w:bottom w:val="single" w:color="auto" w:sz="4" w:space="0"/>
            </w:tcBorders>
            <w:vAlign w:val="center"/>
          </w:tcPr>
          <w:p>
            <w:pPr>
              <w:pageBreakBefore w:val="0"/>
              <w:kinsoku/>
              <w:wordWrap w:val="0"/>
              <w:overflowPunct/>
              <w:bidi w:val="0"/>
              <w:spacing w:line="360" w:lineRule="auto"/>
              <w:rPr>
                <w:rFonts w:ascii="宋体" w:hAnsi="宋体" w:cs="宋体"/>
              </w:rPr>
            </w:pPr>
            <w:r>
              <w:rPr>
                <w:rFonts w:hint="eastAsia" w:ascii="宋体" w:hAnsi="宋体" w:cs="宋体"/>
              </w:rPr>
              <w:t>拟在本合同任职</w:t>
            </w:r>
          </w:p>
        </w:tc>
        <w:tc>
          <w:tcPr>
            <w:tcW w:w="1686" w:type="dxa"/>
            <w:tcBorders>
              <w:bottom w:val="single" w:color="auto" w:sz="4" w:space="0"/>
            </w:tcBorders>
            <w:vAlign w:val="center"/>
          </w:tcPr>
          <w:p>
            <w:pPr>
              <w:pageBreakBefore w:val="0"/>
              <w:kinsoku/>
              <w:wordWrap w:val="0"/>
              <w:overflowPunct/>
              <w:bidi w:val="0"/>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546" w:type="dxa"/>
            <w:tcBorders>
              <w:bottom w:val="single" w:color="auto" w:sz="4" w:space="0"/>
            </w:tcBorders>
            <w:vAlign w:val="center"/>
          </w:tcPr>
          <w:p>
            <w:pPr>
              <w:pageBreakBefore w:val="0"/>
              <w:kinsoku/>
              <w:wordWrap w:val="0"/>
              <w:overflowPunct/>
              <w:bidi w:val="0"/>
              <w:spacing w:line="360" w:lineRule="auto"/>
              <w:jc w:val="center"/>
              <w:rPr>
                <w:rFonts w:ascii="宋体" w:hAnsi="宋体" w:cs="宋体"/>
              </w:rPr>
            </w:pPr>
            <w:r>
              <w:rPr>
                <w:rFonts w:hint="eastAsia" w:ascii="宋体" w:hAnsi="宋体" w:cs="宋体"/>
              </w:rPr>
              <w:t>毕业学校</w:t>
            </w:r>
          </w:p>
        </w:tc>
        <w:tc>
          <w:tcPr>
            <w:tcW w:w="7265" w:type="dxa"/>
            <w:gridSpan w:val="7"/>
            <w:tcBorders>
              <w:bottom w:val="single" w:color="auto" w:sz="4" w:space="0"/>
            </w:tcBorders>
            <w:vAlign w:val="center"/>
          </w:tcPr>
          <w:p>
            <w:pPr>
              <w:pageBreakBefore w:val="0"/>
              <w:kinsoku/>
              <w:wordWrap w:val="0"/>
              <w:overflowPunct/>
              <w:bidi w:val="0"/>
              <w:spacing w:line="360" w:lineRule="auto"/>
              <w:jc w:val="center"/>
              <w:rPr>
                <w:rFonts w:ascii="宋体" w:hAnsi="宋体" w:cs="宋体"/>
              </w:rPr>
            </w:pPr>
            <w:r>
              <w:rPr>
                <w:rFonts w:hint="eastAsia" w:ascii="宋体" w:hAnsi="宋体" w:cs="宋体"/>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8811" w:type="dxa"/>
            <w:gridSpan w:val="8"/>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bidi w:val="0"/>
              <w:spacing w:line="360" w:lineRule="auto"/>
              <w:jc w:val="center"/>
              <w:rPr>
                <w:rFonts w:ascii="宋体" w:hAnsi="宋体" w:cs="宋体"/>
              </w:rPr>
            </w:pPr>
            <w:r>
              <w:rPr>
                <w:rFonts w:hint="eastAsia" w:ascii="宋体" w:hAnsi="宋体" w:cs="宋体"/>
              </w:rPr>
              <w:t>主要经历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546" w:type="dxa"/>
            <w:tcBorders>
              <w:top w:val="single" w:color="auto" w:sz="4" w:space="0"/>
            </w:tcBorders>
            <w:vAlign w:val="center"/>
          </w:tcPr>
          <w:p>
            <w:pPr>
              <w:pageBreakBefore w:val="0"/>
              <w:kinsoku/>
              <w:wordWrap w:val="0"/>
              <w:overflowPunct/>
              <w:bidi w:val="0"/>
              <w:spacing w:line="360" w:lineRule="auto"/>
              <w:jc w:val="center"/>
              <w:rPr>
                <w:rFonts w:ascii="宋体" w:hAnsi="宋体" w:cs="宋体"/>
              </w:rPr>
            </w:pPr>
            <w:r>
              <w:rPr>
                <w:rFonts w:hint="eastAsia" w:ascii="宋体" w:hAnsi="宋体" w:cs="宋体"/>
              </w:rPr>
              <w:t xml:space="preserve">  时间</w:t>
            </w:r>
          </w:p>
        </w:tc>
        <w:tc>
          <w:tcPr>
            <w:tcW w:w="2864" w:type="dxa"/>
            <w:gridSpan w:val="3"/>
            <w:tcBorders>
              <w:top w:val="single" w:color="auto" w:sz="4" w:space="0"/>
            </w:tcBorders>
            <w:vAlign w:val="center"/>
          </w:tcPr>
          <w:p>
            <w:pPr>
              <w:pageBreakBefore w:val="0"/>
              <w:kinsoku/>
              <w:wordWrap w:val="0"/>
              <w:overflowPunct/>
              <w:bidi w:val="0"/>
              <w:spacing w:line="360" w:lineRule="auto"/>
              <w:jc w:val="center"/>
              <w:rPr>
                <w:rFonts w:ascii="宋体" w:hAnsi="宋体" w:cs="宋体"/>
              </w:rPr>
            </w:pPr>
            <w:r>
              <w:rPr>
                <w:rFonts w:hint="eastAsia" w:ascii="宋体" w:hAnsi="宋体" w:cs="宋体"/>
              </w:rPr>
              <w:t>参加过的类似项目</w:t>
            </w:r>
          </w:p>
        </w:tc>
        <w:tc>
          <w:tcPr>
            <w:tcW w:w="1998" w:type="dxa"/>
            <w:gridSpan w:val="2"/>
            <w:tcBorders>
              <w:top w:val="single" w:color="auto" w:sz="4" w:space="0"/>
            </w:tcBorders>
            <w:vAlign w:val="center"/>
          </w:tcPr>
          <w:p>
            <w:pPr>
              <w:pageBreakBefore w:val="0"/>
              <w:kinsoku/>
              <w:wordWrap w:val="0"/>
              <w:overflowPunct/>
              <w:bidi w:val="0"/>
              <w:spacing w:line="360" w:lineRule="auto"/>
              <w:jc w:val="center"/>
              <w:rPr>
                <w:rFonts w:ascii="宋体" w:hAnsi="宋体" w:cs="宋体"/>
              </w:rPr>
            </w:pPr>
            <w:r>
              <w:rPr>
                <w:rFonts w:hint="eastAsia" w:ascii="宋体" w:hAnsi="宋体" w:cs="宋体"/>
              </w:rPr>
              <w:t>担任职务</w:t>
            </w:r>
          </w:p>
        </w:tc>
        <w:tc>
          <w:tcPr>
            <w:tcW w:w="2403" w:type="dxa"/>
            <w:gridSpan w:val="2"/>
            <w:tcBorders>
              <w:top w:val="single" w:color="auto" w:sz="4" w:space="0"/>
            </w:tcBorders>
            <w:vAlign w:val="center"/>
          </w:tcPr>
          <w:p>
            <w:pPr>
              <w:pageBreakBefore w:val="0"/>
              <w:kinsoku/>
              <w:wordWrap w:val="0"/>
              <w:overflowPunct/>
              <w:bidi w:val="0"/>
              <w:spacing w:line="360" w:lineRule="auto"/>
              <w:jc w:val="center"/>
              <w:rPr>
                <w:rFonts w:ascii="宋体" w:hAnsi="宋体" w:cs="宋体"/>
              </w:rPr>
            </w:pPr>
            <w:r>
              <w:rPr>
                <w:rFonts w:hint="eastAsia" w:ascii="宋体" w:hAnsi="宋体" w:cs="宋体"/>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546" w:type="dxa"/>
            <w:vAlign w:val="center"/>
          </w:tcPr>
          <w:p>
            <w:pPr>
              <w:pageBreakBefore w:val="0"/>
              <w:kinsoku/>
              <w:wordWrap w:val="0"/>
              <w:overflowPunct/>
              <w:bidi w:val="0"/>
              <w:spacing w:line="360" w:lineRule="auto"/>
              <w:jc w:val="center"/>
              <w:rPr>
                <w:rFonts w:ascii="宋体" w:hAnsi="宋体" w:cs="宋体"/>
              </w:rPr>
            </w:pPr>
          </w:p>
        </w:tc>
        <w:tc>
          <w:tcPr>
            <w:tcW w:w="2864" w:type="dxa"/>
            <w:gridSpan w:val="3"/>
            <w:vAlign w:val="center"/>
          </w:tcPr>
          <w:p>
            <w:pPr>
              <w:pageBreakBefore w:val="0"/>
              <w:kinsoku/>
              <w:wordWrap w:val="0"/>
              <w:overflowPunct/>
              <w:bidi w:val="0"/>
              <w:spacing w:line="360" w:lineRule="auto"/>
              <w:jc w:val="center"/>
              <w:rPr>
                <w:rFonts w:ascii="宋体" w:hAnsi="宋体" w:cs="宋体"/>
              </w:rPr>
            </w:pPr>
          </w:p>
        </w:tc>
        <w:tc>
          <w:tcPr>
            <w:tcW w:w="1998" w:type="dxa"/>
            <w:gridSpan w:val="2"/>
            <w:vAlign w:val="center"/>
          </w:tcPr>
          <w:p>
            <w:pPr>
              <w:pageBreakBefore w:val="0"/>
              <w:kinsoku/>
              <w:wordWrap w:val="0"/>
              <w:overflowPunct/>
              <w:bidi w:val="0"/>
              <w:spacing w:line="360" w:lineRule="auto"/>
              <w:jc w:val="center"/>
              <w:rPr>
                <w:rFonts w:ascii="宋体" w:hAnsi="宋体" w:cs="宋体"/>
              </w:rPr>
            </w:pPr>
          </w:p>
        </w:tc>
        <w:tc>
          <w:tcPr>
            <w:tcW w:w="2403" w:type="dxa"/>
            <w:gridSpan w:val="2"/>
            <w:vAlign w:val="center"/>
          </w:tcPr>
          <w:p>
            <w:pPr>
              <w:pageBreakBefore w:val="0"/>
              <w:kinsoku/>
              <w:wordWrap w:val="0"/>
              <w:overflowPunct/>
              <w:bidi w:val="0"/>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546" w:type="dxa"/>
            <w:vAlign w:val="center"/>
          </w:tcPr>
          <w:p>
            <w:pPr>
              <w:pageBreakBefore w:val="0"/>
              <w:kinsoku/>
              <w:wordWrap w:val="0"/>
              <w:overflowPunct/>
              <w:bidi w:val="0"/>
              <w:spacing w:line="360" w:lineRule="auto"/>
              <w:jc w:val="center"/>
              <w:rPr>
                <w:rFonts w:ascii="宋体" w:hAnsi="宋体" w:cs="宋体"/>
              </w:rPr>
            </w:pPr>
          </w:p>
        </w:tc>
        <w:tc>
          <w:tcPr>
            <w:tcW w:w="2864" w:type="dxa"/>
            <w:gridSpan w:val="3"/>
            <w:vAlign w:val="center"/>
          </w:tcPr>
          <w:p>
            <w:pPr>
              <w:pageBreakBefore w:val="0"/>
              <w:kinsoku/>
              <w:wordWrap w:val="0"/>
              <w:overflowPunct/>
              <w:bidi w:val="0"/>
              <w:spacing w:line="360" w:lineRule="auto"/>
              <w:jc w:val="center"/>
              <w:rPr>
                <w:rFonts w:ascii="宋体" w:hAnsi="宋体" w:cs="宋体"/>
              </w:rPr>
            </w:pPr>
          </w:p>
        </w:tc>
        <w:tc>
          <w:tcPr>
            <w:tcW w:w="1998" w:type="dxa"/>
            <w:gridSpan w:val="2"/>
            <w:vAlign w:val="center"/>
          </w:tcPr>
          <w:p>
            <w:pPr>
              <w:pageBreakBefore w:val="0"/>
              <w:kinsoku/>
              <w:wordWrap w:val="0"/>
              <w:overflowPunct/>
              <w:bidi w:val="0"/>
              <w:spacing w:line="360" w:lineRule="auto"/>
              <w:jc w:val="center"/>
              <w:rPr>
                <w:rFonts w:ascii="宋体" w:hAnsi="宋体" w:cs="宋体"/>
              </w:rPr>
            </w:pPr>
          </w:p>
        </w:tc>
        <w:tc>
          <w:tcPr>
            <w:tcW w:w="2403" w:type="dxa"/>
            <w:gridSpan w:val="2"/>
            <w:vAlign w:val="center"/>
          </w:tcPr>
          <w:p>
            <w:pPr>
              <w:pageBreakBefore w:val="0"/>
              <w:kinsoku/>
              <w:wordWrap w:val="0"/>
              <w:overflowPunct/>
              <w:bidi w:val="0"/>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546" w:type="dxa"/>
            <w:vAlign w:val="center"/>
          </w:tcPr>
          <w:p>
            <w:pPr>
              <w:pageBreakBefore w:val="0"/>
              <w:kinsoku/>
              <w:wordWrap w:val="0"/>
              <w:overflowPunct/>
              <w:bidi w:val="0"/>
              <w:spacing w:line="360" w:lineRule="auto"/>
              <w:jc w:val="center"/>
              <w:rPr>
                <w:rFonts w:ascii="宋体" w:hAnsi="宋体" w:cs="宋体"/>
              </w:rPr>
            </w:pPr>
          </w:p>
        </w:tc>
        <w:tc>
          <w:tcPr>
            <w:tcW w:w="2864" w:type="dxa"/>
            <w:gridSpan w:val="3"/>
            <w:vAlign w:val="center"/>
          </w:tcPr>
          <w:p>
            <w:pPr>
              <w:pageBreakBefore w:val="0"/>
              <w:kinsoku/>
              <w:wordWrap w:val="0"/>
              <w:overflowPunct/>
              <w:bidi w:val="0"/>
              <w:spacing w:line="360" w:lineRule="auto"/>
              <w:jc w:val="center"/>
              <w:rPr>
                <w:rFonts w:ascii="宋体" w:hAnsi="宋体" w:cs="宋体"/>
              </w:rPr>
            </w:pPr>
          </w:p>
        </w:tc>
        <w:tc>
          <w:tcPr>
            <w:tcW w:w="1998" w:type="dxa"/>
            <w:gridSpan w:val="2"/>
            <w:vAlign w:val="center"/>
          </w:tcPr>
          <w:p>
            <w:pPr>
              <w:pageBreakBefore w:val="0"/>
              <w:kinsoku/>
              <w:wordWrap w:val="0"/>
              <w:overflowPunct/>
              <w:bidi w:val="0"/>
              <w:spacing w:line="360" w:lineRule="auto"/>
              <w:jc w:val="center"/>
              <w:rPr>
                <w:rFonts w:ascii="宋体" w:hAnsi="宋体" w:cs="宋体"/>
              </w:rPr>
            </w:pPr>
          </w:p>
        </w:tc>
        <w:tc>
          <w:tcPr>
            <w:tcW w:w="2403" w:type="dxa"/>
            <w:gridSpan w:val="2"/>
            <w:vAlign w:val="center"/>
          </w:tcPr>
          <w:p>
            <w:pPr>
              <w:pageBreakBefore w:val="0"/>
              <w:kinsoku/>
              <w:wordWrap w:val="0"/>
              <w:overflowPunct/>
              <w:bidi w:val="0"/>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546" w:type="dxa"/>
            <w:vAlign w:val="center"/>
          </w:tcPr>
          <w:p>
            <w:pPr>
              <w:pageBreakBefore w:val="0"/>
              <w:kinsoku/>
              <w:wordWrap w:val="0"/>
              <w:overflowPunct/>
              <w:bidi w:val="0"/>
              <w:spacing w:line="360" w:lineRule="auto"/>
              <w:jc w:val="center"/>
              <w:rPr>
                <w:rFonts w:ascii="宋体" w:hAnsi="宋体" w:cs="宋体"/>
              </w:rPr>
            </w:pPr>
          </w:p>
        </w:tc>
        <w:tc>
          <w:tcPr>
            <w:tcW w:w="2864" w:type="dxa"/>
            <w:gridSpan w:val="3"/>
            <w:vAlign w:val="center"/>
          </w:tcPr>
          <w:p>
            <w:pPr>
              <w:pageBreakBefore w:val="0"/>
              <w:kinsoku/>
              <w:wordWrap w:val="0"/>
              <w:overflowPunct/>
              <w:bidi w:val="0"/>
              <w:spacing w:line="360" w:lineRule="auto"/>
              <w:jc w:val="center"/>
              <w:rPr>
                <w:rFonts w:ascii="宋体" w:hAnsi="宋体" w:cs="宋体"/>
              </w:rPr>
            </w:pPr>
          </w:p>
        </w:tc>
        <w:tc>
          <w:tcPr>
            <w:tcW w:w="1998" w:type="dxa"/>
            <w:gridSpan w:val="2"/>
            <w:vAlign w:val="center"/>
          </w:tcPr>
          <w:p>
            <w:pPr>
              <w:pageBreakBefore w:val="0"/>
              <w:kinsoku/>
              <w:wordWrap w:val="0"/>
              <w:overflowPunct/>
              <w:bidi w:val="0"/>
              <w:spacing w:line="360" w:lineRule="auto"/>
              <w:jc w:val="center"/>
              <w:rPr>
                <w:rFonts w:ascii="宋体" w:hAnsi="宋体" w:cs="宋体"/>
              </w:rPr>
            </w:pPr>
          </w:p>
        </w:tc>
        <w:tc>
          <w:tcPr>
            <w:tcW w:w="2403" w:type="dxa"/>
            <w:gridSpan w:val="2"/>
            <w:vAlign w:val="center"/>
          </w:tcPr>
          <w:p>
            <w:pPr>
              <w:pageBreakBefore w:val="0"/>
              <w:kinsoku/>
              <w:wordWrap w:val="0"/>
              <w:overflowPunct/>
              <w:bidi w:val="0"/>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546" w:type="dxa"/>
            <w:vAlign w:val="center"/>
          </w:tcPr>
          <w:p>
            <w:pPr>
              <w:pageBreakBefore w:val="0"/>
              <w:kinsoku/>
              <w:wordWrap w:val="0"/>
              <w:overflowPunct/>
              <w:bidi w:val="0"/>
              <w:spacing w:line="360" w:lineRule="auto"/>
              <w:jc w:val="center"/>
              <w:rPr>
                <w:rFonts w:ascii="宋体" w:hAnsi="宋体" w:cs="宋体"/>
              </w:rPr>
            </w:pPr>
          </w:p>
        </w:tc>
        <w:tc>
          <w:tcPr>
            <w:tcW w:w="2864" w:type="dxa"/>
            <w:gridSpan w:val="3"/>
            <w:vAlign w:val="center"/>
          </w:tcPr>
          <w:p>
            <w:pPr>
              <w:pageBreakBefore w:val="0"/>
              <w:kinsoku/>
              <w:wordWrap w:val="0"/>
              <w:overflowPunct/>
              <w:bidi w:val="0"/>
              <w:spacing w:line="360" w:lineRule="auto"/>
              <w:jc w:val="center"/>
              <w:rPr>
                <w:rFonts w:ascii="宋体" w:hAnsi="宋体" w:cs="宋体"/>
              </w:rPr>
            </w:pPr>
          </w:p>
        </w:tc>
        <w:tc>
          <w:tcPr>
            <w:tcW w:w="1998" w:type="dxa"/>
            <w:gridSpan w:val="2"/>
            <w:vAlign w:val="center"/>
          </w:tcPr>
          <w:p>
            <w:pPr>
              <w:pageBreakBefore w:val="0"/>
              <w:kinsoku/>
              <w:wordWrap w:val="0"/>
              <w:overflowPunct/>
              <w:bidi w:val="0"/>
              <w:spacing w:line="360" w:lineRule="auto"/>
              <w:jc w:val="center"/>
              <w:rPr>
                <w:rFonts w:ascii="宋体" w:hAnsi="宋体" w:cs="宋体"/>
              </w:rPr>
            </w:pPr>
          </w:p>
        </w:tc>
        <w:tc>
          <w:tcPr>
            <w:tcW w:w="2403" w:type="dxa"/>
            <w:gridSpan w:val="2"/>
            <w:vAlign w:val="center"/>
          </w:tcPr>
          <w:p>
            <w:pPr>
              <w:pageBreakBefore w:val="0"/>
              <w:kinsoku/>
              <w:wordWrap w:val="0"/>
              <w:overflowPunct/>
              <w:bidi w:val="0"/>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546" w:type="dxa"/>
            <w:vAlign w:val="center"/>
          </w:tcPr>
          <w:p>
            <w:pPr>
              <w:pageBreakBefore w:val="0"/>
              <w:kinsoku/>
              <w:wordWrap w:val="0"/>
              <w:overflowPunct/>
              <w:bidi w:val="0"/>
              <w:spacing w:line="360" w:lineRule="auto"/>
              <w:jc w:val="center"/>
              <w:rPr>
                <w:rFonts w:ascii="宋体" w:hAnsi="宋体" w:cs="宋体"/>
              </w:rPr>
            </w:pPr>
          </w:p>
        </w:tc>
        <w:tc>
          <w:tcPr>
            <w:tcW w:w="2864" w:type="dxa"/>
            <w:gridSpan w:val="3"/>
            <w:vAlign w:val="center"/>
          </w:tcPr>
          <w:p>
            <w:pPr>
              <w:pageBreakBefore w:val="0"/>
              <w:kinsoku/>
              <w:wordWrap w:val="0"/>
              <w:overflowPunct/>
              <w:bidi w:val="0"/>
              <w:spacing w:line="360" w:lineRule="auto"/>
              <w:jc w:val="center"/>
              <w:rPr>
                <w:rFonts w:ascii="宋体" w:hAnsi="宋体" w:cs="宋体"/>
              </w:rPr>
            </w:pPr>
          </w:p>
        </w:tc>
        <w:tc>
          <w:tcPr>
            <w:tcW w:w="1998" w:type="dxa"/>
            <w:gridSpan w:val="2"/>
            <w:vAlign w:val="center"/>
          </w:tcPr>
          <w:p>
            <w:pPr>
              <w:pageBreakBefore w:val="0"/>
              <w:kinsoku/>
              <w:wordWrap w:val="0"/>
              <w:overflowPunct/>
              <w:bidi w:val="0"/>
              <w:spacing w:line="360" w:lineRule="auto"/>
              <w:jc w:val="center"/>
              <w:rPr>
                <w:rFonts w:ascii="宋体" w:hAnsi="宋体" w:cs="宋体"/>
              </w:rPr>
            </w:pPr>
          </w:p>
        </w:tc>
        <w:tc>
          <w:tcPr>
            <w:tcW w:w="2403" w:type="dxa"/>
            <w:gridSpan w:val="2"/>
            <w:vAlign w:val="center"/>
          </w:tcPr>
          <w:p>
            <w:pPr>
              <w:pageBreakBefore w:val="0"/>
              <w:kinsoku/>
              <w:wordWrap w:val="0"/>
              <w:overflowPunct/>
              <w:bidi w:val="0"/>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546" w:type="dxa"/>
            <w:vAlign w:val="center"/>
          </w:tcPr>
          <w:p>
            <w:pPr>
              <w:pageBreakBefore w:val="0"/>
              <w:kinsoku/>
              <w:wordWrap w:val="0"/>
              <w:overflowPunct/>
              <w:bidi w:val="0"/>
              <w:spacing w:line="360" w:lineRule="auto"/>
              <w:rPr>
                <w:rFonts w:ascii="宋体" w:hAnsi="宋体" w:cs="宋体"/>
              </w:rPr>
            </w:pPr>
          </w:p>
        </w:tc>
        <w:tc>
          <w:tcPr>
            <w:tcW w:w="2864" w:type="dxa"/>
            <w:gridSpan w:val="3"/>
            <w:vAlign w:val="center"/>
          </w:tcPr>
          <w:p>
            <w:pPr>
              <w:pageBreakBefore w:val="0"/>
              <w:kinsoku/>
              <w:wordWrap w:val="0"/>
              <w:overflowPunct/>
              <w:bidi w:val="0"/>
              <w:spacing w:line="360" w:lineRule="auto"/>
              <w:jc w:val="center"/>
              <w:rPr>
                <w:rFonts w:ascii="宋体" w:hAnsi="宋体" w:cs="宋体"/>
              </w:rPr>
            </w:pPr>
          </w:p>
        </w:tc>
        <w:tc>
          <w:tcPr>
            <w:tcW w:w="1998" w:type="dxa"/>
            <w:gridSpan w:val="2"/>
            <w:vAlign w:val="center"/>
          </w:tcPr>
          <w:p>
            <w:pPr>
              <w:pageBreakBefore w:val="0"/>
              <w:kinsoku/>
              <w:wordWrap w:val="0"/>
              <w:overflowPunct/>
              <w:bidi w:val="0"/>
              <w:spacing w:line="360" w:lineRule="auto"/>
              <w:jc w:val="center"/>
              <w:rPr>
                <w:rFonts w:ascii="宋体" w:hAnsi="宋体" w:cs="宋体"/>
              </w:rPr>
            </w:pPr>
          </w:p>
        </w:tc>
        <w:tc>
          <w:tcPr>
            <w:tcW w:w="2403" w:type="dxa"/>
            <w:gridSpan w:val="2"/>
            <w:vAlign w:val="center"/>
          </w:tcPr>
          <w:p>
            <w:pPr>
              <w:pageBreakBefore w:val="0"/>
              <w:kinsoku/>
              <w:wordWrap w:val="0"/>
              <w:overflowPunct/>
              <w:bidi w:val="0"/>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546" w:type="dxa"/>
            <w:vAlign w:val="center"/>
          </w:tcPr>
          <w:p>
            <w:pPr>
              <w:pageBreakBefore w:val="0"/>
              <w:kinsoku/>
              <w:wordWrap w:val="0"/>
              <w:overflowPunct/>
              <w:bidi w:val="0"/>
              <w:spacing w:line="360" w:lineRule="auto"/>
              <w:rPr>
                <w:rFonts w:ascii="宋体" w:hAnsi="宋体" w:cs="宋体"/>
              </w:rPr>
            </w:pPr>
          </w:p>
        </w:tc>
        <w:tc>
          <w:tcPr>
            <w:tcW w:w="2864" w:type="dxa"/>
            <w:gridSpan w:val="3"/>
            <w:vAlign w:val="center"/>
          </w:tcPr>
          <w:p>
            <w:pPr>
              <w:pageBreakBefore w:val="0"/>
              <w:kinsoku/>
              <w:wordWrap w:val="0"/>
              <w:overflowPunct/>
              <w:bidi w:val="0"/>
              <w:spacing w:line="360" w:lineRule="auto"/>
              <w:jc w:val="center"/>
              <w:rPr>
                <w:rFonts w:ascii="宋体" w:hAnsi="宋体" w:cs="宋体"/>
              </w:rPr>
            </w:pPr>
          </w:p>
        </w:tc>
        <w:tc>
          <w:tcPr>
            <w:tcW w:w="1998" w:type="dxa"/>
            <w:gridSpan w:val="2"/>
            <w:vAlign w:val="center"/>
          </w:tcPr>
          <w:p>
            <w:pPr>
              <w:pageBreakBefore w:val="0"/>
              <w:kinsoku/>
              <w:wordWrap w:val="0"/>
              <w:overflowPunct/>
              <w:bidi w:val="0"/>
              <w:spacing w:line="360" w:lineRule="auto"/>
              <w:jc w:val="center"/>
              <w:rPr>
                <w:rFonts w:ascii="宋体" w:hAnsi="宋体" w:cs="宋体"/>
              </w:rPr>
            </w:pPr>
          </w:p>
        </w:tc>
        <w:tc>
          <w:tcPr>
            <w:tcW w:w="2403" w:type="dxa"/>
            <w:gridSpan w:val="2"/>
            <w:vAlign w:val="center"/>
          </w:tcPr>
          <w:p>
            <w:pPr>
              <w:pageBreakBefore w:val="0"/>
              <w:kinsoku/>
              <w:wordWrap w:val="0"/>
              <w:overflowPunct/>
              <w:bidi w:val="0"/>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546" w:type="dxa"/>
            <w:tcBorders>
              <w:bottom w:val="single" w:color="auto" w:sz="4" w:space="0"/>
            </w:tcBorders>
            <w:vAlign w:val="center"/>
          </w:tcPr>
          <w:p>
            <w:pPr>
              <w:pageBreakBefore w:val="0"/>
              <w:kinsoku/>
              <w:wordWrap w:val="0"/>
              <w:overflowPunct/>
              <w:bidi w:val="0"/>
              <w:spacing w:line="360" w:lineRule="auto"/>
              <w:rPr>
                <w:rFonts w:ascii="宋体" w:hAnsi="宋体" w:cs="宋体"/>
              </w:rPr>
            </w:pPr>
          </w:p>
        </w:tc>
        <w:tc>
          <w:tcPr>
            <w:tcW w:w="2864" w:type="dxa"/>
            <w:gridSpan w:val="3"/>
            <w:vAlign w:val="center"/>
          </w:tcPr>
          <w:p>
            <w:pPr>
              <w:pageBreakBefore w:val="0"/>
              <w:kinsoku/>
              <w:wordWrap w:val="0"/>
              <w:overflowPunct/>
              <w:bidi w:val="0"/>
              <w:spacing w:line="360" w:lineRule="auto"/>
              <w:jc w:val="center"/>
              <w:rPr>
                <w:rFonts w:ascii="宋体" w:hAnsi="宋体" w:cs="宋体"/>
              </w:rPr>
            </w:pPr>
          </w:p>
        </w:tc>
        <w:tc>
          <w:tcPr>
            <w:tcW w:w="1998" w:type="dxa"/>
            <w:gridSpan w:val="2"/>
            <w:vAlign w:val="center"/>
          </w:tcPr>
          <w:p>
            <w:pPr>
              <w:pageBreakBefore w:val="0"/>
              <w:kinsoku/>
              <w:wordWrap w:val="0"/>
              <w:overflowPunct/>
              <w:bidi w:val="0"/>
              <w:spacing w:line="360" w:lineRule="auto"/>
              <w:jc w:val="center"/>
              <w:rPr>
                <w:rFonts w:ascii="宋体" w:hAnsi="宋体" w:cs="宋体"/>
              </w:rPr>
            </w:pPr>
          </w:p>
        </w:tc>
        <w:tc>
          <w:tcPr>
            <w:tcW w:w="2403" w:type="dxa"/>
            <w:gridSpan w:val="2"/>
            <w:vAlign w:val="center"/>
          </w:tcPr>
          <w:p>
            <w:pPr>
              <w:pageBreakBefore w:val="0"/>
              <w:kinsoku/>
              <w:wordWrap w:val="0"/>
              <w:overflowPunct/>
              <w:bidi w:val="0"/>
              <w:spacing w:line="360" w:lineRule="auto"/>
              <w:jc w:val="center"/>
              <w:rPr>
                <w:rFonts w:ascii="宋体" w:hAnsi="宋体" w:cs="宋体"/>
              </w:rPr>
            </w:pPr>
          </w:p>
        </w:tc>
      </w:tr>
    </w:tbl>
    <w:p>
      <w:pPr>
        <w:pageBreakBefore w:val="0"/>
        <w:kinsoku/>
        <w:wordWrap w:val="0"/>
        <w:overflowPunct/>
        <w:topLinePunct/>
        <w:bidi w:val="0"/>
        <w:spacing w:line="360" w:lineRule="auto"/>
        <w:rPr>
          <w:rFonts w:ascii="宋体" w:hAnsi="宋体" w:cs="宋体"/>
          <w:sz w:val="27"/>
          <w:szCs w:val="27"/>
        </w:rPr>
      </w:pPr>
    </w:p>
    <w:p>
      <w:pPr>
        <w:pStyle w:val="5"/>
        <w:pageBreakBefore w:val="0"/>
        <w:kinsoku/>
        <w:wordWrap w:val="0"/>
        <w:overflowPunct/>
        <w:bidi w:val="0"/>
        <w:spacing w:line="360" w:lineRule="auto"/>
        <w:jc w:val="center"/>
        <w:rPr>
          <w:rFonts w:ascii="宋体" w:hAnsi="宋体" w:cs="宋体"/>
        </w:rPr>
      </w:pPr>
      <w:r>
        <w:br w:type="page"/>
      </w:r>
      <w:r>
        <w:rPr>
          <w:rFonts w:ascii="宋体" w:hAnsi="宋体" w:cs="宋体"/>
          <w:b w:val="0"/>
          <w:sz w:val="24"/>
        </w:rPr>
        <w:t xml:space="preserve"> </w:t>
      </w:r>
      <w:bookmarkStart w:id="787" w:name="_Toc247514302"/>
      <w:bookmarkStart w:id="788" w:name="_Toc394565375"/>
      <w:bookmarkStart w:id="789" w:name="_Toc152045810"/>
      <w:bookmarkStart w:id="790" w:name="_Toc74256205"/>
      <w:bookmarkStart w:id="791" w:name="_Toc247527850"/>
      <w:bookmarkStart w:id="792" w:name="_Toc152042599"/>
      <w:bookmarkStart w:id="793" w:name="_Toc425177203"/>
      <w:bookmarkStart w:id="794" w:name="_Toc144974878"/>
      <w:bookmarkStart w:id="795" w:name="_Toc87865812"/>
      <w:bookmarkStart w:id="796" w:name="_Toc265953296"/>
      <w:r>
        <w:rPr>
          <w:rFonts w:hint="eastAsia" w:ascii="宋体" w:hAnsi="宋体" w:cs="宋体"/>
        </w:rPr>
        <w:t>（三）</w:t>
      </w:r>
      <w:r>
        <w:rPr>
          <w:rFonts w:hint="eastAsia" w:ascii="宋体" w:hAnsi="宋体" w:cs="宋体"/>
          <w:szCs w:val="21"/>
        </w:rPr>
        <w:t>在施或完成的</w:t>
      </w:r>
      <w:r>
        <w:rPr>
          <w:rFonts w:hint="eastAsia" w:ascii="宋体" w:hAnsi="宋体" w:cs="宋体"/>
        </w:rPr>
        <w:t>类似项目情况表</w:t>
      </w:r>
      <w:bookmarkEnd w:id="787"/>
      <w:bookmarkEnd w:id="788"/>
      <w:bookmarkEnd w:id="789"/>
      <w:bookmarkEnd w:id="790"/>
      <w:bookmarkEnd w:id="791"/>
      <w:bookmarkEnd w:id="792"/>
      <w:bookmarkEnd w:id="793"/>
      <w:bookmarkEnd w:id="794"/>
      <w:bookmarkEnd w:id="795"/>
      <w:bookmarkEnd w:id="796"/>
      <w:r>
        <w:rPr>
          <w:rFonts w:hint="eastAsia" w:ascii="宋体" w:hAnsi="宋体" w:cs="宋体"/>
        </w:rPr>
        <w:t xml:space="preserve"> </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6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项目名称</w:t>
            </w:r>
          </w:p>
        </w:tc>
        <w:tc>
          <w:tcPr>
            <w:tcW w:w="6253" w:type="dxa"/>
          </w:tcPr>
          <w:p>
            <w:pPr>
              <w:pageBreakBefore w:val="0"/>
              <w:kinsoku/>
              <w:wordWrap w:val="0"/>
              <w:overflowPunct/>
              <w:topLine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269" w:type="dxa"/>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项目所在地</w:t>
            </w:r>
          </w:p>
        </w:tc>
        <w:tc>
          <w:tcPr>
            <w:tcW w:w="6253" w:type="dxa"/>
          </w:tcPr>
          <w:p>
            <w:pPr>
              <w:pageBreakBefore w:val="0"/>
              <w:kinsoku/>
              <w:wordWrap w:val="0"/>
              <w:overflowPunct/>
              <w:topLine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269" w:type="dxa"/>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发包人名称</w:t>
            </w:r>
          </w:p>
        </w:tc>
        <w:tc>
          <w:tcPr>
            <w:tcW w:w="6253" w:type="dxa"/>
          </w:tcPr>
          <w:p>
            <w:pPr>
              <w:pageBreakBefore w:val="0"/>
              <w:kinsoku/>
              <w:wordWrap w:val="0"/>
              <w:overflowPunct/>
              <w:topLine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2269" w:type="dxa"/>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发包人地址</w:t>
            </w:r>
          </w:p>
        </w:tc>
        <w:tc>
          <w:tcPr>
            <w:tcW w:w="6253" w:type="dxa"/>
          </w:tcPr>
          <w:p>
            <w:pPr>
              <w:pageBreakBefore w:val="0"/>
              <w:kinsoku/>
              <w:wordWrap w:val="0"/>
              <w:overflowPunct/>
              <w:topLine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269" w:type="dxa"/>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发包人电话</w:t>
            </w:r>
          </w:p>
        </w:tc>
        <w:tc>
          <w:tcPr>
            <w:tcW w:w="6253" w:type="dxa"/>
          </w:tcPr>
          <w:p>
            <w:pPr>
              <w:pageBreakBefore w:val="0"/>
              <w:kinsoku/>
              <w:wordWrap w:val="0"/>
              <w:overflowPunct/>
              <w:topLine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269" w:type="dxa"/>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合同价格</w:t>
            </w:r>
          </w:p>
        </w:tc>
        <w:tc>
          <w:tcPr>
            <w:tcW w:w="6253" w:type="dxa"/>
          </w:tcPr>
          <w:p>
            <w:pPr>
              <w:pageBreakBefore w:val="0"/>
              <w:kinsoku/>
              <w:wordWrap w:val="0"/>
              <w:overflowPunct/>
              <w:topLine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269" w:type="dxa"/>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开工日期</w:t>
            </w:r>
          </w:p>
        </w:tc>
        <w:tc>
          <w:tcPr>
            <w:tcW w:w="6253" w:type="dxa"/>
          </w:tcPr>
          <w:p>
            <w:pPr>
              <w:pageBreakBefore w:val="0"/>
              <w:kinsoku/>
              <w:wordWrap w:val="0"/>
              <w:overflowPunct/>
              <w:topLine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2269" w:type="dxa"/>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rPr>
              <w:t>竣工</w:t>
            </w:r>
            <w:r>
              <w:rPr>
                <w:rFonts w:hint="eastAsia" w:ascii="宋体" w:hAnsi="宋体" w:cs="宋体"/>
                <w:szCs w:val="21"/>
              </w:rPr>
              <w:t>日期</w:t>
            </w:r>
          </w:p>
        </w:tc>
        <w:tc>
          <w:tcPr>
            <w:tcW w:w="6253" w:type="dxa"/>
          </w:tcPr>
          <w:p>
            <w:pPr>
              <w:pageBreakBefore w:val="0"/>
              <w:kinsoku/>
              <w:wordWrap w:val="0"/>
              <w:overflowPunct/>
              <w:topLine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2269" w:type="dxa"/>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在施/完成</w:t>
            </w:r>
          </w:p>
        </w:tc>
        <w:tc>
          <w:tcPr>
            <w:tcW w:w="6253" w:type="dxa"/>
          </w:tcPr>
          <w:p>
            <w:pPr>
              <w:pageBreakBefore w:val="0"/>
              <w:kinsoku/>
              <w:wordWrap w:val="0"/>
              <w:overflowPunct/>
              <w:topLine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269" w:type="dxa"/>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质量情况</w:t>
            </w:r>
          </w:p>
        </w:tc>
        <w:tc>
          <w:tcPr>
            <w:tcW w:w="6253" w:type="dxa"/>
          </w:tcPr>
          <w:p>
            <w:pPr>
              <w:pageBreakBefore w:val="0"/>
              <w:kinsoku/>
              <w:wordWrap w:val="0"/>
              <w:overflowPunct/>
              <w:topLine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2269" w:type="dxa"/>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项目负责人（项目经理）</w:t>
            </w:r>
          </w:p>
        </w:tc>
        <w:tc>
          <w:tcPr>
            <w:tcW w:w="6253" w:type="dxa"/>
          </w:tcPr>
          <w:p>
            <w:pPr>
              <w:pageBreakBefore w:val="0"/>
              <w:kinsoku/>
              <w:wordWrap w:val="0"/>
              <w:overflowPunct/>
              <w:topLine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269" w:type="dxa"/>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项目描述</w:t>
            </w:r>
          </w:p>
        </w:tc>
        <w:tc>
          <w:tcPr>
            <w:tcW w:w="6253" w:type="dxa"/>
          </w:tcPr>
          <w:p>
            <w:pPr>
              <w:pageBreakBefore w:val="0"/>
              <w:kinsoku/>
              <w:wordWrap w:val="0"/>
              <w:overflowPunct/>
              <w:topLinePunct/>
              <w:bidi w:val="0"/>
              <w:spacing w:line="360" w:lineRule="auto"/>
              <w:rPr>
                <w:rFonts w:ascii="宋体" w:hAnsi="宋体" w:cs="宋体"/>
                <w:szCs w:val="21"/>
              </w:rPr>
            </w:pPr>
          </w:p>
          <w:p>
            <w:pPr>
              <w:pageBreakBefore w:val="0"/>
              <w:kinsoku/>
              <w:wordWrap w:val="0"/>
              <w:overflowPunct/>
              <w:topLinePunct/>
              <w:bidi w:val="0"/>
              <w:spacing w:line="360" w:lineRule="auto"/>
              <w:rPr>
                <w:rFonts w:ascii="宋体" w:hAnsi="宋体" w:cs="宋体"/>
                <w:szCs w:val="21"/>
              </w:rPr>
            </w:pPr>
          </w:p>
          <w:p>
            <w:pPr>
              <w:pageBreakBefore w:val="0"/>
              <w:kinsoku/>
              <w:wordWrap w:val="0"/>
              <w:overflowPunct/>
              <w:topLinePunct/>
              <w:bidi w:val="0"/>
              <w:spacing w:line="360" w:lineRule="auto"/>
              <w:rPr>
                <w:rFonts w:ascii="宋体" w:hAnsi="宋体" w:cs="宋体"/>
                <w:szCs w:val="21"/>
              </w:rPr>
            </w:pPr>
          </w:p>
          <w:p>
            <w:pPr>
              <w:pageBreakBefore w:val="0"/>
              <w:kinsoku/>
              <w:wordWrap w:val="0"/>
              <w:overflowPunct/>
              <w:topLinePunct/>
              <w:bidi w:val="0"/>
              <w:spacing w:line="360" w:lineRule="auto"/>
              <w:rPr>
                <w:rFonts w:ascii="宋体" w:hAnsi="宋体" w:cs="宋体"/>
                <w:szCs w:val="21"/>
              </w:rPr>
            </w:pPr>
          </w:p>
          <w:p>
            <w:pPr>
              <w:pageBreakBefore w:val="0"/>
              <w:kinsoku/>
              <w:wordWrap w:val="0"/>
              <w:overflowPunct/>
              <w:topLinePunct/>
              <w:bidi w:val="0"/>
              <w:spacing w:line="360" w:lineRule="auto"/>
              <w:rPr>
                <w:rFonts w:ascii="宋体" w:hAnsi="宋体" w:cs="宋体"/>
                <w:szCs w:val="21"/>
              </w:rPr>
            </w:pPr>
          </w:p>
          <w:p>
            <w:pPr>
              <w:pageBreakBefore w:val="0"/>
              <w:kinsoku/>
              <w:wordWrap w:val="0"/>
              <w:overflowPunct/>
              <w:topLinePunct/>
              <w:bidi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269" w:type="dxa"/>
            <w:vAlign w:val="center"/>
          </w:tcPr>
          <w:p>
            <w:pPr>
              <w:pageBreakBefore w:val="0"/>
              <w:kinsoku/>
              <w:wordWrap w:val="0"/>
              <w:overflowPunct/>
              <w:topLinePunct/>
              <w:bidi w:val="0"/>
              <w:spacing w:line="360" w:lineRule="auto"/>
              <w:jc w:val="center"/>
              <w:rPr>
                <w:rFonts w:ascii="宋体" w:hAnsi="宋体" w:cs="宋体"/>
                <w:szCs w:val="21"/>
              </w:rPr>
            </w:pPr>
            <w:r>
              <w:rPr>
                <w:rFonts w:hint="eastAsia" w:ascii="宋体" w:hAnsi="宋体" w:cs="宋体"/>
                <w:szCs w:val="21"/>
              </w:rPr>
              <w:t>备注</w:t>
            </w:r>
          </w:p>
        </w:tc>
        <w:tc>
          <w:tcPr>
            <w:tcW w:w="6253" w:type="dxa"/>
          </w:tcPr>
          <w:p>
            <w:pPr>
              <w:pageBreakBefore w:val="0"/>
              <w:kinsoku/>
              <w:wordWrap w:val="0"/>
              <w:overflowPunct/>
              <w:topLinePunct/>
              <w:bidi w:val="0"/>
              <w:spacing w:line="360" w:lineRule="auto"/>
              <w:rPr>
                <w:rFonts w:ascii="宋体" w:hAnsi="宋体" w:cs="宋体"/>
                <w:szCs w:val="21"/>
              </w:rPr>
            </w:pPr>
          </w:p>
        </w:tc>
      </w:tr>
    </w:tbl>
    <w:p>
      <w:pPr>
        <w:pageBreakBefore w:val="0"/>
        <w:kinsoku/>
        <w:overflowPunct/>
        <w:bidi w:val="0"/>
        <w:spacing w:line="360" w:lineRule="auto"/>
        <w:rPr>
          <w:rFonts w:hint="eastAsia" w:ascii="宋体" w:hAnsi="宋体" w:cs="宋体"/>
          <w:b/>
          <w:sz w:val="24"/>
        </w:rPr>
      </w:pPr>
      <w:r>
        <w:rPr>
          <w:rFonts w:hint="eastAsia" w:ascii="宋体" w:hAnsi="宋体" w:cs="宋体"/>
          <w:b/>
          <w:sz w:val="24"/>
        </w:rPr>
        <w:t>注：本表后附相关证明材料的复印件盖公章。</w:t>
      </w:r>
    </w:p>
    <w:p>
      <w:pPr>
        <w:jc w:val="center"/>
        <w:rPr>
          <w:rFonts w:hint="eastAsia" w:ascii="宋体" w:hAnsi="宋体" w:cs="宋体"/>
          <w:b/>
          <w:bCs/>
          <w:sz w:val="32"/>
          <w:szCs w:val="32"/>
        </w:rPr>
      </w:pPr>
      <w:bookmarkStart w:id="797" w:name="_Toc246997106"/>
      <w:bookmarkStart w:id="798" w:name="_Toc87865808"/>
      <w:bookmarkStart w:id="799" w:name="_Toc246996363"/>
      <w:bookmarkStart w:id="800" w:name="_Toc144974863"/>
      <w:bookmarkStart w:id="801" w:name="_Toc152042584"/>
      <w:bookmarkStart w:id="802" w:name="_Toc152045795"/>
      <w:bookmarkStart w:id="803" w:name="_Toc247085881"/>
      <w:bookmarkStart w:id="804" w:name="_Toc425177191"/>
      <w:bookmarkStart w:id="805" w:name="_Toc74256199"/>
      <w:bookmarkStart w:id="806" w:name="_Toc394565363"/>
      <w:bookmarkStart w:id="807" w:name="_Toc179632815"/>
      <w:r>
        <w:rPr>
          <w:rFonts w:hint="eastAsia" w:ascii="宋体" w:hAnsi="宋体" w:eastAsia="宋体" w:cs="宋体"/>
        </w:rPr>
        <w:br w:type="page"/>
      </w:r>
      <w:r>
        <w:rPr>
          <w:rFonts w:hint="eastAsia" w:ascii="宋体" w:hAnsi="宋体" w:eastAsia="宋体" w:cs="宋体"/>
          <w:b/>
          <w:bCs/>
          <w:sz w:val="32"/>
          <w:szCs w:val="32"/>
          <w:lang w:val="en-US" w:eastAsia="zh-CN"/>
        </w:rPr>
        <w:t>五</w:t>
      </w:r>
      <w:r>
        <w:rPr>
          <w:rFonts w:hint="eastAsia" w:ascii="宋体" w:hAnsi="宋体" w:cs="宋体"/>
          <w:b/>
          <w:bCs/>
          <w:sz w:val="32"/>
          <w:szCs w:val="32"/>
        </w:rPr>
        <w:t>、供应商资格要求</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br w:type="page"/>
      </w:r>
    </w:p>
    <w:p>
      <w:pPr>
        <w:pStyle w:val="2"/>
        <w:pageBreakBefore w:val="0"/>
        <w:kinsoku/>
        <w:wordWrap w:val="0"/>
        <w:overflowPunct/>
        <w:bidi w:val="0"/>
        <w:spacing w:line="360" w:lineRule="auto"/>
        <w:jc w:val="center"/>
        <w:rPr>
          <w:rFonts w:ascii="宋体" w:hAnsi="宋体" w:eastAsia="宋体" w:cs="宋体"/>
        </w:rPr>
      </w:pPr>
      <w:r>
        <w:rPr>
          <w:rFonts w:hint="eastAsia" w:ascii="宋体" w:hAnsi="宋体" w:eastAsia="宋体" w:cs="宋体"/>
          <w:lang w:val="en-US" w:eastAsia="zh-CN"/>
        </w:rPr>
        <w:t>六</w:t>
      </w:r>
      <w:r>
        <w:rPr>
          <w:rFonts w:hint="eastAsia" w:ascii="宋体" w:hAnsi="宋体" w:eastAsia="宋体" w:cs="宋体"/>
        </w:rPr>
        <w:t>、已标价工程量清单</w:t>
      </w:r>
      <w:bookmarkEnd w:id="797"/>
      <w:bookmarkEnd w:id="798"/>
      <w:bookmarkEnd w:id="799"/>
      <w:bookmarkEnd w:id="800"/>
      <w:bookmarkEnd w:id="801"/>
      <w:bookmarkEnd w:id="802"/>
      <w:bookmarkEnd w:id="803"/>
      <w:bookmarkEnd w:id="804"/>
      <w:bookmarkEnd w:id="805"/>
      <w:bookmarkEnd w:id="806"/>
      <w:bookmarkEnd w:id="807"/>
    </w:p>
    <w:p>
      <w:pPr>
        <w:pageBreakBefore w:val="0"/>
        <w:kinsoku/>
        <w:overflowPunct/>
        <w:bidi w:val="0"/>
        <w:spacing w:line="360" w:lineRule="auto"/>
        <w:jc w:val="center"/>
        <w:rPr>
          <w:rFonts w:ascii="宋体" w:hAnsi="宋体" w:cs="宋体"/>
          <w:sz w:val="20"/>
          <w:szCs w:val="20"/>
        </w:rPr>
      </w:pPr>
      <w:r>
        <w:rPr>
          <w:rFonts w:hint="eastAsia" w:ascii="宋体" w:hAnsi="宋体" w:cs="宋体"/>
          <w:b/>
        </w:rPr>
        <w:t>（根据磋商文件要求编制工程量清单）</w:t>
      </w:r>
    </w:p>
    <w:p>
      <w:pPr>
        <w:rPr>
          <w:rFonts w:hint="eastAsia" w:ascii="宋体" w:hAnsi="宋体" w:eastAsia="宋体" w:cs="宋体"/>
        </w:rPr>
      </w:pPr>
      <w:bookmarkStart w:id="808" w:name="_Toc425177192"/>
      <w:bookmarkStart w:id="809" w:name="_Toc152045796"/>
      <w:bookmarkStart w:id="810" w:name="_Toc247085882"/>
      <w:bookmarkStart w:id="811" w:name="_Toc394565364"/>
      <w:bookmarkStart w:id="812" w:name="_Toc246997107"/>
      <w:bookmarkStart w:id="813" w:name="_Toc74256200"/>
      <w:bookmarkStart w:id="814" w:name="_Toc246996364"/>
      <w:bookmarkStart w:id="815" w:name="_Toc87865809"/>
      <w:bookmarkStart w:id="816" w:name="_Toc179632816"/>
      <w:bookmarkStart w:id="817" w:name="_Toc152042585"/>
      <w:bookmarkStart w:id="818" w:name="_Toc144974864"/>
      <w:r>
        <w:rPr>
          <w:rFonts w:hint="eastAsia" w:ascii="宋体" w:hAnsi="宋体" w:eastAsia="宋体" w:cs="宋体"/>
        </w:rPr>
        <w:br w:type="page"/>
      </w:r>
    </w:p>
    <w:p>
      <w:pPr>
        <w:pStyle w:val="2"/>
        <w:pageBreakBefore w:val="0"/>
        <w:kinsoku/>
        <w:overflowPunct/>
        <w:bidi w:val="0"/>
        <w:spacing w:line="360" w:lineRule="auto"/>
        <w:jc w:val="center"/>
        <w:rPr>
          <w:rFonts w:ascii="宋体" w:hAnsi="宋体" w:eastAsia="宋体" w:cs="宋体"/>
        </w:rPr>
      </w:pPr>
      <w:r>
        <w:rPr>
          <w:rFonts w:hint="eastAsia" w:ascii="宋体" w:hAnsi="宋体" w:eastAsia="宋体" w:cs="宋体"/>
          <w:lang w:val="en-US" w:eastAsia="zh-CN"/>
        </w:rPr>
        <w:t>七</w:t>
      </w:r>
      <w:r>
        <w:rPr>
          <w:rFonts w:hint="eastAsia" w:ascii="宋体" w:hAnsi="宋体" w:eastAsia="宋体" w:cs="宋体"/>
        </w:rPr>
        <w:t>、项目实施方案</w:t>
      </w:r>
      <w:bookmarkEnd w:id="808"/>
      <w:bookmarkEnd w:id="809"/>
      <w:bookmarkEnd w:id="810"/>
      <w:bookmarkEnd w:id="811"/>
      <w:bookmarkEnd w:id="812"/>
      <w:bookmarkEnd w:id="813"/>
      <w:bookmarkEnd w:id="814"/>
      <w:bookmarkEnd w:id="815"/>
      <w:bookmarkEnd w:id="816"/>
      <w:bookmarkEnd w:id="817"/>
      <w:bookmarkEnd w:id="818"/>
    </w:p>
    <w:p>
      <w:pPr>
        <w:pageBreakBefore w:val="0"/>
        <w:kinsoku/>
        <w:wordWrap w:val="0"/>
        <w:overflowPunct/>
        <w:bidi w:val="0"/>
        <w:spacing w:line="360" w:lineRule="auto"/>
        <w:ind w:firstLine="422" w:firstLineChars="200"/>
        <w:jc w:val="center"/>
        <w:rPr>
          <w:rFonts w:ascii="宋体" w:hAnsi="宋体" w:cs="宋体"/>
          <w:b/>
        </w:rPr>
      </w:pPr>
      <w:r>
        <w:rPr>
          <w:rFonts w:hint="eastAsia" w:ascii="宋体" w:hAnsi="宋体" w:cs="宋体"/>
          <w:b/>
        </w:rPr>
        <w:t>（根据项目情况编制，格式自拟，加盖公章）</w:t>
      </w:r>
      <w:bookmarkStart w:id="819" w:name="_Toc179632833"/>
      <w:bookmarkStart w:id="820" w:name="_Toc152045813"/>
      <w:bookmarkStart w:id="821" w:name="_Toc152042602"/>
      <w:bookmarkStart w:id="822" w:name="_Toc144974881"/>
    </w:p>
    <w:p>
      <w:pPr>
        <w:pageBreakBefore w:val="0"/>
        <w:kinsoku/>
        <w:overflowPunct/>
        <w:bidi w:val="0"/>
        <w:spacing w:line="360" w:lineRule="auto"/>
        <w:jc w:val="center"/>
        <w:rPr>
          <w:rFonts w:ascii="宋体" w:hAnsi="宋体" w:cs="宋体"/>
        </w:rPr>
      </w:pPr>
    </w:p>
    <w:p>
      <w:pPr>
        <w:pageBreakBefore w:val="0"/>
        <w:kinsoku/>
        <w:overflowPunct/>
        <w:bidi w:val="0"/>
        <w:spacing w:line="360" w:lineRule="auto"/>
        <w:jc w:val="center"/>
      </w:pPr>
      <w:r>
        <w:rPr>
          <w:rFonts w:hint="eastAsia" w:ascii="宋体" w:hAnsi="宋体" w:cs="宋体"/>
        </w:rPr>
        <w:t xml:space="preserve"> </w:t>
      </w:r>
    </w:p>
    <w:p>
      <w:pPr>
        <w:pageBreakBefore w:val="0"/>
        <w:kinsoku/>
        <w:overflowPunct/>
        <w:bidi w:val="0"/>
        <w:spacing w:line="360" w:lineRule="auto"/>
      </w:pPr>
    </w:p>
    <w:bookmarkEnd w:id="819"/>
    <w:bookmarkEnd w:id="820"/>
    <w:bookmarkEnd w:id="821"/>
    <w:bookmarkEnd w:id="822"/>
    <w:p>
      <w:pPr>
        <w:rPr>
          <w:rFonts w:hint="eastAsia" w:ascii="宋体" w:hAnsi="宋体" w:cs="宋体"/>
          <w:b/>
          <w:bCs/>
          <w:sz w:val="32"/>
          <w:szCs w:val="32"/>
        </w:rPr>
      </w:pPr>
      <w:r>
        <w:rPr>
          <w:rFonts w:hint="eastAsia" w:ascii="宋体" w:hAnsi="宋体" w:cs="宋体"/>
          <w:b/>
          <w:bCs/>
          <w:sz w:val="32"/>
          <w:szCs w:val="32"/>
        </w:rPr>
        <w:br w:type="page"/>
      </w:r>
    </w:p>
    <w:p>
      <w:pPr>
        <w:pageBreakBefore w:val="0"/>
        <w:kinsoku/>
        <w:wordWrap w:val="0"/>
        <w:overflowPunct/>
        <w:bidi w:val="0"/>
        <w:spacing w:line="360" w:lineRule="auto"/>
        <w:jc w:val="center"/>
      </w:pPr>
      <w:r>
        <w:rPr>
          <w:rFonts w:hint="eastAsia" w:ascii="宋体" w:hAnsi="宋体" w:cs="宋体"/>
          <w:b/>
          <w:bCs/>
          <w:sz w:val="32"/>
          <w:szCs w:val="32"/>
          <w:lang w:val="en-US" w:eastAsia="zh-CN"/>
        </w:rPr>
        <w:t>八</w:t>
      </w:r>
      <w:r>
        <w:rPr>
          <w:rFonts w:hint="eastAsia" w:ascii="宋体" w:hAnsi="宋体" w:cs="宋体"/>
          <w:b/>
          <w:bCs/>
          <w:sz w:val="32"/>
          <w:szCs w:val="32"/>
        </w:rPr>
        <w:t>、中小企业声明函</w:t>
      </w:r>
    </w:p>
    <w:p>
      <w:pPr>
        <w:pageBreakBefore w:val="0"/>
        <w:kinsoku/>
        <w:overflowPunct/>
        <w:bidi w:val="0"/>
        <w:spacing w:line="360" w:lineRule="auto"/>
        <w:ind w:firstLine="560" w:firstLineChars="200"/>
        <w:jc w:val="left"/>
        <w:rPr>
          <w:rFonts w:ascii="宋体" w:hAnsi="宋体"/>
          <w:sz w:val="28"/>
          <w:szCs w:val="28"/>
        </w:rPr>
      </w:pPr>
      <w:r>
        <w:rPr>
          <w:rFonts w:hint="eastAsia" w:ascii="宋体" w:hAnsi="宋体"/>
          <w:sz w:val="28"/>
          <w:szCs w:val="28"/>
        </w:rPr>
        <w:t>本公司郑重声明，根据《政府采购促进中小企业发展管理办法》（财库﹝2020﹞46 号）的规定，本公司参加</w:t>
      </w:r>
      <w:r>
        <w:rPr>
          <w:rFonts w:hint="eastAsia" w:ascii="宋体" w:hAnsi="宋体"/>
          <w:sz w:val="28"/>
          <w:szCs w:val="28"/>
          <w:u w:val="single"/>
        </w:rPr>
        <w:t>（单位名称）</w:t>
      </w:r>
      <w:r>
        <w:rPr>
          <w:rFonts w:hint="eastAsia" w:ascii="宋体" w:hAnsi="宋体"/>
          <w:sz w:val="28"/>
          <w:szCs w:val="28"/>
        </w:rPr>
        <w:t>的</w:t>
      </w:r>
      <w:r>
        <w:rPr>
          <w:rFonts w:hint="eastAsia" w:ascii="宋体" w:hAnsi="宋体"/>
          <w:sz w:val="28"/>
          <w:szCs w:val="28"/>
          <w:u w:val="single"/>
        </w:rPr>
        <w:t>（项目名称）</w:t>
      </w:r>
      <w:r>
        <w:rPr>
          <w:rFonts w:hint="eastAsia" w:ascii="宋体" w:hAnsi="宋体"/>
          <w:sz w:val="28"/>
          <w:szCs w:val="28"/>
        </w:rPr>
        <w:t>采购活动，符合政策要求的中小企业。企业的具体情况如下：</w:t>
      </w:r>
    </w:p>
    <w:p>
      <w:pPr>
        <w:pageBreakBefore w:val="0"/>
        <w:kinsoku/>
        <w:overflowPunct/>
        <w:bidi w:val="0"/>
        <w:spacing w:line="360" w:lineRule="auto"/>
        <w:ind w:firstLine="560" w:firstLineChars="200"/>
        <w:jc w:val="left"/>
        <w:rPr>
          <w:rFonts w:ascii="宋体" w:hAnsi="宋体"/>
          <w:sz w:val="28"/>
          <w:szCs w:val="28"/>
        </w:rPr>
      </w:pPr>
      <w:r>
        <w:rPr>
          <w:rFonts w:hint="eastAsia" w:ascii="宋体" w:hAnsi="宋体"/>
          <w:sz w:val="28"/>
          <w:szCs w:val="28"/>
          <w:u w:val="single"/>
        </w:rPr>
        <w:t xml:space="preserve">（项目名称） </w:t>
      </w:r>
      <w:r>
        <w:rPr>
          <w:rFonts w:hint="eastAsia" w:ascii="宋体" w:hAnsi="宋体"/>
          <w:sz w:val="28"/>
          <w:szCs w:val="28"/>
        </w:rPr>
        <w:t>，属于</w:t>
      </w:r>
      <w:r>
        <w:rPr>
          <w:rFonts w:hint="eastAsia" w:ascii="宋体" w:hAnsi="宋体"/>
          <w:sz w:val="28"/>
          <w:szCs w:val="28"/>
          <w:u w:val="single"/>
        </w:rPr>
        <w:t xml:space="preserve"> （行业） </w:t>
      </w:r>
      <w:r>
        <w:rPr>
          <w:rFonts w:hint="eastAsia" w:ascii="宋体" w:hAnsi="宋体"/>
          <w:sz w:val="28"/>
          <w:szCs w:val="28"/>
        </w:rPr>
        <w:t>；承接企业为</w:t>
      </w:r>
      <w:r>
        <w:rPr>
          <w:rFonts w:hint="eastAsia" w:ascii="宋体" w:hAnsi="宋体"/>
          <w:sz w:val="28"/>
          <w:szCs w:val="28"/>
          <w:u w:val="single"/>
        </w:rPr>
        <w:t xml:space="preserve">（供应商名称）  </w:t>
      </w:r>
      <w:r>
        <w:rPr>
          <w:rFonts w:hint="eastAsia" w:ascii="宋体" w:hAnsi="宋体"/>
          <w:sz w:val="28"/>
          <w:szCs w:val="28"/>
        </w:rPr>
        <w:t>，从业人员</w:t>
      </w:r>
      <w:r>
        <w:rPr>
          <w:rFonts w:hint="eastAsia" w:ascii="宋体" w:hAnsi="宋体"/>
          <w:sz w:val="28"/>
          <w:szCs w:val="28"/>
          <w:u w:val="single"/>
        </w:rPr>
        <w:t xml:space="preserve">   </w:t>
      </w:r>
      <w:r>
        <w:rPr>
          <w:rFonts w:hint="eastAsia" w:ascii="宋体" w:hAnsi="宋体"/>
          <w:sz w:val="28"/>
          <w:szCs w:val="28"/>
        </w:rPr>
        <w:t>人，营业收入为</w:t>
      </w:r>
      <w:r>
        <w:rPr>
          <w:rFonts w:hint="eastAsia" w:ascii="宋体" w:hAnsi="宋体"/>
          <w:sz w:val="28"/>
          <w:szCs w:val="28"/>
          <w:u w:val="single"/>
        </w:rPr>
        <w:t xml:space="preserve">    </w:t>
      </w:r>
      <w:r>
        <w:rPr>
          <w:rFonts w:hint="eastAsia" w:ascii="宋体" w:hAnsi="宋体"/>
          <w:sz w:val="28"/>
          <w:szCs w:val="28"/>
        </w:rPr>
        <w:t>万元，资产总额为</w:t>
      </w:r>
      <w:r>
        <w:rPr>
          <w:rFonts w:hint="eastAsia" w:ascii="宋体" w:hAnsi="宋体"/>
          <w:sz w:val="28"/>
          <w:szCs w:val="28"/>
          <w:u w:val="single"/>
        </w:rPr>
        <w:t xml:space="preserve">   </w:t>
      </w:r>
      <w:r>
        <w:rPr>
          <w:rFonts w:hint="eastAsia" w:ascii="宋体" w:hAnsi="宋体"/>
          <w:sz w:val="28"/>
          <w:szCs w:val="28"/>
        </w:rPr>
        <w:t>万元，属于</w:t>
      </w:r>
      <w:r>
        <w:rPr>
          <w:rFonts w:hint="eastAsia" w:ascii="宋体" w:hAnsi="宋体"/>
          <w:sz w:val="28"/>
          <w:szCs w:val="28"/>
          <w:u w:val="single"/>
        </w:rPr>
        <w:t>（中型企业、小型企业、微型企业）</w:t>
      </w:r>
      <w:r>
        <w:rPr>
          <w:rFonts w:hint="eastAsia" w:ascii="宋体" w:hAnsi="宋体"/>
          <w:sz w:val="28"/>
          <w:szCs w:val="28"/>
        </w:rPr>
        <w:t>；</w:t>
      </w:r>
    </w:p>
    <w:p>
      <w:pPr>
        <w:pageBreakBefore w:val="0"/>
        <w:kinsoku/>
        <w:overflowPunct/>
        <w:bidi w:val="0"/>
        <w:spacing w:line="360" w:lineRule="auto"/>
        <w:ind w:firstLine="560" w:firstLineChars="200"/>
        <w:jc w:val="left"/>
        <w:rPr>
          <w:rFonts w:ascii="宋体" w:hAnsi="宋体"/>
          <w:sz w:val="28"/>
          <w:szCs w:val="28"/>
        </w:rPr>
      </w:pPr>
      <w:r>
        <w:rPr>
          <w:rFonts w:hint="eastAsia" w:ascii="宋体" w:hAnsi="宋体"/>
          <w:sz w:val="28"/>
          <w:szCs w:val="28"/>
        </w:rPr>
        <w:t>以上企业，不属于大企业的分支机构，不存在控股股东为大企业的情形，也不存在与大企业的负责人为同一人的情形。</w:t>
      </w:r>
    </w:p>
    <w:p>
      <w:pPr>
        <w:pageBreakBefore w:val="0"/>
        <w:kinsoku/>
        <w:overflowPunct/>
        <w:bidi w:val="0"/>
        <w:spacing w:line="360" w:lineRule="auto"/>
        <w:ind w:firstLine="560" w:firstLineChars="200"/>
        <w:jc w:val="left"/>
        <w:rPr>
          <w:rFonts w:ascii="宋体" w:hAnsi="宋体"/>
          <w:sz w:val="28"/>
          <w:szCs w:val="28"/>
        </w:rPr>
      </w:pPr>
      <w:r>
        <w:rPr>
          <w:rFonts w:hint="eastAsia" w:ascii="宋体" w:hAnsi="宋体"/>
          <w:sz w:val="28"/>
          <w:szCs w:val="28"/>
        </w:rPr>
        <w:t>本企业对上述声明内容的真实性负责。如有虚假，将依法承担相应责任。</w:t>
      </w:r>
    </w:p>
    <w:p>
      <w:pPr>
        <w:pageBreakBefore w:val="0"/>
        <w:kinsoku/>
        <w:wordWrap w:val="0"/>
        <w:overflowPunct/>
        <w:bidi w:val="0"/>
        <w:spacing w:line="360" w:lineRule="auto"/>
        <w:jc w:val="right"/>
        <w:rPr>
          <w:rFonts w:ascii="宋体" w:hAnsi="宋体"/>
          <w:sz w:val="28"/>
          <w:szCs w:val="28"/>
        </w:rPr>
      </w:pPr>
    </w:p>
    <w:p>
      <w:pPr>
        <w:pageBreakBefore w:val="0"/>
        <w:kinsoku/>
        <w:wordWrap w:val="0"/>
        <w:overflowPunct/>
        <w:bidi w:val="0"/>
        <w:spacing w:line="360" w:lineRule="auto"/>
        <w:jc w:val="right"/>
        <w:rPr>
          <w:rFonts w:ascii="宋体" w:hAnsi="宋体"/>
          <w:sz w:val="28"/>
          <w:szCs w:val="28"/>
        </w:rPr>
      </w:pPr>
      <w:r>
        <w:rPr>
          <w:rFonts w:hint="eastAsia" w:ascii="宋体" w:hAnsi="宋体"/>
          <w:sz w:val="28"/>
          <w:szCs w:val="28"/>
        </w:rPr>
        <w:t xml:space="preserve">企业名称（盖章）：      </w:t>
      </w:r>
    </w:p>
    <w:p>
      <w:pPr>
        <w:pageBreakBefore w:val="0"/>
        <w:kinsoku/>
        <w:wordWrap w:val="0"/>
        <w:overflowPunct/>
        <w:bidi w:val="0"/>
        <w:spacing w:line="360" w:lineRule="auto"/>
        <w:jc w:val="right"/>
        <w:rPr>
          <w:rFonts w:ascii="宋体" w:hAnsi="宋体"/>
          <w:sz w:val="24"/>
        </w:rPr>
      </w:pPr>
      <w:r>
        <w:rPr>
          <w:rFonts w:hint="eastAsia" w:ascii="宋体" w:hAnsi="宋体"/>
          <w:sz w:val="28"/>
          <w:szCs w:val="28"/>
        </w:rPr>
        <w:t xml:space="preserve">日期：       </w:t>
      </w:r>
    </w:p>
    <w:p>
      <w:pPr>
        <w:pageBreakBefore w:val="0"/>
        <w:kinsoku/>
        <w:overflowPunct/>
        <w:bidi w:val="0"/>
        <w:spacing w:line="360" w:lineRule="auto"/>
        <w:jc w:val="center"/>
      </w:pPr>
      <w:r>
        <w:rPr>
          <w:rFonts w:hint="eastAsia"/>
        </w:rPr>
        <w:t>注：1、从业人员、营业收入、资产总额填报上一年度数据，无上一年度数据的新成立企业可不填报。</w:t>
      </w:r>
    </w:p>
    <w:p>
      <w:pPr>
        <w:pageBreakBefore w:val="0"/>
        <w:kinsoku/>
        <w:overflowPunct/>
        <w:bidi w:val="0"/>
        <w:spacing w:line="360" w:lineRule="auto"/>
        <w:jc w:val="center"/>
      </w:pPr>
      <w:r>
        <w:rPr>
          <w:rFonts w:hint="eastAsia"/>
        </w:rPr>
        <w:t>2、大型企业无须填报本声明函。</w:t>
      </w:r>
    </w:p>
    <w:p>
      <w:pPr>
        <w:pageBreakBefore w:val="0"/>
        <w:kinsoku/>
        <w:overflowPunct/>
        <w:bidi w:val="0"/>
        <w:spacing w:line="360" w:lineRule="auto"/>
        <w:jc w:val="center"/>
      </w:pPr>
    </w:p>
    <w:p>
      <w:pPr>
        <w:pageBreakBefore w:val="0"/>
        <w:kinsoku/>
        <w:overflowPunct/>
        <w:bidi w:val="0"/>
        <w:spacing w:line="360" w:lineRule="auto"/>
        <w:jc w:val="center"/>
      </w:pPr>
    </w:p>
    <w:p>
      <w:pPr>
        <w:rPr>
          <w:rFonts w:hint="eastAsia" w:ascii="宋体" w:hAnsi="宋体" w:cs="宋体"/>
          <w:b/>
          <w:bCs/>
          <w:sz w:val="32"/>
          <w:szCs w:val="32"/>
        </w:rPr>
      </w:pPr>
      <w:r>
        <w:rPr>
          <w:rFonts w:hint="eastAsia" w:ascii="宋体" w:hAnsi="宋体" w:cs="宋体"/>
          <w:b/>
          <w:bCs/>
          <w:sz w:val="32"/>
          <w:szCs w:val="32"/>
        </w:rPr>
        <w:br w:type="page"/>
      </w:r>
    </w:p>
    <w:p>
      <w:pPr>
        <w:pageBreakBefore w:val="0"/>
        <w:kinsoku/>
        <w:wordWrap w:val="0"/>
        <w:overflowPunct/>
        <w:bidi w:val="0"/>
        <w:spacing w:line="360" w:lineRule="auto"/>
        <w:jc w:val="center"/>
        <w:rPr>
          <w:rFonts w:ascii="宋体" w:hAnsi="宋体" w:cs="宋体"/>
          <w:b/>
          <w:bCs/>
          <w:sz w:val="32"/>
          <w:szCs w:val="32"/>
        </w:rPr>
      </w:pPr>
      <w:r>
        <w:rPr>
          <w:rFonts w:hint="eastAsia" w:ascii="宋体" w:hAnsi="宋体" w:cs="宋体"/>
          <w:b/>
          <w:bCs/>
          <w:sz w:val="32"/>
          <w:szCs w:val="32"/>
          <w:lang w:val="en-US" w:eastAsia="zh-CN"/>
        </w:rPr>
        <w:t>九</w:t>
      </w:r>
      <w:r>
        <w:rPr>
          <w:rFonts w:hint="eastAsia" w:ascii="宋体" w:hAnsi="宋体" w:cs="宋体"/>
          <w:b/>
          <w:bCs/>
          <w:sz w:val="32"/>
          <w:szCs w:val="32"/>
        </w:rPr>
        <w:t>、其他材料</w:t>
      </w:r>
    </w:p>
    <w:p>
      <w:pPr>
        <w:jc w:val="center"/>
      </w:pPr>
      <w:r>
        <w:rPr>
          <w:rFonts w:hint="eastAsia"/>
        </w:rPr>
        <w:t>供应商根据磋商文件的要求或有利于响应要求，自行提供相关证明材料。</w:t>
      </w:r>
    </w:p>
    <w:sectPr>
      <w:headerReference r:id="rId5" w:type="default"/>
      <w:pgSz w:w="11906" w:h="16838"/>
      <w:pgMar w:top="1440" w:right="1080" w:bottom="1440" w:left="1080" w:header="737" w:footer="737"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MV Boli">
    <w:panose1 w:val="02000500030200090000"/>
    <w:charset w:val="00"/>
    <w:family w:val="auto"/>
    <w:pitch w:val="default"/>
    <w:sig w:usb0="00000003" w:usb1="00000000" w:usb2="00000100" w:usb3="00000000" w:csb0="0000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FontAwesome">
    <w:altName w:val="Segoe Print"/>
    <w:panose1 w:val="00000000000000000000"/>
    <w:charset w:val="00"/>
    <w:family w:val="auto"/>
    <w:pitch w:val="default"/>
    <w:sig w:usb0="00000000" w:usb1="00000000" w:usb2="00000000"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00001"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pPr>
                          <w:r>
                            <w:fldChar w:fldCharType="begin"/>
                          </w:r>
                          <w:r>
                            <w:instrText xml:space="preserve"> PAGE  \* MERGEFORMAT </w:instrText>
                          </w:r>
                          <w:r>
                            <w:fldChar w:fldCharType="separate"/>
                          </w:r>
                          <w:r>
                            <w:t>III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III</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82E930"/>
    <w:multiLevelType w:val="singleLevel"/>
    <w:tmpl w:val="C982E930"/>
    <w:lvl w:ilvl="0" w:tentative="0">
      <w:start w:val="6"/>
      <w:numFmt w:val="decimal"/>
      <w:suff w:val="space"/>
      <w:lvlText w:val="%1."/>
      <w:lvlJc w:val="left"/>
    </w:lvl>
  </w:abstractNum>
  <w:abstractNum w:abstractNumId="1">
    <w:nsid w:val="00000001"/>
    <w:multiLevelType w:val="singleLevel"/>
    <w:tmpl w:val="00000001"/>
    <w:lvl w:ilvl="0" w:tentative="0">
      <w:start w:val="5"/>
      <w:numFmt w:val="chineseCounting"/>
      <w:suff w:val="nothing"/>
      <w:lvlText w:val="%1、"/>
      <w:lvlJc w:val="left"/>
      <w:rPr>
        <w:rFonts w:cs="Times New Roman"/>
      </w:rPr>
    </w:lvl>
  </w:abstractNum>
  <w:abstractNum w:abstractNumId="2">
    <w:nsid w:val="57905C2A"/>
    <w:multiLevelType w:val="singleLevel"/>
    <w:tmpl w:val="57905C2A"/>
    <w:lvl w:ilvl="0" w:tentative="0">
      <w:start w:val="1"/>
      <w:numFmt w:val="decimal"/>
      <w:lvlText w:val="%1)"/>
      <w:lvlJc w:val="left"/>
      <w:pPr>
        <w:tabs>
          <w:tab w:val="left" w:pos="425"/>
        </w:tabs>
        <w:ind w:left="425" w:hanging="425"/>
      </w:pPr>
      <w:rPr>
        <w:rFonts w:hint="default"/>
        <w:color w:val="auto"/>
      </w:rPr>
    </w:lvl>
  </w:abstractNum>
  <w:abstractNum w:abstractNumId="3">
    <w:nsid w:val="5C3542B4"/>
    <w:multiLevelType w:val="multilevel"/>
    <w:tmpl w:val="5C3542B4"/>
    <w:lvl w:ilvl="0" w:tentative="0">
      <w:start w:val="1"/>
      <w:numFmt w:val="decimal"/>
      <w:lvlText w:val="%1."/>
      <w:lvlJc w:val="left"/>
      <w:pPr>
        <w:tabs>
          <w:tab w:val="left" w:pos="360"/>
        </w:tabs>
        <w:ind w:left="360" w:hanging="360"/>
      </w:pPr>
    </w:lvl>
    <w:lvl w:ilvl="1" w:tentative="0">
      <w:start w:val="1"/>
      <w:numFmt w:val="decimal"/>
      <w:isLgl/>
      <w:lvlText w:val="%1.%2"/>
      <w:lvlJc w:val="left"/>
      <w:pPr>
        <w:tabs>
          <w:tab w:val="left" w:pos="835"/>
        </w:tabs>
        <w:ind w:left="835" w:hanging="690"/>
      </w:pPr>
    </w:lvl>
    <w:lvl w:ilvl="2" w:tentative="0">
      <w:start w:val="3"/>
      <w:numFmt w:val="decimal"/>
      <w:isLgl/>
      <w:lvlText w:val="%1.%2.%3"/>
      <w:lvlJc w:val="left"/>
      <w:pPr>
        <w:tabs>
          <w:tab w:val="left" w:pos="1010"/>
        </w:tabs>
        <w:ind w:left="1010" w:hanging="720"/>
      </w:pPr>
    </w:lvl>
    <w:lvl w:ilvl="3" w:tentative="0">
      <w:start w:val="2"/>
      <w:numFmt w:val="decimal"/>
      <w:isLgl/>
      <w:lvlText w:val="%1.%2.%3.%4"/>
      <w:lvlJc w:val="left"/>
      <w:pPr>
        <w:tabs>
          <w:tab w:val="left" w:pos="1155"/>
        </w:tabs>
        <w:ind w:left="1155" w:hanging="720"/>
      </w:pPr>
    </w:lvl>
    <w:lvl w:ilvl="4" w:tentative="0">
      <w:start w:val="1"/>
      <w:numFmt w:val="decimal"/>
      <w:isLgl/>
      <w:lvlText w:val="%1.%2.%3.%4.%5"/>
      <w:lvlJc w:val="left"/>
      <w:pPr>
        <w:tabs>
          <w:tab w:val="left" w:pos="1660"/>
        </w:tabs>
        <w:ind w:left="1660" w:hanging="1080"/>
      </w:pPr>
    </w:lvl>
    <w:lvl w:ilvl="5" w:tentative="0">
      <w:start w:val="1"/>
      <w:numFmt w:val="decimal"/>
      <w:isLgl/>
      <w:lvlText w:val="%1.%2.%3.%4.%5.%6"/>
      <w:lvlJc w:val="left"/>
      <w:pPr>
        <w:tabs>
          <w:tab w:val="left" w:pos="1805"/>
        </w:tabs>
        <w:ind w:left="1805" w:hanging="1080"/>
      </w:pPr>
    </w:lvl>
    <w:lvl w:ilvl="6" w:tentative="0">
      <w:start w:val="1"/>
      <w:numFmt w:val="decimal"/>
      <w:isLgl/>
      <w:lvlText w:val="%1.%2.%3.%4.%5.%6.%7"/>
      <w:lvlJc w:val="left"/>
      <w:pPr>
        <w:tabs>
          <w:tab w:val="left" w:pos="1950"/>
        </w:tabs>
        <w:ind w:left="1950" w:hanging="1080"/>
      </w:pPr>
    </w:lvl>
    <w:lvl w:ilvl="7" w:tentative="0">
      <w:start w:val="1"/>
      <w:numFmt w:val="decimal"/>
      <w:isLgl/>
      <w:lvlText w:val="%1.%2.%3.%4.%5.%6.%7.%8"/>
      <w:lvlJc w:val="left"/>
      <w:pPr>
        <w:tabs>
          <w:tab w:val="left" w:pos="2455"/>
        </w:tabs>
        <w:ind w:left="2455" w:hanging="1440"/>
      </w:pPr>
    </w:lvl>
    <w:lvl w:ilvl="8" w:tentative="0">
      <w:start w:val="1"/>
      <w:numFmt w:val="decimal"/>
      <w:isLgl/>
      <w:lvlText w:val="%1.%2.%3.%4.%5.%6.%7.%8.%9"/>
      <w:lvlJc w:val="left"/>
      <w:pPr>
        <w:tabs>
          <w:tab w:val="left" w:pos="2600"/>
        </w:tabs>
        <w:ind w:left="2600" w:hanging="1440"/>
      </w:pPr>
    </w:lvl>
  </w:abstractNum>
  <w:abstractNum w:abstractNumId="4">
    <w:nsid w:val="5F5834D1"/>
    <w:multiLevelType w:val="singleLevel"/>
    <w:tmpl w:val="5F5834D1"/>
    <w:lvl w:ilvl="0" w:tentative="0">
      <w:start w:val="1"/>
      <w:numFmt w:val="decimal"/>
      <w:suff w:val="nothing"/>
      <w:lvlText w:val="（%1）"/>
      <w:lvlJc w:val="left"/>
    </w:lvl>
  </w:abstractNum>
  <w:abstractNum w:abstractNumId="5">
    <w:nsid w:val="5F7193B4"/>
    <w:multiLevelType w:val="singleLevel"/>
    <w:tmpl w:val="5F7193B4"/>
    <w:lvl w:ilvl="0" w:tentative="0">
      <w:start w:val="19"/>
      <w:numFmt w:val="decimal"/>
      <w:suff w:val="nothing"/>
      <w:lvlText w:val="%1."/>
      <w:lvlJc w:val="left"/>
    </w:lvl>
  </w:abstractNum>
  <w:num w:numId="1">
    <w:abstractNumId w:val="2"/>
  </w:num>
  <w:num w:numId="2">
    <w:abstractNumId w:val="1"/>
  </w:num>
  <w:num w:numId="3">
    <w:abstractNumId w:val="3"/>
    <w:lvlOverride w:ilvl="3">
      <w:startOverride w:val="2"/>
    </w:lvlOverride>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M0Yzk3M2U5OWUxNGZkMjM4OGEyZjM5MWQwMWIzMjgifQ=="/>
  </w:docVars>
  <w:rsids>
    <w:rsidRoot w:val="00E106C9"/>
    <w:rsid w:val="0006063F"/>
    <w:rsid w:val="0006370D"/>
    <w:rsid w:val="00071C17"/>
    <w:rsid w:val="000808A0"/>
    <w:rsid w:val="000823BA"/>
    <w:rsid w:val="000A06F3"/>
    <w:rsid w:val="000B0D0E"/>
    <w:rsid w:val="000B59ED"/>
    <w:rsid w:val="000D1482"/>
    <w:rsid w:val="000D4A1F"/>
    <w:rsid w:val="000D65CF"/>
    <w:rsid w:val="00107401"/>
    <w:rsid w:val="001146F5"/>
    <w:rsid w:val="00144E9B"/>
    <w:rsid w:val="00146307"/>
    <w:rsid w:val="00167693"/>
    <w:rsid w:val="001A4D47"/>
    <w:rsid w:val="001B67D9"/>
    <w:rsid w:val="001C7C98"/>
    <w:rsid w:val="002071B6"/>
    <w:rsid w:val="0022033E"/>
    <w:rsid w:val="00222B8F"/>
    <w:rsid w:val="0023624F"/>
    <w:rsid w:val="00237D53"/>
    <w:rsid w:val="00251F84"/>
    <w:rsid w:val="002533EB"/>
    <w:rsid w:val="00260148"/>
    <w:rsid w:val="00290EE5"/>
    <w:rsid w:val="002C468D"/>
    <w:rsid w:val="002D10A5"/>
    <w:rsid w:val="002D4F7F"/>
    <w:rsid w:val="002F6206"/>
    <w:rsid w:val="00312499"/>
    <w:rsid w:val="00340F1C"/>
    <w:rsid w:val="00385C79"/>
    <w:rsid w:val="003B1DAD"/>
    <w:rsid w:val="003F5B76"/>
    <w:rsid w:val="003F62AE"/>
    <w:rsid w:val="004201DA"/>
    <w:rsid w:val="00436B15"/>
    <w:rsid w:val="00440FA5"/>
    <w:rsid w:val="00444E54"/>
    <w:rsid w:val="00450741"/>
    <w:rsid w:val="004C5EA0"/>
    <w:rsid w:val="004D643E"/>
    <w:rsid w:val="00523E80"/>
    <w:rsid w:val="0052693E"/>
    <w:rsid w:val="00540C8C"/>
    <w:rsid w:val="00544ECD"/>
    <w:rsid w:val="00560379"/>
    <w:rsid w:val="00597FC3"/>
    <w:rsid w:val="005C7DDC"/>
    <w:rsid w:val="005C7F3E"/>
    <w:rsid w:val="005E5D41"/>
    <w:rsid w:val="00614656"/>
    <w:rsid w:val="00614C11"/>
    <w:rsid w:val="006358CF"/>
    <w:rsid w:val="0066237F"/>
    <w:rsid w:val="00671778"/>
    <w:rsid w:val="006B3C3C"/>
    <w:rsid w:val="006C340B"/>
    <w:rsid w:val="006D214E"/>
    <w:rsid w:val="006E31D5"/>
    <w:rsid w:val="006F178F"/>
    <w:rsid w:val="006F3FA5"/>
    <w:rsid w:val="006F6B98"/>
    <w:rsid w:val="00703877"/>
    <w:rsid w:val="00746F1E"/>
    <w:rsid w:val="007657F2"/>
    <w:rsid w:val="007B0A36"/>
    <w:rsid w:val="007F0BBC"/>
    <w:rsid w:val="00835D5A"/>
    <w:rsid w:val="00835D81"/>
    <w:rsid w:val="00837D8D"/>
    <w:rsid w:val="008434EA"/>
    <w:rsid w:val="008971E3"/>
    <w:rsid w:val="008C043C"/>
    <w:rsid w:val="008E3017"/>
    <w:rsid w:val="0090041A"/>
    <w:rsid w:val="00933490"/>
    <w:rsid w:val="0094453B"/>
    <w:rsid w:val="0094473E"/>
    <w:rsid w:val="009527D1"/>
    <w:rsid w:val="009603CC"/>
    <w:rsid w:val="00962D0E"/>
    <w:rsid w:val="00995B29"/>
    <w:rsid w:val="009D79BF"/>
    <w:rsid w:val="009E105D"/>
    <w:rsid w:val="009E4D6D"/>
    <w:rsid w:val="009F00AD"/>
    <w:rsid w:val="00A35DC3"/>
    <w:rsid w:val="00A37698"/>
    <w:rsid w:val="00A46AD4"/>
    <w:rsid w:val="00A62CE5"/>
    <w:rsid w:val="00AA4B66"/>
    <w:rsid w:val="00AC3722"/>
    <w:rsid w:val="00AD2590"/>
    <w:rsid w:val="00AD6B46"/>
    <w:rsid w:val="00AE5617"/>
    <w:rsid w:val="00B024F1"/>
    <w:rsid w:val="00B20116"/>
    <w:rsid w:val="00B32A9E"/>
    <w:rsid w:val="00B401F9"/>
    <w:rsid w:val="00B60077"/>
    <w:rsid w:val="00B618BE"/>
    <w:rsid w:val="00B77055"/>
    <w:rsid w:val="00B80E30"/>
    <w:rsid w:val="00BC209E"/>
    <w:rsid w:val="00BE69E2"/>
    <w:rsid w:val="00BF2CE3"/>
    <w:rsid w:val="00C07714"/>
    <w:rsid w:val="00C15DFD"/>
    <w:rsid w:val="00C458F6"/>
    <w:rsid w:val="00C50AC4"/>
    <w:rsid w:val="00C62EDA"/>
    <w:rsid w:val="00C65094"/>
    <w:rsid w:val="00C85564"/>
    <w:rsid w:val="00C85C21"/>
    <w:rsid w:val="00CA3C94"/>
    <w:rsid w:val="00CD6F2C"/>
    <w:rsid w:val="00CF22F0"/>
    <w:rsid w:val="00D15EBB"/>
    <w:rsid w:val="00D2120D"/>
    <w:rsid w:val="00D56398"/>
    <w:rsid w:val="00D60FFE"/>
    <w:rsid w:val="00DB7699"/>
    <w:rsid w:val="00DC1FA8"/>
    <w:rsid w:val="00DD7C7C"/>
    <w:rsid w:val="00DF13D1"/>
    <w:rsid w:val="00E045D3"/>
    <w:rsid w:val="00E106C9"/>
    <w:rsid w:val="00E10F4C"/>
    <w:rsid w:val="00E4549D"/>
    <w:rsid w:val="00E47092"/>
    <w:rsid w:val="00E8587E"/>
    <w:rsid w:val="00E95B94"/>
    <w:rsid w:val="00EB1BB0"/>
    <w:rsid w:val="00EE276B"/>
    <w:rsid w:val="00F13D7E"/>
    <w:rsid w:val="00F357FD"/>
    <w:rsid w:val="00F55B17"/>
    <w:rsid w:val="00F66F03"/>
    <w:rsid w:val="00F83E06"/>
    <w:rsid w:val="00FD6F09"/>
    <w:rsid w:val="02987B74"/>
    <w:rsid w:val="067B35ED"/>
    <w:rsid w:val="06C02CE9"/>
    <w:rsid w:val="090F49D5"/>
    <w:rsid w:val="09C62CCC"/>
    <w:rsid w:val="125D0598"/>
    <w:rsid w:val="145C77F8"/>
    <w:rsid w:val="149D0569"/>
    <w:rsid w:val="15093F1F"/>
    <w:rsid w:val="15CC30DC"/>
    <w:rsid w:val="15FA00B8"/>
    <w:rsid w:val="19F069B8"/>
    <w:rsid w:val="1B244A0D"/>
    <w:rsid w:val="1D7B485D"/>
    <w:rsid w:val="1FAB6A1B"/>
    <w:rsid w:val="2070072E"/>
    <w:rsid w:val="208D6828"/>
    <w:rsid w:val="21CD46D0"/>
    <w:rsid w:val="23A74580"/>
    <w:rsid w:val="27674CB8"/>
    <w:rsid w:val="28960123"/>
    <w:rsid w:val="28963E23"/>
    <w:rsid w:val="2E681B4C"/>
    <w:rsid w:val="2F445CBA"/>
    <w:rsid w:val="311A3CC6"/>
    <w:rsid w:val="32871A09"/>
    <w:rsid w:val="32DF1BB0"/>
    <w:rsid w:val="3363623F"/>
    <w:rsid w:val="34DA7405"/>
    <w:rsid w:val="36E1417F"/>
    <w:rsid w:val="39D5186A"/>
    <w:rsid w:val="3DB6414D"/>
    <w:rsid w:val="3E724235"/>
    <w:rsid w:val="3FDE6BE5"/>
    <w:rsid w:val="404C08C7"/>
    <w:rsid w:val="431246FC"/>
    <w:rsid w:val="432427D3"/>
    <w:rsid w:val="435F66B8"/>
    <w:rsid w:val="436A634F"/>
    <w:rsid w:val="43CE4DCE"/>
    <w:rsid w:val="44B529E0"/>
    <w:rsid w:val="453766E7"/>
    <w:rsid w:val="46222585"/>
    <w:rsid w:val="4A2A3979"/>
    <w:rsid w:val="4AC41552"/>
    <w:rsid w:val="4B3F674E"/>
    <w:rsid w:val="4BDE1587"/>
    <w:rsid w:val="4D1D2B88"/>
    <w:rsid w:val="4FDC0EE5"/>
    <w:rsid w:val="509F1E5D"/>
    <w:rsid w:val="518F6553"/>
    <w:rsid w:val="51C55D72"/>
    <w:rsid w:val="52C869F5"/>
    <w:rsid w:val="56347276"/>
    <w:rsid w:val="5740389A"/>
    <w:rsid w:val="595E27D6"/>
    <w:rsid w:val="5D090FC8"/>
    <w:rsid w:val="5F0C719E"/>
    <w:rsid w:val="60090394"/>
    <w:rsid w:val="614B1448"/>
    <w:rsid w:val="619C71C8"/>
    <w:rsid w:val="62537F86"/>
    <w:rsid w:val="668D2F14"/>
    <w:rsid w:val="67387CE0"/>
    <w:rsid w:val="67AE4B8A"/>
    <w:rsid w:val="682E4EBB"/>
    <w:rsid w:val="69BC5793"/>
    <w:rsid w:val="6A5341A2"/>
    <w:rsid w:val="6BB310A0"/>
    <w:rsid w:val="6C703C6C"/>
    <w:rsid w:val="6DE31C9A"/>
    <w:rsid w:val="6E46565B"/>
    <w:rsid w:val="771F4946"/>
    <w:rsid w:val="77E56EEC"/>
    <w:rsid w:val="789058A0"/>
    <w:rsid w:val="7B603A88"/>
    <w:rsid w:val="7B9741D2"/>
    <w:rsid w:val="7BA019E3"/>
    <w:rsid w:val="7E5D62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39"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55"/>
    <w:qFormat/>
    <w:uiPriority w:val="0"/>
    <w:pPr>
      <w:keepNext/>
      <w:keepLines/>
      <w:spacing w:before="340" w:after="330" w:line="576" w:lineRule="auto"/>
      <w:jc w:val="center"/>
      <w:outlineLvl w:val="0"/>
    </w:pPr>
    <w:rPr>
      <w:rFonts w:ascii="Times New Roman" w:hAnsi="Times New Roman" w:eastAsia="宋体"/>
      <w:b/>
      <w:bCs/>
      <w:kern w:val="44"/>
      <w:sz w:val="44"/>
      <w:szCs w:val="44"/>
    </w:rPr>
  </w:style>
  <w:style w:type="paragraph" w:styleId="2">
    <w:name w:val="heading 2"/>
    <w:basedOn w:val="1"/>
    <w:next w:val="3"/>
    <w:link w:val="56"/>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link w:val="57"/>
    <w:qFormat/>
    <w:uiPriority w:val="0"/>
    <w:pPr>
      <w:keepNext/>
      <w:keepLines/>
      <w:spacing w:before="260" w:after="260" w:line="415" w:lineRule="auto"/>
      <w:outlineLvl w:val="2"/>
    </w:pPr>
    <w:rPr>
      <w:b/>
      <w:bCs/>
      <w:sz w:val="32"/>
      <w:szCs w:val="32"/>
    </w:rPr>
  </w:style>
  <w:style w:type="paragraph" w:styleId="6">
    <w:name w:val="heading 4"/>
    <w:basedOn w:val="1"/>
    <w:next w:val="1"/>
    <w:link w:val="58"/>
    <w:qFormat/>
    <w:uiPriority w:val="0"/>
    <w:pPr>
      <w:keepNext/>
      <w:keepLines/>
      <w:spacing w:before="280" w:after="290" w:line="374" w:lineRule="auto"/>
      <w:outlineLvl w:val="3"/>
    </w:pPr>
    <w:rPr>
      <w:rFonts w:ascii="Arial" w:hAnsi="Arial" w:eastAsia="黑体"/>
      <w:b/>
      <w:bCs/>
      <w:sz w:val="28"/>
      <w:szCs w:val="28"/>
    </w:rPr>
  </w:style>
  <w:style w:type="paragraph" w:styleId="7">
    <w:name w:val="heading 6"/>
    <w:basedOn w:val="1"/>
    <w:next w:val="1"/>
    <w:link w:val="59"/>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8">
    <w:name w:val="heading 7"/>
    <w:basedOn w:val="1"/>
    <w:next w:val="1"/>
    <w:link w:val="60"/>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9">
    <w:name w:val="heading 8"/>
    <w:basedOn w:val="1"/>
    <w:next w:val="1"/>
    <w:link w:val="61"/>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0">
    <w:name w:val="heading 9"/>
    <w:basedOn w:val="1"/>
    <w:next w:val="1"/>
    <w:link w:val="62"/>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1">
    <w:name w:val="Default Paragraph Font"/>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styleId="3">
    <w:name w:val="Normal Indent"/>
    <w:basedOn w:val="1"/>
    <w:link w:val="63"/>
    <w:qFormat/>
    <w:uiPriority w:val="0"/>
    <w:pPr>
      <w:ind w:firstLine="420" w:firstLineChars="200"/>
    </w:pPr>
  </w:style>
  <w:style w:type="paragraph" w:styleId="11">
    <w:name w:val="toc 7"/>
    <w:basedOn w:val="1"/>
    <w:next w:val="1"/>
    <w:qFormat/>
    <w:uiPriority w:val="0"/>
    <w:pPr>
      <w:ind w:left="1260"/>
      <w:jc w:val="left"/>
    </w:pPr>
    <w:rPr>
      <w:sz w:val="18"/>
      <w:szCs w:val="18"/>
    </w:rPr>
  </w:style>
  <w:style w:type="paragraph" w:styleId="12">
    <w:name w:val="Document Map"/>
    <w:basedOn w:val="1"/>
    <w:link w:val="64"/>
    <w:qFormat/>
    <w:uiPriority w:val="0"/>
    <w:pPr>
      <w:shd w:val="clear" w:color="auto" w:fill="000080"/>
    </w:pPr>
  </w:style>
  <w:style w:type="paragraph" w:styleId="13">
    <w:name w:val="annotation text"/>
    <w:basedOn w:val="1"/>
    <w:link w:val="65"/>
    <w:qFormat/>
    <w:uiPriority w:val="0"/>
    <w:pPr>
      <w:jc w:val="left"/>
    </w:pPr>
  </w:style>
  <w:style w:type="paragraph" w:styleId="14">
    <w:name w:val="Body Text 3"/>
    <w:basedOn w:val="1"/>
    <w:link w:val="66"/>
    <w:qFormat/>
    <w:uiPriority w:val="0"/>
    <w:rPr>
      <w:rFonts w:ascii="宋体"/>
      <w:sz w:val="24"/>
      <w:szCs w:val="20"/>
    </w:rPr>
  </w:style>
  <w:style w:type="paragraph" w:styleId="15">
    <w:name w:val="Body Text"/>
    <w:basedOn w:val="1"/>
    <w:next w:val="16"/>
    <w:link w:val="67"/>
    <w:qFormat/>
    <w:uiPriority w:val="0"/>
    <w:pPr>
      <w:spacing w:after="120"/>
    </w:pPr>
  </w:style>
  <w:style w:type="paragraph" w:styleId="16">
    <w:name w:val="Date"/>
    <w:basedOn w:val="1"/>
    <w:next w:val="1"/>
    <w:link w:val="70"/>
    <w:qFormat/>
    <w:uiPriority w:val="0"/>
    <w:rPr>
      <w:sz w:val="24"/>
      <w:szCs w:val="20"/>
    </w:rPr>
  </w:style>
  <w:style w:type="paragraph" w:styleId="17">
    <w:name w:val="Body Text Indent"/>
    <w:basedOn w:val="1"/>
    <w:link w:val="68"/>
    <w:qFormat/>
    <w:uiPriority w:val="0"/>
    <w:pPr>
      <w:spacing w:after="120"/>
      <w:ind w:left="420" w:leftChars="200"/>
    </w:pPr>
  </w:style>
  <w:style w:type="paragraph" w:styleId="18">
    <w:name w:val="toc 5"/>
    <w:basedOn w:val="1"/>
    <w:next w:val="1"/>
    <w:qFormat/>
    <w:uiPriority w:val="39"/>
    <w:pPr>
      <w:ind w:left="840"/>
      <w:jc w:val="left"/>
    </w:pPr>
    <w:rPr>
      <w:sz w:val="18"/>
      <w:szCs w:val="18"/>
    </w:rPr>
  </w:style>
  <w:style w:type="paragraph" w:styleId="19">
    <w:name w:val="toc 3"/>
    <w:basedOn w:val="1"/>
    <w:next w:val="1"/>
    <w:qFormat/>
    <w:uiPriority w:val="39"/>
    <w:pPr>
      <w:ind w:left="420"/>
      <w:jc w:val="left"/>
    </w:pPr>
    <w:rPr>
      <w:i/>
      <w:iCs/>
      <w:sz w:val="20"/>
      <w:szCs w:val="20"/>
    </w:rPr>
  </w:style>
  <w:style w:type="paragraph" w:styleId="20">
    <w:name w:val="Plain Text"/>
    <w:basedOn w:val="1"/>
    <w:link w:val="69"/>
    <w:qFormat/>
    <w:uiPriority w:val="0"/>
    <w:rPr>
      <w:rFonts w:ascii="Courier New" w:hAnsi="Courier New"/>
      <w:szCs w:val="20"/>
    </w:rPr>
  </w:style>
  <w:style w:type="paragraph" w:styleId="21">
    <w:name w:val="toc 8"/>
    <w:basedOn w:val="1"/>
    <w:next w:val="1"/>
    <w:qFormat/>
    <w:uiPriority w:val="0"/>
    <w:pPr>
      <w:ind w:left="1470"/>
      <w:jc w:val="left"/>
    </w:pPr>
    <w:rPr>
      <w:sz w:val="18"/>
      <w:szCs w:val="18"/>
    </w:rPr>
  </w:style>
  <w:style w:type="paragraph" w:styleId="22">
    <w:name w:val="Body Text Indent 2"/>
    <w:basedOn w:val="1"/>
    <w:link w:val="71"/>
    <w:qFormat/>
    <w:uiPriority w:val="0"/>
    <w:pPr>
      <w:spacing w:after="120" w:line="480" w:lineRule="auto"/>
      <w:ind w:left="420" w:leftChars="200"/>
    </w:pPr>
  </w:style>
  <w:style w:type="paragraph" w:styleId="23">
    <w:name w:val="Balloon Text"/>
    <w:basedOn w:val="1"/>
    <w:link w:val="72"/>
    <w:qFormat/>
    <w:uiPriority w:val="0"/>
    <w:rPr>
      <w:sz w:val="18"/>
      <w:szCs w:val="18"/>
    </w:rPr>
  </w:style>
  <w:style w:type="paragraph" w:styleId="24">
    <w:name w:val="footer"/>
    <w:basedOn w:val="1"/>
    <w:link w:val="73"/>
    <w:qFormat/>
    <w:uiPriority w:val="0"/>
    <w:pPr>
      <w:tabs>
        <w:tab w:val="center" w:pos="4153"/>
        <w:tab w:val="right" w:pos="8306"/>
      </w:tabs>
      <w:snapToGrid w:val="0"/>
      <w:jc w:val="left"/>
    </w:pPr>
    <w:rPr>
      <w:sz w:val="18"/>
      <w:szCs w:val="18"/>
    </w:rPr>
  </w:style>
  <w:style w:type="paragraph" w:styleId="25">
    <w:name w:val="header"/>
    <w:basedOn w:val="1"/>
    <w:link w:val="74"/>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pPr>
      <w:spacing w:before="120" w:after="120"/>
      <w:jc w:val="left"/>
    </w:pPr>
    <w:rPr>
      <w:b/>
      <w:bCs/>
      <w:caps/>
      <w:sz w:val="20"/>
      <w:szCs w:val="20"/>
    </w:rPr>
  </w:style>
  <w:style w:type="paragraph" w:styleId="27">
    <w:name w:val="toc 4"/>
    <w:basedOn w:val="1"/>
    <w:next w:val="1"/>
    <w:qFormat/>
    <w:uiPriority w:val="0"/>
    <w:pPr>
      <w:ind w:left="630"/>
      <w:jc w:val="left"/>
    </w:pPr>
    <w:rPr>
      <w:sz w:val="18"/>
      <w:szCs w:val="18"/>
    </w:rPr>
  </w:style>
  <w:style w:type="paragraph" w:styleId="28">
    <w:name w:val="footnote text"/>
    <w:basedOn w:val="1"/>
    <w:link w:val="75"/>
    <w:qFormat/>
    <w:uiPriority w:val="0"/>
    <w:rPr>
      <w:sz w:val="20"/>
      <w:szCs w:val="20"/>
    </w:rPr>
  </w:style>
  <w:style w:type="paragraph" w:styleId="29">
    <w:name w:val="toc 6"/>
    <w:basedOn w:val="1"/>
    <w:next w:val="1"/>
    <w:qFormat/>
    <w:uiPriority w:val="0"/>
    <w:pPr>
      <w:ind w:left="1050"/>
      <w:jc w:val="left"/>
    </w:pPr>
    <w:rPr>
      <w:sz w:val="18"/>
      <w:szCs w:val="18"/>
    </w:rPr>
  </w:style>
  <w:style w:type="paragraph" w:styleId="30">
    <w:name w:val="Body Text Indent 3"/>
    <w:basedOn w:val="1"/>
    <w:link w:val="76"/>
    <w:qFormat/>
    <w:uiPriority w:val="0"/>
    <w:pPr>
      <w:spacing w:after="120"/>
      <w:ind w:left="420" w:leftChars="200"/>
    </w:pPr>
    <w:rPr>
      <w:sz w:val="16"/>
      <w:szCs w:val="16"/>
    </w:rPr>
  </w:style>
  <w:style w:type="paragraph" w:styleId="31">
    <w:name w:val="table of figures"/>
    <w:basedOn w:val="1"/>
    <w:next w:val="1"/>
    <w:qFormat/>
    <w:uiPriority w:val="0"/>
    <w:pPr>
      <w:ind w:left="200" w:leftChars="200" w:hanging="200" w:hangingChars="200"/>
    </w:pPr>
  </w:style>
  <w:style w:type="paragraph" w:styleId="32">
    <w:name w:val="toc 2"/>
    <w:basedOn w:val="1"/>
    <w:next w:val="1"/>
    <w:qFormat/>
    <w:uiPriority w:val="39"/>
    <w:pPr>
      <w:ind w:left="210"/>
      <w:jc w:val="left"/>
    </w:pPr>
    <w:rPr>
      <w:smallCaps/>
      <w:sz w:val="20"/>
      <w:szCs w:val="20"/>
    </w:rPr>
  </w:style>
  <w:style w:type="paragraph" w:styleId="33">
    <w:name w:val="toc 9"/>
    <w:basedOn w:val="1"/>
    <w:next w:val="1"/>
    <w:qFormat/>
    <w:uiPriority w:val="0"/>
    <w:pPr>
      <w:ind w:left="1680"/>
      <w:jc w:val="left"/>
    </w:pPr>
    <w:rPr>
      <w:sz w:val="18"/>
      <w:szCs w:val="18"/>
    </w:rPr>
  </w:style>
  <w:style w:type="paragraph" w:styleId="34">
    <w:name w:val="Normal (Web)"/>
    <w:basedOn w:val="1"/>
    <w:unhideWhenUsed/>
    <w:qFormat/>
    <w:uiPriority w:val="99"/>
    <w:pPr>
      <w:spacing w:before="100" w:beforeAutospacing="1" w:after="100" w:afterAutospacing="1"/>
      <w:jc w:val="left"/>
    </w:pPr>
    <w:rPr>
      <w:kern w:val="0"/>
      <w:sz w:val="24"/>
    </w:rPr>
  </w:style>
  <w:style w:type="paragraph" w:styleId="35">
    <w:name w:val="Title"/>
    <w:basedOn w:val="1"/>
    <w:link w:val="77"/>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36">
    <w:name w:val="annotation subject"/>
    <w:basedOn w:val="13"/>
    <w:next w:val="13"/>
    <w:link w:val="78"/>
    <w:qFormat/>
    <w:uiPriority w:val="0"/>
    <w:rPr>
      <w:b/>
      <w:bCs/>
    </w:rPr>
  </w:style>
  <w:style w:type="paragraph" w:styleId="37">
    <w:name w:val="Body Text First Indent"/>
    <w:basedOn w:val="15"/>
    <w:qFormat/>
    <w:uiPriority w:val="0"/>
    <w:pPr>
      <w:adjustRightInd w:val="0"/>
      <w:snapToGrid w:val="0"/>
      <w:spacing w:line="400" w:lineRule="exact"/>
      <w:ind w:firstLine="510"/>
    </w:pPr>
    <w:rPr>
      <w:rFonts w:ascii="Verdana" w:hAnsi="Verdana"/>
      <w:szCs w:val="24"/>
      <w:lang w:eastAsia="en-US"/>
    </w:rPr>
  </w:style>
  <w:style w:type="paragraph" w:styleId="38">
    <w:name w:val="Body Text First Indent 2"/>
    <w:basedOn w:val="17"/>
    <w:qFormat/>
    <w:uiPriority w:val="0"/>
    <w:pPr>
      <w:ind w:firstLine="420" w:firstLineChars="200"/>
    </w:pPr>
  </w:style>
  <w:style w:type="table" w:styleId="40">
    <w:name w:val="Table Grid"/>
    <w:basedOn w:val="39"/>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2">
    <w:name w:val="Strong"/>
    <w:basedOn w:val="41"/>
    <w:qFormat/>
    <w:uiPriority w:val="22"/>
    <w:rPr>
      <w:b/>
    </w:rPr>
  </w:style>
  <w:style w:type="character" w:styleId="43">
    <w:name w:val="page number"/>
    <w:qFormat/>
    <w:uiPriority w:val="0"/>
  </w:style>
  <w:style w:type="character" w:styleId="44">
    <w:name w:val="FollowedHyperlink"/>
    <w:qFormat/>
    <w:uiPriority w:val="0"/>
    <w:rPr>
      <w:color w:val="000000"/>
      <w:sz w:val="18"/>
      <w:szCs w:val="18"/>
      <w:u w:val="none"/>
    </w:rPr>
  </w:style>
  <w:style w:type="character" w:styleId="45">
    <w:name w:val="Emphasis"/>
    <w:qFormat/>
    <w:uiPriority w:val="20"/>
  </w:style>
  <w:style w:type="character" w:styleId="46">
    <w:name w:val="HTML Definition"/>
    <w:unhideWhenUsed/>
    <w:qFormat/>
    <w:uiPriority w:val="99"/>
    <w:rPr>
      <w:i/>
    </w:rPr>
  </w:style>
  <w:style w:type="character" w:styleId="47">
    <w:name w:val="Hyperlink"/>
    <w:basedOn w:val="41"/>
    <w:qFormat/>
    <w:uiPriority w:val="99"/>
    <w:rPr>
      <w:color w:val="000000"/>
      <w:sz w:val="18"/>
      <w:szCs w:val="18"/>
      <w:u w:val="none"/>
    </w:rPr>
  </w:style>
  <w:style w:type="character" w:styleId="48">
    <w:name w:val="HTML Code"/>
    <w:unhideWhenUsed/>
    <w:qFormat/>
    <w:uiPriority w:val="99"/>
    <w:rPr>
      <w:rFonts w:ascii="MV Boli" w:hAnsi="MV Boli" w:eastAsia="MV Boli" w:cs="MV Boli"/>
      <w:color w:val="C7254E"/>
      <w:sz w:val="21"/>
      <w:szCs w:val="21"/>
      <w:shd w:val="clear" w:color="auto" w:fill="F9F2F4"/>
    </w:rPr>
  </w:style>
  <w:style w:type="character" w:styleId="49">
    <w:name w:val="annotation reference"/>
    <w:qFormat/>
    <w:uiPriority w:val="0"/>
    <w:rPr>
      <w:sz w:val="21"/>
      <w:szCs w:val="21"/>
    </w:rPr>
  </w:style>
  <w:style w:type="character" w:styleId="50">
    <w:name w:val="HTML Cite"/>
    <w:unhideWhenUsed/>
    <w:qFormat/>
    <w:uiPriority w:val="99"/>
  </w:style>
  <w:style w:type="character" w:styleId="51">
    <w:name w:val="footnote reference"/>
    <w:qFormat/>
    <w:uiPriority w:val="0"/>
    <w:rPr>
      <w:vertAlign w:val="superscript"/>
    </w:rPr>
  </w:style>
  <w:style w:type="character" w:styleId="52">
    <w:name w:val="HTML Keyboard"/>
    <w:unhideWhenUsed/>
    <w:qFormat/>
    <w:uiPriority w:val="99"/>
    <w:rPr>
      <w:rFonts w:hint="default" w:ascii="MV Boli" w:hAnsi="MV Boli" w:eastAsia="MV Boli" w:cs="MV Boli"/>
      <w:color w:val="FFFFFF"/>
      <w:sz w:val="21"/>
      <w:szCs w:val="21"/>
      <w:shd w:val="clear" w:color="auto" w:fill="333333"/>
    </w:rPr>
  </w:style>
  <w:style w:type="character" w:styleId="53">
    <w:name w:val="HTML Sample"/>
    <w:unhideWhenUsed/>
    <w:qFormat/>
    <w:uiPriority w:val="99"/>
    <w:rPr>
      <w:rFonts w:hint="default" w:ascii="MV Boli" w:hAnsi="MV Boli" w:eastAsia="MV Boli" w:cs="MV Boli"/>
      <w:sz w:val="21"/>
      <w:szCs w:val="21"/>
    </w:rPr>
  </w:style>
  <w:style w:type="paragraph" w:customStyle="1" w:styleId="54">
    <w:name w:val="样式 首行缩进:  2 字符"/>
    <w:basedOn w:val="1"/>
    <w:qFormat/>
    <w:uiPriority w:val="0"/>
    <w:pPr>
      <w:spacing w:before="120" w:after="120" w:line="360" w:lineRule="auto"/>
      <w:ind w:firstLine="582" w:firstLineChars="200"/>
    </w:pPr>
    <w:rPr>
      <w:rFonts w:eastAsia="仿宋_GB2312" w:cs="宋体"/>
      <w:kern w:val="10"/>
      <w:sz w:val="28"/>
      <w:szCs w:val="28"/>
    </w:rPr>
  </w:style>
  <w:style w:type="character" w:customStyle="1" w:styleId="55">
    <w:name w:val="标题 1 Char"/>
    <w:basedOn w:val="41"/>
    <w:link w:val="4"/>
    <w:qFormat/>
    <w:uiPriority w:val="0"/>
    <w:rPr>
      <w:rFonts w:ascii="Times New Roman" w:hAnsi="Times New Roman" w:eastAsia="宋体" w:cs="Times New Roman"/>
      <w:b/>
      <w:bCs/>
      <w:kern w:val="44"/>
      <w:sz w:val="44"/>
      <w:szCs w:val="44"/>
    </w:rPr>
  </w:style>
  <w:style w:type="character" w:customStyle="1" w:styleId="56">
    <w:name w:val="标题 2 Char"/>
    <w:basedOn w:val="41"/>
    <w:link w:val="2"/>
    <w:qFormat/>
    <w:uiPriority w:val="0"/>
    <w:rPr>
      <w:rFonts w:ascii="Arial" w:hAnsi="Arial" w:eastAsia="黑体" w:cs="Times New Roman"/>
      <w:b/>
      <w:bCs/>
      <w:sz w:val="32"/>
      <w:szCs w:val="32"/>
    </w:rPr>
  </w:style>
  <w:style w:type="character" w:customStyle="1" w:styleId="57">
    <w:name w:val="标题 3 Char"/>
    <w:basedOn w:val="41"/>
    <w:link w:val="5"/>
    <w:qFormat/>
    <w:uiPriority w:val="0"/>
    <w:rPr>
      <w:rFonts w:ascii="Times New Roman" w:hAnsi="Times New Roman" w:eastAsia="宋体" w:cs="Times New Roman"/>
      <w:b/>
      <w:bCs/>
      <w:sz w:val="32"/>
      <w:szCs w:val="32"/>
    </w:rPr>
  </w:style>
  <w:style w:type="character" w:customStyle="1" w:styleId="58">
    <w:name w:val="标题 4 Char"/>
    <w:basedOn w:val="41"/>
    <w:link w:val="6"/>
    <w:qFormat/>
    <w:uiPriority w:val="0"/>
    <w:rPr>
      <w:rFonts w:ascii="Arial" w:hAnsi="Arial" w:eastAsia="黑体" w:cs="Times New Roman"/>
      <w:b/>
      <w:bCs/>
      <w:sz w:val="28"/>
      <w:szCs w:val="28"/>
    </w:rPr>
  </w:style>
  <w:style w:type="character" w:customStyle="1" w:styleId="59">
    <w:name w:val="标题 6 Char"/>
    <w:basedOn w:val="41"/>
    <w:link w:val="7"/>
    <w:qFormat/>
    <w:uiPriority w:val="0"/>
    <w:rPr>
      <w:rFonts w:ascii="Arial" w:hAnsi="Arial" w:eastAsia="黑体" w:cs="Times New Roman"/>
      <w:b/>
      <w:bCs/>
      <w:kern w:val="0"/>
      <w:sz w:val="24"/>
      <w:szCs w:val="24"/>
    </w:rPr>
  </w:style>
  <w:style w:type="character" w:customStyle="1" w:styleId="60">
    <w:name w:val="标题 7 Char"/>
    <w:basedOn w:val="41"/>
    <w:link w:val="8"/>
    <w:qFormat/>
    <w:uiPriority w:val="0"/>
    <w:rPr>
      <w:rFonts w:ascii="Times New Roman" w:hAnsi="Times New Roman" w:eastAsia="宋体" w:cs="Times New Roman"/>
      <w:b/>
      <w:bCs/>
      <w:kern w:val="0"/>
      <w:sz w:val="24"/>
      <w:szCs w:val="24"/>
    </w:rPr>
  </w:style>
  <w:style w:type="character" w:customStyle="1" w:styleId="61">
    <w:name w:val="标题 8 Char"/>
    <w:basedOn w:val="41"/>
    <w:link w:val="9"/>
    <w:qFormat/>
    <w:uiPriority w:val="0"/>
    <w:rPr>
      <w:rFonts w:ascii="Arial" w:hAnsi="Arial" w:eastAsia="黑体" w:cs="Times New Roman"/>
      <w:kern w:val="0"/>
      <w:sz w:val="24"/>
      <w:szCs w:val="24"/>
    </w:rPr>
  </w:style>
  <w:style w:type="character" w:customStyle="1" w:styleId="62">
    <w:name w:val="标题 9 Char"/>
    <w:basedOn w:val="41"/>
    <w:link w:val="10"/>
    <w:qFormat/>
    <w:uiPriority w:val="0"/>
    <w:rPr>
      <w:rFonts w:ascii="Arial" w:hAnsi="Arial" w:eastAsia="黑体" w:cs="Times New Roman"/>
      <w:kern w:val="0"/>
      <w:szCs w:val="21"/>
    </w:rPr>
  </w:style>
  <w:style w:type="character" w:customStyle="1" w:styleId="63">
    <w:name w:val="正文缩进 Char"/>
    <w:link w:val="3"/>
    <w:qFormat/>
    <w:uiPriority w:val="0"/>
    <w:rPr>
      <w:rFonts w:ascii="Times New Roman" w:hAnsi="Times New Roman" w:eastAsia="宋体" w:cs="Times New Roman"/>
      <w:szCs w:val="24"/>
    </w:rPr>
  </w:style>
  <w:style w:type="character" w:customStyle="1" w:styleId="64">
    <w:name w:val="文档结构图 Char"/>
    <w:basedOn w:val="41"/>
    <w:link w:val="12"/>
    <w:qFormat/>
    <w:uiPriority w:val="0"/>
    <w:rPr>
      <w:rFonts w:ascii="Times New Roman" w:hAnsi="Times New Roman" w:eastAsia="宋体" w:cs="Times New Roman"/>
      <w:szCs w:val="24"/>
      <w:shd w:val="clear" w:color="auto" w:fill="000080"/>
    </w:rPr>
  </w:style>
  <w:style w:type="character" w:customStyle="1" w:styleId="65">
    <w:name w:val="批注文字 Char"/>
    <w:basedOn w:val="41"/>
    <w:link w:val="13"/>
    <w:qFormat/>
    <w:uiPriority w:val="0"/>
    <w:rPr>
      <w:rFonts w:ascii="Times New Roman" w:hAnsi="Times New Roman" w:eastAsia="宋体" w:cs="Times New Roman"/>
      <w:szCs w:val="24"/>
    </w:rPr>
  </w:style>
  <w:style w:type="character" w:customStyle="1" w:styleId="66">
    <w:name w:val="正文文本 3 Char"/>
    <w:basedOn w:val="41"/>
    <w:link w:val="14"/>
    <w:qFormat/>
    <w:uiPriority w:val="0"/>
    <w:rPr>
      <w:rFonts w:ascii="宋体" w:hAnsi="Times New Roman" w:eastAsia="宋体" w:cs="Times New Roman"/>
      <w:sz w:val="24"/>
      <w:szCs w:val="20"/>
    </w:rPr>
  </w:style>
  <w:style w:type="character" w:customStyle="1" w:styleId="67">
    <w:name w:val="正文文本 Char"/>
    <w:basedOn w:val="41"/>
    <w:link w:val="15"/>
    <w:qFormat/>
    <w:uiPriority w:val="0"/>
    <w:rPr>
      <w:rFonts w:ascii="Times New Roman" w:hAnsi="Times New Roman" w:eastAsia="宋体" w:cs="Times New Roman"/>
      <w:szCs w:val="24"/>
    </w:rPr>
  </w:style>
  <w:style w:type="character" w:customStyle="1" w:styleId="68">
    <w:name w:val="正文文本缩进 Char"/>
    <w:basedOn w:val="41"/>
    <w:link w:val="17"/>
    <w:qFormat/>
    <w:uiPriority w:val="0"/>
    <w:rPr>
      <w:rFonts w:ascii="Times New Roman" w:hAnsi="Times New Roman" w:eastAsia="宋体" w:cs="Times New Roman"/>
      <w:szCs w:val="24"/>
    </w:rPr>
  </w:style>
  <w:style w:type="character" w:customStyle="1" w:styleId="69">
    <w:name w:val="纯文本 Char"/>
    <w:basedOn w:val="41"/>
    <w:link w:val="20"/>
    <w:qFormat/>
    <w:uiPriority w:val="0"/>
    <w:rPr>
      <w:rFonts w:ascii="Courier New" w:hAnsi="Courier New" w:eastAsia="宋体" w:cs="Times New Roman"/>
      <w:szCs w:val="20"/>
    </w:rPr>
  </w:style>
  <w:style w:type="character" w:customStyle="1" w:styleId="70">
    <w:name w:val="日期 Char"/>
    <w:basedOn w:val="41"/>
    <w:link w:val="16"/>
    <w:qFormat/>
    <w:uiPriority w:val="0"/>
    <w:rPr>
      <w:rFonts w:ascii="Times New Roman" w:hAnsi="Times New Roman" w:eastAsia="宋体" w:cs="Times New Roman"/>
      <w:sz w:val="24"/>
      <w:szCs w:val="20"/>
    </w:rPr>
  </w:style>
  <w:style w:type="character" w:customStyle="1" w:styleId="71">
    <w:name w:val="正文文本缩进 2 Char"/>
    <w:basedOn w:val="41"/>
    <w:link w:val="22"/>
    <w:qFormat/>
    <w:uiPriority w:val="0"/>
    <w:rPr>
      <w:rFonts w:ascii="Times New Roman" w:hAnsi="Times New Roman" w:eastAsia="宋体" w:cs="Times New Roman"/>
      <w:szCs w:val="24"/>
    </w:rPr>
  </w:style>
  <w:style w:type="character" w:customStyle="1" w:styleId="72">
    <w:name w:val="批注框文本 Char"/>
    <w:basedOn w:val="41"/>
    <w:link w:val="23"/>
    <w:qFormat/>
    <w:uiPriority w:val="0"/>
    <w:rPr>
      <w:rFonts w:ascii="Times New Roman" w:hAnsi="Times New Roman" w:eastAsia="宋体" w:cs="Times New Roman"/>
      <w:sz w:val="18"/>
      <w:szCs w:val="18"/>
    </w:rPr>
  </w:style>
  <w:style w:type="character" w:customStyle="1" w:styleId="73">
    <w:name w:val="页脚 Char"/>
    <w:basedOn w:val="41"/>
    <w:link w:val="24"/>
    <w:qFormat/>
    <w:uiPriority w:val="0"/>
    <w:rPr>
      <w:rFonts w:ascii="Times New Roman" w:hAnsi="Times New Roman" w:eastAsia="宋体" w:cs="Times New Roman"/>
      <w:sz w:val="18"/>
      <w:szCs w:val="18"/>
    </w:rPr>
  </w:style>
  <w:style w:type="character" w:customStyle="1" w:styleId="74">
    <w:name w:val="页眉 Char"/>
    <w:basedOn w:val="41"/>
    <w:link w:val="25"/>
    <w:qFormat/>
    <w:uiPriority w:val="0"/>
    <w:rPr>
      <w:rFonts w:ascii="Times New Roman" w:hAnsi="Times New Roman" w:eastAsia="宋体" w:cs="Times New Roman"/>
      <w:sz w:val="18"/>
      <w:szCs w:val="18"/>
    </w:rPr>
  </w:style>
  <w:style w:type="character" w:customStyle="1" w:styleId="75">
    <w:name w:val="脚注文本 Char"/>
    <w:basedOn w:val="41"/>
    <w:link w:val="28"/>
    <w:qFormat/>
    <w:uiPriority w:val="0"/>
    <w:rPr>
      <w:rFonts w:ascii="Times New Roman" w:hAnsi="Times New Roman" w:eastAsia="宋体" w:cs="Times New Roman"/>
      <w:sz w:val="20"/>
      <w:szCs w:val="20"/>
    </w:rPr>
  </w:style>
  <w:style w:type="character" w:customStyle="1" w:styleId="76">
    <w:name w:val="正文文本缩进 3 Char"/>
    <w:basedOn w:val="41"/>
    <w:link w:val="30"/>
    <w:qFormat/>
    <w:uiPriority w:val="0"/>
    <w:rPr>
      <w:rFonts w:ascii="Times New Roman" w:hAnsi="Times New Roman" w:eastAsia="宋体" w:cs="Times New Roman"/>
      <w:sz w:val="16"/>
      <w:szCs w:val="16"/>
    </w:rPr>
  </w:style>
  <w:style w:type="character" w:customStyle="1" w:styleId="77">
    <w:name w:val="标题 Char"/>
    <w:basedOn w:val="41"/>
    <w:link w:val="35"/>
    <w:qFormat/>
    <w:uiPriority w:val="0"/>
    <w:rPr>
      <w:rFonts w:ascii="Arial" w:hAnsi="Arial" w:eastAsia="宋体" w:cs="Times New Roman"/>
      <w:b/>
      <w:kern w:val="0"/>
      <w:sz w:val="32"/>
      <w:szCs w:val="20"/>
    </w:rPr>
  </w:style>
  <w:style w:type="character" w:customStyle="1" w:styleId="78">
    <w:name w:val="批注主题 Char"/>
    <w:basedOn w:val="65"/>
    <w:link w:val="36"/>
    <w:qFormat/>
    <w:uiPriority w:val="0"/>
    <w:rPr>
      <w:rFonts w:ascii="Times New Roman" w:hAnsi="Times New Roman" w:eastAsia="宋体" w:cs="Times New Roman"/>
      <w:b/>
      <w:bCs/>
      <w:szCs w:val="24"/>
    </w:rPr>
  </w:style>
  <w:style w:type="character" w:customStyle="1" w:styleId="79">
    <w:name w:val="hover5"/>
    <w:qFormat/>
    <w:uiPriority w:val="0"/>
  </w:style>
  <w:style w:type="character" w:customStyle="1" w:styleId="80">
    <w:name w:val="hover45"/>
    <w:qFormat/>
    <w:uiPriority w:val="0"/>
  </w:style>
  <w:style w:type="character" w:customStyle="1" w:styleId="81">
    <w:name w:val="spaninhover"/>
    <w:qFormat/>
    <w:uiPriority w:val="0"/>
    <w:rPr>
      <w:color w:val="000000"/>
    </w:rPr>
  </w:style>
  <w:style w:type="character" w:customStyle="1" w:styleId="82">
    <w:name w:val="line14"/>
    <w:qFormat/>
    <w:uiPriority w:val="0"/>
  </w:style>
  <w:style w:type="character" w:customStyle="1" w:styleId="83">
    <w:name w:val="Char Char8"/>
    <w:qFormat/>
    <w:uiPriority w:val="0"/>
    <w:rPr>
      <w:rFonts w:ascii="Arial" w:hAnsi="Arial" w:eastAsia="黑体"/>
      <w:b/>
      <w:bCs/>
      <w:kern w:val="2"/>
      <w:sz w:val="32"/>
      <w:szCs w:val="32"/>
      <w:lang w:val="en-US" w:eastAsia="zh-CN" w:bidi="ar-SA"/>
    </w:rPr>
  </w:style>
  <w:style w:type="character" w:customStyle="1" w:styleId="84">
    <w:name w:val="font122"/>
    <w:qFormat/>
    <w:uiPriority w:val="0"/>
    <w:rPr>
      <w:rFonts w:hint="eastAsia" w:ascii="宋体" w:hAnsi="宋体" w:eastAsia="宋体" w:cs="宋体"/>
      <w:color w:val="000000"/>
      <w:sz w:val="28"/>
      <w:szCs w:val="28"/>
      <w:u w:val="none"/>
    </w:rPr>
  </w:style>
  <w:style w:type="character" w:customStyle="1" w:styleId="85">
    <w:name w:val="english"/>
    <w:qFormat/>
    <w:uiPriority w:val="0"/>
    <w:rPr>
      <w:rFonts w:ascii="微软雅黑" w:hAnsi="微软雅黑" w:eastAsia="微软雅黑" w:cs="微软雅黑"/>
      <w:color w:val="000000"/>
      <w:sz w:val="12"/>
      <w:szCs w:val="12"/>
    </w:rPr>
  </w:style>
  <w:style w:type="character" w:customStyle="1" w:styleId="86">
    <w:name w:val="hover43"/>
    <w:qFormat/>
    <w:uiPriority w:val="0"/>
    <w:rPr>
      <w:color w:val="009BAE"/>
    </w:rPr>
  </w:style>
  <w:style w:type="character" w:customStyle="1" w:styleId="87">
    <w:name w:val="hover4"/>
    <w:qFormat/>
    <w:uiPriority w:val="0"/>
    <w:rPr>
      <w:color w:val="FFFFFF"/>
      <w:u w:val="single"/>
    </w:rPr>
  </w:style>
  <w:style w:type="character" w:customStyle="1" w:styleId="88">
    <w:name w:val="input-icon2"/>
    <w:qFormat/>
    <w:uiPriority w:val="0"/>
  </w:style>
  <w:style w:type="character" w:customStyle="1" w:styleId="89">
    <w:name w:val="hover1"/>
    <w:qFormat/>
    <w:uiPriority w:val="0"/>
    <w:rPr>
      <w:color w:val="2EC3CC"/>
    </w:rPr>
  </w:style>
  <w:style w:type="character" w:customStyle="1" w:styleId="90">
    <w:name w:val="hover42"/>
    <w:qFormat/>
    <w:uiPriority w:val="0"/>
    <w:rPr>
      <w:color w:val="FFFFFF"/>
      <w:u w:val="single"/>
    </w:rPr>
  </w:style>
  <w:style w:type="character" w:customStyle="1" w:styleId="91">
    <w:name w:val="spaninhover1"/>
    <w:qFormat/>
    <w:uiPriority w:val="0"/>
    <w:rPr>
      <w:color w:val="000000"/>
    </w:rPr>
  </w:style>
  <w:style w:type="character" w:customStyle="1" w:styleId="92">
    <w:name w:val="hover44"/>
    <w:qFormat/>
    <w:uiPriority w:val="0"/>
    <w:rPr>
      <w:color w:val="2EC3CC"/>
    </w:rPr>
  </w:style>
  <w:style w:type="character" w:customStyle="1" w:styleId="93">
    <w:name w:val="input-icon"/>
    <w:qFormat/>
    <w:uiPriority w:val="0"/>
  </w:style>
  <w:style w:type="character" w:customStyle="1" w:styleId="94">
    <w:name w:val="before1"/>
    <w:qFormat/>
    <w:uiPriority w:val="0"/>
    <w:rPr>
      <w:rFonts w:hint="default" w:ascii="FontAwesome" w:hAnsi="FontAwesome" w:eastAsia="FontAwesome" w:cs="FontAwesome"/>
      <w:color w:val="888888"/>
    </w:rPr>
  </w:style>
  <w:style w:type="character" w:customStyle="1" w:styleId="95">
    <w:name w:val="english1"/>
    <w:qFormat/>
    <w:uiPriority w:val="0"/>
    <w:rPr>
      <w:rFonts w:hint="eastAsia" w:ascii="微软雅黑" w:hAnsi="微软雅黑" w:eastAsia="微软雅黑" w:cs="微软雅黑"/>
      <w:i/>
      <w:caps/>
      <w:color w:val="9E9E9E"/>
      <w:sz w:val="21"/>
      <w:szCs w:val="21"/>
    </w:rPr>
  </w:style>
  <w:style w:type="character" w:customStyle="1" w:styleId="96">
    <w:name w:val="Char Char7"/>
    <w:qFormat/>
    <w:uiPriority w:val="0"/>
    <w:rPr>
      <w:rFonts w:ascii="Arial" w:hAnsi="Arial" w:eastAsia="黑体"/>
      <w:b/>
      <w:bCs/>
      <w:kern w:val="2"/>
      <w:sz w:val="32"/>
      <w:szCs w:val="32"/>
      <w:lang w:val="en-US" w:eastAsia="zh-CN" w:bidi="ar-SA"/>
    </w:rPr>
  </w:style>
  <w:style w:type="character" w:customStyle="1" w:styleId="97">
    <w:name w:val="time2"/>
    <w:qFormat/>
    <w:uiPriority w:val="0"/>
  </w:style>
  <w:style w:type="character" w:customStyle="1" w:styleId="98">
    <w:name w:val="line12"/>
    <w:qFormat/>
    <w:uiPriority w:val="0"/>
    <w:rPr>
      <w:color w:val="3F4C84"/>
    </w:rPr>
  </w:style>
  <w:style w:type="character" w:customStyle="1" w:styleId="99">
    <w:name w:val="hover3"/>
    <w:qFormat/>
    <w:uiPriority w:val="0"/>
    <w:rPr>
      <w:color w:val="2EC3CC"/>
    </w:rPr>
  </w:style>
  <w:style w:type="character" w:customStyle="1" w:styleId="100">
    <w:name w:val="font161"/>
    <w:qFormat/>
    <w:uiPriority w:val="0"/>
    <w:rPr>
      <w:b/>
      <w:bCs/>
      <w:sz w:val="32"/>
      <w:szCs w:val="32"/>
    </w:rPr>
  </w:style>
  <w:style w:type="character" w:customStyle="1" w:styleId="101">
    <w:name w:val="Char Char2"/>
    <w:qFormat/>
    <w:uiPriority w:val="0"/>
    <w:rPr>
      <w:rFonts w:eastAsia="宋体"/>
      <w:kern w:val="2"/>
      <w:sz w:val="21"/>
      <w:szCs w:val="24"/>
      <w:lang w:val="en-US" w:eastAsia="zh-CN" w:bidi="ar-SA"/>
    </w:rPr>
  </w:style>
  <w:style w:type="character" w:customStyle="1" w:styleId="102">
    <w:name w:val="hover41"/>
    <w:qFormat/>
    <w:uiPriority w:val="0"/>
    <w:rPr>
      <w:color w:val="2EC3CC"/>
    </w:rPr>
  </w:style>
  <w:style w:type="character" w:customStyle="1" w:styleId="103">
    <w:name w:val="hover40"/>
    <w:qFormat/>
    <w:uiPriority w:val="0"/>
  </w:style>
  <w:style w:type="character" w:customStyle="1" w:styleId="104">
    <w:name w:val="before"/>
    <w:qFormat/>
    <w:uiPriority w:val="0"/>
    <w:rPr>
      <w:rFonts w:hint="default" w:ascii="FontAwesome" w:hAnsi="FontAwesome" w:eastAsia="FontAwesome" w:cs="FontAwesome"/>
      <w:color w:val="888888"/>
    </w:rPr>
  </w:style>
  <w:style w:type="character" w:customStyle="1" w:styleId="105">
    <w:name w:val="time"/>
    <w:qFormat/>
    <w:uiPriority w:val="0"/>
  </w:style>
  <w:style w:type="character" w:customStyle="1" w:styleId="106">
    <w:name w:val="hover"/>
    <w:qFormat/>
    <w:uiPriority w:val="0"/>
    <w:rPr>
      <w:color w:val="009BAE"/>
    </w:rPr>
  </w:style>
  <w:style w:type="character" w:customStyle="1" w:styleId="107">
    <w:name w:val="time1"/>
    <w:qFormat/>
    <w:uiPriority w:val="0"/>
  </w:style>
  <w:style w:type="character" w:customStyle="1" w:styleId="108">
    <w:name w:val="hover2"/>
    <w:qFormat/>
    <w:uiPriority w:val="0"/>
  </w:style>
  <w:style w:type="character" w:customStyle="1" w:styleId="109">
    <w:name w:val="Char Char"/>
    <w:qFormat/>
    <w:uiPriority w:val="0"/>
    <w:rPr>
      <w:rFonts w:ascii="Arial" w:hAnsi="Arial" w:eastAsia="黑体"/>
      <w:b/>
      <w:bCs/>
      <w:kern w:val="2"/>
      <w:sz w:val="32"/>
      <w:szCs w:val="32"/>
      <w:lang w:val="en-US" w:eastAsia="zh-CN" w:bidi="ar-SA"/>
    </w:rPr>
  </w:style>
  <w:style w:type="character" w:customStyle="1" w:styleId="110">
    <w:name w:val="english2"/>
    <w:qFormat/>
    <w:uiPriority w:val="0"/>
    <w:rPr>
      <w:rFonts w:hint="eastAsia" w:ascii="微软雅黑" w:hAnsi="微软雅黑" w:eastAsia="微软雅黑" w:cs="微软雅黑"/>
      <w:i/>
      <w:caps/>
      <w:color w:val="9E9E9E"/>
      <w:sz w:val="21"/>
      <w:szCs w:val="21"/>
    </w:rPr>
  </w:style>
  <w:style w:type="character" w:customStyle="1" w:styleId="111">
    <w:name w:val="title114"/>
    <w:qFormat/>
    <w:uiPriority w:val="0"/>
  </w:style>
  <w:style w:type="paragraph" w:customStyle="1" w:styleId="112">
    <w:name w:val="样式1"/>
    <w:basedOn w:val="5"/>
    <w:qFormat/>
    <w:uiPriority w:val="0"/>
    <w:rPr>
      <w:rFonts w:eastAsia="Arial"/>
    </w:rPr>
  </w:style>
  <w:style w:type="paragraph" w:customStyle="1" w:styleId="113">
    <w:name w:val="Char1 Char Char Char"/>
    <w:basedOn w:val="1"/>
    <w:qFormat/>
    <w:uiPriority w:val="0"/>
    <w:rPr>
      <w:szCs w:val="20"/>
    </w:rPr>
  </w:style>
  <w:style w:type="paragraph" w:customStyle="1" w:styleId="114">
    <w:name w:val="表格"/>
    <w:basedOn w:val="1"/>
    <w:qFormat/>
    <w:uiPriority w:val="0"/>
    <w:pPr>
      <w:jc w:val="center"/>
      <w:textAlignment w:val="center"/>
    </w:pPr>
    <w:rPr>
      <w:rFonts w:ascii="华文细黑" w:hAnsi="华文细黑"/>
      <w:kern w:val="0"/>
      <w:szCs w:val="20"/>
    </w:rPr>
  </w:style>
  <w:style w:type="paragraph" w:customStyle="1" w:styleId="115">
    <w:name w:val="1"/>
    <w:basedOn w:val="1"/>
    <w:next w:val="1"/>
    <w:qFormat/>
    <w:uiPriority w:val="0"/>
  </w:style>
  <w:style w:type="paragraph" w:customStyle="1" w:styleId="116">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117">
    <w:name w:val="p0"/>
    <w:basedOn w:val="1"/>
    <w:qFormat/>
    <w:uiPriority w:val="0"/>
    <w:pPr>
      <w:widowControl/>
    </w:pPr>
    <w:rPr>
      <w:kern w:val="0"/>
      <w:szCs w:val="21"/>
    </w:rPr>
  </w:style>
  <w:style w:type="paragraph" w:customStyle="1" w:styleId="118">
    <w:name w:val="样式2"/>
    <w:basedOn w:val="5"/>
    <w:qFormat/>
    <w:uiPriority w:val="0"/>
  </w:style>
  <w:style w:type="paragraph" w:customStyle="1" w:styleId="119">
    <w:name w:val="正文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0">
    <w:name w:val="样式3"/>
    <w:basedOn w:val="5"/>
    <w:qFormat/>
    <w:uiPriority w:val="0"/>
    <w:rPr>
      <w:rFonts w:eastAsia="Arial"/>
    </w:rPr>
  </w:style>
  <w:style w:type="paragraph" w:customStyle="1" w:styleId="121">
    <w:name w:val="样式4"/>
    <w:basedOn w:val="5"/>
    <w:qFormat/>
    <w:uiPriority w:val="0"/>
    <w:rPr>
      <w:rFonts w:eastAsia="Arial"/>
    </w:rPr>
  </w:style>
  <w:style w:type="paragraph" w:customStyle="1" w:styleId="122">
    <w:name w:val="Char"/>
    <w:basedOn w:val="1"/>
    <w:qFormat/>
    <w:uiPriority w:val="0"/>
    <w:pPr>
      <w:tabs>
        <w:tab w:val="left" w:pos="360"/>
      </w:tabs>
    </w:pPr>
    <w:rPr>
      <w:sz w:val="24"/>
    </w:rPr>
  </w:style>
  <w:style w:type="paragraph" w:customStyle="1" w:styleId="123">
    <w:name w:val="表格文字"/>
    <w:basedOn w:val="1"/>
    <w:qFormat/>
    <w:uiPriority w:val="0"/>
    <w:pPr>
      <w:adjustRightInd w:val="0"/>
      <w:spacing w:line="420" w:lineRule="atLeast"/>
      <w:jc w:val="left"/>
      <w:textAlignment w:val="baseline"/>
    </w:pPr>
    <w:rPr>
      <w:kern w:val="0"/>
      <w:szCs w:val="20"/>
    </w:rPr>
  </w:style>
  <w:style w:type="paragraph" w:customStyle="1" w:styleId="124">
    <w:name w:val="z-窗体顶端1"/>
    <w:basedOn w:val="1"/>
    <w:next w:val="1"/>
    <w:link w:val="125"/>
    <w:qFormat/>
    <w:uiPriority w:val="0"/>
    <w:pPr>
      <w:pBdr>
        <w:bottom w:val="single" w:color="auto" w:sz="6" w:space="1"/>
      </w:pBdr>
      <w:jc w:val="center"/>
    </w:pPr>
    <w:rPr>
      <w:rFonts w:ascii="Arial"/>
      <w:vanish/>
      <w:sz w:val="16"/>
    </w:rPr>
  </w:style>
  <w:style w:type="character" w:customStyle="1" w:styleId="125">
    <w:name w:val="z-窗体顶端 Char"/>
    <w:basedOn w:val="41"/>
    <w:link w:val="124"/>
    <w:qFormat/>
    <w:uiPriority w:val="0"/>
    <w:rPr>
      <w:rFonts w:ascii="Arial" w:hAnsi="Times New Roman" w:eastAsia="宋体" w:cs="Times New Roman"/>
      <w:vanish/>
      <w:sz w:val="16"/>
      <w:szCs w:val="24"/>
    </w:rPr>
  </w:style>
  <w:style w:type="paragraph" w:customStyle="1" w:styleId="126">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27">
    <w:name w:val="样式 标题 2 + Times New Roman 四号 非加粗 段前: 5 磅 段后: 0 磅 行距: 固定值 20..."/>
    <w:basedOn w:val="2"/>
    <w:qFormat/>
    <w:uiPriority w:val="0"/>
    <w:pPr>
      <w:spacing w:before="100" w:after="0" w:line="400" w:lineRule="exact"/>
    </w:pPr>
    <w:rPr>
      <w:rFonts w:ascii="Times New Roman" w:hAnsi="Times New Roman" w:cs="宋体"/>
      <w:b w:val="0"/>
      <w:bCs w:val="0"/>
      <w:sz w:val="28"/>
      <w:szCs w:val="20"/>
    </w:rPr>
  </w:style>
  <w:style w:type="paragraph" w:customStyle="1" w:styleId="128">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val="0"/>
      <w:sz w:val="32"/>
      <w:szCs w:val="20"/>
    </w:rPr>
  </w:style>
  <w:style w:type="paragraph" w:customStyle="1" w:styleId="129">
    <w:name w:val="z-窗体底端1"/>
    <w:basedOn w:val="1"/>
    <w:next w:val="1"/>
    <w:link w:val="130"/>
    <w:qFormat/>
    <w:uiPriority w:val="0"/>
    <w:pPr>
      <w:pBdr>
        <w:top w:val="single" w:color="auto" w:sz="6" w:space="1"/>
      </w:pBdr>
      <w:jc w:val="center"/>
    </w:pPr>
    <w:rPr>
      <w:rFonts w:ascii="Arial"/>
      <w:vanish/>
      <w:sz w:val="16"/>
    </w:rPr>
  </w:style>
  <w:style w:type="character" w:customStyle="1" w:styleId="130">
    <w:name w:val="z-窗体底端 Char"/>
    <w:basedOn w:val="41"/>
    <w:link w:val="129"/>
    <w:qFormat/>
    <w:uiPriority w:val="0"/>
    <w:rPr>
      <w:rFonts w:ascii="Arial" w:hAnsi="Times New Roman" w:eastAsia="宋体" w:cs="Times New Roman"/>
      <w:vanish/>
      <w:sz w:val="16"/>
      <w:szCs w:val="24"/>
    </w:rPr>
  </w:style>
  <w:style w:type="paragraph" w:customStyle="1" w:styleId="131">
    <w:name w:val="Char1"/>
    <w:basedOn w:val="1"/>
    <w:qFormat/>
    <w:uiPriority w:val="0"/>
    <w:rPr>
      <w:rFonts w:ascii="Tahoma" w:hAnsi="Tahoma" w:cs="Tahoma"/>
      <w:sz w:val="24"/>
    </w:rPr>
  </w:style>
  <w:style w:type="character" w:customStyle="1" w:styleId="132">
    <w:name w:val="标题 2 字符"/>
    <w:qFormat/>
    <w:uiPriority w:val="0"/>
    <w:rPr>
      <w:rFonts w:ascii="Arial" w:hAnsi="Arial" w:eastAsia="黑体"/>
      <w:b/>
      <w:bCs/>
      <w:kern w:val="2"/>
      <w:sz w:val="32"/>
      <w:szCs w:val="32"/>
      <w:lang w:val="en-US" w:eastAsia="zh-CN" w:bidi="ar-SA"/>
    </w:rPr>
  </w:style>
  <w:style w:type="paragraph" w:customStyle="1" w:styleId="133">
    <w:name w:val="样式 Times New Roman 首行缩进:  2 字符"/>
    <w:basedOn w:val="1"/>
    <w:qFormat/>
    <w:uiPriority w:val="0"/>
    <w:pPr>
      <w:adjustRightInd w:val="0"/>
      <w:spacing w:line="0" w:lineRule="atLeast"/>
      <w:ind w:firstLine="200" w:firstLineChars="200"/>
    </w:pPr>
    <w:rPr>
      <w:rFonts w:cs="宋体" w:asciiTheme="minorHAnsi" w:hAnsiTheme="minorHAnsi" w:eastAsiaTheme="minorEastAsia"/>
      <w:szCs w:val="20"/>
    </w:rPr>
  </w:style>
  <w:style w:type="character" w:customStyle="1" w:styleId="134">
    <w:name w:val="f121"/>
    <w:qFormat/>
    <w:uiPriority w:val="0"/>
    <w:rPr>
      <w:sz w:val="18"/>
      <w:szCs w:val="18"/>
      <w:u w:val="none"/>
    </w:rPr>
  </w:style>
  <w:style w:type="character" w:customStyle="1" w:styleId="135">
    <w:name w:val="f14b1"/>
    <w:qFormat/>
    <w:uiPriority w:val="0"/>
    <w:rPr>
      <w:b/>
      <w:bCs/>
      <w:sz w:val="21"/>
      <w:szCs w:val="21"/>
    </w:rPr>
  </w:style>
  <w:style w:type="table" w:customStyle="1" w:styleId="136">
    <w:name w:val="Table Normal_0"/>
    <w:semiHidden/>
    <w:unhideWhenUsed/>
    <w:qFormat/>
    <w:uiPriority w:val="0"/>
    <w:tblPr>
      <w:tblCellMar>
        <w:top w:w="0" w:type="dxa"/>
        <w:left w:w="0" w:type="dxa"/>
        <w:bottom w:w="0" w:type="dxa"/>
        <w:right w:w="0" w:type="dxa"/>
      </w:tblCellMar>
    </w:tblPr>
  </w:style>
  <w:style w:type="character" w:customStyle="1" w:styleId="137">
    <w:name w:val="annotation reference"/>
    <w:qFormat/>
    <w:uiPriority w:val="0"/>
    <w:rPr>
      <w:rFonts w:ascii="Times New Roman" w:hAnsi="Times New Roman" w:eastAsia="宋体" w:cs="Times New Roman"/>
      <w:sz w:val="21"/>
      <w:szCs w:val="21"/>
    </w:rPr>
  </w:style>
  <w:style w:type="paragraph" w:customStyle="1" w:styleId="138">
    <w:name w:val="WPSOffice手动目录 1"/>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8EA594-B4CE-4041-A3AB-D49B40184B11}">
  <ds:schemaRefs/>
</ds:datastoreItem>
</file>

<file path=docProps/app.xml><?xml version="1.0" encoding="utf-8"?>
<Properties xmlns="http://schemas.openxmlformats.org/officeDocument/2006/extended-properties" xmlns:vt="http://schemas.openxmlformats.org/officeDocument/2006/docPropsVTypes">
  <Template>Normal</Template>
  <Pages>169</Pages>
  <Words>81792</Words>
  <Characters>88235</Characters>
  <Lines>175</Lines>
  <Paragraphs>49</Paragraphs>
  <TotalTime>26</TotalTime>
  <ScaleCrop>false</ScaleCrop>
  <LinksUpToDate>false</LinksUpToDate>
  <CharactersWithSpaces>92550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2021-11-12T15:57:00Z</dcterms:created>
  <dc:creator>X13</dc:creator>
  <cp:lastModifiedBy>从心下手</cp:lastModifiedBy>
  <dcterms:modified xsi:type="dcterms:W3CDTF">2023-04-11T04:12:38Z</dcterms:modified>
  <cp:revision>229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DF1FAE37803045B79AC07FE45BEC1C45</vt:lpwstr>
  </property>
  <property fmtid="{D5CDD505-2E9C-101B-9397-08002B2CF9AE}" pid="3" name="KSOProductBuildVer">
    <vt:lpwstr>2052-11.1.0.14036</vt:lpwstr>
  </property>
</Properties>
</file>