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pPr>
    </w:p>
    <w:p>
      <w:pPr>
        <w:ind w:firstLine="0" w:firstLineChars="0"/>
        <w:jc w:val="center"/>
        <w:rPr>
          <w:rFonts w:ascii="方正小标宋简体" w:hAnsi="方正小标宋简体" w:eastAsia="方正小标宋简体" w:cs="宋体"/>
          <w:sz w:val="72"/>
          <w:szCs w:val="44"/>
        </w:rPr>
      </w:pPr>
      <w:r>
        <w:rPr>
          <w:rFonts w:hint="eastAsia" w:ascii="方正小标宋简体" w:hAnsi="方正小标宋简体" w:eastAsia="方正小标宋简体" w:cs="宋体"/>
          <w:sz w:val="72"/>
          <w:szCs w:val="44"/>
        </w:rPr>
        <w:t>政府采购项目</w:t>
      </w:r>
    </w:p>
    <w:p>
      <w:pPr>
        <w:ind w:firstLine="0" w:firstLineChars="0"/>
        <w:jc w:val="center"/>
        <w:rPr>
          <w:rFonts w:ascii="方正小标宋简体" w:hAnsi="方正小标宋简体" w:eastAsia="方正小标宋简体" w:cs="宋体"/>
          <w:sz w:val="72"/>
          <w:szCs w:val="44"/>
        </w:rPr>
      </w:pPr>
      <w:r>
        <w:rPr>
          <w:rFonts w:hint="eastAsia" w:ascii="方正小标宋简体" w:hAnsi="方正小标宋简体" w:eastAsia="方正小标宋简体" w:cs="宋体"/>
          <w:sz w:val="72"/>
          <w:szCs w:val="44"/>
        </w:rPr>
        <w:t>采购需求确定书</w:t>
      </w:r>
    </w:p>
    <w:p>
      <w:pPr>
        <w:ind w:firstLine="0" w:firstLineChars="0"/>
        <w:jc w:val="center"/>
        <w:rPr>
          <w:rFonts w:ascii="方正小标宋简体" w:hAnsi="方正小标宋简体" w:eastAsia="方正小标宋简体"/>
          <w:sz w:val="44"/>
          <w:szCs w:val="44"/>
        </w:rPr>
      </w:pPr>
    </w:p>
    <w:p>
      <w:pPr>
        <w:pStyle w:val="14"/>
        <w:ind w:firstLine="880"/>
        <w:rPr>
          <w:rFonts w:ascii="方正小标宋简体" w:hAnsi="方正小标宋简体" w:eastAsia="方正小标宋简体"/>
          <w:sz w:val="44"/>
          <w:szCs w:val="44"/>
        </w:rPr>
      </w:pPr>
    </w:p>
    <w:p>
      <w:pPr>
        <w:pStyle w:val="14"/>
        <w:ind w:firstLine="880"/>
        <w:rPr>
          <w:rFonts w:ascii="方正小标宋简体" w:hAnsi="方正小标宋简体" w:eastAsia="方正小标宋简体"/>
          <w:sz w:val="44"/>
          <w:szCs w:val="44"/>
        </w:rPr>
      </w:pPr>
    </w:p>
    <w:p>
      <w:pPr>
        <w:pStyle w:val="14"/>
        <w:ind w:firstLine="880"/>
        <w:rPr>
          <w:rFonts w:ascii="方正小标宋简体" w:hAnsi="方正小标宋简体" w:eastAsia="方正小标宋简体"/>
          <w:sz w:val="44"/>
          <w:szCs w:val="44"/>
        </w:rPr>
      </w:pPr>
    </w:p>
    <w:p>
      <w:pPr>
        <w:pStyle w:val="14"/>
        <w:ind w:firstLine="0" w:firstLineChars="0"/>
        <w:rPr>
          <w:rFonts w:ascii="方正小标宋简体" w:hAnsi="方正小标宋简体" w:eastAsia="方正小标宋简体"/>
          <w:sz w:val="44"/>
          <w:szCs w:val="44"/>
        </w:rPr>
      </w:pPr>
    </w:p>
    <w:p>
      <w:pPr>
        <w:ind w:firstLine="0" w:firstLineChars="0"/>
        <w:rPr>
          <w:rFonts w:ascii="方正小标宋简体" w:hAnsi="方正小标宋简体" w:eastAsia="方正小标宋简体"/>
          <w:szCs w:val="32"/>
          <w:u w:val="single"/>
        </w:rPr>
      </w:pPr>
      <w:r>
        <w:rPr>
          <w:rFonts w:ascii="方正小标宋简体" w:hAnsi="方正小标宋简体" w:eastAsia="方正小标宋简体"/>
          <w:szCs w:val="32"/>
        </w:rPr>
        <w:t>项目名称</w:t>
      </w:r>
      <w:r>
        <w:rPr>
          <w:rFonts w:hint="eastAsia" w:ascii="方正小标宋简体" w:hAnsi="方正小标宋简体" w:eastAsia="方正小标宋简体"/>
          <w:szCs w:val="32"/>
        </w:rPr>
        <w:t>：</w:t>
      </w:r>
      <w:r>
        <w:rPr>
          <w:rFonts w:hint="eastAsia" w:ascii="方正小标宋简体" w:hAnsi="方正小标宋简体" w:eastAsia="方正小标宋简体"/>
          <w:szCs w:val="32"/>
          <w:u w:val="single"/>
        </w:rPr>
        <w:t>海口湾演艺中心和海口演艺新空间二期运营项目</w:t>
      </w:r>
    </w:p>
    <w:p>
      <w:pPr>
        <w:ind w:firstLine="0" w:firstLineChars="0"/>
        <w:rPr>
          <w:rFonts w:ascii="方正小标宋简体" w:hAnsi="方正小标宋简体" w:eastAsia="方正小标宋简体"/>
          <w:szCs w:val="32"/>
          <w:u w:val="single"/>
        </w:rPr>
      </w:pPr>
      <w:r>
        <w:rPr>
          <w:rFonts w:hint="eastAsia" w:ascii="方正小标宋简体" w:hAnsi="方正小标宋简体" w:eastAsia="方正小标宋简体"/>
          <w:szCs w:val="32"/>
        </w:rPr>
        <w:t>采购单位：</w:t>
      </w:r>
      <w:r>
        <w:rPr>
          <w:rFonts w:hint="eastAsia" w:ascii="方正小标宋简体" w:hAnsi="方正小标宋简体" w:eastAsia="方正小标宋简体"/>
          <w:szCs w:val="32"/>
          <w:u w:val="single"/>
        </w:rPr>
        <w:t>海口市旅游和文化广电体育局</w:t>
      </w:r>
    </w:p>
    <w:p>
      <w:pPr>
        <w:ind w:firstLine="0" w:firstLineChars="0"/>
        <w:rPr>
          <w:rFonts w:ascii="方正小标宋简体" w:hAnsi="方正小标宋简体" w:eastAsia="方正小标宋简体"/>
          <w:szCs w:val="32"/>
          <w:u w:val="single"/>
        </w:rPr>
      </w:pPr>
      <w:r>
        <w:rPr>
          <w:rFonts w:hint="eastAsia" w:ascii="方正小标宋简体" w:hAnsi="方正小标宋简体" w:eastAsia="方正小标宋简体"/>
          <w:szCs w:val="32"/>
        </w:rPr>
        <w:t>编制单位：</w:t>
      </w:r>
      <w:r>
        <w:rPr>
          <w:rFonts w:hint="eastAsia" w:ascii="方正小标宋简体" w:hAnsi="方正小标宋简体" w:eastAsia="方正小标宋简体"/>
          <w:szCs w:val="32"/>
          <w:u w:val="single"/>
        </w:rPr>
        <w:t>海口市旅游和文化广电体育局</w:t>
      </w:r>
    </w:p>
    <w:p>
      <w:pPr>
        <w:ind w:firstLine="0" w:firstLineChars="0"/>
        <w:rPr>
          <w:rFonts w:ascii="方正小标宋简体" w:hAnsi="方正小标宋简体" w:eastAsia="方正小标宋简体"/>
          <w:szCs w:val="32"/>
          <w:u w:val="single"/>
        </w:rPr>
      </w:pPr>
      <w:r>
        <w:rPr>
          <w:rFonts w:hint="eastAsia" w:ascii="方正小标宋简体" w:hAnsi="方正小标宋简体" w:eastAsia="方正小标宋简体"/>
          <w:szCs w:val="32"/>
        </w:rPr>
        <w:t>编制时间：</w:t>
      </w:r>
      <w:r>
        <w:rPr>
          <w:rFonts w:hint="eastAsia" w:ascii="方正小标宋简体" w:hAnsi="方正小标宋简体" w:eastAsia="方正小标宋简体"/>
          <w:szCs w:val="32"/>
          <w:u w:val="single"/>
        </w:rPr>
        <w:t>2023年</w:t>
      </w:r>
      <w:r>
        <w:rPr>
          <w:rFonts w:hint="eastAsia" w:ascii="方正小标宋简体" w:hAnsi="方正小标宋简体" w:eastAsia="方正小标宋简体"/>
          <w:szCs w:val="32"/>
          <w:u w:val="single"/>
          <w:lang w:val="en-US" w:eastAsia="zh-CN"/>
        </w:rPr>
        <w:t>3</w:t>
      </w:r>
      <w:r>
        <w:rPr>
          <w:rFonts w:hint="eastAsia" w:ascii="方正小标宋简体" w:hAnsi="方正小标宋简体" w:eastAsia="方正小标宋简体"/>
          <w:szCs w:val="32"/>
          <w:u w:val="single"/>
        </w:rPr>
        <w:t>月  日</w:t>
      </w:r>
    </w:p>
    <w:p>
      <w:pPr>
        <w:ind w:firstLine="880"/>
        <w:rPr>
          <w:rFonts w:ascii="方正小标宋简体" w:hAnsi="方正小标宋简体" w:eastAsia="方正小标宋简体"/>
          <w:sz w:val="44"/>
          <w:szCs w:val="44"/>
        </w:rPr>
      </w:pPr>
    </w:p>
    <w:p>
      <w:pPr>
        <w:ind w:firstLine="880"/>
        <w:rPr>
          <w:rFonts w:ascii="方正小标宋简体" w:hAnsi="方正小标宋简体" w:eastAsia="方正小标宋简体"/>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2098" w:right="1418" w:bottom="1985" w:left="1588" w:header="851" w:footer="992" w:gutter="0"/>
          <w:pgNumType w:start="1"/>
          <w:cols w:space="720" w:num="1"/>
          <w:docGrid w:type="lines" w:linePitch="312" w:charSpace="0"/>
        </w:sectPr>
      </w:pPr>
    </w:p>
    <w:p>
      <w:pPr>
        <w:ind w:firstLine="880"/>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 xml:space="preserve">编 制 </w:t>
      </w:r>
      <w:r>
        <w:rPr>
          <w:rFonts w:ascii="方正小标宋简体" w:hAnsi="方正小标宋简体" w:eastAsia="方正小标宋简体"/>
          <w:sz w:val="44"/>
          <w:szCs w:val="44"/>
        </w:rPr>
        <w:t>说</w:t>
      </w:r>
      <w:r>
        <w:rPr>
          <w:rFonts w:hint="eastAsia" w:ascii="方正小标宋简体" w:hAnsi="方正小标宋简体" w:eastAsia="方正小标宋简体"/>
          <w:sz w:val="44"/>
          <w:szCs w:val="44"/>
        </w:rPr>
        <w:t xml:space="preserve"> </w:t>
      </w:r>
      <w:r>
        <w:rPr>
          <w:rFonts w:ascii="方正小标宋简体" w:hAnsi="方正小标宋简体" w:eastAsia="方正小标宋简体"/>
          <w:sz w:val="44"/>
          <w:szCs w:val="44"/>
        </w:rPr>
        <w:t>明</w:t>
      </w:r>
    </w:p>
    <w:p>
      <w:pPr>
        <w:spacing w:line="560" w:lineRule="exact"/>
        <w:ind w:firstLine="640"/>
        <w:rPr>
          <w:rFonts w:ascii="仿宋" w:hAnsi="仿宋" w:eastAsia="仿宋"/>
          <w:szCs w:val="32"/>
        </w:rPr>
      </w:pPr>
    </w:p>
    <w:p>
      <w:pPr>
        <w:spacing w:line="560" w:lineRule="exact"/>
        <w:ind w:firstLine="640"/>
        <w:rPr>
          <w:rFonts w:hAnsi="仿宋"/>
          <w:szCs w:val="32"/>
        </w:rPr>
      </w:pPr>
      <w:r>
        <w:rPr>
          <w:rFonts w:hint="eastAsia" w:hAnsi="仿宋"/>
          <w:szCs w:val="32"/>
        </w:rPr>
        <w:t>一、采购单位可以自行组织编制采购需求，也可以委托采购代理机构或者其他第三方机构编制。</w:t>
      </w:r>
    </w:p>
    <w:p>
      <w:pPr>
        <w:spacing w:line="560" w:lineRule="exact"/>
        <w:ind w:firstLine="640"/>
        <w:rPr>
          <w:rFonts w:hAnsi="仿宋"/>
          <w:szCs w:val="32"/>
        </w:rPr>
      </w:pPr>
      <w:r>
        <w:rPr>
          <w:rFonts w:hint="eastAsia" w:hAnsi="仿宋"/>
          <w:szCs w:val="32"/>
        </w:rPr>
        <w:t>二、编制的采购需求应当符合《办法》要求及政府采购的相关规定。</w:t>
      </w:r>
    </w:p>
    <w:p>
      <w:pPr>
        <w:spacing w:line="560" w:lineRule="exact"/>
        <w:ind w:firstLine="640"/>
        <w:rPr>
          <w:rFonts w:hAnsi="仿宋"/>
          <w:szCs w:val="32"/>
        </w:rPr>
      </w:pPr>
      <w:r>
        <w:rPr>
          <w:rFonts w:hint="eastAsia" w:hAnsi="仿宋"/>
          <w:szCs w:val="32"/>
        </w:rPr>
        <w:t>三、斜体字部分属于提醒内容，编制时应删除。</w:t>
      </w:r>
    </w:p>
    <w:p>
      <w:pPr>
        <w:ind w:firstLine="640"/>
      </w:pPr>
      <w:r>
        <w:rPr>
          <w:rFonts w:hint="eastAsia" w:hAnsi="仿宋"/>
          <w:szCs w:val="32"/>
        </w:rPr>
        <w:t>四、对不适用的内容应删除，并调整相应序号。</w:t>
      </w:r>
    </w:p>
    <w:p>
      <w:pPr>
        <w:ind w:firstLine="640"/>
      </w:pPr>
      <w:r>
        <w:rPr>
          <w:rFonts w:hint="eastAsia"/>
        </w:rPr>
        <w:br w:type="page"/>
      </w:r>
    </w:p>
    <w:p>
      <w:pPr>
        <w:pStyle w:val="4"/>
        <w:rPr>
          <w:rFonts w:hint="default"/>
        </w:rPr>
      </w:pPr>
      <w:r>
        <w:t>一、需求调查情况</w:t>
      </w:r>
    </w:p>
    <w:p>
      <w:pPr>
        <w:pStyle w:val="5"/>
        <w:ind w:firstLine="643"/>
      </w:pPr>
      <w:r>
        <w:rPr>
          <w:rFonts w:hint="eastAsia"/>
        </w:rPr>
        <w:t>（一）是否开展需求调查</w:t>
      </w:r>
    </w:p>
    <w:p>
      <w:pPr>
        <w:ind w:firstLine="640"/>
      </w:pPr>
      <w:r>
        <w:rPr>
          <w:rFonts w:hint="eastAsia"/>
          <w:u w:val="single"/>
        </w:rPr>
        <w:t>本项目为艺术创作、表演和交流服务项目，不属于《政府采购需求管理办法》第十一条规定的应当开展需求调查的情形。本项目无需开展需求调查</w:t>
      </w:r>
      <w:r>
        <w:rPr>
          <w:rFonts w:hint="eastAsia"/>
        </w:rPr>
        <w:t>。</w:t>
      </w:r>
    </w:p>
    <w:p>
      <w:pPr>
        <w:pStyle w:val="4"/>
        <w:rPr>
          <w:rFonts w:hint="default" w:ascii="黑体" w:hAnsi="黑体"/>
          <w:szCs w:val="32"/>
        </w:rPr>
      </w:pPr>
      <w:r>
        <w:rPr>
          <w:rFonts w:ascii="黑体" w:hAnsi="黑体"/>
          <w:szCs w:val="32"/>
        </w:rPr>
        <w:t>二、需求清单</w:t>
      </w:r>
    </w:p>
    <w:p>
      <w:pPr>
        <w:pStyle w:val="5"/>
        <w:ind w:firstLine="643"/>
        <w:rPr>
          <w:rFonts w:ascii="楷体_GB2312" w:hAnsi="楷体" w:eastAsia="楷体_GB2312"/>
        </w:rPr>
      </w:pPr>
      <w:r>
        <w:rPr>
          <w:rFonts w:hint="eastAsia" w:ascii="楷体_GB2312" w:hAnsi="楷体" w:eastAsia="楷体_GB2312"/>
        </w:rPr>
        <w:t>（一）项目概况</w:t>
      </w:r>
    </w:p>
    <w:p>
      <w:pPr>
        <w:numPr>
          <w:ilvl w:val="0"/>
          <w:numId w:val="1"/>
        </w:numPr>
        <w:ind w:firstLineChars="0"/>
      </w:pPr>
      <w:r>
        <w:rPr>
          <w:rFonts w:hint="eastAsia"/>
        </w:rPr>
        <w:t>项目名称：海口湾演艺中心和海口演艺新空间二期运营项目</w:t>
      </w:r>
    </w:p>
    <w:p>
      <w:pPr>
        <w:numPr>
          <w:ilvl w:val="0"/>
          <w:numId w:val="1"/>
        </w:numPr>
        <w:ind w:firstLineChars="0"/>
      </w:pPr>
      <w:r>
        <w:rPr>
          <w:rFonts w:hint="eastAsia"/>
        </w:rPr>
        <w:t>采购预算：</w:t>
      </w:r>
      <w:r>
        <w:rPr>
          <w:rFonts w:hint="eastAsia"/>
          <w:lang w:val="en-US" w:eastAsia="zh-CN"/>
        </w:rPr>
        <w:t>480</w:t>
      </w:r>
      <w:r>
        <w:rPr>
          <w:rFonts w:hint="eastAsia"/>
        </w:rPr>
        <w:t>.00万元</w:t>
      </w:r>
    </w:p>
    <w:p>
      <w:pPr>
        <w:numPr>
          <w:ilvl w:val="0"/>
          <w:numId w:val="1"/>
        </w:numPr>
        <w:ind w:firstLineChars="0"/>
      </w:pPr>
      <w:r>
        <w:rPr>
          <w:rFonts w:hint="eastAsia"/>
        </w:rPr>
        <w:t>服务期限：合同签订之日起至2023年</w:t>
      </w:r>
      <w:r>
        <w:rPr>
          <w:rFonts w:hint="eastAsia"/>
          <w:lang w:val="en-US" w:eastAsia="zh-CN"/>
        </w:rPr>
        <w:t>6</w:t>
      </w:r>
      <w:r>
        <w:rPr>
          <w:rFonts w:hint="eastAsia"/>
        </w:rPr>
        <w:t>月3</w:t>
      </w:r>
      <w:r>
        <w:rPr>
          <w:rFonts w:hint="eastAsia"/>
          <w:lang w:val="en-US" w:eastAsia="zh-CN"/>
        </w:rPr>
        <w:t>0</w:t>
      </w:r>
      <w:r>
        <w:rPr>
          <w:rFonts w:hint="eastAsia"/>
        </w:rPr>
        <w:t>日</w:t>
      </w:r>
    </w:p>
    <w:p>
      <w:pPr>
        <w:numPr>
          <w:ilvl w:val="0"/>
          <w:numId w:val="1"/>
        </w:numPr>
        <w:ind w:firstLineChars="0"/>
      </w:pPr>
      <w:r>
        <w:rPr>
          <w:rFonts w:hint="eastAsia"/>
        </w:rPr>
        <w:t>服务地点及方式：采购人指定地点按</w:t>
      </w:r>
      <w:r>
        <w:rPr>
          <w:rFonts w:hint="eastAsia"/>
          <w:lang w:val="en-US" w:eastAsia="zh-CN"/>
        </w:rPr>
        <w:t>招标</w:t>
      </w:r>
      <w:r>
        <w:rPr>
          <w:rFonts w:hint="eastAsia"/>
        </w:rPr>
        <w:t>文件要求实施</w:t>
      </w:r>
    </w:p>
    <w:p>
      <w:pPr>
        <w:numPr>
          <w:ilvl w:val="0"/>
          <w:numId w:val="1"/>
        </w:numPr>
        <w:ind w:firstLineChars="0"/>
      </w:pPr>
      <w:r>
        <w:rPr>
          <w:rFonts w:hint="eastAsia"/>
        </w:rPr>
        <w:t>验收方式：按照国家有关标准的规定进行验收。</w:t>
      </w:r>
    </w:p>
    <w:p>
      <w:pPr>
        <w:pStyle w:val="5"/>
        <w:ind w:left="0" w:leftChars="0" w:firstLine="0" w:firstLineChars="0"/>
        <w:jc w:val="left"/>
        <w:rPr>
          <w:rFonts w:ascii="楷体_GB2312" w:hAnsi="楷体" w:eastAsia="楷体_GB2312"/>
        </w:rPr>
      </w:pPr>
      <w:r>
        <w:rPr>
          <w:rFonts w:hint="eastAsia" w:ascii="楷体_GB2312" w:hAnsi="楷体" w:eastAsia="楷体_GB2312"/>
        </w:rPr>
        <w:t>（二）采购项目预（概）算</w:t>
      </w:r>
    </w:p>
    <w:p>
      <w:pPr>
        <w:spacing w:line="560" w:lineRule="exact"/>
        <w:ind w:firstLine="640"/>
        <w:jc w:val="left"/>
        <w:rPr>
          <w:rFonts w:hAnsi="楷体"/>
          <w:szCs w:val="32"/>
          <w:u w:val="single"/>
        </w:rPr>
      </w:pPr>
      <w:r>
        <w:rPr>
          <w:rFonts w:hint="eastAsia" w:hAnsi="楷体"/>
          <w:szCs w:val="32"/>
        </w:rPr>
        <w:t>总 预 算：</w:t>
      </w:r>
      <w:r>
        <w:rPr>
          <w:rFonts w:hint="eastAsia" w:hAnsi="楷体"/>
          <w:szCs w:val="32"/>
          <w:u w:val="single"/>
          <w:lang w:val="en-US" w:eastAsia="zh-CN"/>
        </w:rPr>
        <w:t>480</w:t>
      </w:r>
      <w:r>
        <w:rPr>
          <w:rFonts w:hint="eastAsia" w:hAnsi="楷体"/>
          <w:szCs w:val="32"/>
          <w:u w:val="single"/>
        </w:rPr>
        <w:t>.00万元</w:t>
      </w:r>
    </w:p>
    <w:p>
      <w:pPr>
        <w:pStyle w:val="14"/>
        <w:ind w:firstLine="360"/>
      </w:pPr>
    </w:p>
    <w:p>
      <w:pPr>
        <w:pStyle w:val="5"/>
        <w:ind w:firstLine="643"/>
        <w:rPr>
          <w:rFonts w:ascii="楷体_GB2312" w:hAnsi="楷体" w:eastAsia="楷体_GB2312"/>
        </w:rPr>
      </w:pPr>
      <w:r>
        <w:rPr>
          <w:rFonts w:hint="eastAsia" w:ascii="楷体_GB2312" w:hAnsi="楷体" w:eastAsia="楷体_GB2312"/>
        </w:rPr>
        <w:t>（三）采购标的汇总表</w:t>
      </w:r>
    </w:p>
    <w:tbl>
      <w:tblPr>
        <w:tblStyle w:val="16"/>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690"/>
        <w:gridCol w:w="1356"/>
        <w:gridCol w:w="1236"/>
        <w:gridCol w:w="618"/>
        <w:gridCol w:w="762"/>
        <w:gridCol w:w="996"/>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699" w:type="dxa"/>
            <w:vAlign w:val="center"/>
          </w:tcPr>
          <w:p>
            <w:pPr>
              <w:spacing w:line="560" w:lineRule="exact"/>
              <w:ind w:firstLine="0" w:firstLineChars="0"/>
              <w:jc w:val="center"/>
              <w:rPr>
                <w:rFonts w:ascii="仿宋" w:hAnsi="仿宋" w:eastAsia="仿宋"/>
                <w:b/>
                <w:szCs w:val="32"/>
              </w:rPr>
            </w:pPr>
            <w:r>
              <w:rPr>
                <w:rFonts w:hint="eastAsia" w:ascii="仿宋" w:hAnsi="仿宋" w:eastAsia="仿宋"/>
                <w:b/>
                <w:szCs w:val="32"/>
              </w:rPr>
              <w:t>包号</w:t>
            </w:r>
          </w:p>
        </w:tc>
        <w:tc>
          <w:tcPr>
            <w:tcW w:w="690" w:type="dxa"/>
            <w:vAlign w:val="center"/>
          </w:tcPr>
          <w:p>
            <w:pPr>
              <w:spacing w:line="560" w:lineRule="exact"/>
              <w:ind w:firstLine="0" w:firstLineChars="0"/>
              <w:jc w:val="center"/>
              <w:rPr>
                <w:rFonts w:ascii="仿宋" w:hAnsi="仿宋" w:eastAsia="仿宋"/>
                <w:b/>
                <w:szCs w:val="32"/>
              </w:rPr>
            </w:pPr>
            <w:r>
              <w:rPr>
                <w:rFonts w:hint="eastAsia" w:ascii="仿宋" w:hAnsi="仿宋" w:eastAsia="仿宋"/>
                <w:b/>
                <w:szCs w:val="32"/>
              </w:rPr>
              <w:t>序号</w:t>
            </w:r>
          </w:p>
        </w:tc>
        <w:tc>
          <w:tcPr>
            <w:tcW w:w="1356" w:type="dxa"/>
            <w:vAlign w:val="center"/>
          </w:tcPr>
          <w:p>
            <w:pPr>
              <w:spacing w:line="560" w:lineRule="exact"/>
              <w:ind w:firstLine="0" w:firstLineChars="0"/>
              <w:jc w:val="center"/>
              <w:rPr>
                <w:rFonts w:ascii="仿宋" w:hAnsi="仿宋" w:eastAsia="仿宋"/>
                <w:b/>
                <w:szCs w:val="32"/>
              </w:rPr>
            </w:pPr>
            <w:r>
              <w:rPr>
                <w:rFonts w:hint="eastAsia" w:ascii="仿宋" w:hAnsi="仿宋" w:eastAsia="仿宋"/>
                <w:b/>
                <w:szCs w:val="32"/>
              </w:rPr>
              <w:t>标的名称</w:t>
            </w:r>
          </w:p>
        </w:tc>
        <w:tc>
          <w:tcPr>
            <w:tcW w:w="1236" w:type="dxa"/>
            <w:vAlign w:val="center"/>
          </w:tcPr>
          <w:p>
            <w:pPr>
              <w:spacing w:line="560" w:lineRule="exact"/>
              <w:ind w:firstLine="0" w:firstLineChars="0"/>
              <w:jc w:val="center"/>
              <w:rPr>
                <w:rFonts w:ascii="仿宋" w:hAnsi="仿宋" w:eastAsia="仿宋"/>
                <w:b/>
                <w:szCs w:val="32"/>
              </w:rPr>
            </w:pPr>
            <w:r>
              <w:rPr>
                <w:rFonts w:hint="eastAsia" w:ascii="仿宋" w:hAnsi="仿宋" w:eastAsia="仿宋"/>
                <w:b/>
                <w:szCs w:val="32"/>
              </w:rPr>
              <w:t>品目</w:t>
            </w:r>
          </w:p>
          <w:p>
            <w:pPr>
              <w:spacing w:line="560" w:lineRule="exact"/>
              <w:ind w:firstLine="0" w:firstLineChars="0"/>
              <w:jc w:val="center"/>
              <w:rPr>
                <w:rFonts w:ascii="仿宋" w:hAnsi="仿宋" w:eastAsia="仿宋"/>
                <w:b/>
                <w:szCs w:val="32"/>
              </w:rPr>
            </w:pPr>
            <w:r>
              <w:rPr>
                <w:rFonts w:hint="eastAsia" w:ascii="仿宋" w:hAnsi="仿宋" w:eastAsia="仿宋"/>
                <w:b/>
                <w:szCs w:val="32"/>
              </w:rPr>
              <w:t>分类编码</w:t>
            </w:r>
          </w:p>
        </w:tc>
        <w:tc>
          <w:tcPr>
            <w:tcW w:w="618" w:type="dxa"/>
            <w:vAlign w:val="center"/>
          </w:tcPr>
          <w:p>
            <w:pPr>
              <w:spacing w:line="560" w:lineRule="exact"/>
              <w:ind w:firstLine="0" w:firstLineChars="0"/>
              <w:jc w:val="center"/>
              <w:rPr>
                <w:rFonts w:ascii="仿宋" w:hAnsi="仿宋" w:eastAsia="仿宋"/>
                <w:b/>
                <w:szCs w:val="32"/>
              </w:rPr>
            </w:pPr>
            <w:r>
              <w:rPr>
                <w:rFonts w:hint="eastAsia" w:ascii="仿宋" w:hAnsi="仿宋" w:eastAsia="仿宋"/>
                <w:b/>
                <w:szCs w:val="32"/>
              </w:rPr>
              <w:t>计量</w:t>
            </w:r>
          </w:p>
          <w:p>
            <w:pPr>
              <w:spacing w:line="560" w:lineRule="exact"/>
              <w:ind w:firstLine="0" w:firstLineChars="0"/>
              <w:jc w:val="center"/>
              <w:rPr>
                <w:rFonts w:ascii="仿宋" w:hAnsi="仿宋" w:eastAsia="仿宋"/>
                <w:b/>
                <w:szCs w:val="32"/>
              </w:rPr>
            </w:pPr>
            <w:r>
              <w:rPr>
                <w:rFonts w:hint="eastAsia" w:ascii="仿宋" w:hAnsi="仿宋" w:eastAsia="仿宋"/>
                <w:b/>
                <w:szCs w:val="32"/>
              </w:rPr>
              <w:t>单位</w:t>
            </w:r>
          </w:p>
        </w:tc>
        <w:tc>
          <w:tcPr>
            <w:tcW w:w="762" w:type="dxa"/>
            <w:vAlign w:val="center"/>
          </w:tcPr>
          <w:p>
            <w:pPr>
              <w:spacing w:line="560" w:lineRule="exact"/>
              <w:ind w:firstLine="0" w:firstLineChars="0"/>
              <w:jc w:val="center"/>
              <w:rPr>
                <w:rFonts w:ascii="仿宋" w:hAnsi="仿宋" w:eastAsia="仿宋"/>
                <w:b/>
                <w:szCs w:val="32"/>
              </w:rPr>
            </w:pPr>
            <w:r>
              <w:rPr>
                <w:rFonts w:hint="eastAsia" w:ascii="仿宋" w:hAnsi="仿宋" w:eastAsia="仿宋"/>
                <w:b/>
                <w:szCs w:val="32"/>
              </w:rPr>
              <w:t>数量</w:t>
            </w:r>
          </w:p>
        </w:tc>
        <w:tc>
          <w:tcPr>
            <w:tcW w:w="996" w:type="dxa"/>
            <w:vAlign w:val="center"/>
          </w:tcPr>
          <w:p>
            <w:pPr>
              <w:spacing w:line="560" w:lineRule="exact"/>
              <w:ind w:firstLine="0" w:firstLineChars="0"/>
              <w:jc w:val="center"/>
              <w:rPr>
                <w:rFonts w:ascii="仿宋" w:hAnsi="仿宋" w:eastAsia="仿宋"/>
                <w:b/>
                <w:szCs w:val="32"/>
              </w:rPr>
            </w:pPr>
            <w:r>
              <w:rPr>
                <w:rFonts w:hint="eastAsia" w:ascii="仿宋" w:hAnsi="仿宋" w:eastAsia="仿宋"/>
                <w:b/>
                <w:szCs w:val="32"/>
              </w:rPr>
              <w:t>是否进口</w:t>
            </w:r>
          </w:p>
        </w:tc>
        <w:tc>
          <w:tcPr>
            <w:tcW w:w="2697" w:type="dxa"/>
            <w:vAlign w:val="center"/>
          </w:tcPr>
          <w:p>
            <w:pPr>
              <w:spacing w:line="560" w:lineRule="exact"/>
              <w:ind w:firstLine="0" w:firstLineChars="0"/>
              <w:jc w:val="center"/>
              <w:rPr>
                <w:rFonts w:ascii="仿宋" w:hAnsi="仿宋" w:eastAsia="仿宋"/>
                <w:b/>
                <w:szCs w:val="32"/>
              </w:rPr>
            </w:pPr>
            <w:r>
              <w:rPr>
                <w:rFonts w:hint="eastAsia" w:ascii="仿宋" w:hAnsi="仿宋" w:eastAsia="仿宋"/>
                <w:b/>
                <w:szCs w:val="32"/>
              </w:rPr>
              <w:t>分包</w:t>
            </w:r>
          </w:p>
          <w:p>
            <w:pPr>
              <w:spacing w:line="560" w:lineRule="exact"/>
              <w:ind w:firstLine="0" w:firstLineChars="0"/>
              <w:jc w:val="center"/>
              <w:rPr>
                <w:rFonts w:ascii="仿宋" w:hAnsi="仿宋" w:eastAsia="仿宋"/>
                <w:b/>
                <w:szCs w:val="32"/>
              </w:rPr>
            </w:pPr>
            <w:r>
              <w:rPr>
                <w:rFonts w:hint="eastAsia" w:ascii="仿宋" w:hAnsi="仿宋" w:eastAsia="仿宋"/>
                <w:b/>
                <w:szCs w:val="3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Align w:val="center"/>
          </w:tcPr>
          <w:p>
            <w:pPr>
              <w:adjustRightInd w:val="0"/>
              <w:snapToGrid w:val="0"/>
              <w:spacing w:line="560" w:lineRule="exact"/>
              <w:ind w:firstLine="0" w:firstLineChars="0"/>
              <w:jc w:val="center"/>
              <w:rPr>
                <w:rFonts w:ascii="仿宋" w:hAnsi="仿宋" w:eastAsia="仿宋"/>
                <w:szCs w:val="32"/>
              </w:rPr>
            </w:pPr>
            <w:r>
              <w:rPr>
                <w:rFonts w:hint="eastAsia" w:ascii="仿宋" w:hAnsi="仿宋" w:eastAsia="仿宋"/>
                <w:szCs w:val="32"/>
              </w:rPr>
              <w:t>项目本身</w:t>
            </w:r>
          </w:p>
        </w:tc>
        <w:tc>
          <w:tcPr>
            <w:tcW w:w="690" w:type="dxa"/>
            <w:vAlign w:val="center"/>
          </w:tcPr>
          <w:p>
            <w:pPr>
              <w:adjustRightInd w:val="0"/>
              <w:snapToGrid w:val="0"/>
              <w:spacing w:line="560" w:lineRule="exact"/>
              <w:ind w:firstLine="0" w:firstLineChars="0"/>
              <w:jc w:val="center"/>
              <w:rPr>
                <w:rFonts w:ascii="仿宋" w:hAnsi="仿宋" w:eastAsia="仿宋"/>
                <w:szCs w:val="32"/>
              </w:rPr>
            </w:pPr>
            <w:r>
              <w:rPr>
                <w:rFonts w:hint="eastAsia" w:ascii="仿宋" w:hAnsi="仿宋" w:eastAsia="仿宋"/>
                <w:szCs w:val="32"/>
              </w:rPr>
              <w:t>1</w:t>
            </w:r>
          </w:p>
        </w:tc>
        <w:tc>
          <w:tcPr>
            <w:tcW w:w="1356" w:type="dxa"/>
            <w:vAlign w:val="center"/>
          </w:tcPr>
          <w:p>
            <w:pPr>
              <w:adjustRightInd w:val="0"/>
              <w:snapToGrid w:val="0"/>
              <w:spacing w:line="560" w:lineRule="exact"/>
              <w:ind w:firstLine="0" w:firstLineChars="0"/>
              <w:jc w:val="center"/>
              <w:rPr>
                <w:rFonts w:ascii="仿宋" w:hAnsi="仿宋" w:eastAsia="仿宋"/>
                <w:i/>
                <w:szCs w:val="32"/>
                <w:u w:val="single"/>
              </w:rPr>
            </w:pPr>
            <w:r>
              <w:rPr>
                <w:rFonts w:hint="eastAsia"/>
              </w:rPr>
              <w:t>海口湾演艺中心和海口演艺新空间二期运营项目</w:t>
            </w:r>
          </w:p>
        </w:tc>
        <w:tc>
          <w:tcPr>
            <w:tcW w:w="1236" w:type="dxa"/>
            <w:vAlign w:val="center"/>
          </w:tcPr>
          <w:p>
            <w:pPr>
              <w:adjustRightInd w:val="0"/>
              <w:snapToGrid w:val="0"/>
              <w:spacing w:line="560" w:lineRule="exact"/>
              <w:ind w:firstLine="0" w:firstLineChars="0"/>
              <w:jc w:val="center"/>
              <w:rPr>
                <w:rFonts w:ascii="仿宋" w:hAnsi="仿宋" w:eastAsia="仿宋"/>
                <w:szCs w:val="32"/>
              </w:rPr>
            </w:pPr>
            <w:r>
              <w:rPr>
                <w:rFonts w:hint="eastAsia" w:ascii="仿宋" w:hAnsi="仿宋" w:eastAsia="仿宋"/>
                <w:szCs w:val="32"/>
              </w:rPr>
              <w:t>C06990000</w:t>
            </w:r>
          </w:p>
        </w:tc>
        <w:tc>
          <w:tcPr>
            <w:tcW w:w="618" w:type="dxa"/>
            <w:vAlign w:val="center"/>
          </w:tcPr>
          <w:p>
            <w:pPr>
              <w:adjustRightInd w:val="0"/>
              <w:snapToGrid w:val="0"/>
              <w:spacing w:line="560" w:lineRule="exact"/>
              <w:ind w:firstLine="0" w:firstLineChars="0"/>
              <w:jc w:val="center"/>
              <w:rPr>
                <w:rFonts w:ascii="仿宋" w:hAnsi="仿宋" w:eastAsia="仿宋"/>
                <w:szCs w:val="32"/>
              </w:rPr>
            </w:pPr>
            <w:r>
              <w:rPr>
                <w:rFonts w:hint="eastAsia" w:ascii="仿宋" w:hAnsi="仿宋" w:eastAsia="仿宋"/>
                <w:szCs w:val="32"/>
              </w:rPr>
              <w:t>项</w:t>
            </w:r>
          </w:p>
        </w:tc>
        <w:tc>
          <w:tcPr>
            <w:tcW w:w="762" w:type="dxa"/>
            <w:vAlign w:val="center"/>
          </w:tcPr>
          <w:p>
            <w:pPr>
              <w:adjustRightInd w:val="0"/>
              <w:snapToGrid w:val="0"/>
              <w:spacing w:line="560" w:lineRule="exact"/>
              <w:ind w:firstLine="0" w:firstLineChars="0"/>
              <w:jc w:val="center"/>
              <w:rPr>
                <w:rFonts w:ascii="仿宋" w:hAnsi="仿宋" w:eastAsia="仿宋"/>
                <w:szCs w:val="32"/>
              </w:rPr>
            </w:pPr>
            <w:r>
              <w:rPr>
                <w:rFonts w:hint="eastAsia" w:ascii="仿宋" w:hAnsi="仿宋" w:eastAsia="仿宋"/>
                <w:szCs w:val="32"/>
              </w:rPr>
              <w:t>1</w:t>
            </w:r>
          </w:p>
        </w:tc>
        <w:tc>
          <w:tcPr>
            <w:tcW w:w="996" w:type="dxa"/>
            <w:vAlign w:val="center"/>
          </w:tcPr>
          <w:p>
            <w:pPr>
              <w:adjustRightInd w:val="0"/>
              <w:snapToGrid w:val="0"/>
              <w:spacing w:line="560" w:lineRule="exact"/>
              <w:ind w:firstLine="0" w:firstLineChars="0"/>
              <w:jc w:val="center"/>
              <w:rPr>
                <w:rFonts w:ascii="仿宋" w:hAnsi="仿宋" w:eastAsia="仿宋"/>
                <w:szCs w:val="32"/>
              </w:rPr>
            </w:pPr>
            <w:r>
              <w:rPr>
                <w:rFonts w:hint="eastAsia" w:ascii="仿宋" w:hAnsi="仿宋" w:eastAsia="仿宋"/>
                <w:szCs w:val="32"/>
              </w:rPr>
              <w:t>否</w:t>
            </w:r>
          </w:p>
        </w:tc>
        <w:tc>
          <w:tcPr>
            <w:tcW w:w="2697" w:type="dxa"/>
            <w:vAlign w:val="center"/>
          </w:tcPr>
          <w:p>
            <w:pPr>
              <w:adjustRightInd w:val="0"/>
              <w:snapToGrid w:val="0"/>
              <w:spacing w:line="560" w:lineRule="exact"/>
              <w:ind w:firstLine="0" w:firstLineChars="0"/>
              <w:jc w:val="center"/>
              <w:rPr>
                <w:rFonts w:ascii="仿宋" w:hAnsi="仿宋" w:eastAsia="仿宋"/>
                <w:i/>
                <w:szCs w:val="32"/>
                <w:u w:val="single"/>
              </w:rPr>
            </w:pPr>
            <w:r>
              <w:rPr>
                <w:rFonts w:hint="eastAsia" w:ascii="仿宋" w:hAnsi="仿宋" w:eastAsia="仿宋"/>
                <w:szCs w:val="32"/>
              </w:rPr>
              <w:t>不允许成交供应商将本项目的非主体、非关键性工作进行分包</w:t>
            </w:r>
          </w:p>
        </w:tc>
      </w:tr>
    </w:tbl>
    <w:p>
      <w:pPr>
        <w:spacing w:line="560" w:lineRule="exact"/>
        <w:ind w:firstLine="640"/>
        <w:jc w:val="left"/>
        <w:rPr>
          <w:rFonts w:hAnsi="黑体"/>
          <w:i/>
          <w:szCs w:val="32"/>
          <w:u w:val="single"/>
        </w:rPr>
      </w:pPr>
    </w:p>
    <w:p>
      <w:pPr>
        <w:pStyle w:val="5"/>
        <w:numPr>
          <w:ilvl w:val="0"/>
          <w:numId w:val="2"/>
        </w:numPr>
        <w:ind w:firstLine="643"/>
      </w:pPr>
      <w:r>
        <w:rPr>
          <w:rFonts w:hint="eastAsia"/>
        </w:rPr>
        <w:t>技术商务要求</w:t>
      </w:r>
    </w:p>
    <w:p>
      <w:pPr>
        <w:pStyle w:val="6"/>
        <w:ind w:firstLine="0" w:firstLineChars="0"/>
        <w:rPr>
          <w:b w:val="0"/>
          <w:bCs w:val="0"/>
        </w:rPr>
      </w:pPr>
      <w:r>
        <w:rPr>
          <w:rFonts w:hint="eastAsia" w:ascii="仿宋" w:hAnsi="仿宋" w:eastAsia="仿宋" w:cs="仿宋"/>
          <w:b w:val="0"/>
          <w:bCs w:val="0"/>
        </w:rPr>
        <w:t>（1）技术要求</w:t>
      </w:r>
    </w:p>
    <w:p>
      <w:pPr>
        <w:pStyle w:val="28"/>
        <w:numPr>
          <w:ilvl w:val="0"/>
          <w:numId w:val="3"/>
        </w:numPr>
        <w:ind w:left="0" w:leftChars="0" w:firstLine="400" w:firstLineChars="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服务单位负责引入高水平国内外优质演出团体、剧目和项目到海口，开发具有本地特色节目，剧目符合文化亲民、文化惠民、促进海口精神文明建设，形成丰富多样化的内容，有效改善海口市核心区域城市形象、提升服务群众水平、提升城市核心竞争力。同时，服务单位还应注重锻炼和培养海口本地演艺人才队伍。</w:t>
      </w:r>
    </w:p>
    <w:p>
      <w:pPr>
        <w:pStyle w:val="28"/>
        <w:numPr>
          <w:ilvl w:val="0"/>
          <w:numId w:val="3"/>
        </w:numPr>
        <w:ind w:left="0" w:leftChars="0" w:firstLine="400" w:firstLineChars="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服务单位进场后，4-6月份总场数不低于66场（其中自营演出不低于24（一期）+18（二期）场，其他场次15（一期）+9（二期）场）。海口市人民政府在向服务单位支付项目运营管理服务费的基础上，对演出的艺术质量和档次作相应的要求，演出类别共分为三大类（自营演出、公益演出、租场演出、小剧场演出），其中，自营演出档次一般分为上述A、B、C三档，每年在海口湾演艺中心大剧场组织的自营演出中，A类演出占自营演出总场次不低于40%，B类演出占自营演出总场次不低于30%，C类演出占自营演出总场次不低于30%。小剧场演出由于规模限定，不区分档次。</w:t>
      </w:r>
    </w:p>
    <w:p>
      <w:pPr>
        <w:pStyle w:val="28"/>
        <w:numPr>
          <w:ilvl w:val="0"/>
          <w:numId w:val="3"/>
        </w:numPr>
        <w:ind w:left="0" w:leftChars="0" w:firstLine="400" w:firstLineChars="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自营演出档次分为A、B、C三档。</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（1）A类演出指：</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 xml:space="preserve">①国外演出团体名称中以带有国家名、城市名、皇家、广播、模范字样以及著名艺术家命名的演出团体； </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②在国际艺术比赛中获得奖项的国内外演出团体；</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③国内演出团体中直属国家文化部、广播电影电视总局及带有中国、中央字样以及著名艺术家命名的艺术团体；</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④获国家舞台艺术精品工程入选剧目、获文化部“文华奖”节目、获中宣部“五个一工程奖”的优秀舞台艺术佳作的演出；</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⑤主要演员和导演曾获“梅花奖”、“荷花奖”、“曹禺戏剧奖”、“牡丹奖”等全国性艺术奖项的参演或创作剧目；</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⑥获国际专业艺术比赛大奖或国家授予荣誉称号的艺术家为主演的剧（节）目；</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⑦中央军委政治工作部直属艺术团体；</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⑧国内省级艺术院团获得中宣部、国家文化部、中国文联主办的各单项舞台艺术最高奖项的演出项目。</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⑨属于国家艺术基金资助项目的剧（节）目。</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（2）B类演出指：</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①北京、上海及各省省委宣传部、省文化厅直属的艺术团体演出；</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②国外艺术团体名称中带有青年字样或冠以洲际名称的艺术团体；</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③其它城市艺术院团中有地方特色的以及获得省委宣传部、省文化厅或省文联主办的省级以上舞台艺术专业评奖最高奖项的优秀剧（节）目的演出；</w:t>
      </w:r>
    </w:p>
    <w:p>
      <w:pPr>
        <w:pStyle w:val="28"/>
        <w:ind w:left="0" w:leftChars="0" w:firstLine="640" w:firstLineChars="20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（3）C类演出是指：</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A、B类演出以外的演出、实验话剧及小型艺术表演。</w:t>
      </w:r>
    </w:p>
    <w:p>
      <w:pPr>
        <w:pStyle w:val="28"/>
        <w:numPr>
          <w:ilvl w:val="0"/>
          <w:numId w:val="3"/>
        </w:numPr>
        <w:ind w:left="0" w:leftChars="0" w:firstLine="400" w:firstLineChars="0"/>
        <w:rPr>
          <w:rFonts w:hint="eastAsia" w:ascii="仿宋_GB2312" w:hAnsi="仿宋_GB2312" w:eastAsia="仿宋_GB2312" w:cs="Times New Roman"/>
          <w:color w:val="auto"/>
          <w:kern w:val="2"/>
          <w:sz w:val="32"/>
          <w:szCs w:val="24"/>
          <w:lang w:val="en-US" w:eastAsia="zh-CN" w:bidi="ar-SA"/>
        </w:rPr>
      </w:pPr>
      <w:r>
        <w:rPr>
          <w:rFonts w:hint="eastAsia" w:ascii="仿宋_GB2312" w:hAnsi="仿宋_GB2312" w:eastAsia="仿宋_GB2312" w:cs="Times New Roman"/>
          <w:color w:val="auto"/>
          <w:kern w:val="2"/>
          <w:sz w:val="32"/>
          <w:szCs w:val="24"/>
          <w:lang w:val="en-US" w:eastAsia="zh-CN" w:bidi="ar-SA"/>
        </w:rPr>
        <w:t>本着文化亲民、文化惠民的宗旨，自营演出项目年平均票价应不高于200元/张。</w:t>
      </w:r>
    </w:p>
    <w:p>
      <w:pPr>
        <w:pStyle w:val="28"/>
        <w:numPr>
          <w:ilvl w:val="0"/>
          <w:numId w:val="3"/>
        </w:numPr>
        <w:ind w:left="0" w:leftChars="0" w:firstLine="400" w:firstLineChars="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服务期内每场观众满意度达到85%以上，自营演出平均售票率不低于70%。</w:t>
      </w:r>
    </w:p>
    <w:p>
      <w:pPr>
        <w:pStyle w:val="28"/>
        <w:numPr>
          <w:ilvl w:val="0"/>
          <w:numId w:val="3"/>
        </w:numPr>
        <w:ind w:left="0" w:leftChars="0" w:firstLine="400" w:firstLineChars="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注重策划打造符合海口特色的演出品牌，在重要节假日结合节日主题，策划安排演出。</w:t>
      </w:r>
    </w:p>
    <w:p>
      <w:pPr>
        <w:pStyle w:val="28"/>
        <w:ind w:firstLine="560"/>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服务单位应考虑到海口市文化市场情况，并结合海口湾演艺中心的发展需要，既能在政府支付运营管理服务费的支持下通过市场运作和多种经营的开发确保海口湾演艺中心的顺利运行，又能引进更多优秀的剧目，使海口市观众欣赏到更高水平的艺术作品。海口湾演艺中心在为传统艺术提供演出平台的同时，还可以提供高雅音乐的演出平台，丰富群众文化生活，满足不同群体要求，从而提高城市整体艺术欣赏水平，推进文化产业大发展、大繁荣，提高城市文化品质和内涵。</w:t>
      </w:r>
    </w:p>
    <w:p>
      <w:pPr>
        <w:pStyle w:val="6"/>
        <w:ind w:firstLine="643"/>
        <w:rPr>
          <w:color w:val="auto"/>
        </w:rPr>
      </w:pPr>
      <w:r>
        <w:rPr>
          <w:rFonts w:hint="eastAsia"/>
          <w:color w:val="auto"/>
        </w:rPr>
        <w:t>（2）商务要求</w:t>
      </w:r>
    </w:p>
    <w:p>
      <w:pPr>
        <w:numPr>
          <w:ilvl w:val="0"/>
          <w:numId w:val="4"/>
        </w:numPr>
        <w:spacing w:line="560" w:lineRule="exact"/>
        <w:ind w:firstLineChars="0"/>
        <w:jc w:val="left"/>
        <w:rPr>
          <w:rFonts w:ascii="仿宋" w:hAnsi="仿宋" w:eastAsia="仿宋" w:cs="仿宋"/>
          <w:color w:val="auto"/>
          <w:szCs w:val="32"/>
        </w:rPr>
      </w:pPr>
      <w:r>
        <w:rPr>
          <w:rFonts w:hint="eastAsia" w:ascii="仿宋" w:hAnsi="仿宋" w:eastAsia="仿宋" w:cs="仿宋"/>
          <w:color w:val="auto"/>
          <w:szCs w:val="32"/>
        </w:rPr>
        <w:t>服务期限、服务地点和服务方式（履约时间、地点和方式）</w:t>
      </w:r>
    </w:p>
    <w:p>
      <w:pPr>
        <w:tabs>
          <w:tab w:val="left" w:pos="454"/>
        </w:tabs>
        <w:spacing w:line="560" w:lineRule="exact"/>
        <w:ind w:firstLine="640"/>
        <w:jc w:val="left"/>
        <w:rPr>
          <w:rFonts w:ascii="仿宋" w:hAnsi="仿宋" w:eastAsia="仿宋" w:cs="仿宋"/>
          <w:color w:val="auto"/>
          <w:szCs w:val="32"/>
        </w:rPr>
      </w:pPr>
      <w:r>
        <w:rPr>
          <w:rFonts w:hint="eastAsia" w:ascii="仿宋" w:hAnsi="仿宋" w:eastAsia="仿宋" w:cs="仿宋"/>
          <w:color w:val="auto"/>
          <w:szCs w:val="32"/>
        </w:rPr>
        <w:t>1.1、服务期限（履约时间）：合同签订之日起至2023年</w:t>
      </w:r>
      <w:r>
        <w:rPr>
          <w:rFonts w:hint="eastAsia" w:ascii="仿宋" w:hAnsi="仿宋" w:eastAsia="仿宋" w:cs="仿宋"/>
          <w:color w:val="auto"/>
          <w:szCs w:val="32"/>
          <w:lang w:val="en-US" w:eastAsia="zh-CN"/>
        </w:rPr>
        <w:t>6</w:t>
      </w:r>
      <w:r>
        <w:rPr>
          <w:rFonts w:hint="eastAsia" w:ascii="仿宋" w:hAnsi="仿宋" w:eastAsia="仿宋" w:cs="仿宋"/>
          <w:color w:val="auto"/>
          <w:szCs w:val="32"/>
        </w:rPr>
        <w:t>月3</w:t>
      </w:r>
      <w:r>
        <w:rPr>
          <w:rFonts w:hint="eastAsia" w:ascii="仿宋" w:hAnsi="仿宋" w:eastAsia="仿宋" w:cs="仿宋"/>
          <w:color w:val="auto"/>
          <w:szCs w:val="32"/>
          <w:lang w:val="en-US" w:eastAsia="zh-CN"/>
        </w:rPr>
        <w:t>0</w:t>
      </w:r>
      <w:r>
        <w:rPr>
          <w:rFonts w:hint="eastAsia" w:ascii="仿宋" w:hAnsi="仿宋" w:eastAsia="仿宋" w:cs="仿宋"/>
          <w:color w:val="auto"/>
          <w:szCs w:val="32"/>
        </w:rPr>
        <w:t>日。</w:t>
      </w:r>
    </w:p>
    <w:p>
      <w:pPr>
        <w:tabs>
          <w:tab w:val="left" w:pos="454"/>
        </w:tabs>
        <w:spacing w:line="560" w:lineRule="exact"/>
        <w:ind w:firstLine="640"/>
        <w:jc w:val="left"/>
        <w:rPr>
          <w:rFonts w:ascii="仿宋" w:hAnsi="仿宋" w:eastAsia="仿宋" w:cs="仿宋"/>
          <w:color w:val="auto"/>
          <w:szCs w:val="32"/>
        </w:rPr>
      </w:pPr>
      <w:r>
        <w:rPr>
          <w:rFonts w:hint="eastAsia" w:ascii="仿宋" w:hAnsi="仿宋" w:eastAsia="仿宋" w:cs="仿宋"/>
          <w:color w:val="auto"/>
          <w:szCs w:val="32"/>
        </w:rPr>
        <w:t>1.2、服务地点（履约地点）：采购人指定地点</w:t>
      </w:r>
    </w:p>
    <w:p>
      <w:pPr>
        <w:tabs>
          <w:tab w:val="left" w:pos="454"/>
        </w:tabs>
        <w:spacing w:line="560" w:lineRule="exact"/>
        <w:ind w:firstLine="640"/>
        <w:jc w:val="left"/>
        <w:rPr>
          <w:rFonts w:ascii="仿宋" w:hAnsi="仿宋" w:eastAsia="仿宋" w:cs="仿宋"/>
          <w:color w:val="auto"/>
          <w:szCs w:val="32"/>
        </w:rPr>
      </w:pPr>
      <w:r>
        <w:rPr>
          <w:rFonts w:hint="eastAsia" w:ascii="仿宋" w:hAnsi="仿宋" w:eastAsia="仿宋" w:cs="仿宋"/>
          <w:color w:val="auto"/>
          <w:szCs w:val="32"/>
        </w:rPr>
        <w:t>1.3、服务方式（履约方式）：按采购文件要求实施。</w:t>
      </w:r>
    </w:p>
    <w:p>
      <w:pPr>
        <w:numPr>
          <w:ilvl w:val="0"/>
          <w:numId w:val="4"/>
        </w:numPr>
        <w:spacing w:line="560" w:lineRule="exact"/>
        <w:ind w:firstLineChars="0"/>
        <w:jc w:val="left"/>
        <w:rPr>
          <w:rFonts w:ascii="仿宋" w:hAnsi="仿宋" w:eastAsia="仿宋" w:cs="仿宋"/>
          <w:color w:val="auto"/>
          <w:szCs w:val="32"/>
        </w:rPr>
      </w:pPr>
      <w:r>
        <w:rPr>
          <w:rFonts w:hint="eastAsia" w:ascii="仿宋" w:hAnsi="仿宋" w:eastAsia="仿宋" w:cs="仿宋"/>
          <w:color w:val="auto"/>
          <w:szCs w:val="32"/>
        </w:rPr>
        <w:t>付款时间、方式及条件</w:t>
      </w:r>
    </w:p>
    <w:p>
      <w:pPr>
        <w:ind w:firstLine="640"/>
        <w:rPr>
          <w:rFonts w:ascii="仿宋" w:hAnsi="仿宋" w:eastAsia="仿宋" w:cs="仿宋"/>
          <w:color w:val="auto"/>
          <w:szCs w:val="32"/>
        </w:rPr>
      </w:pPr>
      <w:r>
        <w:rPr>
          <w:rFonts w:hint="eastAsia" w:ascii="仿宋" w:hAnsi="仿宋" w:eastAsia="仿宋" w:cs="仿宋"/>
          <w:color w:val="auto"/>
          <w:szCs w:val="32"/>
        </w:rPr>
        <w:t>合同生效后，甲方凭乙方开具的正式有效发票在5个工作日内转账支付项目合同金额的50%作为预付款；项目结束通过验收、中标人开具正式有效发票后5个工作日内，通过转账的方式，向乙方支付合同金额的50%作为尾款。</w:t>
      </w:r>
    </w:p>
    <w:p>
      <w:pPr>
        <w:numPr>
          <w:ilvl w:val="0"/>
          <w:numId w:val="4"/>
        </w:numPr>
        <w:spacing w:line="560" w:lineRule="exact"/>
        <w:ind w:firstLineChars="0"/>
        <w:jc w:val="left"/>
        <w:rPr>
          <w:rFonts w:ascii="仿宋" w:hAnsi="仿宋" w:eastAsia="仿宋" w:cs="仿宋"/>
          <w:szCs w:val="32"/>
        </w:rPr>
      </w:pPr>
      <w:r>
        <w:rPr>
          <w:rFonts w:hint="eastAsia" w:ascii="仿宋" w:hAnsi="仿宋" w:eastAsia="仿宋" w:cs="仿宋"/>
          <w:szCs w:val="32"/>
        </w:rPr>
        <w:t>其他</w:t>
      </w:r>
    </w:p>
    <w:p>
      <w:pPr>
        <w:numPr>
          <w:ilvl w:val="0"/>
          <w:numId w:val="5"/>
        </w:numPr>
        <w:snapToGrid w:val="0"/>
        <w:ind w:left="0" w:leftChars="0" w:firstLine="403" w:firstLineChars="0"/>
        <w:rPr>
          <w:rFonts w:ascii="宋体" w:hAnsi="宋体" w:cs="宋体"/>
          <w:kern w:val="0"/>
          <w:lang w:val="en-GB"/>
        </w:rPr>
      </w:pPr>
      <w:r>
        <w:rPr>
          <w:rFonts w:hint="eastAsia" w:ascii="宋体" w:hAnsi="宋体" w:cs="宋体"/>
          <w:kern w:val="0"/>
          <w:lang w:val="en-GB"/>
        </w:rPr>
        <w:t>项目的实质性要求：按本</w:t>
      </w:r>
      <w:r>
        <w:rPr>
          <w:rFonts w:hint="eastAsia" w:ascii="宋体" w:hAnsi="宋体" w:cs="宋体"/>
          <w:kern w:val="0"/>
          <w:lang w:val="en-US" w:eastAsia="zh-CN"/>
        </w:rPr>
        <w:t>招标</w:t>
      </w:r>
      <w:r>
        <w:rPr>
          <w:rFonts w:hint="eastAsia" w:ascii="宋体" w:hAnsi="宋体" w:cs="宋体"/>
          <w:kern w:val="0"/>
          <w:lang w:val="en-GB"/>
        </w:rPr>
        <w:t>文件要求和</w:t>
      </w:r>
      <w:r>
        <w:rPr>
          <w:rFonts w:hint="eastAsia" w:ascii="宋体" w:hAnsi="宋体" w:cs="宋体"/>
          <w:kern w:val="0"/>
          <w:lang w:val="en-US" w:eastAsia="zh-CN"/>
        </w:rPr>
        <w:t>投标</w:t>
      </w:r>
      <w:r>
        <w:rPr>
          <w:rFonts w:hint="eastAsia" w:ascii="宋体" w:hAnsi="宋体" w:cs="宋体"/>
          <w:kern w:val="0"/>
          <w:lang w:val="en-GB"/>
        </w:rPr>
        <w:t>文件内容实施。</w:t>
      </w:r>
    </w:p>
    <w:p>
      <w:pPr>
        <w:numPr>
          <w:ilvl w:val="0"/>
          <w:numId w:val="5"/>
        </w:numPr>
        <w:snapToGrid w:val="0"/>
        <w:ind w:left="0" w:leftChars="0" w:firstLine="403" w:firstLineChars="0"/>
        <w:rPr>
          <w:rFonts w:ascii="宋体" w:hAnsi="宋体" w:cs="宋体"/>
          <w:kern w:val="0"/>
          <w:lang w:val="en-GB"/>
        </w:rPr>
      </w:pPr>
      <w:r>
        <w:rPr>
          <w:rFonts w:hint="eastAsia" w:ascii="宋体" w:hAnsi="宋体" w:cs="宋体"/>
          <w:kern w:val="0"/>
          <w:lang w:val="en-GB"/>
        </w:rPr>
        <w:t>合同的实质性条款：采购人与</w:t>
      </w:r>
      <w:r>
        <w:rPr>
          <w:rFonts w:hint="eastAsia" w:ascii="宋体" w:hAnsi="宋体" w:cs="宋体"/>
          <w:kern w:val="0"/>
          <w:lang w:val="en-US" w:eastAsia="zh-CN"/>
        </w:rPr>
        <w:t>中标人</w:t>
      </w:r>
      <w:r>
        <w:rPr>
          <w:rFonts w:hint="eastAsia" w:ascii="宋体" w:hAnsi="宋体" w:cs="宋体"/>
          <w:kern w:val="0"/>
          <w:lang w:val="en-GB"/>
        </w:rPr>
        <w:t>的名称和住所、标的、数量、质量、价款或者报酬、履行期限及地点和方式、验收要求、违约责任、解决争议的方</w:t>
      </w:r>
      <w:bookmarkStart w:id="0" w:name="_GoBack"/>
      <w:bookmarkEnd w:id="0"/>
      <w:r>
        <w:rPr>
          <w:rFonts w:hint="eastAsia" w:ascii="宋体" w:hAnsi="宋体" w:cs="宋体"/>
          <w:kern w:val="0"/>
          <w:lang w:val="en-GB"/>
        </w:rPr>
        <w:t>法等内容。</w:t>
      </w:r>
    </w:p>
    <w:p>
      <w:pPr>
        <w:numPr>
          <w:ilvl w:val="0"/>
          <w:numId w:val="5"/>
        </w:numPr>
        <w:snapToGrid w:val="0"/>
        <w:ind w:left="0" w:leftChars="0" w:firstLine="403" w:firstLineChars="0"/>
        <w:rPr>
          <w:rFonts w:ascii="宋体" w:hAnsi="宋体" w:cs="宋体"/>
          <w:kern w:val="0"/>
          <w:lang w:val="en-GB"/>
        </w:rPr>
      </w:pPr>
      <w:r>
        <w:rPr>
          <w:rFonts w:hint="eastAsia" w:ascii="宋体" w:hAnsi="宋体" w:cs="宋体"/>
          <w:kern w:val="0"/>
          <w:lang w:val="en-GB"/>
        </w:rPr>
        <w:t>安全标准：符合国家、地方和行业的相关政策、法规。</w:t>
      </w:r>
    </w:p>
    <w:p>
      <w:pPr>
        <w:numPr>
          <w:ilvl w:val="0"/>
          <w:numId w:val="5"/>
        </w:numPr>
        <w:ind w:left="0" w:leftChars="0" w:firstLine="403" w:firstLineChars="0"/>
        <w:rPr>
          <w:rFonts w:ascii="仿宋" w:hAnsi="仿宋" w:eastAsia="仿宋" w:cs="仿宋"/>
          <w:color w:val="auto"/>
          <w:szCs w:val="32"/>
        </w:rPr>
      </w:pPr>
      <w:r>
        <w:rPr>
          <w:rFonts w:hint="eastAsia" w:ascii="宋体" w:hAnsi="宋体" w:cs="宋体"/>
          <w:color w:val="auto"/>
          <w:kern w:val="0"/>
          <w:lang w:val="en-GB"/>
        </w:rPr>
        <w:t>法律法规规定的强制性标准：无。</w:t>
      </w:r>
    </w:p>
    <w:p>
      <w:pPr>
        <w:numPr>
          <w:ilvl w:val="0"/>
          <w:numId w:val="5"/>
        </w:numPr>
        <w:ind w:left="0" w:leftChars="0" w:firstLine="403" w:firstLineChars="0"/>
        <w:rPr>
          <w:rFonts w:hint="eastAsia" w:ascii="宋体" w:hAnsi="宋体" w:cs="宋体"/>
          <w:color w:val="auto"/>
          <w:kern w:val="0"/>
          <w:lang w:val="en-GB"/>
        </w:rPr>
      </w:pPr>
      <w:r>
        <w:rPr>
          <w:rFonts w:hint="eastAsia" w:ascii="宋体" w:hAnsi="宋体" w:cs="宋体"/>
          <w:color w:val="auto"/>
          <w:kern w:val="0"/>
          <w:lang w:val="en-US" w:eastAsia="zh-CN"/>
        </w:rPr>
        <w:t>若</w:t>
      </w:r>
      <w:r>
        <w:rPr>
          <w:rFonts w:hint="eastAsia" w:ascii="宋体" w:hAnsi="宋体" w:cs="宋体"/>
          <w:color w:val="auto"/>
          <w:kern w:val="0"/>
          <w:lang w:val="en-GB"/>
        </w:rPr>
        <w:t>演艺新空间二期在三月底不能如期交付，</w:t>
      </w:r>
      <w:r>
        <w:rPr>
          <w:rFonts w:hint="eastAsia" w:ascii="宋体" w:hAnsi="宋体" w:cs="宋体"/>
          <w:color w:val="auto"/>
          <w:kern w:val="0"/>
          <w:lang w:val="en-US" w:eastAsia="zh-CN"/>
        </w:rPr>
        <w:t>采购人</w:t>
      </w:r>
      <w:r>
        <w:rPr>
          <w:rFonts w:hint="eastAsia" w:ascii="宋体" w:hAnsi="宋体" w:cs="宋体"/>
          <w:color w:val="auto"/>
          <w:kern w:val="0"/>
          <w:lang w:val="en-GB"/>
        </w:rPr>
        <w:t>将参照海口湾演艺中心第一季度运营的采购标准和费用</w:t>
      </w:r>
      <w:r>
        <w:rPr>
          <w:rFonts w:hint="eastAsia" w:ascii="宋体" w:hAnsi="宋体" w:cs="宋体"/>
          <w:color w:val="auto"/>
          <w:kern w:val="0"/>
          <w:lang w:val="en-US" w:eastAsia="zh-CN"/>
        </w:rPr>
        <w:t>进行结算，未尽事宜由采购人与中标人在采购合同中约定</w:t>
      </w:r>
      <w:r>
        <w:rPr>
          <w:rFonts w:hint="eastAsia" w:ascii="宋体" w:hAnsi="宋体" w:cs="宋体"/>
          <w:color w:val="auto"/>
          <w:kern w:val="0"/>
          <w:lang w:val="en-GB"/>
        </w:rPr>
        <w:t>。</w:t>
      </w:r>
    </w:p>
    <w:p>
      <w:pPr>
        <w:spacing w:line="560" w:lineRule="exact"/>
        <w:ind w:firstLine="640"/>
        <w:jc w:val="left"/>
        <w:rPr>
          <w:rFonts w:hAnsi="仿宋"/>
          <w:b/>
          <w:bCs/>
          <w:szCs w:val="32"/>
        </w:rPr>
      </w:pPr>
    </w:p>
    <w:p>
      <w:pPr>
        <w:spacing w:line="560" w:lineRule="exact"/>
        <w:ind w:firstLine="640"/>
        <w:jc w:val="left"/>
        <w:rPr>
          <w:rFonts w:hAnsi="仿宋"/>
          <w:b/>
          <w:bCs/>
          <w:szCs w:val="32"/>
        </w:rPr>
      </w:pPr>
      <w:r>
        <w:rPr>
          <w:rFonts w:hint="eastAsia" w:hAnsi="仿宋"/>
          <w:b/>
          <w:bCs/>
          <w:szCs w:val="32"/>
        </w:rPr>
        <w:t>最终以采购人盖章确认的采购需求确定书为准。</w:t>
      </w:r>
    </w:p>
    <w:p>
      <w:pPr>
        <w:pStyle w:val="9"/>
        <w:ind w:firstLine="640"/>
        <w:rPr>
          <w:b/>
          <w:bCs/>
        </w:rPr>
      </w:pPr>
    </w:p>
    <w:sectPr>
      <w:footerReference r:id="rId11" w:type="default"/>
      <w:pgSz w:w="11906" w:h="16838"/>
      <w:pgMar w:top="1440" w:right="1800" w:bottom="1440" w:left="1800"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234">
      <wne:acd wne:acdName="acd0"/>
    </wne:keymap>
  </wne:keymaps>
  <wne:acds>
    <wne:acd wne:argValue="AQAAAA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280" w:firstLine="56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ind w:firstLine="56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11893"/>
    <w:multiLevelType w:val="singleLevel"/>
    <w:tmpl w:val="81411893"/>
    <w:lvl w:ilvl="0" w:tentative="0">
      <w:start w:val="1"/>
      <w:numFmt w:val="decimal"/>
      <w:suff w:val="nothing"/>
      <w:lvlText w:val="%1．"/>
      <w:lvlJc w:val="left"/>
      <w:pPr>
        <w:ind w:left="0" w:firstLine="400"/>
      </w:pPr>
      <w:rPr>
        <w:rFonts w:hint="default"/>
      </w:rPr>
    </w:lvl>
  </w:abstractNum>
  <w:abstractNum w:abstractNumId="1">
    <w:nsid w:val="92CD2691"/>
    <w:multiLevelType w:val="singleLevel"/>
    <w:tmpl w:val="92CD2691"/>
    <w:lvl w:ilvl="0" w:tentative="0">
      <w:start w:val="1"/>
      <w:numFmt w:val="decimal"/>
      <w:suff w:val="nothing"/>
      <w:lvlText w:val="%1．"/>
      <w:lvlJc w:val="left"/>
      <w:pPr>
        <w:ind w:left="0" w:firstLine="400"/>
      </w:pPr>
      <w:rPr>
        <w:rFonts w:hint="default"/>
      </w:rPr>
    </w:lvl>
  </w:abstractNum>
  <w:abstractNum w:abstractNumId="2">
    <w:nsid w:val="B8663338"/>
    <w:multiLevelType w:val="singleLevel"/>
    <w:tmpl w:val="B8663338"/>
    <w:lvl w:ilvl="0" w:tentative="0">
      <w:start w:val="1"/>
      <w:numFmt w:val="decimal"/>
      <w:suff w:val="nothing"/>
      <w:lvlText w:val="%1．"/>
      <w:lvlJc w:val="left"/>
      <w:pPr>
        <w:ind w:left="0" w:firstLine="400"/>
      </w:pPr>
      <w:rPr>
        <w:rFonts w:hint="default"/>
      </w:rPr>
    </w:lvl>
  </w:abstractNum>
  <w:abstractNum w:abstractNumId="3">
    <w:nsid w:val="F88AE8D0"/>
    <w:multiLevelType w:val="singleLevel"/>
    <w:tmpl w:val="F88AE8D0"/>
    <w:lvl w:ilvl="0" w:tentative="0">
      <w:start w:val="1"/>
      <w:numFmt w:val="decimal"/>
      <w:suff w:val="nothing"/>
      <w:lvlText w:val="3.%1．"/>
      <w:lvlJc w:val="left"/>
      <w:pPr>
        <w:ind w:left="0" w:firstLine="403"/>
      </w:pPr>
      <w:rPr>
        <w:rFonts w:hint="default"/>
      </w:rPr>
    </w:lvl>
  </w:abstractNum>
  <w:abstractNum w:abstractNumId="4">
    <w:nsid w:val="7C499D79"/>
    <w:multiLevelType w:val="singleLevel"/>
    <w:tmpl w:val="7C499D79"/>
    <w:lvl w:ilvl="0" w:tentative="0">
      <w:start w:val="4"/>
      <w:numFmt w:val="chineseCounting"/>
      <w:suff w:val="nothing"/>
      <w:lvlText w:val="（%1）"/>
      <w:lvlJc w:val="left"/>
      <w:rPr>
        <w:rFonts w:hint="eastAsi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AzY2RjNGJlZDcwMWI3NGQ1OWQ5NDgyZjQ1YWRhYzkifQ=="/>
    <w:docVar w:name="KSO_WPS_MARK_KEY" w:val="956b5d2a-4512-4d21-add5-713ca03e5af1"/>
  </w:docVars>
  <w:rsids>
    <w:rsidRoot w:val="00172A27"/>
    <w:rsid w:val="00172A27"/>
    <w:rsid w:val="002B4E08"/>
    <w:rsid w:val="003B647D"/>
    <w:rsid w:val="003C545B"/>
    <w:rsid w:val="004313B3"/>
    <w:rsid w:val="006853D3"/>
    <w:rsid w:val="00AA604C"/>
    <w:rsid w:val="00AF54DD"/>
    <w:rsid w:val="00FD0620"/>
    <w:rsid w:val="01DE083F"/>
    <w:rsid w:val="021D4F56"/>
    <w:rsid w:val="082D6A04"/>
    <w:rsid w:val="09880942"/>
    <w:rsid w:val="0D3411D7"/>
    <w:rsid w:val="0E14696B"/>
    <w:rsid w:val="13571759"/>
    <w:rsid w:val="135B1AD8"/>
    <w:rsid w:val="13987081"/>
    <w:rsid w:val="14E7655D"/>
    <w:rsid w:val="15D90707"/>
    <w:rsid w:val="1F2C520C"/>
    <w:rsid w:val="1F7F7135"/>
    <w:rsid w:val="1FBB9776"/>
    <w:rsid w:val="2587778C"/>
    <w:rsid w:val="25A6447A"/>
    <w:rsid w:val="26E17CF9"/>
    <w:rsid w:val="27295746"/>
    <w:rsid w:val="2DA61941"/>
    <w:rsid w:val="2F2363A0"/>
    <w:rsid w:val="30376BFA"/>
    <w:rsid w:val="33F1438B"/>
    <w:rsid w:val="353261E7"/>
    <w:rsid w:val="3A2B6234"/>
    <w:rsid w:val="3B6043E1"/>
    <w:rsid w:val="3BA64230"/>
    <w:rsid w:val="3D4909FA"/>
    <w:rsid w:val="411F55B2"/>
    <w:rsid w:val="439B2A45"/>
    <w:rsid w:val="44764F64"/>
    <w:rsid w:val="4B044DF0"/>
    <w:rsid w:val="4DCC18FC"/>
    <w:rsid w:val="4E7E368F"/>
    <w:rsid w:val="4F5A1A06"/>
    <w:rsid w:val="521B6D15"/>
    <w:rsid w:val="52E47476"/>
    <w:rsid w:val="5323584F"/>
    <w:rsid w:val="53C6210F"/>
    <w:rsid w:val="53F729A3"/>
    <w:rsid w:val="57B670CA"/>
    <w:rsid w:val="5BA33255"/>
    <w:rsid w:val="5E001B45"/>
    <w:rsid w:val="5FDF49C7"/>
    <w:rsid w:val="61230C0C"/>
    <w:rsid w:val="63BA0408"/>
    <w:rsid w:val="67EC79E0"/>
    <w:rsid w:val="6943218B"/>
    <w:rsid w:val="6947022C"/>
    <w:rsid w:val="69B77290"/>
    <w:rsid w:val="6CBC1CAC"/>
    <w:rsid w:val="6D603D19"/>
    <w:rsid w:val="70B76761"/>
    <w:rsid w:val="73DB7116"/>
    <w:rsid w:val="74876B37"/>
    <w:rsid w:val="74A79292"/>
    <w:rsid w:val="770F3EF9"/>
    <w:rsid w:val="7C4D5CCF"/>
    <w:rsid w:val="7DFD5ACF"/>
    <w:rsid w:val="7F850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440" w:firstLineChars="200"/>
      <w:jc w:val="both"/>
    </w:pPr>
    <w:rPr>
      <w:rFonts w:ascii="仿宋_GB2312" w:hAnsi="仿宋_GB2312" w:eastAsia="仿宋_GB2312" w:cs="Times New Roman"/>
      <w:kern w:val="2"/>
      <w:sz w:val="32"/>
      <w:szCs w:val="24"/>
      <w:lang w:val="en-US" w:eastAsia="zh-CN" w:bidi="ar-SA"/>
    </w:rPr>
  </w:style>
  <w:style w:type="paragraph" w:styleId="4">
    <w:name w:val="heading 1"/>
    <w:basedOn w:val="1"/>
    <w:next w:val="1"/>
    <w:qFormat/>
    <w:uiPriority w:val="0"/>
    <w:pPr>
      <w:spacing w:before="200" w:after="220"/>
      <w:ind w:firstLine="0" w:firstLineChars="0"/>
      <w:jc w:val="left"/>
      <w:outlineLvl w:val="0"/>
    </w:pPr>
    <w:rPr>
      <w:rFonts w:hint="eastAsia" w:ascii="宋体" w:hAnsi="宋体" w:eastAsia="黑体"/>
      <w:b/>
      <w:szCs w:val="48"/>
    </w:rPr>
  </w:style>
  <w:style w:type="paragraph" w:styleId="5">
    <w:name w:val="heading 2"/>
    <w:basedOn w:val="1"/>
    <w:next w:val="1"/>
    <w:unhideWhenUsed/>
    <w:qFormat/>
    <w:uiPriority w:val="0"/>
    <w:pPr>
      <w:keepNext/>
      <w:keepLines/>
      <w:spacing w:before="120" w:after="100"/>
      <w:jc w:val="left"/>
      <w:outlineLvl w:val="1"/>
    </w:pPr>
    <w:rPr>
      <w:rFonts w:ascii="Arial" w:hAnsi="Arial" w:eastAsia="仿宋"/>
      <w:b/>
      <w:bCs/>
      <w:szCs w:val="32"/>
    </w:rPr>
  </w:style>
  <w:style w:type="paragraph" w:styleId="6">
    <w:name w:val="heading 3"/>
    <w:basedOn w:val="1"/>
    <w:next w:val="1"/>
    <w:unhideWhenUsed/>
    <w:qFormat/>
    <w:uiPriority w:val="0"/>
    <w:pPr>
      <w:spacing w:before="200" w:after="220" w:line="432" w:lineRule="auto"/>
      <w:jc w:val="left"/>
      <w:outlineLvl w:val="2"/>
    </w:pPr>
    <w:rPr>
      <w:rFonts w:ascii="Times New Roman" w:hAnsi="Times New Roman" w:eastAsia="宋体"/>
      <w:b/>
      <w:bCs/>
      <w:szCs w:val="27"/>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rPr>
      <w:rFonts w:ascii="Calibri" w:hAnsi="Calibri"/>
      <w:sz w:val="21"/>
      <w:szCs w:val="22"/>
    </w:rPr>
  </w:style>
  <w:style w:type="paragraph" w:styleId="3">
    <w:name w:val="Body Text Indent"/>
    <w:basedOn w:val="1"/>
    <w:qFormat/>
    <w:uiPriority w:val="99"/>
    <w:pPr>
      <w:spacing w:line="460" w:lineRule="exact"/>
      <w:ind w:firstLine="480"/>
    </w:pPr>
    <w:rPr>
      <w:rFonts w:ascii="宋体" w:hAnsi="宋体"/>
      <w:sz w:val="24"/>
    </w:rPr>
  </w:style>
  <w:style w:type="paragraph" w:styleId="7">
    <w:name w:val="Normal Indent"/>
    <w:basedOn w:val="1"/>
    <w:next w:val="1"/>
    <w:qFormat/>
    <w:uiPriority w:val="0"/>
    <w:pPr>
      <w:ind w:firstLine="420"/>
    </w:pPr>
    <w:rPr>
      <w:rFonts w:eastAsia="宋体"/>
    </w:rPr>
  </w:style>
  <w:style w:type="paragraph" w:styleId="8">
    <w:name w:val="annotation text"/>
    <w:basedOn w:val="1"/>
    <w:link w:val="26"/>
    <w:qFormat/>
    <w:uiPriority w:val="0"/>
    <w:pPr>
      <w:jc w:val="left"/>
    </w:pPr>
    <w:rPr>
      <w:rFonts w:eastAsia="仿宋"/>
      <w:b/>
      <w:sz w:val="44"/>
    </w:rPr>
  </w:style>
  <w:style w:type="paragraph" w:styleId="9">
    <w:name w:val="Body Text"/>
    <w:basedOn w:val="1"/>
    <w:next w:val="10"/>
    <w:qFormat/>
    <w:uiPriority w:val="99"/>
    <w:pPr>
      <w:spacing w:after="120"/>
    </w:pPr>
  </w:style>
  <w:style w:type="paragraph" w:styleId="10">
    <w:name w:val="Date"/>
    <w:basedOn w:val="1"/>
    <w:next w:val="1"/>
    <w:qFormat/>
    <w:uiPriority w:val="0"/>
  </w:style>
  <w:style w:type="paragraph" w:styleId="11">
    <w:name w:val="Balloon Text"/>
    <w:basedOn w:val="1"/>
    <w:link w:val="25"/>
    <w:qFormat/>
    <w:uiPriority w:val="0"/>
    <w:pPr>
      <w:spacing w:line="240" w:lineRule="auto"/>
    </w:pPr>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link w:val="24"/>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4">
    <w:name w:val="footnote text"/>
    <w:basedOn w:val="1"/>
    <w:qFormat/>
    <w:uiPriority w:val="0"/>
    <w:pPr>
      <w:snapToGrid w:val="0"/>
      <w:jc w:val="left"/>
    </w:pPr>
    <w:rPr>
      <w:sz w:val="18"/>
      <w:szCs w:val="18"/>
    </w:rPr>
  </w:style>
  <w:style w:type="paragraph" w:styleId="15">
    <w:name w:val="annotation subject"/>
    <w:basedOn w:val="8"/>
    <w:next w:val="8"/>
    <w:link w:val="27"/>
    <w:qFormat/>
    <w:uiPriority w:val="0"/>
    <w:rPr>
      <w:rFonts w:eastAsia="仿宋_GB2312"/>
      <w:bCs/>
      <w:sz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annotation reference"/>
    <w:basedOn w:val="18"/>
    <w:qFormat/>
    <w:uiPriority w:val="0"/>
    <w:rPr>
      <w:sz w:val="21"/>
      <w:szCs w:val="21"/>
    </w:rPr>
  </w:style>
  <w:style w:type="character" w:customStyle="1" w:styleId="20">
    <w:name w:val="NormalCharacter"/>
    <w:qFormat/>
    <w:uiPriority w:val="0"/>
    <w:rPr>
      <w:rFonts w:ascii="仿宋_GB2312" w:hAnsi="仿宋_GB2312" w:eastAsia="仿宋_GB2312" w:cs="Times New Roman"/>
      <w:kern w:val="2"/>
      <w:sz w:val="32"/>
      <w:szCs w:val="24"/>
      <w:lang w:val="en-US" w:eastAsia="zh-CN" w:bidi="ar-SA"/>
    </w:rPr>
  </w:style>
  <w:style w:type="paragraph" w:customStyle="1" w:styleId="21">
    <w:name w:val="D正文"/>
    <w:basedOn w:val="22"/>
    <w:qFormat/>
    <w:uiPriority w:val="0"/>
    <w:pPr>
      <w:widowControl/>
      <w:spacing w:before="100" w:beforeAutospacing="1" w:after="100" w:afterAutospacing="1"/>
      <w:ind w:left="0" w:leftChars="0"/>
      <w:jc w:val="left"/>
    </w:pPr>
  </w:style>
  <w:style w:type="paragraph" w:customStyle="1" w:styleId="22">
    <w:name w:val="正文首行缩进 21"/>
    <w:basedOn w:val="23"/>
    <w:qFormat/>
    <w:uiPriority w:val="0"/>
    <w:pPr>
      <w:spacing w:after="120"/>
      <w:ind w:left="420" w:leftChars="200" w:firstLine="420" w:firstLineChars="200"/>
    </w:pPr>
    <w:rPr>
      <w:rFonts w:ascii="Arial" w:hAnsi="Arial"/>
      <w:sz w:val="24"/>
    </w:rPr>
  </w:style>
  <w:style w:type="paragraph" w:customStyle="1" w:styleId="23">
    <w:name w:val="正文文本缩进1"/>
    <w:basedOn w:val="1"/>
    <w:qFormat/>
    <w:uiPriority w:val="0"/>
    <w:pPr>
      <w:ind w:firstLine="720" w:firstLineChars="240"/>
    </w:pPr>
    <w:rPr>
      <w:sz w:val="30"/>
      <w:lang w:val="zh-CN"/>
    </w:rPr>
  </w:style>
  <w:style w:type="character" w:customStyle="1" w:styleId="24">
    <w:name w:val="页眉 Char"/>
    <w:basedOn w:val="18"/>
    <w:link w:val="13"/>
    <w:qFormat/>
    <w:uiPriority w:val="0"/>
    <w:rPr>
      <w:rFonts w:ascii="仿宋_GB2312" w:hAnsi="仿宋_GB2312" w:eastAsia="仿宋_GB2312"/>
      <w:kern w:val="2"/>
      <w:sz w:val="18"/>
      <w:szCs w:val="18"/>
    </w:rPr>
  </w:style>
  <w:style w:type="character" w:customStyle="1" w:styleId="25">
    <w:name w:val="批注框文本 Char"/>
    <w:basedOn w:val="18"/>
    <w:link w:val="11"/>
    <w:qFormat/>
    <w:uiPriority w:val="0"/>
    <w:rPr>
      <w:rFonts w:ascii="仿宋_GB2312" w:hAnsi="仿宋_GB2312" w:eastAsia="仿宋_GB2312"/>
      <w:kern w:val="2"/>
      <w:sz w:val="18"/>
      <w:szCs w:val="18"/>
    </w:rPr>
  </w:style>
  <w:style w:type="character" w:customStyle="1" w:styleId="26">
    <w:name w:val="批注文字 Char"/>
    <w:basedOn w:val="18"/>
    <w:link w:val="8"/>
    <w:qFormat/>
    <w:uiPriority w:val="0"/>
    <w:rPr>
      <w:rFonts w:ascii="仿宋_GB2312" w:hAnsi="仿宋_GB2312" w:eastAsia="仿宋"/>
      <w:b/>
      <w:kern w:val="2"/>
      <w:sz w:val="44"/>
      <w:szCs w:val="24"/>
    </w:rPr>
  </w:style>
  <w:style w:type="character" w:customStyle="1" w:styleId="27">
    <w:name w:val="批注主题 Char"/>
    <w:basedOn w:val="26"/>
    <w:link w:val="15"/>
    <w:qFormat/>
    <w:uiPriority w:val="0"/>
  </w:style>
  <w:style w:type="paragraph" w:customStyle="1" w:styleId="28">
    <w:name w:val="my正文"/>
    <w:basedOn w:val="1"/>
    <w:qFormat/>
    <w:uiPriority w:val="0"/>
    <w:pPr>
      <w:spacing w:line="360" w:lineRule="auto"/>
      <w:ind w:firstLine="480" w:firstLineChars="200"/>
    </w:pPr>
    <w:rPr>
      <w:rFonts w:ascii="Times New Roman" w:hAnsi="Times New Roman" w:eastAsiaTheme="minorEastAsia" w:cstheme="minorBidi"/>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2203</Words>
  <Characters>2262</Characters>
  <Lines>16</Lines>
  <Paragraphs>4</Paragraphs>
  <TotalTime>4</TotalTime>
  <ScaleCrop>false</ScaleCrop>
  <LinksUpToDate>false</LinksUpToDate>
  <CharactersWithSpaces>2270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2023-02-27T02:57:00Z</dcterms:created>
  <dc:creator>uos</dc:creator>
  <cp:lastModifiedBy>WPS_1663723671</cp:lastModifiedBy>
  <cp:lastPrinted>2023-02-27T02:11:00Z</cp:lastPrinted>
  <dcterms:modified xsi:type="dcterms:W3CDTF">2023-03-13T09:47:48Z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A12EECA3F9E3425CAF9ACFB3BA43098F</vt:lpwstr>
  </property>
</Properties>
</file>