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color w:val="000000"/>
          <w:sz w:val="36"/>
          <w:szCs w:val="36"/>
          <w:lang w:eastAsia="zh-CN"/>
        </w:rPr>
      </w:pPr>
      <w:r>
        <w:rPr>
          <w:rFonts w:hint="eastAsia" w:ascii="宋体" w:hAnsi="宋体" w:eastAsia="宋体" w:cs="宋体"/>
          <w:color w:val="000000"/>
          <w:sz w:val="36"/>
          <w:szCs w:val="36"/>
          <w:lang w:val="en-US" w:eastAsia="zh-CN"/>
        </w:rPr>
        <w:t>采 购 需 求</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eastAsia="宋体" w:cs="宋体"/>
          <w:b/>
          <w:bCs/>
          <w:color w:val="auto"/>
          <w:sz w:val="28"/>
          <w:szCs w:val="28"/>
          <w:u w:val="none"/>
        </w:rPr>
      </w:pPr>
      <w:bookmarkStart w:id="0" w:name="_Toc371949173"/>
      <w:bookmarkStart w:id="1" w:name="_Toc365559596"/>
      <w:bookmarkStart w:id="2" w:name="_Toc390176023"/>
      <w:r>
        <w:rPr>
          <w:rFonts w:hint="eastAsia" w:ascii="宋体" w:hAnsi="宋体" w:eastAsia="宋体" w:cs="宋体"/>
          <w:b/>
          <w:bCs/>
          <w:color w:val="auto"/>
          <w:sz w:val="28"/>
          <w:szCs w:val="28"/>
          <w:u w:val="none"/>
          <w:lang w:val="en-US" w:eastAsia="zh-CN"/>
        </w:rPr>
        <w:t>一、</w:t>
      </w:r>
      <w:r>
        <w:rPr>
          <w:rFonts w:hint="eastAsia" w:ascii="宋体" w:hAnsi="宋体" w:eastAsia="宋体" w:cs="宋体"/>
          <w:b/>
          <w:bCs/>
          <w:color w:val="auto"/>
          <w:sz w:val="28"/>
          <w:szCs w:val="28"/>
          <w:u w:val="none"/>
        </w:rPr>
        <w:t>项目基本情况</w:t>
      </w:r>
      <w:bookmarkEnd w:id="0"/>
      <w:bookmarkEnd w:id="1"/>
      <w:bookmarkEnd w:id="2"/>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cs="宋体"/>
          <w:color w:val="auto"/>
          <w:sz w:val="28"/>
          <w:szCs w:val="28"/>
          <w:u w:val="single"/>
          <w:lang w:val="en-US" w:eastAsia="zh-CN"/>
        </w:rPr>
      </w:pPr>
      <w:r>
        <w:rPr>
          <w:rFonts w:hint="eastAsia" w:ascii="宋体" w:hAnsi="宋体" w:eastAsia="宋体" w:cs="宋体"/>
          <w:color w:val="auto"/>
          <w:sz w:val="28"/>
          <w:szCs w:val="28"/>
        </w:rPr>
        <w:t>1、项目名称：</w:t>
      </w:r>
      <w:r>
        <w:rPr>
          <w:rFonts w:hint="eastAsia" w:ascii="宋体" w:hAnsi="宋体" w:cs="宋体"/>
          <w:color w:val="auto"/>
          <w:sz w:val="28"/>
          <w:szCs w:val="28"/>
          <w:u w:val="single"/>
          <w:lang w:val="en-US" w:eastAsia="zh-CN"/>
        </w:rPr>
        <w:t xml:space="preserve"> </w:t>
      </w:r>
      <w:r>
        <w:rPr>
          <w:rFonts w:hint="eastAsia" w:ascii="宋体" w:hAnsi="宋体" w:eastAsia="宋体" w:cs="宋体"/>
          <w:kern w:val="0"/>
          <w:sz w:val="28"/>
          <w:szCs w:val="28"/>
          <w:u w:val="single"/>
          <w:lang w:val="en-US" w:eastAsia="zh-CN" w:bidi="ar-SA"/>
        </w:rPr>
        <w:t xml:space="preserve">中共白沙黎族自治县委党校办公楼配套设备项目（二次招标） </w:t>
      </w:r>
    </w:p>
    <w:p>
      <w:pPr>
        <w:pStyle w:val="6"/>
        <w:keepNext w:val="0"/>
        <w:keepLines w:val="0"/>
        <w:pageBreakBefore w:val="0"/>
        <w:kinsoku/>
        <w:wordWrap/>
        <w:overflowPunct/>
        <w:topLinePunct w:val="0"/>
        <w:autoSpaceDE/>
        <w:autoSpaceDN/>
        <w:bidi w:val="0"/>
        <w:adjustRightInd/>
        <w:snapToGrid/>
        <w:spacing w:line="560" w:lineRule="exact"/>
        <w:rPr>
          <w:rFonts w:hint="default" w:eastAsia="宋体"/>
          <w:u w:val="single"/>
          <w:lang w:val="en-US" w:eastAsia="zh-CN"/>
        </w:rPr>
      </w:pPr>
      <w:r>
        <w:rPr>
          <w:rFonts w:hint="eastAsia" w:cs="宋体"/>
          <w:color w:val="auto"/>
          <w:sz w:val="28"/>
          <w:szCs w:val="28"/>
          <w:u w:val="none"/>
          <w:lang w:val="en-US" w:eastAsia="zh-CN"/>
        </w:rPr>
        <w:t>2、</w:t>
      </w:r>
      <w:r>
        <w:rPr>
          <w:rFonts w:hint="eastAsia" w:ascii="宋体" w:hAnsi="宋体" w:eastAsia="宋体" w:cs="宋体"/>
          <w:sz w:val="28"/>
          <w:szCs w:val="28"/>
        </w:rPr>
        <w:t>代理机构：</w:t>
      </w:r>
      <w:r>
        <w:rPr>
          <w:rFonts w:hint="eastAsia" w:ascii="宋体" w:hAnsi="宋体" w:eastAsia="宋体" w:cs="宋体"/>
          <w:sz w:val="28"/>
          <w:szCs w:val="28"/>
          <w:u w:val="single"/>
          <w:lang w:val="en-US" w:eastAsia="zh-CN"/>
        </w:rPr>
        <w:t>海南琪硕建设项目管理有限公司</w:t>
      </w:r>
      <w:r>
        <w:rPr>
          <w:rFonts w:hint="eastAsia" w:cs="宋体"/>
          <w:sz w:val="28"/>
          <w:szCs w:val="28"/>
          <w:u w:val="single"/>
          <w:lang w:val="en-US" w:eastAsia="zh-CN"/>
        </w:rPr>
        <w:t xml:space="preserve">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、项目编号：</w:t>
      </w:r>
      <w:r>
        <w:rPr>
          <w:rFonts w:hint="eastAsia" w:ascii="宋体" w:hAnsi="宋体" w:cs="宋体"/>
          <w:color w:val="auto"/>
          <w:sz w:val="28"/>
          <w:szCs w:val="28"/>
          <w:u w:val="single"/>
          <w:lang w:val="en-US" w:eastAsia="zh-CN"/>
        </w:rPr>
        <w:t xml:space="preserve"> QSZB-2022-10（2）            </w:t>
      </w:r>
    </w:p>
    <w:p>
      <w:pPr>
        <w:keepNext w:val="0"/>
        <w:keepLines w:val="0"/>
        <w:pageBreakBefore w:val="0"/>
        <w:kinsoku/>
        <w:wordWrap/>
        <w:overflowPunct/>
        <w:topLinePunct w:val="0"/>
        <w:autoSpaceDE/>
        <w:autoSpaceDN/>
        <w:bidi w:val="0"/>
        <w:adjustRightInd/>
        <w:snapToGrid/>
        <w:spacing w:line="560" w:lineRule="exact"/>
        <w:ind w:right="-178" w:rightChars="-85"/>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、采购预算：</w:t>
      </w:r>
      <w:r>
        <w:rPr>
          <w:rFonts w:hint="eastAsia" w:ascii="宋体" w:hAnsi="宋体" w:cs="宋体"/>
          <w:color w:val="auto"/>
          <w:sz w:val="28"/>
          <w:szCs w:val="28"/>
          <w:u w:val="single"/>
          <w:lang w:val="en-US" w:eastAsia="zh-CN"/>
        </w:rPr>
        <w:t xml:space="preserve"> 1176949.96元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采购方式：</w:t>
      </w:r>
      <w:r>
        <w:rPr>
          <w:rFonts w:hint="eastAsia" w:ascii="宋体" w:hAnsi="宋体" w:eastAsia="宋体" w:cs="宋体"/>
          <w:kern w:val="0"/>
          <w:sz w:val="28"/>
          <w:szCs w:val="28"/>
          <w:u w:val="single"/>
          <w:lang w:val="en-US" w:eastAsia="zh-CN" w:bidi="ar-SA"/>
        </w:rPr>
        <w:t xml:space="preserve"> 竞争性谈判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 xml:space="preserve">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交 货 期</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 xml:space="preserve"> </w:t>
      </w:r>
      <w:r>
        <w:rPr>
          <w:rFonts w:hint="eastAsia" w:ascii="宋体" w:hAnsi="宋体" w:eastAsia="宋体" w:cs="宋体"/>
          <w:kern w:val="0"/>
          <w:sz w:val="28"/>
          <w:szCs w:val="28"/>
          <w:u w:val="single"/>
          <w:lang w:val="en-US" w:eastAsia="zh-CN" w:bidi="ar-SA"/>
        </w:rPr>
        <w:t xml:space="preserve">签订合同后二十个工作日 </w:t>
      </w:r>
      <w:r>
        <w:rPr>
          <w:rFonts w:hint="eastAsia" w:ascii="宋体" w:hAnsi="宋体" w:eastAsia="宋体" w:cs="宋体"/>
          <w:color w:val="auto"/>
          <w:sz w:val="28"/>
          <w:szCs w:val="28"/>
          <w:lang w:val="en-US" w:eastAsia="zh-CN"/>
        </w:rPr>
        <w:t xml:space="preserve">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cs="宋体"/>
          <w:color w:val="auto"/>
          <w:sz w:val="28"/>
          <w:szCs w:val="28"/>
          <w:u w:val="single"/>
          <w:lang w:val="en-US"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交货</w:t>
      </w:r>
      <w:r>
        <w:rPr>
          <w:rFonts w:hint="eastAsia" w:ascii="宋体" w:hAnsi="宋体" w:eastAsia="宋体" w:cs="宋体"/>
          <w:color w:val="auto"/>
          <w:sz w:val="28"/>
          <w:szCs w:val="28"/>
        </w:rPr>
        <w:t>地点：</w:t>
      </w:r>
      <w:r>
        <w:rPr>
          <w:rFonts w:hint="eastAsia" w:ascii="宋体" w:hAnsi="宋体" w:cs="宋体"/>
          <w:color w:val="auto"/>
          <w:sz w:val="28"/>
          <w:szCs w:val="28"/>
          <w:u w:val="single"/>
          <w:lang w:val="en-US" w:eastAsia="zh-CN"/>
        </w:rPr>
        <w:t xml:space="preserve"> </w:t>
      </w:r>
      <w:r>
        <w:rPr>
          <w:rFonts w:hint="eastAsia" w:ascii="宋体" w:hAnsi="宋体" w:eastAsia="宋体" w:cs="宋体"/>
          <w:kern w:val="0"/>
          <w:sz w:val="28"/>
          <w:szCs w:val="28"/>
          <w:u w:val="single"/>
          <w:lang w:val="en-US" w:eastAsia="zh-CN" w:bidi="ar-SA"/>
        </w:rPr>
        <w:t xml:space="preserve">白沙县牙叉镇牙叉东路75号县委党校（原白沙职业技术学校）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default" w:ascii="宋体" w:hAnsi="宋体" w:eastAsia="宋体" w:cs="宋体"/>
          <w:color w:val="auto"/>
          <w:sz w:val="28"/>
          <w:szCs w:val="28"/>
          <w:lang w:val="en-US"/>
        </w:rPr>
      </w:pPr>
      <w:r>
        <w:rPr>
          <w:rFonts w:hint="eastAsia" w:ascii="宋体" w:hAnsi="宋体" w:eastAsia="宋体" w:cs="宋体"/>
          <w:color w:val="auto"/>
          <w:sz w:val="28"/>
          <w:szCs w:val="28"/>
          <w:lang w:val="en-US" w:eastAsia="zh-CN"/>
        </w:rPr>
        <w:t>8、质保期限：</w:t>
      </w:r>
      <w:r>
        <w:rPr>
          <w:rFonts w:hint="eastAsia" w:ascii="宋体" w:hAnsi="宋体" w:cs="宋体"/>
          <w:color w:val="auto"/>
          <w:sz w:val="28"/>
          <w:szCs w:val="28"/>
          <w:u w:val="single"/>
          <w:lang w:val="en-US" w:eastAsia="zh-CN"/>
        </w:rPr>
        <w:t xml:space="preserve">  </w:t>
      </w:r>
      <w:r>
        <w:rPr>
          <w:rFonts w:hint="eastAsia" w:ascii="宋体" w:hAnsi="宋体" w:eastAsia="宋体" w:cs="宋体"/>
          <w:kern w:val="0"/>
          <w:sz w:val="28"/>
          <w:szCs w:val="28"/>
          <w:u w:val="single"/>
          <w:lang w:val="en-US" w:eastAsia="zh-CN" w:bidi="ar-SA"/>
        </w:rPr>
        <w:t>二年</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 xml:space="preserve">    </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lang w:val="en-US" w:eastAsia="zh-CN"/>
        </w:rPr>
      </w:pPr>
      <w:r>
        <w:rPr>
          <w:rFonts w:hint="eastAsia" w:ascii="宋体" w:hAnsi="宋体" w:eastAsia="宋体" w:cs="宋体"/>
          <w:b/>
          <w:bCs/>
          <w:color w:val="auto"/>
          <w:sz w:val="28"/>
          <w:szCs w:val="28"/>
          <w:lang w:val="en-US" w:eastAsia="zh-CN"/>
        </w:rPr>
        <w:t>二、采购内容</w:t>
      </w:r>
    </w:p>
    <w:p>
      <w:pPr>
        <w:keepNext w:val="0"/>
        <w:keepLines w:val="0"/>
        <w:pageBreakBefore w:val="0"/>
        <w:widowControl/>
        <w:tabs>
          <w:tab w:val="left" w:pos="630"/>
        </w:tabs>
        <w:kinsoku/>
        <w:wordWrap/>
        <w:overflowPunct/>
        <w:topLinePunct w:val="0"/>
        <w:autoSpaceDE/>
        <w:autoSpaceDN/>
        <w:bidi w:val="0"/>
        <w:adjustRightInd/>
        <w:snapToGrid/>
        <w:spacing w:line="560" w:lineRule="exact"/>
        <w:jc w:val="left"/>
        <w:textAlignment w:val="bottom"/>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（1）采购货物清单</w:t>
      </w:r>
    </w:p>
    <w:p>
      <w:pPr>
        <w:bidi w:val="0"/>
        <w:rPr>
          <w:rFonts w:hint="eastAsia"/>
          <w:lang w:val="en-US" w:eastAsia="zh-CN"/>
        </w:rPr>
      </w:pPr>
      <w:r>
        <w:rPr>
          <w:rFonts w:hint="eastAsia"/>
          <w:lang w:val="en-US" w:eastAsia="zh-CN"/>
        </w:rPr>
        <w:br w:type="page"/>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1237"/>
        <w:gridCol w:w="5407"/>
        <w:gridCol w:w="607"/>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采购品目名称</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参考规格型号和配置技术参数</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lang w:val="en-US" w:eastAsia="zh-CN" w:bidi="ar"/>
              </w:rPr>
              <w:t>16个10/100/1000M电口，背板带宽≥30Gbps  转发速率≥20Mpps</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24*千兆电口+4*SFP光口，支持VLAN、QinQ、STP，RSTP，MSTP 、ACL、QoS、组播、DHCP；支持广播风暴控制、端口镜像、端口汇聚、访问控制、流量控制、安全网管；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交换容≥330Gbps，包转发率≥90Mpps。</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智能安全接入交换机，48*千兆电口＋4*千兆SFP光口 ，支持VLAN、QinQ、STP，RSTP，MSTP 、ACL、QoS、组播、DHCP；支持广播风暴控制、端口镜像、端口汇聚、访问控制、流量控制、安全网管；交换容量≥430Gbps，包转发率≥160Mpps；</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POE交换机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8个10/100/1000M POE供电口</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千兆光纤收发器</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千兆1光1电单纤单模3KM光纤收发器</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光纤收发器</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千兆1光2电单纤单模4KM光纤收发器</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网线</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超五类非屏蔽无氧铜网线（1箱305米）</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枪式摄像机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400万枪型网络摄像机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最低照度不高于0.005 Lux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补光灯类型: 红外灯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补光距离不小于50 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最大图像尺寸不小于2560 × 1440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 供电方式: DC：12 V /PoE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防护不低于IP66</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摄像机支架</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枪型摄像机壁装支架</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机柜</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22U网络机柜，尺寸：1200mm（高）*600mm（宽）*600mm（深）</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机柜</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6U壁挂机柜，尺寸：300mm（高）*530mm（宽）*400mm（深）；</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显示器</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eastAsia="宋体"/>
                <w:lang w:val="en-US" w:eastAsia="zh-CN"/>
              </w:rPr>
            </w:pPr>
            <w:r>
              <w:rPr>
                <w:rFonts w:hint="eastAsia" w:ascii="宋体" w:hAnsi="宋体" w:eastAsia="宋体" w:cs="宋体"/>
                <w:i w:val="0"/>
                <w:iCs w:val="0"/>
                <w:color w:val="000000"/>
                <w:kern w:val="0"/>
                <w:sz w:val="20"/>
                <w:szCs w:val="20"/>
                <w:u w:val="none"/>
                <w:lang w:val="en-US" w:eastAsia="zh-CN" w:bidi="ar"/>
              </w:rPr>
              <w:t>55英寸液晶高清显示器（含壁挂支架）</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硬盘录像机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1.16路硬盘录像机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不少于2盘位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可接入1T、2T、3T、4T、6T、8T、10T容量的SATA接口硬盘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报警IO：16进4出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支持不少于16路H.264、H.265混合接入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支持不少于8×1080P解码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支持H.265、H.264解码</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监控专用硬盘</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6TB监控专用硬盘</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2匹柜式空调，能效等级：1级；冷暖方式：冷暖电辅；空调技术：变频；循环风量：1000M³/h；额定制冷量：5110W；额定制热量：7210W，56°C高温自洁，上下左右自动扫风，快速制冷热，8°C离房保温。</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3匹柜式空调，能效等级：1级；冷暖方式：冷暖电辅；空调技术：变频；循环风量：1210M³/h；额定制冷量：7250W；额定制热量：9610W，56°C高温自洁，上下左右自动扫风，快速制冷热，8°C离房保温。</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5匹380V柜式变频空调，能效等级：1级；强劲大冷量，上下左右自动热风，制热防冷风，智能化霜，循环风量：2050M³/h；额定制冷量：12200W，额定制热量：13000W；</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空调室外机固定支架</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空调室外主机壁装固定支架</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19</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空调管</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空调加长铜管</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打孔</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空调外墙打孔</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电源电缆线</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FF0000"/>
                <w:kern w:val="0"/>
                <w:sz w:val="20"/>
                <w:szCs w:val="20"/>
                <w:u w:val="none"/>
                <w:lang w:val="en-US" w:eastAsia="zh-CN" w:bidi="ar"/>
              </w:rPr>
              <w:t>电源电缆线RVV5*4.0</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400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液晶电视机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Style w:val="13"/>
                <w:lang w:val="en-US" w:eastAsia="zh-CN" w:bidi="ar"/>
              </w:rPr>
              <w:t>LED超高清液晶电视机；屏幕尺寸：≥98英寸；屏幕比例：16：9；分辨率：4K；</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电视机壁装挂架</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≥98英寸液晶电视机壁装挂架</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多功能教学投影仪</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3"/>
                <w:lang w:val="en-US" w:eastAsia="zh-CN" w:bidi="ar"/>
              </w:rPr>
              <w:t>高品质会议投影机：流明≥3700；分辨率：宽屏WXGA（1280X800）；对比度：16000：1；投射比：1.30：1；1.2倍变焦镜头，3LCD显示技术，支持梯形校正，可实现自动垂直画面校正，左右30度水平画面校正。无线网络四画面：通过无线信号实现同屏四画面功能，最多可支持50个用户接入，并可通过主持人功能任选其中1-4个信号同屏显示；6秒开机，即刻关机；自动信号源搜索，配有USB、HDMI、Audio、Computer接口；长寿灯泡，ECO模式下灯泡寿命最长可达12000小时。质保期24个月。</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移动幕布</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可移动自动伸缩投影幕布：2.38m*1.78m(120寸），材质：白玻纤，带落地固定支架</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会议室投影机</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白色亮度:4000流明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色彩亮度:4000流明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对比度:16000:1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内置扬声器:16W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水平梯形校正:土30度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垂直梯形校正:土30度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镜头类型:手动光学变焦/手动聚焦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F-值:1.51-1.99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聚焦:18.2mm-29.2mm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变焦比:1-1.6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镜头盖:滑盖(AVmute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灯泡类型:230WUHE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标准模式:6500小时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ECO模式:17000小时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投影系统:RGB光阀式液晶投影系统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尺寸:0.61英寸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横纵比:16:9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分辨率:Full HD(1920x1080)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投影方式:前投/背投/吊顶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投影距离:30”-300”[0.87m to 14.41m]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视频输入:2 x D-sub 15p,1x RCA，2xHDMI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视频输出:1x D-sub 15pp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音频输入:2 x Stereo mini,2RCAx 1i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音频输出:1x Stereo mini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USB:1xUSB-A，1xUSB-B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麦克风输入:是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RJ45:是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RS-232C:是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色彩再现:全彩(10.7 亿色)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安全防盗孔:有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kensington 锁:有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操作面板保护功能:有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密码保护功能:有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尺寸：309x105x293mm含脚钉(长*高*宽)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重量：约3.1kg</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投影幕布</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4K投影幕布 白玻纤 150英寸16:9电动幕+遥控</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LED显示屏1</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室内全彩LED显示屏，分辨率p1.923，尺寸：8m*0.4m；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LED配套支架1</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屏固定支架、铝材包边</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LED配套配件1</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包括控制卡、开关电源、电源及数据连接线等</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LED显示屏2</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室内全彩LED显示屏，分辨率p1.923，尺寸：5.9m*0.4m；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2.36</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LED配套支架2</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屏固定支架、铝材包边</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2.36</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LED配套配件2</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包括控制卡、开关电源、电源及数据连接线等</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移动双人办公桌</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1、贴面板材：采用优质可弯曲防火板，含水率≤8.8%，甲醛释放量≤0.02 mg/m³；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2、基材：采用刨花板,优质绿色环保产品, 甲醛释放量≤0.02 mg/m³、含水率≤8.7%、静曲强度≥20MPa；弹性模量≥3000 MPa，表面胶合强度≥2.0 MPa，2h吸水厚度膨胀率≤4.8%.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3、粘合剂：采用优质乳胶, 游离甲醛≤0.05g/kg，苯≤0.01g/kg，甲苯+二甲苯≤0.04g/kg，总挥发性有机物≤12g/L；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4、封边用材：2mm厚PVC胶边，热熔胶；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5、具有防水、防烫、防污、防酸、防碱、防火。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7、尺寸：140cm*55cm*75cm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办公椅子</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1、面料：采用优质网布，甲醛含量要求未检出,可分解致癌芳香胺染料要求未检出,染色牢度≥4级，异味检测结果符合要求，符合GB18401-2010标准。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海绵：采用高弹阻燃海绵，甲醛释放量≤0.02mg/㎡h，TVOC≤0.1mg/㎡h，回弹率≥50%，拉伸强度≥110kpa，湿热老化后拉伸强度≥120kpa，撕裂强度≥10N/cm，密度座面≥55kg/m³，通过香烟抗引燃特性试验,符合GB/T10802-2006、GB/T2280-2016、GB17927.1-2011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3、扶手：采用优质办公椅扶手，重金属可溶性铅要求未检出，可溶性镉要求未检出，可溶性铬要求未检出，可溶性汞要求未检出，符合GB28481-2012标准。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4、弓形脚：管材无裂缝、叠缝，焊接处无夹渣、气孔、焊瘤、焊丝头、咬边、飞溅，电镀层表面无烧焦、起泡、针孔、裂纹、花斑和划痕。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5、尺寸：47cm*48cm*79cm；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448</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椭圆形会议桌</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1、材料：基材采用优质多层板，含水率≤9%，甲醛释放量≤0.02mg/m³，面材采用 0.6mm优质胡桃木皮贴面，木皮宽度≥300mm,木材含水率≤8.5%，甲醛释放量≤0.1mg/L。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采用环保优质油漆，挥发性有机化合物（VOC）含量≤170g/L,苯含量≤0.01%，甲苯、二甲本、乙苯含量总和≤0.05%，游离二异氰酸酯含量总和≤0.01%，卤代烃含量≤0.01%，可溶性重金属含量≤5mg/kg，符合国家环保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3、技术说明：先进油漆工艺“五底三面”，使用绿色环保材料，木材和板材须经专业干燥处理，拼贴严密、平整、无裂纹、压痕和划伤，倒棱、圆角均匀一致，台面透明度高、耐用。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4.五金件：采用优质五金配件，金属表面耐腐蚀乙酸盐雾连续喷雾≥150小时，镀层本身的耐腐蚀等级≥10级。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5.尺寸：6M*2M；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高背会议椅</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材：采用橡胶木，经过防虫、防腐等化学处理，甲醛释放量≤0.02mg/m³，总挥发性有机化合物（TVOC）要求未检出，含水率≤5%，握螺钉力（板面）≥1450N，握螺钉力（板边）≥800N，静曲强度≥35Mpa，弹性模量≥3700Mpa，符合GB/T11718-2009、GB/T35601-2017、GB/T17657-2013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2、饰面：采用≥0.6mm厚木皮饰面，含水率≤8%，甲醛释放量≤0.1mg/L，挥发性有机化合物（72h）要求未检出；符合GB/T13010-2006、GB18584-2001、GB/T35601-2017标准。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3、面漆：采用优质环保水性面漆，甲醛含量要求未检出，苯系物总和含量［限苯、甲苯、二甲苯（含乙苯）］要求未检出，VOC含量≤180g/L，符合GB18581-2020标准。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4、底漆：采用优质环保水性底漆，游离甲醛要求未检出，苯系物总和含量［限苯、甲苯、二甲苯（含乙苯）］要求未检出，VOC含量≤180g/L，符合GB18581-2020标准。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5、胶粘剂：采用优质白乳胶，游离甲醛要求未检出，苯要求未检出，甲苯+二甲苯要求未检出，总挥发性有机物≤45g/L，符合GB18583-2008标准。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6、三合一连接件：三合一偏心连接件抗压强度≥300N，预埋螺母抗拉强度≥600N，连接螺杆螺纹与预埋螺母的抗拉强度≥800N，符合GB/T28203-2011标准要求。</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培训靠背椅</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1、椅面采用优质PP材质，不含邻苯二甲酸酯，不含重金属含量，不含多环芳烃，优质进口阻燃绒布面料覆面，无甲醛含量，无可分解致癌芳香胺染料。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2、钢架采用上海宝钢Φ12mm冷轧钢实芯钢，采用先进焊接技术，外部无焊点，表面静电喷塑技术处理，膜厚80μm以上 ，环保无污染。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3、座椅底面装有PP底盖，将固定螺丝隐藏。                                                                                                                                                         4、带有防滑脚垫。                                                                         5、PP面料多种颜色可选。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6、尺寸：47cm*52cm*84cm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阅读桌</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1、材料：基材采用优质多层板，含水率≤9%，甲醛释放量≤0.02mg/m³，面材采用 0.6mm优质胡桃木皮贴面，木皮宽度≥300mm,木材含水率≤8.5%，甲醛释放量≤0.1mg/L。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采用环保优质油漆，挥发性有机化合物（VOC）含量≤170g/L,苯含量≤0.01%，甲苯、二甲本、乙苯含量总和≤0.05%，游离二异氰酸酯含量总和≤0.01%，卤代烃含量≤0.01%，可溶性重金属含量≤5mg/kg，符合国家环保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3、技术说明：先进油漆工艺“五底三面”，使用绿色环保材料，木材和板材须经专业干燥处理，拼贴严密、平整、无裂纹、压痕和划伤，倒棱、圆角均匀一致，台面透明度高、耐用。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4.五金件：采用优质五金配件，金属表面耐腐蚀乙酸盐雾连续喷雾≥150小时，镀层本身的耐腐蚀等级≥10级。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5.尺寸：圆桌：85cm*75cm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阅读座椅</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1、面料：采用优质网布，甲醛含量要求未检出,可分解致癌芳香胺染料要求未检出,染色牢度≥4级，异味检测结果符合要求，符合GB18401-2010标准。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海绵：采用高弹阻燃海绵，甲醛释放量≤0.02mg/㎡h，TVOC≤0.1mg/㎡h，回弹率≥50%，拉伸强度≥110kpa，湿热老化后拉伸强度≥120kpa，撕裂强度≥10N/cm，密度座面≥55kg/m³，通过香烟抗引燃特性试验,符合GB/T10802-2006、GB/T2280-2016、GB17927.1-2011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3、扶手：采用优质办公椅扶手，重金属可溶性铅要求未检出，可溶性镉要求未检出，可溶性铬要求未检出，可溶性汞要求未检出，符合GB28481-2012标准。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4、弓形脚：管材无裂缝、叠缝，焊接处无夹渣、气孔、焊瘤、焊丝头、咬边、飞溅，电镀层表面无烧焦、起泡、针孔、裂纹、花斑和划痕。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5、尺寸：44cm*41*78cm。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发言台</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1、贴面板材：采用优质可弯曲防火板，含水率≤8.8%，甲醛释放量≤0.02 mg/m³；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2、基材：采用刨花板,优质绿色环保产品, 甲醛释放量≤0.02 mg/m³、含水率≤8.7%、静曲强度≥20MPa；弹性模量≥3000 MPa，表面胶合强度≥2.0 MPa，2h吸水厚度膨胀率≤4.8%.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3、粘合剂：采用优质乳胶, 游离甲醛≤0.05g/kg，苯≤0.01g/kg，甲苯+二甲苯≤0.04g/kg，总挥发性有机物≤12g/L；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4、封边用材：2mm厚PVC胶边，热熔胶；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5、具有防水、防烫、防污、防酸、防碱、防火。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7、尺寸：55*55cm*115cm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讲台</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1、贴面板材：采用优质可弯曲防火板，厚度：15MM，含水率≤8.8%，甲醛释放量≤0.02 mg/m³；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2、基材：采用刨花板,优质绿色环保产品, 甲醛释放量≤0.02 mg/m³、含水率≤8.7%、静曲强度≥20MPa；弹性模量≥3000 MPa，表面胶合强度≥2.0 MPa，2h吸水厚度膨胀率≤4.8%.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3、粘合剂：采用优质乳胶, 游离甲醛≤0.05g/kg，苯≤0.01g/kg，甲苯+二甲苯≤0.04g/kg，总挥发性有机物≤12g/L；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4、封边用材：2mm厚PVC胶边，热熔胶；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5、具有防水、防烫、防污、防酸、防碱、防火。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7、尺寸：102cm*44cm*90cm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座椅</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1、面料：采用优质网布，甲醛含量要求未检出,可分解致癌芳香胺染料要求未检出,染色牢度≥4级，异味检测结果符合要求，符合GB18401-2010标准。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海绵：采用高弹阻燃海绵，甲醛释放量≤0.02mg/㎡h，TVOC≤0.1mg/㎡h，回弹率≥50%，拉伸强度≥110kpa，湿热老化后拉伸强度≥120kpa，撕裂强度≥10N/cm，密度座面≥55kg/m³，通过香烟抗引燃特性试验,符合GB/T10802-2006、GB/T2280-2016、GB17927.1-2011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3、扶手：采用优质办公椅扶手，重金属可溶性铅要求未检出，可溶性镉要求未检出，可溶性铬要求未检出，可溶性汞要求未检出，符合GB28481-2012标准。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4、弓形脚：管材无裂缝、叠缝，焊接处无夹渣、气孔、焊瘤、焊丝头、咬边、飞溅，电镀层表面无烧焦、起泡、针孔、裂纹、花斑和划痕。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5、尺寸：47cm*48cm*79cm；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1"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单面书架</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1、柜体钢板：采用优质冷轧钢板，金属表面耐腐蚀乙酸盐雾连续喷雾≥150小时，镀层本身的耐腐蚀等级≥10级。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2、表面处理：静电粉末喷涂，事前更经清洗，除油、磷化等七个前置处理程序，可溶性铅(Pb) ≤2mg/kg，可溶性镉(Cd) ≤2mg/kg，可溶性铬(Cr) ≤2mg/kg，可溶性汞(Hg) ≤2mg/kg，确保质量完美。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3、柜体结构：采用整体或拆装焊接式，焊点平整，结构稳固，承重、承压性好；所有部件均经打磨，砂光处理，打磨均匀，免除钢板表面的毛刺、棱角对人体可能造成的伤害。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4、锁具：全部采用产品牌锁，金属表面耐腐蚀乙酸盐雾连续喷雾≥150小时，镀层本身的耐腐蚀等级≥10级开启灵活、锁具可靠、返开率低，避免因锁具能够相互打开引发的安全问题。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5、单面（1列4组）；可移动；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6、尺寸：380.5cm*45cm*220cm。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双面书架</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1、柜体钢板：采用优质冷轧钢板，金属表面耐腐蚀乙酸盐雾连续喷雾≥150小时，镀层本身的耐腐蚀等级≥10级。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2、表面处理：静电粉末喷涂，事前更经清洗，除油、磷化等七个前置处理程序，可溶性铅(Pb) ≤2mg/kg，可溶性镉(Cd) ≤2mg/kg，可溶性铬(Cr) ≤2mg/kg，可溶性汞(Hg) ≤2mg/kg，确保质量完美。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3、柜体结构：采用整体或拆装焊接式，焊点平整，结构稳固，承重、承压性好；所有部件均经打磨，砂光处理，打磨均匀，免除钢板表面的毛刺、棱角对人体可能造成的伤害。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4、锁具：全部采用产品牌锁，金属表面耐腐蚀乙酸盐雾连续喷雾≥150小时，镀层本身的耐腐蚀等级≥10级开启灵活、锁具可靠、返开率低，避免因锁具能够相互打开引发的安全问题。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5、双面（1列4组）；可移动；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6、尺寸：380.5cm*45cm*220cm。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活动步梯</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1、贴面板材：采用优质可弯曲防火板，含水率≤8.8%，甲醛释放量≤0.02 mg/m³；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2、主材：采用刨花板,优质绿色环保产品, 甲醛释放量≤0.02 mg/m³、含水率≤8.7%、静曲强度≥20MPa；弹性模量≥3000 MPa，表面胶合强度≥2.0 MPa，2h吸水厚度膨胀率≤4.8%.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3、粘合剂：采用优质乳胶, 游离甲醛≤0.05g/kg，苯≤0.01g/kg，甲苯+二甲苯≤0.04g/kg，总挥发性有机物≤12g/L；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4、封边用材：2mm厚PVC胶边，热熔胶；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5、具有防水、防烫、防污、防酸、防碱、防火。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6、采用优质五金配件，金属表面耐腐蚀乙酸盐雾连续喷雾≥150小时，镀层本身的耐腐蚀等级≥10级。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7、尺寸：40cm*147cm；7步（20cm/步）。</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移动还书箱</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1、柜体钢板：采用优质冷轧钢板，金属表面耐腐蚀乙酸盐雾连续喷雾≥150小时，镀层本身的耐腐蚀等级≥10级。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2、表面处理：静电粉末喷涂，事前更经清洗，除油、磷化等七个前置处理程序，可溶性铅(Pb) ≤2mg/kg，可溶性镉(Cd) ≤2mg/kg，可溶性铬(Cr) ≤2mg/kg，可溶性汞(Hg) ≤2mg/kg，确保质量完美。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3、柜体结构：采用整体或拆装焊接式，焊点平整，结构稳固，承重、承压性好；所有部件均经打磨，砂光处理，打磨均匀，免除钢板表面的毛刺、棱角对人体可能造成的伤害。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4、锁具：全部采用产品牌锁，金属表面耐腐蚀乙酸盐雾连续喷雾≥150小时，镀层本身的耐腐蚀等级≥10级开启灵活、锁具可靠、返开率低，避免因锁具能够相互打开引发的安全问题。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5、尺寸：69cm*53cm*78cm；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1、柜体钢板：采用优质冷轧钢板，金属表面耐腐蚀乙酸盐雾连续喷雾≥150小时，镀层本身的耐腐蚀等级≥10级。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2、表面处理：静电粉末喷涂，事前更经清洗，除油、磷化等七个前置处理程序，可溶性铅(Pb) ≤2mg/kg，可溶性镉(Cd) ≤2mg/kg，可溶性铬(Cr) ≤2mg/kg，可溶性汞(Hg) ≤2mg/kg，确保质量完美。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3、柜体结构：采用整体或拆装焊接式，焊点平整，结构稳固，承重、承压性好；所有部件均经打磨，砂光处理，打磨均匀，免除钢板表面的毛刺、棱角对人体可能造成的伤害。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4、锁具：全部采用产品牌锁，金属表面耐腐蚀乙酸盐雾连续喷雾≥150小时，镀层本身的耐腐蚀等级≥10级开启灵活、锁具可靠、返开率低，避免因锁具能够相互打开引发的安全问题。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5、尺寸：高1850mm宽900mm深420mm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红地毯</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迎宾专用红地毯，涤纶材质，防水防滑，厚度15MM，尺寸：20m*3m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323.34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13"/>
                <w:lang w:val="en-US" w:eastAsia="zh-CN" w:bidi="ar"/>
              </w:rPr>
              <w:t>m</w:t>
            </w:r>
            <w:r>
              <w:rPr>
                <w:rFonts w:hint="eastAsia" w:ascii="宋体" w:hAnsi="宋体" w:eastAsia="宋体" w:cs="宋体"/>
                <w:i w:val="0"/>
                <w:iCs w:val="0"/>
                <w:color w:val="000000"/>
                <w:kern w:val="0"/>
                <w:sz w:val="20"/>
                <w:szCs w:val="20"/>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地毯</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会议室地毯，手工腈纶材质，厚度：18mm，尺寸：6.33m*8.8m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55.7</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13"/>
                <w:lang w:val="en-US" w:eastAsia="zh-CN" w:bidi="ar"/>
              </w:rPr>
              <w:t>m</w:t>
            </w:r>
            <w:r>
              <w:rPr>
                <w:rFonts w:hint="eastAsia" w:ascii="宋体" w:hAnsi="宋体" w:eastAsia="宋体" w:cs="宋体"/>
                <w:i w:val="0"/>
                <w:iCs w:val="0"/>
                <w:color w:val="000000"/>
                <w:kern w:val="0"/>
                <w:sz w:val="20"/>
                <w:szCs w:val="20"/>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仿木地板贴</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仿木地板贴，防水防火耐磨环保防滑，厚度2mm，单片尺寸：15.24mm*914.4mm</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Style w:val="13"/>
                <w:lang w:val="en-US" w:eastAsia="zh-CN" w:bidi="ar"/>
              </w:rPr>
              <w:t>m</w:t>
            </w:r>
            <w:r>
              <w:rPr>
                <w:rFonts w:hint="eastAsia" w:ascii="宋体" w:hAnsi="宋体" w:eastAsia="宋体" w:cs="宋体"/>
                <w:i w:val="0"/>
                <w:iCs w:val="0"/>
                <w:color w:val="000000"/>
                <w:kern w:val="0"/>
                <w:sz w:val="20"/>
                <w:szCs w:val="20"/>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聚酯纤维材料，柔软合适，健康环保无甲醛，遮光隔热，尺寸：1.6m*2.8m（含罗马杆）。</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5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聚酯纤维材料，柔软合适，健康环保无甲醛，遮光隔热，尺寸：3.3m*2.8m（含罗马杆）。</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垃圾桶</w:t>
            </w:r>
          </w:p>
        </w:tc>
        <w:tc>
          <w:tcPr>
            <w:tcW w:w="540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手按+脚踩开盖式垃圾桶，容量：中号12L。采用厚实PP材质，强力承重，不易损坏。</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23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LED单面挂钟</w:t>
            </w:r>
          </w:p>
        </w:tc>
        <w:tc>
          <w:tcPr>
            <w:tcW w:w="5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LED大屏数字夜光万年历电子钟；屏幕显示：时/分/秒；年/月/日/星期/农历/温度。外观尺寸：103*30*5cm；分辨率：4K</w:t>
            </w:r>
          </w:p>
        </w:tc>
        <w:tc>
          <w:tcPr>
            <w:tcW w:w="607"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施工辅材</w:t>
            </w:r>
          </w:p>
        </w:tc>
        <w:tc>
          <w:tcPr>
            <w:tcW w:w="540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含PVC线管、线槽、管夹、自攻螺钉、胶粒、水晶头、电源插板等配套材料</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系统集成及安装费</w:t>
            </w:r>
          </w:p>
        </w:tc>
        <w:tc>
          <w:tcPr>
            <w:tcW w:w="540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视频监控设备、综合布线、空调、电视机、投影机、LED显示屏、档案密集柜、办公家具的安装、运输、搬运及调试（含高空作业、机械费）等</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r>
    </w:tbl>
    <w:p>
      <w:pPr>
        <w:bidi w:val="0"/>
        <w:rPr>
          <w:rFonts w:hint="eastAsia"/>
          <w:lang w:val="en-US" w:eastAsia="zh-CN"/>
        </w:rPr>
      </w:pPr>
    </w:p>
    <w:p>
      <w:pPr>
        <w:widowControl/>
        <w:tabs>
          <w:tab w:val="left" w:pos="630"/>
        </w:tabs>
        <w:spacing w:line="600" w:lineRule="auto"/>
        <w:jc w:val="left"/>
        <w:textAlignment w:val="bottom"/>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（2</w:t>
      </w:r>
      <w:r>
        <w:rPr>
          <w:rFonts w:hint="eastAsia" w:ascii="宋体" w:hAnsi="宋体" w:eastAsia="宋体" w:cs="宋体"/>
          <w:sz w:val="28"/>
          <w:szCs w:val="28"/>
          <w:lang w:val="en-US" w:eastAsia="zh-CN"/>
        </w:rPr>
        <w:t>）采购货物要求：</w:t>
      </w:r>
      <w:r>
        <w:rPr>
          <w:rFonts w:hint="eastAsia" w:ascii="宋体" w:hAnsi="宋体" w:cs="宋体"/>
          <w:sz w:val="28"/>
          <w:szCs w:val="28"/>
          <w:lang w:val="en-US" w:eastAsia="zh-CN"/>
        </w:rPr>
        <w:t>符合</w:t>
      </w:r>
      <w:r>
        <w:rPr>
          <w:rFonts w:hint="eastAsia" w:ascii="宋体" w:hAnsi="宋体" w:eastAsia="宋体" w:cs="宋体"/>
          <w:sz w:val="28"/>
          <w:szCs w:val="28"/>
          <w:lang w:val="en-US" w:eastAsia="zh-CN"/>
        </w:rPr>
        <w:t>文</w:t>
      </w:r>
      <w:r>
        <w:rPr>
          <w:rFonts w:hint="eastAsia" w:ascii="宋体" w:hAnsi="宋体" w:eastAsia="宋体" w:cs="宋体"/>
          <w:sz w:val="28"/>
          <w:szCs w:val="28"/>
        </w:rPr>
        <w:t>件参数</w:t>
      </w:r>
      <w:r>
        <w:rPr>
          <w:rFonts w:hint="eastAsia" w:ascii="宋体" w:hAnsi="宋体" w:eastAsia="宋体" w:cs="宋体"/>
          <w:sz w:val="28"/>
          <w:szCs w:val="28"/>
          <w:lang w:val="en-US" w:eastAsia="zh-CN"/>
        </w:rPr>
        <w:t>要求及</w:t>
      </w:r>
      <w:r>
        <w:rPr>
          <w:rFonts w:hint="eastAsia" w:ascii="宋体" w:hAnsi="宋体" w:eastAsia="宋体" w:cs="宋体"/>
          <w:sz w:val="28"/>
          <w:szCs w:val="28"/>
        </w:rPr>
        <w:t>国家行业标准</w:t>
      </w:r>
      <w:r>
        <w:rPr>
          <w:rFonts w:hint="eastAsia" w:ascii="宋体" w:hAnsi="宋体" w:cs="宋体"/>
          <w:sz w:val="28"/>
          <w:szCs w:val="28"/>
          <w:lang w:eastAsia="zh-CN"/>
        </w:rPr>
        <w:t>。</w:t>
      </w:r>
    </w:p>
    <w:p>
      <w:pPr>
        <w:spacing w:line="600" w:lineRule="exact"/>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三、结算方式：</w:t>
      </w:r>
      <w:r>
        <w:rPr>
          <w:rFonts w:hint="eastAsia" w:ascii="宋体" w:hAnsi="宋体" w:eastAsia="宋体" w:cs="宋体"/>
          <w:sz w:val="28"/>
          <w:szCs w:val="28"/>
          <w:lang w:val="en-US" w:eastAsia="zh-CN"/>
        </w:rPr>
        <w:t>验收合格后三十日内支付款项</w:t>
      </w:r>
      <w:r>
        <w:rPr>
          <w:rFonts w:hint="eastAsia" w:ascii="宋体" w:hAnsi="宋体" w:cs="宋体"/>
          <w:sz w:val="28"/>
          <w:szCs w:val="28"/>
          <w:lang w:val="en-US" w:eastAsia="zh-CN"/>
        </w:rPr>
        <w:t>。</w:t>
      </w:r>
    </w:p>
    <w:p>
      <w:pPr>
        <w:numPr>
          <w:ilvl w:val="0"/>
          <w:numId w:val="0"/>
        </w:numPr>
        <w:spacing w:line="600" w:lineRule="exact"/>
        <w:ind w:firstLine="562" w:firstLineChars="200"/>
        <w:rPr>
          <w:rFonts w:hint="eastAsia" w:ascii="宋体" w:hAnsi="宋体" w:eastAsia="宋体" w:cs="宋体"/>
          <w:sz w:val="28"/>
          <w:szCs w:val="28"/>
        </w:rPr>
      </w:pPr>
      <w:r>
        <w:rPr>
          <w:rFonts w:hint="eastAsia" w:ascii="宋体" w:hAnsi="宋体" w:eastAsia="宋体" w:cs="宋体"/>
          <w:b/>
          <w:bCs/>
          <w:sz w:val="28"/>
          <w:szCs w:val="28"/>
          <w:lang w:val="en-US" w:eastAsia="zh-CN"/>
        </w:rPr>
        <w:t>四、验收：</w:t>
      </w:r>
      <w:r>
        <w:rPr>
          <w:rFonts w:hint="eastAsia" w:ascii="宋体" w:hAnsi="宋体" w:eastAsia="宋体" w:cs="宋体"/>
          <w:sz w:val="28"/>
          <w:szCs w:val="28"/>
          <w:lang w:val="en-US" w:eastAsia="zh-CN"/>
        </w:rPr>
        <w:t>按谈判文</w:t>
      </w:r>
      <w:r>
        <w:rPr>
          <w:rFonts w:hint="eastAsia" w:ascii="宋体" w:hAnsi="宋体" w:eastAsia="宋体" w:cs="宋体"/>
          <w:sz w:val="28"/>
          <w:szCs w:val="28"/>
        </w:rPr>
        <w:t>件</w:t>
      </w:r>
      <w:r>
        <w:rPr>
          <w:rFonts w:hint="eastAsia" w:ascii="宋体" w:hAnsi="宋体" w:eastAsia="宋体" w:cs="宋体"/>
          <w:sz w:val="28"/>
          <w:szCs w:val="28"/>
          <w:lang w:val="en-US" w:eastAsia="zh-CN"/>
        </w:rPr>
        <w:t>中的</w:t>
      </w:r>
      <w:r>
        <w:rPr>
          <w:rFonts w:hint="eastAsia" w:ascii="宋体" w:hAnsi="宋体" w:eastAsia="宋体" w:cs="宋体"/>
          <w:sz w:val="28"/>
          <w:szCs w:val="28"/>
        </w:rPr>
        <w:t>参数</w:t>
      </w:r>
      <w:r>
        <w:rPr>
          <w:rFonts w:hint="eastAsia" w:ascii="宋体" w:hAnsi="宋体" w:eastAsia="宋体" w:cs="宋体"/>
          <w:sz w:val="28"/>
          <w:szCs w:val="28"/>
          <w:lang w:val="en-US" w:eastAsia="zh-CN"/>
        </w:rPr>
        <w:t>要求及</w:t>
      </w:r>
      <w:r>
        <w:rPr>
          <w:rFonts w:hint="eastAsia" w:ascii="宋体" w:hAnsi="宋体" w:eastAsia="宋体" w:cs="宋体"/>
          <w:sz w:val="28"/>
          <w:szCs w:val="28"/>
        </w:rPr>
        <w:t>国家行业标准进行验收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家具类产品需提供环保承诺函，格式自拟）</w:t>
      </w:r>
      <w:r>
        <w:rPr>
          <w:rFonts w:hint="eastAsia" w:ascii="宋体" w:hAnsi="宋体" w:eastAsia="宋体" w:cs="宋体"/>
          <w:sz w:val="28"/>
          <w:szCs w:val="28"/>
        </w:rPr>
        <w:t>。</w:t>
      </w:r>
    </w:p>
    <w:p>
      <w:pPr>
        <w:numPr>
          <w:ilvl w:val="0"/>
          <w:numId w:val="0"/>
        </w:numPr>
        <w:spacing w:line="60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lang w:eastAsia="zh-CN"/>
        </w:rPr>
        <w:t>售后服务</w:t>
      </w:r>
      <w:bookmarkStart w:id="5" w:name="_GoBack"/>
      <w:bookmarkEnd w:id="5"/>
    </w:p>
    <w:p>
      <w:pPr>
        <w:spacing w:line="600" w:lineRule="exact"/>
        <w:rPr>
          <w:rFonts w:hint="eastAsia" w:ascii="宋体" w:hAnsi="宋体" w:eastAsia="宋体" w:cs="宋体"/>
          <w:sz w:val="28"/>
          <w:szCs w:val="28"/>
        </w:rPr>
      </w:pPr>
      <w:bookmarkStart w:id="3" w:name="_Toc6655487"/>
      <w:r>
        <w:rPr>
          <w:rFonts w:hint="eastAsia" w:ascii="宋体" w:hAnsi="宋体" w:eastAsia="宋体" w:cs="宋体"/>
          <w:sz w:val="28"/>
          <w:szCs w:val="28"/>
        </w:rPr>
        <w:t>1.质保</w:t>
      </w:r>
      <w:r>
        <w:rPr>
          <w:rFonts w:hint="eastAsia" w:ascii="宋体" w:hAnsi="宋体" w:eastAsia="宋体" w:cs="宋体"/>
          <w:sz w:val="28"/>
          <w:szCs w:val="28"/>
          <w:lang w:eastAsia="zh-CN"/>
        </w:rPr>
        <w:t>期为2年，</w:t>
      </w:r>
      <w:r>
        <w:rPr>
          <w:rFonts w:hint="eastAsia" w:ascii="宋体" w:hAnsi="宋体" w:eastAsia="宋体" w:cs="宋体"/>
          <w:sz w:val="28"/>
          <w:szCs w:val="28"/>
          <w:lang w:val="en-US" w:eastAsia="zh-CN"/>
        </w:rPr>
        <w:t>产品</w:t>
      </w:r>
      <w:r>
        <w:rPr>
          <w:rFonts w:hint="eastAsia" w:ascii="宋体" w:hAnsi="宋体" w:eastAsia="宋体" w:cs="宋体"/>
          <w:sz w:val="28"/>
          <w:szCs w:val="28"/>
        </w:rPr>
        <w:t>安装完毕并验收合格之日起计算。</w:t>
      </w:r>
    </w:p>
    <w:p>
      <w:pPr>
        <w:spacing w:line="600" w:lineRule="exact"/>
        <w:rPr>
          <w:rFonts w:hint="eastAsia" w:ascii="宋体" w:hAnsi="宋体" w:eastAsia="宋体" w:cs="宋体"/>
          <w:sz w:val="28"/>
          <w:szCs w:val="28"/>
        </w:rPr>
      </w:pPr>
      <w:r>
        <w:rPr>
          <w:rFonts w:hint="eastAsia" w:ascii="宋体" w:hAnsi="宋体" w:eastAsia="宋体" w:cs="宋体"/>
          <w:sz w:val="28"/>
          <w:szCs w:val="28"/>
        </w:rPr>
        <w:t>2.安装调试</w:t>
      </w:r>
    </w:p>
    <w:p>
      <w:pPr>
        <w:spacing w:line="600" w:lineRule="exact"/>
        <w:rPr>
          <w:rFonts w:hint="eastAsia" w:ascii="宋体" w:hAnsi="宋体" w:eastAsia="宋体" w:cs="宋体"/>
          <w:sz w:val="28"/>
          <w:szCs w:val="28"/>
        </w:rPr>
      </w:pPr>
      <w:r>
        <w:rPr>
          <w:rFonts w:hint="eastAsia" w:ascii="宋体" w:hAnsi="宋体" w:eastAsia="宋体" w:cs="宋体"/>
          <w:sz w:val="28"/>
          <w:szCs w:val="28"/>
        </w:rPr>
        <w:t>2.1、所有</w:t>
      </w:r>
      <w:r>
        <w:rPr>
          <w:rFonts w:hint="eastAsia" w:ascii="宋体" w:hAnsi="宋体" w:eastAsia="宋体" w:cs="宋体"/>
          <w:sz w:val="28"/>
          <w:szCs w:val="28"/>
          <w:lang w:eastAsia="zh-CN"/>
        </w:rPr>
        <w:t>产品</w:t>
      </w:r>
      <w:r>
        <w:rPr>
          <w:rFonts w:hint="eastAsia" w:ascii="宋体" w:hAnsi="宋体" w:eastAsia="宋体" w:cs="宋体"/>
          <w:sz w:val="28"/>
          <w:szCs w:val="28"/>
        </w:rPr>
        <w:t>均由供应商送货至采购人指定的交货地点并安装调试好，安装调试应以竞争性</w:t>
      </w:r>
      <w:r>
        <w:rPr>
          <w:rFonts w:hint="eastAsia" w:ascii="宋体" w:hAnsi="宋体" w:eastAsia="宋体" w:cs="宋体"/>
          <w:sz w:val="28"/>
          <w:szCs w:val="28"/>
          <w:lang w:val="en-US" w:eastAsia="zh-CN"/>
        </w:rPr>
        <w:t>谈判</w:t>
      </w:r>
      <w:r>
        <w:rPr>
          <w:rFonts w:hint="eastAsia" w:ascii="宋体" w:hAnsi="宋体" w:eastAsia="宋体" w:cs="宋体"/>
          <w:sz w:val="28"/>
          <w:szCs w:val="28"/>
        </w:rPr>
        <w:t>文件要求的技术参数指标及响应文件响应情况为标准。</w:t>
      </w:r>
    </w:p>
    <w:p>
      <w:pPr>
        <w:spacing w:line="600" w:lineRule="exact"/>
        <w:rPr>
          <w:rFonts w:hint="eastAsia" w:ascii="宋体" w:hAnsi="宋体" w:eastAsia="宋体" w:cs="宋体"/>
          <w:sz w:val="28"/>
          <w:szCs w:val="28"/>
        </w:rPr>
      </w:pPr>
      <w:r>
        <w:rPr>
          <w:rFonts w:hint="eastAsia" w:ascii="宋体" w:hAnsi="宋体" w:eastAsia="宋体" w:cs="宋体"/>
          <w:sz w:val="28"/>
          <w:szCs w:val="28"/>
        </w:rPr>
        <w:t>2.2、供应商应提供包括但不限于满足</w:t>
      </w:r>
      <w:r>
        <w:rPr>
          <w:rFonts w:hint="eastAsia" w:ascii="宋体" w:hAnsi="宋体" w:eastAsia="宋体" w:cs="宋体"/>
          <w:sz w:val="28"/>
          <w:szCs w:val="28"/>
          <w:lang w:eastAsia="zh-CN"/>
        </w:rPr>
        <w:t>产品</w:t>
      </w:r>
      <w:r>
        <w:rPr>
          <w:rFonts w:hint="eastAsia" w:ascii="宋体" w:hAnsi="宋体" w:eastAsia="宋体" w:cs="宋体"/>
          <w:sz w:val="28"/>
          <w:szCs w:val="28"/>
        </w:rPr>
        <w:t>安装、使用和维护的技术文件，如:</w:t>
      </w:r>
      <w:r>
        <w:rPr>
          <w:rFonts w:hint="eastAsia" w:ascii="宋体" w:hAnsi="宋体" w:eastAsia="宋体" w:cs="宋体"/>
          <w:sz w:val="28"/>
          <w:szCs w:val="28"/>
          <w:lang w:eastAsia="zh-CN"/>
        </w:rPr>
        <w:t>产品</w:t>
      </w:r>
      <w:r>
        <w:rPr>
          <w:rFonts w:hint="eastAsia" w:ascii="宋体" w:hAnsi="宋体" w:eastAsia="宋体" w:cs="宋体"/>
          <w:sz w:val="28"/>
          <w:szCs w:val="28"/>
        </w:rPr>
        <w:t>和附件装箱清单、</w:t>
      </w:r>
      <w:r>
        <w:rPr>
          <w:rFonts w:hint="eastAsia" w:ascii="宋体" w:hAnsi="宋体" w:eastAsia="宋体" w:cs="宋体"/>
          <w:sz w:val="28"/>
          <w:szCs w:val="28"/>
          <w:lang w:eastAsia="zh-CN"/>
        </w:rPr>
        <w:t>产品</w:t>
      </w:r>
      <w:r>
        <w:rPr>
          <w:rFonts w:hint="eastAsia" w:ascii="宋体" w:hAnsi="宋体" w:eastAsia="宋体" w:cs="宋体"/>
          <w:sz w:val="28"/>
          <w:szCs w:val="28"/>
        </w:rPr>
        <w:t>质量合格证明文件、</w:t>
      </w:r>
      <w:r>
        <w:rPr>
          <w:rFonts w:hint="eastAsia" w:ascii="宋体" w:hAnsi="宋体" w:eastAsia="宋体" w:cs="宋体"/>
          <w:sz w:val="28"/>
          <w:szCs w:val="28"/>
          <w:lang w:eastAsia="zh-CN"/>
        </w:rPr>
        <w:t>产品</w:t>
      </w:r>
      <w:r>
        <w:rPr>
          <w:rFonts w:hint="eastAsia" w:ascii="宋体" w:hAnsi="宋体" w:eastAsia="宋体" w:cs="宋体"/>
          <w:sz w:val="28"/>
          <w:szCs w:val="28"/>
        </w:rPr>
        <w:t>保修服务卡、</w:t>
      </w:r>
      <w:r>
        <w:rPr>
          <w:rFonts w:hint="eastAsia" w:ascii="宋体" w:hAnsi="宋体" w:eastAsia="宋体" w:cs="宋体"/>
          <w:sz w:val="28"/>
          <w:szCs w:val="28"/>
          <w:lang w:eastAsia="zh-CN"/>
        </w:rPr>
        <w:t>产品</w:t>
      </w:r>
      <w:r>
        <w:rPr>
          <w:rFonts w:hint="eastAsia" w:ascii="宋体" w:hAnsi="宋体" w:eastAsia="宋体" w:cs="宋体"/>
          <w:sz w:val="28"/>
          <w:szCs w:val="28"/>
        </w:rPr>
        <w:t>中文使用说明和维护手册等。</w:t>
      </w:r>
    </w:p>
    <w:p>
      <w:pPr>
        <w:spacing w:line="600" w:lineRule="exact"/>
        <w:rPr>
          <w:rFonts w:hint="eastAsia" w:ascii="宋体" w:hAnsi="宋体" w:eastAsia="宋体" w:cs="宋体"/>
          <w:sz w:val="28"/>
          <w:szCs w:val="28"/>
        </w:rPr>
      </w:pPr>
      <w:r>
        <w:rPr>
          <w:rFonts w:hint="eastAsia" w:ascii="宋体" w:hAnsi="宋体" w:eastAsia="宋体" w:cs="宋体"/>
          <w:sz w:val="28"/>
          <w:szCs w:val="28"/>
        </w:rPr>
        <w:t>2.3、应按出厂标准及国家有关要求进行包装及运输。</w:t>
      </w:r>
    </w:p>
    <w:p>
      <w:pPr>
        <w:spacing w:line="600" w:lineRule="exact"/>
        <w:rPr>
          <w:rFonts w:hint="eastAsia" w:ascii="宋体" w:hAnsi="宋体" w:eastAsia="宋体" w:cs="宋体"/>
          <w:sz w:val="28"/>
          <w:szCs w:val="28"/>
        </w:rPr>
      </w:pPr>
      <w:r>
        <w:rPr>
          <w:rFonts w:hint="eastAsia" w:ascii="宋体" w:hAnsi="宋体" w:eastAsia="宋体" w:cs="宋体"/>
          <w:sz w:val="28"/>
          <w:szCs w:val="28"/>
        </w:rPr>
        <w:t>3.售后及培训详细要求</w:t>
      </w:r>
    </w:p>
    <w:p>
      <w:pPr>
        <w:spacing w:line="600" w:lineRule="exact"/>
        <w:rPr>
          <w:rFonts w:hint="eastAsia" w:ascii="宋体" w:hAnsi="宋体" w:eastAsia="宋体" w:cs="宋体"/>
          <w:sz w:val="28"/>
          <w:szCs w:val="28"/>
        </w:rPr>
      </w:pPr>
      <w:r>
        <w:rPr>
          <w:rFonts w:hint="eastAsia" w:ascii="宋体" w:hAnsi="宋体" w:eastAsia="宋体" w:cs="宋体"/>
          <w:sz w:val="28"/>
          <w:szCs w:val="28"/>
        </w:rPr>
        <w:t>3.1、本项目免费质保期为2年，自项目验收</w:t>
      </w:r>
      <w:r>
        <w:rPr>
          <w:rFonts w:hint="eastAsia" w:ascii="宋体" w:hAnsi="宋体" w:eastAsia="宋体" w:cs="宋体"/>
          <w:sz w:val="28"/>
          <w:szCs w:val="28"/>
          <w:lang w:val="en-US" w:eastAsia="zh-CN"/>
        </w:rPr>
        <w:t>合格</w:t>
      </w:r>
      <w:r>
        <w:rPr>
          <w:rFonts w:hint="eastAsia" w:ascii="宋体" w:hAnsi="宋体" w:eastAsia="宋体" w:cs="宋体"/>
          <w:sz w:val="28"/>
          <w:szCs w:val="28"/>
        </w:rPr>
        <w:t>之日起计算。</w:t>
      </w:r>
    </w:p>
    <w:p>
      <w:pPr>
        <w:spacing w:line="600" w:lineRule="exact"/>
        <w:rPr>
          <w:rFonts w:hint="eastAsia" w:ascii="宋体" w:hAnsi="宋体" w:eastAsia="宋体" w:cs="宋体"/>
          <w:sz w:val="28"/>
          <w:szCs w:val="28"/>
        </w:rPr>
      </w:pPr>
      <w:r>
        <w:rPr>
          <w:rFonts w:hint="eastAsia" w:ascii="宋体" w:hAnsi="宋体" w:eastAsia="宋体" w:cs="宋体"/>
          <w:sz w:val="28"/>
          <w:szCs w:val="28"/>
        </w:rPr>
        <w:t>3.2、免费质保期内，提供7×24小时的电话技术咨询支持，所有因</w:t>
      </w:r>
      <w:r>
        <w:rPr>
          <w:rFonts w:hint="eastAsia" w:ascii="宋体" w:hAnsi="宋体" w:eastAsia="宋体" w:cs="宋体"/>
          <w:sz w:val="28"/>
          <w:szCs w:val="28"/>
          <w:lang w:eastAsia="zh-CN"/>
        </w:rPr>
        <w:t>产品</w:t>
      </w:r>
      <w:r>
        <w:rPr>
          <w:rFonts w:hint="eastAsia" w:ascii="宋体" w:hAnsi="宋体" w:eastAsia="宋体" w:cs="宋体"/>
          <w:sz w:val="28"/>
          <w:szCs w:val="28"/>
        </w:rPr>
        <w:t>、材料和施工质量缺陷引起的维护及维修（非人为损坏）均为免费，若为非供应商施工和产品质量原因造成的损坏，维修费用由采购人自行承担。售后服务响应时间为1小时，2小时内到达现场，8小时内解决故障，若8小时内不能排除故障则提供采购人认可的解决方案，如果不能排除故障需要返厂维修，维修期间须提供同档次同功能备品并进行更换安装供采购人正常使用。</w:t>
      </w:r>
    </w:p>
    <w:p>
      <w:pPr>
        <w:spacing w:line="600" w:lineRule="exact"/>
        <w:rPr>
          <w:rFonts w:hint="eastAsia" w:ascii="宋体" w:hAnsi="宋体" w:eastAsia="宋体" w:cs="宋体"/>
          <w:sz w:val="28"/>
          <w:szCs w:val="28"/>
        </w:rPr>
      </w:pPr>
      <w:r>
        <w:rPr>
          <w:rFonts w:hint="eastAsia" w:ascii="宋体" w:hAnsi="宋体" w:eastAsia="宋体" w:cs="宋体"/>
          <w:sz w:val="28"/>
          <w:szCs w:val="28"/>
        </w:rPr>
        <w:t>3.3、对质保期内货物的故障报修，如供应商未能做到上款的服务承诺，采购人可采取必要的补救措施，但其风险和费用由供应商承担，由于供应商的保证服务不到位，质保期的到期时间将顺延。</w:t>
      </w:r>
    </w:p>
    <w:p>
      <w:pPr>
        <w:spacing w:line="600" w:lineRule="exact"/>
        <w:rPr>
          <w:rFonts w:hint="eastAsia" w:ascii="宋体" w:hAnsi="宋体" w:eastAsia="宋体" w:cs="宋体"/>
          <w:sz w:val="28"/>
          <w:szCs w:val="28"/>
        </w:rPr>
      </w:pPr>
      <w:r>
        <w:rPr>
          <w:rFonts w:hint="eastAsia" w:ascii="宋体" w:hAnsi="宋体" w:eastAsia="宋体" w:cs="宋体"/>
          <w:sz w:val="28"/>
          <w:szCs w:val="28"/>
        </w:rPr>
        <w:t>3.4、质保期内因用户使用、管理不当所造成的损失由采购人承担，供应商提供有偿服务。</w:t>
      </w:r>
    </w:p>
    <w:p>
      <w:pPr>
        <w:spacing w:line="600" w:lineRule="exact"/>
        <w:rPr>
          <w:rFonts w:hint="eastAsia" w:ascii="宋体" w:hAnsi="宋体" w:eastAsia="宋体" w:cs="宋体"/>
          <w:sz w:val="28"/>
          <w:szCs w:val="28"/>
        </w:rPr>
      </w:pPr>
      <w:r>
        <w:rPr>
          <w:rFonts w:hint="eastAsia" w:ascii="宋体" w:hAnsi="宋体" w:eastAsia="宋体" w:cs="宋体"/>
          <w:sz w:val="28"/>
          <w:szCs w:val="28"/>
        </w:rPr>
        <w:t>3.5、质保期满后，若有零部件出现故障，经权威部门鉴定属于寿命异常问题（明显短于该零部件正常寿命）时，则由供应商负责免费更换及维修。</w:t>
      </w:r>
    </w:p>
    <w:p>
      <w:pPr>
        <w:spacing w:line="600" w:lineRule="exact"/>
        <w:rPr>
          <w:rFonts w:hint="eastAsia" w:ascii="宋体" w:hAnsi="宋体" w:eastAsia="宋体" w:cs="宋体"/>
          <w:sz w:val="28"/>
          <w:szCs w:val="28"/>
        </w:rPr>
      </w:pPr>
      <w:r>
        <w:rPr>
          <w:rFonts w:hint="eastAsia" w:ascii="宋体" w:hAnsi="宋体" w:eastAsia="宋体" w:cs="宋体"/>
          <w:sz w:val="28"/>
          <w:szCs w:val="28"/>
        </w:rPr>
        <w:t>3.6、供应商须负责对采购人的技术人员免费进行安装、操作、数据处理、维护维修等方面的培训，人数不限，学会为止。</w:t>
      </w:r>
    </w:p>
    <w:p>
      <w:pPr>
        <w:spacing w:line="600" w:lineRule="exact"/>
        <w:rPr>
          <w:rFonts w:hint="eastAsia" w:ascii="宋体" w:hAnsi="宋体" w:eastAsia="宋体" w:cs="宋体"/>
          <w:sz w:val="28"/>
          <w:szCs w:val="28"/>
        </w:rPr>
      </w:pPr>
      <w:r>
        <w:rPr>
          <w:rFonts w:hint="eastAsia" w:ascii="宋体" w:hAnsi="宋体" w:eastAsia="宋体" w:cs="宋体"/>
          <w:sz w:val="28"/>
          <w:szCs w:val="28"/>
        </w:rPr>
        <w:t>3.7、售后服务及培训方案：供应商应根据项目内容，提供相应的售后服务及培训方案。</w:t>
      </w:r>
    </w:p>
    <w:bookmarkEnd w:id="3"/>
    <w:p>
      <w:pPr>
        <w:spacing w:line="600" w:lineRule="exact"/>
        <w:rPr>
          <w:rFonts w:hint="eastAsia" w:ascii="宋体" w:hAnsi="宋体" w:eastAsia="宋体" w:cs="宋体"/>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lang w:eastAsia="zh-CN"/>
        </w:rPr>
        <w:t>、质量保证</w:t>
      </w:r>
    </w:p>
    <w:p>
      <w:pPr>
        <w:spacing w:line="600" w:lineRule="exact"/>
        <w:rPr>
          <w:rFonts w:hint="eastAsia" w:ascii="宋体" w:hAnsi="宋体" w:eastAsia="宋体" w:cs="宋体"/>
          <w:sz w:val="28"/>
          <w:szCs w:val="28"/>
        </w:rPr>
      </w:pPr>
      <w:bookmarkStart w:id="4" w:name="_Toc6655489"/>
      <w:r>
        <w:rPr>
          <w:rFonts w:hint="eastAsia" w:ascii="宋体" w:hAnsi="宋体" w:eastAsia="宋体" w:cs="宋体"/>
          <w:sz w:val="28"/>
          <w:szCs w:val="28"/>
        </w:rPr>
        <w:t>1、所有</w:t>
      </w:r>
      <w:r>
        <w:rPr>
          <w:rFonts w:hint="eastAsia" w:ascii="宋体" w:hAnsi="宋体" w:eastAsia="宋体" w:cs="宋体"/>
          <w:sz w:val="28"/>
          <w:szCs w:val="28"/>
          <w:lang w:eastAsia="zh-CN"/>
        </w:rPr>
        <w:t>产品</w:t>
      </w:r>
      <w:r>
        <w:rPr>
          <w:rFonts w:hint="eastAsia" w:ascii="宋体" w:hAnsi="宋体" w:eastAsia="宋体" w:cs="宋体"/>
          <w:sz w:val="28"/>
          <w:szCs w:val="28"/>
        </w:rPr>
        <w:t>必须是厂商原装、全新的正品，符合国家及该产品的出厂标准。</w:t>
      </w:r>
    </w:p>
    <w:p>
      <w:pPr>
        <w:spacing w:line="600" w:lineRule="exact"/>
        <w:rPr>
          <w:rFonts w:hint="eastAsia" w:ascii="宋体" w:hAnsi="宋体" w:eastAsia="宋体" w:cs="宋体"/>
          <w:sz w:val="28"/>
          <w:szCs w:val="28"/>
        </w:rPr>
      </w:pPr>
      <w:r>
        <w:rPr>
          <w:rFonts w:hint="eastAsia" w:ascii="宋体" w:hAnsi="宋体" w:eastAsia="宋体" w:cs="宋体"/>
          <w:sz w:val="28"/>
          <w:szCs w:val="28"/>
        </w:rPr>
        <w:t>2、应保证</w:t>
      </w:r>
      <w:r>
        <w:rPr>
          <w:rFonts w:hint="eastAsia" w:ascii="宋体" w:hAnsi="宋体" w:eastAsia="宋体" w:cs="宋体"/>
          <w:sz w:val="28"/>
          <w:szCs w:val="28"/>
          <w:lang w:eastAsia="zh-CN"/>
        </w:rPr>
        <w:t>产品</w:t>
      </w:r>
      <w:r>
        <w:rPr>
          <w:rFonts w:hint="eastAsia" w:ascii="宋体" w:hAnsi="宋体" w:eastAsia="宋体" w:cs="宋体"/>
          <w:sz w:val="28"/>
          <w:szCs w:val="28"/>
        </w:rPr>
        <w:t>外观清洁，标记编号以及盘面显示等字体清晰、明确。</w:t>
      </w:r>
    </w:p>
    <w:p>
      <w:pPr>
        <w:spacing w:line="600" w:lineRule="exac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、成交供应商供货时应提供所有产品、</w:t>
      </w:r>
      <w:r>
        <w:rPr>
          <w:rFonts w:hint="eastAsia" w:ascii="宋体" w:hAnsi="宋体" w:eastAsia="宋体" w:cs="宋体"/>
          <w:sz w:val="28"/>
          <w:szCs w:val="28"/>
          <w:lang w:eastAsia="zh-CN"/>
        </w:rPr>
        <w:t>产品</w:t>
      </w:r>
      <w:r>
        <w:rPr>
          <w:rFonts w:hint="eastAsia" w:ascii="宋体" w:hAnsi="宋体" w:eastAsia="宋体" w:cs="宋体"/>
          <w:sz w:val="28"/>
          <w:szCs w:val="28"/>
        </w:rPr>
        <w:t>出厂合格证等质量证明文件。</w:t>
      </w:r>
    </w:p>
    <w:p>
      <w:pPr>
        <w:spacing w:line="600" w:lineRule="exact"/>
        <w:rPr>
          <w:rFonts w:hint="default"/>
          <w:color w:val="0000FF"/>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rPr>
        <w:t>、所提供的产品必须是在中国范围内合法销售，原装、全新、并完全符合用户要求的产品。</w:t>
      </w:r>
      <w:bookmarkEnd w:id="4"/>
    </w:p>
    <w:p>
      <w:pPr>
        <w:widowControl/>
        <w:tabs>
          <w:tab w:val="left" w:pos="630"/>
        </w:tabs>
        <w:spacing w:line="600" w:lineRule="auto"/>
        <w:jc w:val="left"/>
        <w:textAlignment w:val="bottom"/>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七、供应商资格条件要求</w:t>
      </w:r>
      <w:r>
        <w:rPr>
          <w:rFonts w:hint="eastAsia" w:ascii="宋体" w:hAnsi="宋体" w:cs="宋体"/>
          <w:b w:val="0"/>
          <w:bCs w:val="0"/>
          <w:color w:val="auto"/>
          <w:sz w:val="28"/>
          <w:szCs w:val="28"/>
          <w:lang w:val="en-US" w:eastAsia="zh-CN"/>
        </w:rPr>
        <w:t>(满足政府采购法第二十二条规定）：</w:t>
      </w:r>
    </w:p>
    <w:p>
      <w:pPr>
        <w:spacing w:line="6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w:t>
      </w:r>
    </w:p>
    <w:p>
      <w:pPr>
        <w:spacing w:line="6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2、具有良好的商业信誉和健全的财务会计制度；</w:t>
      </w:r>
    </w:p>
    <w:p>
      <w:pPr>
        <w:spacing w:line="6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3、具有履行合同所必须的设备和专业技术能力提供承诺函加盖公章；</w:t>
      </w:r>
    </w:p>
    <w:p>
      <w:pPr>
        <w:spacing w:line="60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4、有依法缴纳税收和社会保障资金的良好记录；</w:t>
      </w:r>
    </w:p>
    <w:p>
      <w:pPr>
        <w:spacing w:line="6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5、参加政府采购活动前三年内，在经营活动中没有重大违法记录；</w:t>
      </w:r>
    </w:p>
    <w:p>
      <w:pPr>
        <w:spacing w:line="6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6、在本公司报名、购买本项目竞争性谈判文件并按时缴纳保证金；</w:t>
      </w:r>
    </w:p>
    <w:p>
      <w:pPr>
        <w:bidi w:val="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7、本项目不接受联合体谈判。</w:t>
      </w:r>
    </w:p>
    <w:p>
      <w:pPr>
        <w:pStyle w:val="6"/>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mYyN2Y3NTAwMGY0NTkxM2NiOWIyNjdhNjA4NWEifQ=="/>
  </w:docVars>
  <w:rsids>
    <w:rsidRoot w:val="74EE7C46"/>
    <w:rsid w:val="035448AF"/>
    <w:rsid w:val="1D500801"/>
    <w:rsid w:val="4CE02416"/>
    <w:rsid w:val="53F940F0"/>
    <w:rsid w:val="59545718"/>
    <w:rsid w:val="74EE7C46"/>
    <w:rsid w:val="7CE8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1"/>
    <w:qFormat/>
    <w:uiPriority w:val="0"/>
    <w:pPr>
      <w:keepNext/>
      <w:keepLines/>
      <w:spacing w:before="100" w:beforeLines="100" w:after="100" w:afterLines="100" w:line="360" w:lineRule="auto"/>
      <w:ind w:firstLine="0" w:firstLineChars="0"/>
      <w:jc w:val="center"/>
      <w:outlineLvl w:val="0"/>
    </w:pPr>
    <w:rPr>
      <w:rFonts w:eastAsia="宋体"/>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caption"/>
    <w:basedOn w:val="1"/>
    <w:next w:val="1"/>
    <w:qFormat/>
    <w:uiPriority w:val="0"/>
    <w:rPr>
      <w:rFonts w:ascii="Arial" w:hAnsi="Arial" w:eastAsia="黑体"/>
      <w:sz w:val="20"/>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9">
    <w:name w:val="font4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color w:val="000000"/>
      <w:sz w:val="20"/>
      <w:szCs w:val="20"/>
      <w:u w:val="none"/>
      <w:vertAlign w:val="superscript"/>
    </w:rPr>
  </w:style>
  <w:style w:type="character" w:customStyle="1" w:styleId="11">
    <w:name w:val="标题 1 Char"/>
    <w:link w:val="4"/>
    <w:qFormat/>
    <w:uiPriority w:val="0"/>
    <w:rPr>
      <w:rFonts w:eastAsia="宋体"/>
      <w:b/>
      <w:bCs/>
      <w:kern w:val="44"/>
      <w:sz w:val="32"/>
      <w:szCs w:val="44"/>
    </w:rPr>
  </w:style>
  <w:style w:type="character" w:customStyle="1" w:styleId="12">
    <w:name w:val="font81"/>
    <w:basedOn w:val="8"/>
    <w:qFormat/>
    <w:uiPriority w:val="0"/>
    <w:rPr>
      <w:rFonts w:hint="eastAsia" w:ascii="宋体" w:hAnsi="宋体" w:eastAsia="宋体" w:cs="宋体"/>
      <w:color w:val="000000"/>
      <w:sz w:val="20"/>
      <w:szCs w:val="20"/>
      <w:u w:val="none"/>
      <w:vertAlign w:val="superscript"/>
    </w:rPr>
  </w:style>
  <w:style w:type="character" w:customStyle="1" w:styleId="13">
    <w:name w:val="font2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7685</Words>
  <Characters>9764</Characters>
  <Lines>0</Lines>
  <Paragraphs>0</Paragraphs>
  <TotalTime>0</TotalTime>
  <ScaleCrop>false</ScaleCrop>
  <LinksUpToDate>false</LinksUpToDate>
  <CharactersWithSpaces>10166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2022-12-27T06:51:00Z</dcterms:created>
  <dc:creator>Carol.冰</dc:creator>
  <cp:lastModifiedBy>影</cp:lastModifiedBy>
  <dcterms:modified xsi:type="dcterms:W3CDTF">2023-01-12T14:47:28Z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6400E4DCB1924C9B91E6F6DC60BFF290</vt:lpwstr>
  </property>
</Properties>
</file>