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auto"/>
          <w:sz w:val="52"/>
          <w:szCs w:val="52"/>
        </w:rPr>
      </w:pPr>
    </w:p>
    <w:p>
      <w:pPr>
        <w:jc w:val="center"/>
        <w:rPr>
          <w:rFonts w:hint="eastAsia" w:ascii="Times New Roman" w:hAnsi="Times New Roman" w:cs="Times New Roman"/>
          <w:b/>
          <w:color w:val="auto"/>
          <w:sz w:val="56"/>
          <w:szCs w:val="48"/>
          <w:lang w:eastAsia="zh-CN"/>
        </w:rPr>
      </w:pPr>
      <w:r>
        <w:rPr>
          <w:rFonts w:hint="eastAsia" w:ascii="Times New Roman" w:hAnsi="Times New Roman" w:cs="Times New Roman"/>
          <w:b/>
          <w:color w:val="auto"/>
          <w:sz w:val="56"/>
          <w:szCs w:val="48"/>
          <w:lang w:eastAsia="zh-CN"/>
        </w:rPr>
        <w:t>琼中县菜篮子冷链车、皮卡车、面包车采购项目</w:t>
      </w:r>
    </w:p>
    <w:p>
      <w:pPr>
        <w:bidi w:val="0"/>
      </w:pPr>
    </w:p>
    <w:p>
      <w:pPr>
        <w:bidi w:val="0"/>
      </w:pPr>
    </w:p>
    <w:p>
      <w:pPr>
        <w:jc w:val="center"/>
        <w:rPr>
          <w:rFonts w:ascii="Times New Roman" w:hAnsi="Times New Roman" w:cs="Times New Roman"/>
          <w:b/>
          <w:color w:val="auto"/>
          <w:sz w:val="84"/>
          <w:szCs w:val="84"/>
        </w:rPr>
      </w:pPr>
      <w:r>
        <w:rPr>
          <w:rFonts w:hint="eastAsia" w:ascii="Times New Roman" w:hAnsi="Times New Roman" w:cs="Times New Roman"/>
          <w:b/>
          <w:color w:val="auto"/>
          <w:sz w:val="84"/>
          <w:szCs w:val="84"/>
        </w:rPr>
        <w:t>竞争性磋商文件</w:t>
      </w:r>
    </w:p>
    <w:p>
      <w:pPr>
        <w:ind w:left="7840" w:leftChars="-297" w:hanging="8493"/>
        <w:jc w:val="center"/>
        <w:rPr>
          <w:rFonts w:ascii="Times New Roman" w:hAnsi="Times New Roman" w:cs="Times New Roman"/>
          <w:b/>
          <w:color w:val="auto"/>
          <w:sz w:val="72"/>
          <w:szCs w:val="72"/>
        </w:rPr>
      </w:pPr>
    </w:p>
    <w:p>
      <w:pPr>
        <w:rPr>
          <w:rFonts w:ascii="Times New Roman" w:hAnsi="Times New Roman" w:cs="Times New Roman"/>
          <w:b/>
          <w:color w:val="auto"/>
          <w:sz w:val="32"/>
          <w:szCs w:val="32"/>
        </w:rPr>
      </w:pPr>
    </w:p>
    <w:p/>
    <w:p/>
    <w:p>
      <w:pPr>
        <w:rPr>
          <w:rFonts w:ascii="Times New Roman" w:hAnsi="Times New Roman" w:cs="Times New Roman"/>
          <w:b/>
          <w:color w:val="auto"/>
          <w:sz w:val="32"/>
          <w:szCs w:val="32"/>
        </w:rPr>
      </w:pPr>
    </w:p>
    <w:p>
      <w:pPr>
        <w:ind w:firstLine="1606" w:firstLineChars="500"/>
        <w:rPr>
          <w:rFonts w:hint="eastAsia" w:ascii="Times New Roman" w:hAnsi="Times New Roman" w:eastAsia="宋体" w:cs="Times New Roman"/>
          <w:b/>
          <w:color w:val="auto"/>
          <w:sz w:val="32"/>
          <w:szCs w:val="32"/>
          <w:lang w:eastAsia="zh-CN"/>
        </w:rPr>
      </w:pPr>
      <w:r>
        <w:rPr>
          <w:rFonts w:hint="eastAsia" w:ascii="Times New Roman" w:hAnsi="Times New Roman" w:cs="Times New Roman"/>
          <w:b/>
          <w:color w:val="auto"/>
          <w:sz w:val="32"/>
          <w:szCs w:val="32"/>
        </w:rPr>
        <w:t>项目编号：</w:t>
      </w:r>
      <w:r>
        <w:rPr>
          <w:rFonts w:hint="eastAsia" w:ascii="Times New Roman" w:hAnsi="Times New Roman" w:cs="Times New Roman"/>
          <w:b/>
          <w:color w:val="auto"/>
          <w:sz w:val="32"/>
          <w:szCs w:val="32"/>
          <w:lang w:eastAsia="zh-CN"/>
        </w:rPr>
        <w:t>sdzb2022-056</w:t>
      </w:r>
    </w:p>
    <w:p>
      <w:pPr>
        <w:ind w:firstLine="1606" w:firstLineChars="500"/>
        <w:rPr>
          <w:rFonts w:hint="eastAsia" w:ascii="Times New Roman" w:hAnsi="Times New Roman" w:eastAsia="宋体" w:cs="Times New Roman"/>
          <w:b/>
          <w:color w:val="auto"/>
          <w:sz w:val="32"/>
          <w:szCs w:val="32"/>
          <w:lang w:eastAsia="zh-CN"/>
        </w:rPr>
      </w:pPr>
      <w:r>
        <w:rPr>
          <w:rFonts w:hint="eastAsia" w:ascii="Times New Roman" w:hAnsi="Times New Roman" w:cs="Times New Roman"/>
          <w:b/>
          <w:color w:val="auto"/>
          <w:sz w:val="32"/>
          <w:szCs w:val="32"/>
        </w:rPr>
        <w:t>采购单位：</w:t>
      </w:r>
      <w:r>
        <w:rPr>
          <w:rFonts w:hint="eastAsia" w:ascii="Times New Roman" w:hAnsi="Times New Roman" w:cs="Times New Roman"/>
          <w:b/>
          <w:color w:val="auto"/>
          <w:sz w:val="32"/>
          <w:szCs w:val="32"/>
          <w:lang w:eastAsia="zh-CN"/>
        </w:rPr>
        <w:t>琼中黎族苗族自治县农业农村局</w:t>
      </w:r>
    </w:p>
    <w:p>
      <w:pPr>
        <w:ind w:firstLine="1606" w:firstLineChars="500"/>
        <w:rPr>
          <w:rFonts w:ascii="Times New Roman" w:hAnsi="Times New Roman" w:cs="Times New Roman"/>
          <w:b/>
          <w:color w:val="auto"/>
          <w:sz w:val="32"/>
          <w:szCs w:val="32"/>
        </w:rPr>
      </w:pPr>
      <w:r>
        <w:rPr>
          <w:rFonts w:hint="eastAsia" w:ascii="Times New Roman" w:hAnsi="Times New Roman" w:cs="Times New Roman"/>
          <w:b/>
          <w:color w:val="auto"/>
          <w:sz w:val="32"/>
          <w:szCs w:val="32"/>
        </w:rPr>
        <w:t>代理机构：海南双达项目管理有限公司</w:t>
      </w:r>
    </w:p>
    <w:p>
      <w:pPr>
        <w:ind w:firstLine="1606" w:firstLineChars="500"/>
        <w:rPr>
          <w:rFonts w:ascii="Times New Roman" w:cs="Times New Roman"/>
          <w:color w:val="auto"/>
        </w:rPr>
      </w:pPr>
      <w:r>
        <w:rPr>
          <w:rFonts w:hint="eastAsia" w:ascii="Times New Roman" w:hAnsi="Times New Roman" w:cs="Times New Roman"/>
          <w:b/>
          <w:color w:val="auto"/>
          <w:sz w:val="32"/>
          <w:szCs w:val="32"/>
        </w:rPr>
        <w:t>日期：二〇二二年</w:t>
      </w:r>
      <w:r>
        <w:rPr>
          <w:rFonts w:hint="eastAsia" w:ascii="Times New Roman" w:hAnsi="Times New Roman" w:cs="Times New Roman"/>
          <w:b/>
          <w:color w:val="auto"/>
          <w:sz w:val="32"/>
          <w:szCs w:val="32"/>
          <w:lang w:val="en-US" w:eastAsia="zh-CN"/>
        </w:rPr>
        <w:t>十一</w:t>
      </w:r>
      <w:r>
        <w:rPr>
          <w:rFonts w:hint="eastAsia" w:ascii="Times New Roman" w:hAnsi="Times New Roman" w:cs="Times New Roman"/>
          <w:b/>
          <w:color w:val="auto"/>
          <w:sz w:val="32"/>
          <w:szCs w:val="32"/>
        </w:rPr>
        <w:t>月</w:t>
      </w:r>
    </w:p>
    <w:p>
      <w:pPr>
        <w:spacing w:after="0"/>
        <w:rPr>
          <w:rFonts w:ascii="Times New Roman" w:hAnsi="Times New Roman" w:cs="Times New Roman"/>
          <w:color w:val="auto"/>
        </w:rPr>
        <w:sectPr>
          <w:pgSz w:w="11906" w:h="16838"/>
          <w:pgMar w:top="1440" w:right="1361" w:bottom="1440" w:left="1361" w:header="0" w:footer="283" w:gutter="0"/>
          <w:pgNumType w:start="0"/>
          <w:cols w:space="720" w:num="1"/>
          <w:titlePg/>
          <w:docGrid w:type="lines" w:linePitch="312" w:charSpace="0"/>
        </w:sectPr>
      </w:pPr>
    </w:p>
    <w:sdt>
      <w:sdtPr>
        <w:rPr>
          <w:rFonts w:ascii="Arial Unicode MS" w:hAnsi="Arial Unicode MS" w:eastAsia="宋体" w:cs="Arial Unicode MS"/>
          <w:color w:val="auto"/>
          <w:sz w:val="22"/>
          <w:szCs w:val="22"/>
          <w:lang w:val="zh-CN"/>
        </w:rPr>
        <w:id w:val="1390146072"/>
        <w:docPartObj>
          <w:docPartGallery w:val="Table of Contents"/>
          <w:docPartUnique/>
        </w:docPartObj>
      </w:sdtPr>
      <w:sdtEndPr>
        <w:rPr>
          <w:rFonts w:ascii="Arial Unicode MS" w:hAnsi="Arial Unicode MS" w:eastAsia="宋体" w:cs="Arial Unicode MS"/>
          <w:b/>
          <w:bCs/>
          <w:color w:val="auto"/>
          <w:sz w:val="22"/>
          <w:szCs w:val="22"/>
          <w:lang w:val="zh-CN"/>
        </w:rPr>
      </w:sdtEndPr>
      <w:sdtContent>
        <w:p>
          <w:pPr>
            <w:pStyle w:val="323"/>
            <w:jc w:val="center"/>
            <w:rPr>
              <w:b/>
              <w:color w:val="auto"/>
              <w:sz w:val="48"/>
            </w:rPr>
          </w:pPr>
          <w:r>
            <w:rPr>
              <w:b/>
              <w:color w:val="auto"/>
              <w:sz w:val="48"/>
              <w:lang w:val="zh-CN"/>
            </w:rPr>
            <w:t>目录</w:t>
          </w:r>
        </w:p>
        <w:p>
          <w:pPr>
            <w:pStyle w:val="35"/>
            <w:tabs>
              <w:tab w:val="right" w:leader="dot" w:pos="8296"/>
            </w:tabs>
            <w:spacing w:line="600" w:lineRule="auto"/>
            <w:rPr>
              <w:rFonts w:asciiTheme="minorHAnsi" w:hAnsiTheme="minorHAnsi" w:eastAsiaTheme="minorEastAsia" w:cstheme="minorBidi"/>
              <w:b/>
              <w:color w:val="auto"/>
              <w:kern w:val="2"/>
            </w:rPr>
          </w:pPr>
          <w:r>
            <w:rPr>
              <w:b/>
              <w:bCs/>
              <w:color w:val="auto"/>
              <w:lang w:val="zh-CN"/>
            </w:rPr>
            <w:fldChar w:fldCharType="begin"/>
          </w:r>
          <w:r>
            <w:rPr>
              <w:b/>
              <w:bCs/>
              <w:color w:val="auto"/>
              <w:lang w:val="zh-CN"/>
            </w:rPr>
            <w:instrText xml:space="preserve"> TOC \o "1-3" \h \z \u </w:instrText>
          </w:r>
          <w:r>
            <w:rPr>
              <w:b/>
              <w:bCs/>
              <w:color w:val="auto"/>
              <w:lang w:val="zh-CN"/>
            </w:rPr>
            <w:fldChar w:fldCharType="separate"/>
          </w:r>
          <w:r>
            <w:fldChar w:fldCharType="begin"/>
          </w:r>
          <w:r>
            <w:instrText xml:space="preserve"> HYPERLINK \l "_Toc56605081" </w:instrText>
          </w:r>
          <w:r>
            <w:fldChar w:fldCharType="separate"/>
          </w:r>
          <w:r>
            <w:rPr>
              <w:rStyle w:val="57"/>
              <w:rFonts w:hint="eastAsia"/>
              <w:b/>
              <w:color w:val="auto"/>
              <w:sz w:val="24"/>
            </w:rPr>
            <w:t>第一章竞争性磋商公告</w:t>
          </w:r>
          <w:r>
            <w:rPr>
              <w:b/>
              <w:color w:val="auto"/>
              <w:sz w:val="24"/>
            </w:rPr>
            <w:tab/>
          </w:r>
          <w:r>
            <w:rPr>
              <w:b/>
              <w:color w:val="auto"/>
              <w:sz w:val="24"/>
            </w:rPr>
            <w:fldChar w:fldCharType="begin"/>
          </w:r>
          <w:r>
            <w:rPr>
              <w:b/>
              <w:color w:val="auto"/>
              <w:sz w:val="24"/>
            </w:rPr>
            <w:instrText xml:space="preserve"> PAGEREF _Toc56605081 \h </w:instrText>
          </w:r>
          <w:r>
            <w:rPr>
              <w:b/>
              <w:color w:val="auto"/>
              <w:sz w:val="24"/>
            </w:rPr>
            <w:fldChar w:fldCharType="separate"/>
          </w:r>
          <w:r>
            <w:rPr>
              <w:b/>
              <w:color w:val="auto"/>
              <w:sz w:val="24"/>
            </w:rPr>
            <w:t>1</w:t>
          </w:r>
          <w:r>
            <w:rPr>
              <w:b/>
              <w:color w:val="auto"/>
              <w:sz w:val="24"/>
            </w:rPr>
            <w:fldChar w:fldCharType="end"/>
          </w:r>
          <w:r>
            <w:rPr>
              <w:b/>
              <w:color w:val="auto"/>
              <w:sz w:val="24"/>
            </w:rPr>
            <w:fldChar w:fldCharType="end"/>
          </w:r>
        </w:p>
        <w:p>
          <w:pPr>
            <w:pStyle w:val="35"/>
            <w:tabs>
              <w:tab w:val="right" w:leader="dot" w:pos="8296"/>
            </w:tabs>
            <w:spacing w:line="600" w:lineRule="auto"/>
            <w:rPr>
              <w:rFonts w:asciiTheme="minorHAnsi" w:hAnsiTheme="minorHAnsi" w:eastAsiaTheme="minorEastAsia" w:cstheme="minorBidi"/>
              <w:b/>
              <w:color w:val="auto"/>
              <w:kern w:val="2"/>
            </w:rPr>
          </w:pPr>
          <w:r>
            <w:fldChar w:fldCharType="begin"/>
          </w:r>
          <w:r>
            <w:instrText xml:space="preserve"> HYPERLINK \l "_Toc56605082" </w:instrText>
          </w:r>
          <w:r>
            <w:fldChar w:fldCharType="separate"/>
          </w:r>
          <w:r>
            <w:rPr>
              <w:rStyle w:val="57"/>
              <w:rFonts w:hint="eastAsia"/>
              <w:b/>
              <w:color w:val="auto"/>
              <w:sz w:val="24"/>
            </w:rPr>
            <w:t>第二章供应商须知前附表</w:t>
          </w:r>
          <w:r>
            <w:rPr>
              <w:b/>
              <w:color w:val="auto"/>
              <w:sz w:val="24"/>
            </w:rPr>
            <w:tab/>
          </w:r>
          <w:r>
            <w:rPr>
              <w:b/>
              <w:color w:val="auto"/>
              <w:sz w:val="24"/>
            </w:rPr>
            <w:fldChar w:fldCharType="begin"/>
          </w:r>
          <w:r>
            <w:rPr>
              <w:b/>
              <w:color w:val="auto"/>
              <w:sz w:val="24"/>
            </w:rPr>
            <w:instrText xml:space="preserve"> PAGEREF _Toc56605082 \h </w:instrText>
          </w:r>
          <w:r>
            <w:rPr>
              <w:b/>
              <w:color w:val="auto"/>
              <w:sz w:val="24"/>
            </w:rPr>
            <w:fldChar w:fldCharType="separate"/>
          </w:r>
          <w:r>
            <w:rPr>
              <w:b/>
              <w:color w:val="auto"/>
              <w:sz w:val="24"/>
            </w:rPr>
            <w:t>4</w:t>
          </w:r>
          <w:r>
            <w:rPr>
              <w:b/>
              <w:color w:val="auto"/>
              <w:sz w:val="24"/>
            </w:rPr>
            <w:fldChar w:fldCharType="end"/>
          </w:r>
          <w:r>
            <w:rPr>
              <w:b/>
              <w:color w:val="auto"/>
              <w:sz w:val="24"/>
            </w:rPr>
            <w:fldChar w:fldCharType="end"/>
          </w:r>
        </w:p>
        <w:p>
          <w:pPr>
            <w:pStyle w:val="35"/>
            <w:tabs>
              <w:tab w:val="right" w:leader="dot" w:pos="8296"/>
            </w:tabs>
            <w:spacing w:line="600" w:lineRule="auto"/>
            <w:rPr>
              <w:rFonts w:asciiTheme="minorHAnsi" w:hAnsiTheme="minorHAnsi" w:eastAsiaTheme="minorEastAsia" w:cstheme="minorBidi"/>
              <w:b/>
              <w:color w:val="auto"/>
              <w:kern w:val="2"/>
            </w:rPr>
          </w:pPr>
          <w:r>
            <w:fldChar w:fldCharType="begin"/>
          </w:r>
          <w:r>
            <w:instrText xml:space="preserve"> HYPERLINK \l "_Toc56605083" </w:instrText>
          </w:r>
          <w:r>
            <w:fldChar w:fldCharType="separate"/>
          </w:r>
          <w:r>
            <w:rPr>
              <w:rStyle w:val="57"/>
              <w:rFonts w:hint="eastAsia"/>
              <w:b/>
              <w:color w:val="auto"/>
              <w:sz w:val="24"/>
            </w:rPr>
            <w:t>第三章供应商须知</w:t>
          </w:r>
          <w:r>
            <w:rPr>
              <w:b/>
              <w:color w:val="auto"/>
              <w:sz w:val="24"/>
            </w:rPr>
            <w:tab/>
          </w:r>
          <w:r>
            <w:rPr>
              <w:b/>
              <w:color w:val="auto"/>
              <w:sz w:val="24"/>
            </w:rPr>
            <w:fldChar w:fldCharType="begin"/>
          </w:r>
          <w:r>
            <w:rPr>
              <w:b/>
              <w:color w:val="auto"/>
              <w:sz w:val="24"/>
            </w:rPr>
            <w:instrText xml:space="preserve"> PAGEREF _Toc56605083 \h </w:instrText>
          </w:r>
          <w:r>
            <w:rPr>
              <w:b/>
              <w:color w:val="auto"/>
              <w:sz w:val="24"/>
            </w:rPr>
            <w:fldChar w:fldCharType="separate"/>
          </w:r>
          <w:r>
            <w:rPr>
              <w:b/>
              <w:color w:val="auto"/>
              <w:sz w:val="24"/>
            </w:rPr>
            <w:t>6</w:t>
          </w:r>
          <w:r>
            <w:rPr>
              <w:b/>
              <w:color w:val="auto"/>
              <w:sz w:val="24"/>
            </w:rPr>
            <w:fldChar w:fldCharType="end"/>
          </w:r>
          <w:r>
            <w:rPr>
              <w:b/>
              <w:color w:val="auto"/>
              <w:sz w:val="24"/>
            </w:rPr>
            <w:fldChar w:fldCharType="end"/>
          </w:r>
        </w:p>
        <w:p>
          <w:pPr>
            <w:pStyle w:val="35"/>
            <w:tabs>
              <w:tab w:val="right" w:leader="dot" w:pos="8296"/>
            </w:tabs>
            <w:spacing w:line="600" w:lineRule="auto"/>
            <w:rPr>
              <w:rFonts w:asciiTheme="minorHAnsi" w:hAnsiTheme="minorHAnsi" w:eastAsiaTheme="minorEastAsia" w:cstheme="minorBidi"/>
              <w:b/>
              <w:color w:val="auto"/>
              <w:kern w:val="2"/>
            </w:rPr>
          </w:pPr>
          <w:r>
            <w:fldChar w:fldCharType="begin"/>
          </w:r>
          <w:r>
            <w:instrText xml:space="preserve"> HYPERLINK \l "_Toc56605084" </w:instrText>
          </w:r>
          <w:r>
            <w:fldChar w:fldCharType="separate"/>
          </w:r>
          <w:r>
            <w:rPr>
              <w:rStyle w:val="57"/>
              <w:rFonts w:hint="eastAsia"/>
              <w:b/>
              <w:color w:val="auto"/>
              <w:sz w:val="24"/>
            </w:rPr>
            <w:t>第四章合同条款</w:t>
          </w:r>
          <w:r>
            <w:rPr>
              <w:b/>
              <w:color w:val="auto"/>
              <w:sz w:val="24"/>
            </w:rPr>
            <w:tab/>
          </w:r>
          <w:r>
            <w:rPr>
              <w:b/>
              <w:color w:val="auto"/>
              <w:sz w:val="24"/>
            </w:rPr>
            <w:fldChar w:fldCharType="begin"/>
          </w:r>
          <w:r>
            <w:rPr>
              <w:b/>
              <w:color w:val="auto"/>
              <w:sz w:val="24"/>
            </w:rPr>
            <w:instrText xml:space="preserve"> PAGEREF _Toc56605084 \h </w:instrText>
          </w:r>
          <w:r>
            <w:rPr>
              <w:b/>
              <w:color w:val="auto"/>
              <w:sz w:val="24"/>
            </w:rPr>
            <w:fldChar w:fldCharType="separate"/>
          </w:r>
          <w:r>
            <w:rPr>
              <w:b/>
              <w:color w:val="auto"/>
              <w:sz w:val="24"/>
            </w:rPr>
            <w:t>17</w:t>
          </w:r>
          <w:r>
            <w:rPr>
              <w:b/>
              <w:color w:val="auto"/>
              <w:sz w:val="24"/>
            </w:rPr>
            <w:fldChar w:fldCharType="end"/>
          </w:r>
          <w:r>
            <w:rPr>
              <w:b/>
              <w:color w:val="auto"/>
              <w:sz w:val="24"/>
            </w:rPr>
            <w:fldChar w:fldCharType="end"/>
          </w:r>
        </w:p>
        <w:p>
          <w:pPr>
            <w:pStyle w:val="35"/>
            <w:tabs>
              <w:tab w:val="right" w:leader="dot" w:pos="8296"/>
            </w:tabs>
            <w:spacing w:line="600" w:lineRule="auto"/>
            <w:rPr>
              <w:rFonts w:asciiTheme="minorHAnsi" w:hAnsiTheme="minorHAnsi" w:eastAsiaTheme="minorEastAsia" w:cstheme="minorBidi"/>
              <w:b/>
              <w:color w:val="auto"/>
              <w:kern w:val="2"/>
            </w:rPr>
          </w:pPr>
          <w:r>
            <w:fldChar w:fldCharType="begin"/>
          </w:r>
          <w:r>
            <w:instrText xml:space="preserve"> HYPERLINK \l "_Toc56605085" </w:instrText>
          </w:r>
          <w:r>
            <w:fldChar w:fldCharType="separate"/>
          </w:r>
          <w:r>
            <w:rPr>
              <w:rStyle w:val="57"/>
              <w:rFonts w:hint="eastAsia"/>
              <w:b/>
              <w:color w:val="auto"/>
              <w:sz w:val="24"/>
            </w:rPr>
            <w:t>第五章用户需求书</w:t>
          </w:r>
          <w:r>
            <w:rPr>
              <w:b/>
              <w:color w:val="auto"/>
              <w:sz w:val="24"/>
            </w:rPr>
            <w:tab/>
          </w:r>
          <w:r>
            <w:rPr>
              <w:b/>
              <w:color w:val="auto"/>
              <w:sz w:val="24"/>
            </w:rPr>
            <w:fldChar w:fldCharType="begin"/>
          </w:r>
          <w:r>
            <w:rPr>
              <w:b/>
              <w:color w:val="auto"/>
              <w:sz w:val="24"/>
            </w:rPr>
            <w:instrText xml:space="preserve"> PAGEREF _Toc56605085 \h </w:instrText>
          </w:r>
          <w:r>
            <w:rPr>
              <w:b/>
              <w:color w:val="auto"/>
              <w:sz w:val="24"/>
            </w:rPr>
            <w:fldChar w:fldCharType="separate"/>
          </w:r>
          <w:r>
            <w:rPr>
              <w:b/>
              <w:color w:val="auto"/>
              <w:sz w:val="24"/>
            </w:rPr>
            <w:t>22</w:t>
          </w:r>
          <w:r>
            <w:rPr>
              <w:b/>
              <w:color w:val="auto"/>
              <w:sz w:val="24"/>
            </w:rPr>
            <w:fldChar w:fldCharType="end"/>
          </w:r>
          <w:r>
            <w:rPr>
              <w:b/>
              <w:color w:val="auto"/>
              <w:sz w:val="24"/>
            </w:rPr>
            <w:fldChar w:fldCharType="end"/>
          </w:r>
        </w:p>
        <w:p>
          <w:pPr>
            <w:pStyle w:val="35"/>
            <w:tabs>
              <w:tab w:val="right" w:leader="dot" w:pos="8296"/>
            </w:tabs>
            <w:spacing w:line="600" w:lineRule="auto"/>
            <w:rPr>
              <w:rFonts w:asciiTheme="minorHAnsi" w:hAnsiTheme="minorHAnsi" w:eastAsiaTheme="minorEastAsia" w:cstheme="minorBidi"/>
              <w:b/>
              <w:color w:val="auto"/>
              <w:kern w:val="2"/>
            </w:rPr>
          </w:pPr>
          <w:r>
            <w:fldChar w:fldCharType="begin"/>
          </w:r>
          <w:r>
            <w:instrText xml:space="preserve"> HYPERLINK \l "_Toc56605086" </w:instrText>
          </w:r>
          <w:r>
            <w:fldChar w:fldCharType="separate"/>
          </w:r>
          <w:r>
            <w:rPr>
              <w:rStyle w:val="57"/>
              <w:rFonts w:hint="eastAsia"/>
              <w:b/>
              <w:color w:val="auto"/>
              <w:sz w:val="24"/>
            </w:rPr>
            <w:t>第六章评审办法和程序</w:t>
          </w:r>
          <w:r>
            <w:rPr>
              <w:b/>
              <w:color w:val="auto"/>
              <w:sz w:val="24"/>
            </w:rPr>
            <w:tab/>
          </w:r>
          <w:r>
            <w:rPr>
              <w:b/>
              <w:color w:val="auto"/>
              <w:sz w:val="24"/>
            </w:rPr>
            <w:fldChar w:fldCharType="begin"/>
          </w:r>
          <w:r>
            <w:rPr>
              <w:b/>
              <w:color w:val="auto"/>
              <w:sz w:val="24"/>
            </w:rPr>
            <w:instrText xml:space="preserve"> PAGEREF _Toc56605086 \h </w:instrText>
          </w:r>
          <w:r>
            <w:rPr>
              <w:b/>
              <w:color w:val="auto"/>
              <w:sz w:val="24"/>
            </w:rPr>
            <w:fldChar w:fldCharType="separate"/>
          </w:r>
          <w:r>
            <w:rPr>
              <w:b/>
              <w:color w:val="auto"/>
              <w:sz w:val="24"/>
            </w:rPr>
            <w:t>26</w:t>
          </w:r>
          <w:r>
            <w:rPr>
              <w:b/>
              <w:color w:val="auto"/>
              <w:sz w:val="24"/>
            </w:rPr>
            <w:fldChar w:fldCharType="end"/>
          </w:r>
          <w:r>
            <w:rPr>
              <w:b/>
              <w:color w:val="auto"/>
              <w:sz w:val="24"/>
            </w:rPr>
            <w:fldChar w:fldCharType="end"/>
          </w:r>
        </w:p>
        <w:p>
          <w:pPr>
            <w:pStyle w:val="35"/>
            <w:tabs>
              <w:tab w:val="right" w:leader="dot" w:pos="8296"/>
            </w:tabs>
            <w:spacing w:line="600" w:lineRule="auto"/>
            <w:rPr>
              <w:rFonts w:asciiTheme="minorHAnsi" w:hAnsiTheme="minorHAnsi" w:eastAsiaTheme="minorEastAsia" w:cstheme="minorBidi"/>
              <w:b/>
              <w:color w:val="auto"/>
              <w:kern w:val="2"/>
            </w:rPr>
          </w:pPr>
          <w:r>
            <w:fldChar w:fldCharType="begin"/>
          </w:r>
          <w:r>
            <w:instrText xml:space="preserve"> HYPERLINK \l "_Toc56605087" </w:instrText>
          </w:r>
          <w:r>
            <w:fldChar w:fldCharType="separate"/>
          </w:r>
          <w:r>
            <w:rPr>
              <w:rStyle w:val="57"/>
              <w:rFonts w:hint="eastAsia"/>
              <w:b/>
              <w:color w:val="auto"/>
              <w:sz w:val="24"/>
            </w:rPr>
            <w:t>第七章磋商响应文件格式</w:t>
          </w:r>
          <w:r>
            <w:rPr>
              <w:b/>
              <w:color w:val="auto"/>
              <w:sz w:val="24"/>
            </w:rPr>
            <w:tab/>
          </w:r>
          <w:r>
            <w:rPr>
              <w:b/>
              <w:color w:val="auto"/>
              <w:sz w:val="24"/>
            </w:rPr>
            <w:fldChar w:fldCharType="begin"/>
          </w:r>
          <w:r>
            <w:rPr>
              <w:b/>
              <w:color w:val="auto"/>
              <w:sz w:val="24"/>
            </w:rPr>
            <w:instrText xml:space="preserve"> PAGEREF _Toc56605087 \h </w:instrText>
          </w:r>
          <w:r>
            <w:rPr>
              <w:b/>
              <w:color w:val="auto"/>
              <w:sz w:val="24"/>
            </w:rPr>
            <w:fldChar w:fldCharType="separate"/>
          </w:r>
          <w:r>
            <w:rPr>
              <w:b/>
              <w:color w:val="auto"/>
              <w:sz w:val="24"/>
            </w:rPr>
            <w:t>31</w:t>
          </w:r>
          <w:r>
            <w:rPr>
              <w:b/>
              <w:color w:val="auto"/>
              <w:sz w:val="24"/>
            </w:rPr>
            <w:fldChar w:fldCharType="end"/>
          </w:r>
          <w:r>
            <w:rPr>
              <w:b/>
              <w:color w:val="auto"/>
              <w:sz w:val="24"/>
            </w:rPr>
            <w:fldChar w:fldCharType="end"/>
          </w:r>
        </w:p>
        <w:p>
          <w:pPr>
            <w:rPr>
              <w:color w:val="auto"/>
            </w:rPr>
          </w:pPr>
          <w:r>
            <w:rPr>
              <w:b/>
              <w:bCs/>
              <w:color w:val="auto"/>
              <w:lang w:val="zh-CN"/>
            </w:rPr>
            <w:fldChar w:fldCharType="end"/>
          </w:r>
        </w:p>
      </w:sdtContent>
    </w:sdt>
    <w:p>
      <w:pPr>
        <w:pStyle w:val="47"/>
        <w:ind w:left="924"/>
        <w:rPr>
          <w:rFonts w:hint="eastAsia"/>
        </w:rPr>
        <w:sectPr>
          <w:footerReference r:id="rId5" w:type="first"/>
          <w:footerReference r:id="rId4" w:type="default"/>
          <w:pgSz w:w="11907" w:h="16840"/>
          <w:pgMar w:top="1440" w:right="1077" w:bottom="1440" w:left="1247" w:header="936" w:footer="992" w:gutter="0"/>
          <w:pgNumType w:fmt="decimal" w:start="1"/>
          <w:cols w:space="720" w:num="1"/>
          <w:titlePg/>
          <w:docGrid w:linePitch="312" w:charSpace="0"/>
        </w:sectPr>
      </w:pPr>
      <w:bookmarkStart w:id="0" w:name="_Toc56605081"/>
      <w:bookmarkStart w:id="1" w:name="_Toc15583"/>
    </w:p>
    <w:p>
      <w:pPr>
        <w:pStyle w:val="47"/>
        <w:ind w:left="924"/>
        <w:rPr>
          <w:rFonts w:ascii="华文中宋" w:hAnsi="华文中宋" w:eastAsia="华文中宋"/>
        </w:rPr>
      </w:pPr>
      <w:r>
        <w:rPr>
          <w:rFonts w:hint="eastAsia"/>
        </w:rPr>
        <w:t>第一章</w:t>
      </w:r>
      <w:bookmarkEnd w:id="0"/>
      <w:bookmarkEnd w:id="1"/>
      <w:bookmarkStart w:id="2" w:name="_Toc28359011"/>
      <w:bookmarkStart w:id="3" w:name="_Toc35393797"/>
      <w:r>
        <w:rPr>
          <w:rFonts w:hint="eastAsia"/>
        </w:rPr>
        <w:t>竞争性磋商公告</w:t>
      </w:r>
      <w:bookmarkEnd w:id="2"/>
      <w:bookmarkEnd w:id="3"/>
    </w:p>
    <w:p>
      <w:pPr>
        <w:pBdr>
          <w:top w:val="single" w:color="000000" w:sz="4" w:space="1"/>
          <w:left w:val="single" w:color="000000" w:sz="4" w:space="4"/>
          <w:bottom w:val="single" w:color="000000" w:sz="4" w:space="1"/>
          <w:right w:val="single" w:color="000000" w:sz="4" w:space="4"/>
        </w:pBdr>
        <w:spacing w:after="0" w:line="380" w:lineRule="exact"/>
        <w:rPr>
          <w:rFonts w:ascii="宋体" w:hAnsi="宋体"/>
          <w:color w:val="auto"/>
          <w:sz w:val="24"/>
          <w:szCs w:val="24"/>
        </w:rPr>
      </w:pPr>
      <w:r>
        <w:rPr>
          <w:rFonts w:hint="eastAsia" w:ascii="宋体" w:hAnsi="宋体"/>
          <w:color w:val="auto"/>
          <w:sz w:val="24"/>
          <w:szCs w:val="24"/>
        </w:rPr>
        <w:t>项目概况</w:t>
      </w:r>
    </w:p>
    <w:p>
      <w:pPr>
        <w:pBdr>
          <w:top w:val="single" w:color="000000" w:sz="4" w:space="1"/>
          <w:left w:val="single" w:color="000000" w:sz="4" w:space="4"/>
          <w:bottom w:val="single" w:color="000000" w:sz="4" w:space="1"/>
          <w:right w:val="single" w:color="000000" w:sz="4" w:space="4"/>
        </w:pBdr>
        <w:spacing w:after="0" w:line="380" w:lineRule="exact"/>
        <w:ind w:firstLine="480" w:firstLineChars="200"/>
        <w:rPr>
          <w:rFonts w:ascii="宋体" w:hAnsi="宋体"/>
          <w:color w:val="auto"/>
          <w:sz w:val="24"/>
          <w:szCs w:val="24"/>
        </w:rPr>
      </w:pPr>
      <w:r>
        <w:rPr>
          <w:rFonts w:hint="eastAsia" w:ascii="宋体" w:hAnsi="宋体"/>
          <w:color w:val="auto"/>
          <w:sz w:val="24"/>
          <w:szCs w:val="24"/>
          <w:u w:val="single"/>
          <w:lang w:eastAsia="zh-CN"/>
        </w:rPr>
        <w:t>琼中县菜篮子冷链车、皮卡车、面包车采购项目</w:t>
      </w:r>
      <w:r>
        <w:rPr>
          <w:rFonts w:hint="eastAsia" w:ascii="宋体" w:hAnsi="宋体"/>
          <w:color w:val="auto"/>
          <w:sz w:val="24"/>
          <w:szCs w:val="24"/>
        </w:rPr>
        <w:t>的潜在供应商应在</w:t>
      </w:r>
      <w:r>
        <w:rPr>
          <w:rFonts w:hint="eastAsia" w:ascii="宋体" w:hAnsi="宋体"/>
          <w:color w:val="auto"/>
          <w:sz w:val="24"/>
          <w:szCs w:val="24"/>
          <w:u w:val="single"/>
        </w:rPr>
        <w:t>海南双达项目管理有限公司</w:t>
      </w:r>
      <w:r>
        <w:rPr>
          <w:rFonts w:hint="eastAsia" w:ascii="宋体" w:hAnsi="宋体"/>
          <w:color w:val="auto"/>
          <w:sz w:val="24"/>
          <w:szCs w:val="24"/>
        </w:rPr>
        <w:t>获取采购文件，并于</w:t>
      </w:r>
      <w:r>
        <w:rPr>
          <w:rFonts w:hint="eastAsia" w:ascii="宋体" w:hAnsi="宋体"/>
          <w:color w:val="auto"/>
          <w:sz w:val="24"/>
          <w:szCs w:val="24"/>
          <w:u w:val="single"/>
          <w:lang w:eastAsia="zh-CN"/>
        </w:rPr>
        <w:t>2022年12月05日14点30分</w:t>
      </w:r>
      <w:r>
        <w:rPr>
          <w:rFonts w:hint="eastAsia" w:ascii="宋体" w:hAnsi="宋体"/>
          <w:color w:val="auto"/>
          <w:sz w:val="24"/>
          <w:szCs w:val="24"/>
        </w:rPr>
        <w:t>（北京时间）前提交响应文件。</w:t>
      </w:r>
    </w:p>
    <w:p>
      <w:pPr>
        <w:spacing w:after="0"/>
        <w:rPr>
          <w:color w:val="auto"/>
        </w:rPr>
      </w:pPr>
      <w:bookmarkStart w:id="4" w:name="_Toc35393629"/>
      <w:bookmarkStart w:id="5" w:name="_Toc28359012"/>
      <w:bookmarkStart w:id="6" w:name="_Toc35393798"/>
      <w:bookmarkStart w:id="7" w:name="_Toc2622"/>
      <w:bookmarkStart w:id="8" w:name="_Toc28359089"/>
      <w:r>
        <w:rPr>
          <w:rFonts w:hint="eastAsia"/>
          <w:color w:val="auto"/>
        </w:rPr>
        <w:t>一、项目基本情况</w:t>
      </w:r>
      <w:bookmarkEnd w:id="4"/>
      <w:bookmarkEnd w:id="5"/>
      <w:bookmarkEnd w:id="6"/>
      <w:bookmarkEnd w:id="7"/>
      <w:bookmarkEnd w:id="8"/>
    </w:p>
    <w:p>
      <w:pPr>
        <w:spacing w:after="0" w:line="38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项目编号：</w:t>
      </w:r>
      <w:r>
        <w:rPr>
          <w:rFonts w:hint="eastAsia" w:ascii="仿宋" w:hAnsi="仿宋" w:eastAsia="仿宋"/>
          <w:color w:val="auto"/>
          <w:sz w:val="24"/>
          <w:szCs w:val="24"/>
          <w:lang w:eastAsia="zh-CN"/>
        </w:rPr>
        <w:t>sdzb2022-056</w:t>
      </w:r>
    </w:p>
    <w:p>
      <w:pPr>
        <w:spacing w:after="0" w:line="38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项目名称：</w:t>
      </w:r>
      <w:r>
        <w:rPr>
          <w:rFonts w:hint="eastAsia" w:ascii="仿宋" w:hAnsi="仿宋" w:eastAsia="仿宋"/>
          <w:color w:val="auto"/>
          <w:sz w:val="24"/>
          <w:szCs w:val="24"/>
          <w:lang w:eastAsia="zh-CN"/>
        </w:rPr>
        <w:t>琼中县菜篮子冷链车、皮卡车、面包车采购项目</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采购方式：竞争性磋商</w:t>
      </w:r>
    </w:p>
    <w:p>
      <w:pPr>
        <w:spacing w:after="0" w:line="38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预算金额：</w:t>
      </w:r>
      <w:r>
        <w:rPr>
          <w:rFonts w:hint="eastAsia" w:ascii="Calibri" w:hAnsi="Calibri" w:eastAsia="仿宋"/>
          <w:color w:val="auto"/>
          <w:sz w:val="24"/>
          <w:szCs w:val="24"/>
        </w:rPr>
        <w:t>￥</w:t>
      </w:r>
      <w:r>
        <w:rPr>
          <w:rFonts w:hint="eastAsia" w:ascii="Calibri" w:hAnsi="Calibri" w:eastAsia="仿宋"/>
          <w:color w:val="auto"/>
          <w:sz w:val="24"/>
          <w:szCs w:val="24"/>
          <w:lang w:eastAsia="zh-CN"/>
        </w:rPr>
        <w:t>1070000.00</w:t>
      </w:r>
      <w:r>
        <w:rPr>
          <w:rFonts w:ascii="Calibri" w:hAnsi="Calibri" w:eastAsia="仿宋"/>
          <w:color w:val="auto"/>
          <w:sz w:val="24"/>
          <w:szCs w:val="24"/>
        </w:rPr>
        <w:t>元，最高限价为￥</w:t>
      </w:r>
      <w:r>
        <w:rPr>
          <w:rFonts w:hint="eastAsia" w:ascii="Calibri" w:hAnsi="Calibri" w:eastAsia="仿宋"/>
          <w:color w:val="auto"/>
          <w:sz w:val="24"/>
          <w:szCs w:val="24"/>
          <w:lang w:eastAsia="zh-CN"/>
        </w:rPr>
        <w:t>1070000.00</w:t>
      </w:r>
      <w:r>
        <w:rPr>
          <w:rFonts w:ascii="Calibri" w:hAnsi="Calibri" w:eastAsia="仿宋"/>
          <w:color w:val="auto"/>
          <w:sz w:val="24"/>
          <w:szCs w:val="24"/>
        </w:rPr>
        <w:t>元</w:t>
      </w:r>
      <w:r>
        <w:rPr>
          <w:rFonts w:hint="eastAsia" w:ascii="Calibri" w:hAnsi="Calibri" w:eastAsia="仿宋"/>
          <w:color w:val="auto"/>
          <w:sz w:val="24"/>
          <w:szCs w:val="24"/>
          <w:lang w:eastAsia="zh-CN"/>
        </w:rPr>
        <w:t>。</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用户需求书：详见竞争性磋商文件“第五章”用户需求书</w:t>
      </w:r>
    </w:p>
    <w:p>
      <w:pPr>
        <w:spacing w:after="0" w:line="38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合同履行期限：</w:t>
      </w:r>
      <w:r>
        <w:rPr>
          <w:rFonts w:hint="eastAsia" w:ascii="仿宋" w:hAnsi="仿宋" w:eastAsia="仿宋"/>
          <w:color w:val="auto"/>
          <w:sz w:val="24"/>
          <w:szCs w:val="24"/>
          <w:lang w:eastAsia="zh-CN"/>
        </w:rPr>
        <w:t>自合同签订之日起10日历天内</w:t>
      </w:r>
    </w:p>
    <w:p>
      <w:pPr>
        <w:spacing w:after="0" w:line="38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交货地点：采购人指定地点</w:t>
      </w:r>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本项目</w:t>
      </w:r>
      <w:r>
        <w:rPr>
          <w:rFonts w:hint="eastAsia" w:ascii="仿宋" w:hAnsi="仿宋" w:eastAsia="仿宋"/>
          <w:color w:val="auto"/>
          <w:sz w:val="24"/>
          <w:szCs w:val="24"/>
          <w:u w:val="single"/>
        </w:rPr>
        <w:t>不接受</w:t>
      </w:r>
      <w:r>
        <w:rPr>
          <w:rFonts w:hint="eastAsia" w:ascii="仿宋" w:hAnsi="仿宋" w:eastAsia="仿宋"/>
          <w:color w:val="auto"/>
          <w:sz w:val="24"/>
          <w:szCs w:val="24"/>
        </w:rPr>
        <w:t>联合体。</w:t>
      </w:r>
    </w:p>
    <w:p>
      <w:pPr>
        <w:spacing w:after="0"/>
        <w:rPr>
          <w:color w:val="auto"/>
        </w:rPr>
      </w:pPr>
      <w:bookmarkStart w:id="9" w:name="_Toc35393799"/>
      <w:bookmarkStart w:id="10" w:name="_Toc24272"/>
      <w:bookmarkStart w:id="11" w:name="_Toc35393630"/>
      <w:bookmarkStart w:id="12" w:name="_Toc28359013"/>
      <w:bookmarkStart w:id="13" w:name="_Toc28359090"/>
      <w:r>
        <w:rPr>
          <w:rFonts w:hint="eastAsia"/>
          <w:color w:val="auto"/>
        </w:rPr>
        <w:t>二、申请人的资格要求：</w:t>
      </w:r>
      <w:bookmarkEnd w:id="9"/>
      <w:bookmarkEnd w:id="10"/>
      <w:bookmarkEnd w:id="11"/>
      <w:bookmarkEnd w:id="12"/>
      <w:bookmarkEnd w:id="13"/>
    </w:p>
    <w:p>
      <w:pPr>
        <w:spacing w:after="0"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1.满足《中华人民共和国政府采购法》第二十二条规定；</w:t>
      </w:r>
    </w:p>
    <w:p>
      <w:pPr>
        <w:spacing w:after="0" w:line="380" w:lineRule="exact"/>
        <w:ind w:firstLine="480" w:firstLineChars="200"/>
        <w:rPr>
          <w:rFonts w:hint="eastAsia" w:ascii="仿宋" w:hAnsi="仿宋" w:eastAsia="仿宋"/>
          <w:color w:val="auto"/>
          <w:sz w:val="24"/>
          <w:szCs w:val="24"/>
        </w:rPr>
      </w:pPr>
      <w:bookmarkStart w:id="14" w:name="_Toc28359091"/>
      <w:bookmarkStart w:id="15" w:name="_Toc28359014"/>
      <w:r>
        <w:rPr>
          <w:rFonts w:hint="eastAsia" w:ascii="仿宋" w:hAnsi="仿宋" w:eastAsia="仿宋"/>
          <w:color w:val="auto"/>
          <w:sz w:val="24"/>
          <w:szCs w:val="24"/>
        </w:rPr>
        <w:t>2.落实政府采购政策需满足的资格要求：</w:t>
      </w:r>
    </w:p>
    <w:p>
      <w:pPr>
        <w:spacing w:after="0" w:line="380" w:lineRule="exact"/>
        <w:ind w:firstLine="480" w:firstLineChars="200"/>
        <w:rPr>
          <w:rFonts w:hint="eastAsia" w:ascii="仿宋" w:hAnsi="仿宋" w:eastAsia="仿宋" w:cs="仿宋"/>
          <w:color w:val="auto"/>
          <w:sz w:val="24"/>
          <w:szCs w:val="24"/>
          <w:u w:val="single"/>
        </w:rPr>
      </w:pPr>
      <w:r>
        <w:rPr>
          <w:rFonts w:hint="eastAsia" w:ascii="仿宋" w:hAnsi="仿宋" w:eastAsia="仿宋"/>
          <w:color w:val="auto"/>
          <w:sz w:val="24"/>
          <w:szCs w:val="24"/>
          <w:u w:val="single"/>
        </w:rPr>
        <w:t>①</w:t>
      </w:r>
      <w:r>
        <w:rPr>
          <w:rFonts w:ascii="仿宋" w:hAnsi="仿宋" w:eastAsia="仿宋" w:cs="仿宋"/>
          <w:color w:val="auto"/>
          <w:sz w:val="24"/>
          <w:szCs w:val="24"/>
          <w:u w:val="single"/>
        </w:rPr>
        <w:t>、</w:t>
      </w:r>
      <w:r>
        <w:rPr>
          <w:rFonts w:hint="eastAsia" w:ascii="仿宋" w:hAnsi="仿宋" w:eastAsia="仿宋" w:cs="仿宋"/>
          <w:color w:val="auto"/>
          <w:sz w:val="24"/>
          <w:szCs w:val="24"/>
          <w:u w:val="single"/>
        </w:rPr>
        <w:t>在中华人民共和国注册，具有独立承担民事责任的能力（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如供应商是银行、保险、石油石化、电力、电信行业等有行业特殊情况的，分支机构可参与本项目的招标采购活动。采购文件中涉及要求提供“法定代表人”相关证明材料的，提供分支机构“负责人”的相关证明材料。只有中国公民才能以自然人的身份参加本项目的招标采购活动。以上证明材料提供复印件（加盖单位公章）。）；</w:t>
      </w:r>
    </w:p>
    <w:p>
      <w:pPr>
        <w:spacing w:after="0" w:line="38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②</w:t>
      </w:r>
      <w:r>
        <w:rPr>
          <w:rFonts w:ascii="仿宋" w:hAnsi="仿宋" w:eastAsia="仿宋" w:cs="仿宋"/>
          <w:color w:val="auto"/>
          <w:sz w:val="24"/>
          <w:szCs w:val="24"/>
          <w:u w:val="single"/>
        </w:rPr>
        <w:t>、</w:t>
      </w:r>
      <w:r>
        <w:rPr>
          <w:rFonts w:hint="eastAsia" w:ascii="仿宋" w:hAnsi="仿宋" w:eastAsia="仿宋" w:cs="仿宋"/>
          <w:color w:val="auto"/>
          <w:sz w:val="24"/>
          <w:szCs w:val="24"/>
          <w:u w:val="single"/>
        </w:rPr>
        <w:t>法定代表人为同一人的两个及两个以上法人、母公司、全资子公司及其控股公司，不能同时参与本项目的投标；与采购人存在利害关系可能影响采购公正性的法人、其他组织或者个人，不得参加投标，需提供承诺函；</w:t>
      </w:r>
    </w:p>
    <w:p>
      <w:pPr>
        <w:spacing w:after="0" w:line="38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③、具有良好的商业信誉和健全的财务会计制度（提供202</w:t>
      </w:r>
      <w:r>
        <w:rPr>
          <w:rFonts w:ascii="仿宋" w:hAnsi="仿宋" w:eastAsia="仿宋" w:cs="仿宋"/>
          <w:color w:val="auto"/>
          <w:sz w:val="24"/>
          <w:szCs w:val="24"/>
          <w:u w:val="single"/>
        </w:rPr>
        <w:t>2</w:t>
      </w:r>
      <w:r>
        <w:rPr>
          <w:rFonts w:hint="eastAsia" w:ascii="仿宋" w:hAnsi="仿宋" w:eastAsia="仿宋" w:cs="仿宋"/>
          <w:color w:val="auto"/>
          <w:sz w:val="24"/>
          <w:szCs w:val="24"/>
          <w:u w:val="single"/>
        </w:rPr>
        <w:t>年任意一个月的财务报表：资产负债表、利润表、现金流量表</w:t>
      </w:r>
      <w:r>
        <w:rPr>
          <w:rFonts w:hint="eastAsia" w:ascii="仿宋" w:hAnsi="仿宋" w:eastAsia="仿宋" w:cs="仿宋"/>
          <w:color w:val="auto"/>
          <w:sz w:val="24"/>
          <w:szCs w:val="24"/>
          <w:u w:val="single"/>
          <w:lang w:eastAsia="zh-CN"/>
        </w:rPr>
        <w:t>或会计师事务所出具的2021年度财务审计报告</w:t>
      </w:r>
      <w:r>
        <w:rPr>
          <w:rFonts w:hint="eastAsia" w:ascii="仿宋" w:hAnsi="仿宋" w:eastAsia="仿宋" w:cs="仿宋"/>
          <w:color w:val="auto"/>
          <w:sz w:val="24"/>
          <w:szCs w:val="24"/>
          <w:u w:val="single"/>
        </w:rPr>
        <w:t>）；</w:t>
      </w:r>
    </w:p>
    <w:p>
      <w:pPr>
        <w:spacing w:after="0" w:line="38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④、具有依法缴纳税收和社会保障资金的良好记录（提供近202</w:t>
      </w:r>
      <w:r>
        <w:rPr>
          <w:rFonts w:ascii="仿宋" w:hAnsi="仿宋" w:eastAsia="仿宋" w:cs="仿宋"/>
          <w:color w:val="auto"/>
          <w:sz w:val="24"/>
          <w:szCs w:val="24"/>
          <w:u w:val="single"/>
        </w:rPr>
        <w:t>2</w:t>
      </w:r>
      <w:r>
        <w:rPr>
          <w:rFonts w:hint="eastAsia" w:ascii="仿宋" w:hAnsi="仿宋" w:eastAsia="仿宋" w:cs="仿宋"/>
          <w:color w:val="auto"/>
          <w:sz w:val="24"/>
          <w:szCs w:val="24"/>
          <w:u w:val="single"/>
        </w:rPr>
        <w:t>年任意一个月的纳税凭证和社会保障金缴费凭证，零纳税须提供税务部门盖章的纳税申报表）；</w:t>
      </w:r>
    </w:p>
    <w:p>
      <w:pPr>
        <w:spacing w:after="0" w:line="38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⑤</w:t>
      </w:r>
      <w:r>
        <w:rPr>
          <w:rFonts w:ascii="仿宋" w:hAnsi="仿宋" w:eastAsia="仿宋" w:cs="仿宋"/>
          <w:color w:val="auto"/>
          <w:sz w:val="24"/>
          <w:szCs w:val="24"/>
          <w:u w:val="single"/>
        </w:rPr>
        <w:t>、</w:t>
      </w:r>
      <w:r>
        <w:rPr>
          <w:rFonts w:hint="eastAsia" w:ascii="仿宋" w:hAnsi="仿宋" w:eastAsia="仿宋" w:cs="仿宋"/>
          <w:color w:val="auto"/>
          <w:sz w:val="24"/>
          <w:szCs w:val="24"/>
          <w:u w:val="single"/>
        </w:rPr>
        <w:t>未被列入中国执行信息公开网（http://zxgk.court.gov.cn）的“失信被执行人”、信用中国(www.creditchina.gov.cn)的“重大税收违法失信主体”、“</w:t>
      </w:r>
      <w:r>
        <w:rPr>
          <w:rFonts w:hint="eastAsia" w:ascii="仿宋" w:hAnsi="仿宋" w:eastAsia="仿宋" w:cs="仿宋"/>
          <w:color w:val="auto"/>
          <w:sz w:val="24"/>
          <w:szCs w:val="24"/>
          <w:u w:val="single"/>
          <w:lang w:eastAsia="zh-CN"/>
        </w:rPr>
        <w:t>政府采购</w:t>
      </w:r>
      <w:r>
        <w:rPr>
          <w:rFonts w:hint="eastAsia" w:ascii="仿宋" w:hAnsi="仿宋" w:eastAsia="仿宋" w:cs="仿宋"/>
          <w:color w:val="auto"/>
          <w:sz w:val="24"/>
          <w:szCs w:val="24"/>
          <w:u w:val="single"/>
        </w:rPr>
        <w:t>严重违法失信行为记录名单”和中国</w:t>
      </w:r>
      <w:r>
        <w:rPr>
          <w:rFonts w:hint="eastAsia" w:ascii="仿宋" w:hAnsi="仿宋" w:eastAsia="仿宋" w:cs="仿宋"/>
          <w:color w:val="auto"/>
          <w:sz w:val="24"/>
          <w:szCs w:val="24"/>
          <w:u w:val="single"/>
          <w:lang w:eastAsia="zh-CN"/>
        </w:rPr>
        <w:t>政府采购</w:t>
      </w:r>
      <w:r>
        <w:rPr>
          <w:rFonts w:hint="eastAsia" w:ascii="仿宋" w:hAnsi="仿宋" w:eastAsia="仿宋" w:cs="仿宋"/>
          <w:color w:val="auto"/>
          <w:sz w:val="24"/>
          <w:szCs w:val="24"/>
          <w:u w:val="single"/>
        </w:rPr>
        <w:t>网(www.ccgp.gov.cn)的“</w:t>
      </w:r>
      <w:r>
        <w:rPr>
          <w:rFonts w:hint="eastAsia" w:ascii="仿宋" w:hAnsi="仿宋" w:eastAsia="仿宋" w:cs="仿宋"/>
          <w:color w:val="auto"/>
          <w:sz w:val="24"/>
          <w:szCs w:val="24"/>
          <w:u w:val="single"/>
          <w:lang w:eastAsia="zh-CN"/>
        </w:rPr>
        <w:t>政府采购</w:t>
      </w:r>
      <w:r>
        <w:rPr>
          <w:rFonts w:hint="eastAsia" w:ascii="仿宋" w:hAnsi="仿宋" w:eastAsia="仿宋" w:cs="仿宋"/>
          <w:color w:val="auto"/>
          <w:sz w:val="24"/>
          <w:szCs w:val="24"/>
          <w:u w:val="single"/>
        </w:rPr>
        <w:t>严重违法失信行为记录名单”等重大违法记录。（提供正确查询截图，未提供或未提供正确截图以</w:t>
      </w:r>
      <w:r>
        <w:rPr>
          <w:rFonts w:hint="eastAsia" w:ascii="仿宋" w:hAnsi="仿宋" w:eastAsia="仿宋" w:cs="仿宋"/>
          <w:color w:val="auto"/>
          <w:sz w:val="24"/>
          <w:szCs w:val="24"/>
          <w:u w:val="single"/>
          <w:lang w:val="en-US" w:eastAsia="zh-CN"/>
        </w:rPr>
        <w:t>供应商</w:t>
      </w:r>
      <w:r>
        <w:rPr>
          <w:rFonts w:hint="eastAsia" w:ascii="仿宋" w:hAnsi="仿宋" w:eastAsia="仿宋" w:cs="仿宋"/>
          <w:color w:val="auto"/>
          <w:sz w:val="24"/>
          <w:szCs w:val="24"/>
          <w:u w:val="single"/>
        </w:rPr>
        <w:t>于响应截止时间当天在上述网站查询结果为准，如在上述网站查询结果均显示没有相关记录，视为没有上述不良信用记录；如相关失信记录已失效，</w:t>
      </w:r>
      <w:r>
        <w:rPr>
          <w:rFonts w:hint="eastAsia" w:ascii="仿宋" w:hAnsi="仿宋" w:eastAsia="仿宋" w:cs="仿宋"/>
          <w:color w:val="auto"/>
          <w:sz w:val="24"/>
          <w:szCs w:val="24"/>
          <w:u w:val="single"/>
          <w:lang w:eastAsia="zh-CN"/>
        </w:rPr>
        <w:t>参选人</w:t>
      </w:r>
      <w:r>
        <w:rPr>
          <w:rFonts w:hint="eastAsia" w:ascii="仿宋" w:hAnsi="仿宋" w:eastAsia="仿宋" w:cs="仿宋"/>
          <w:color w:val="auto"/>
          <w:sz w:val="24"/>
          <w:szCs w:val="24"/>
          <w:u w:val="single"/>
        </w:rPr>
        <w:t>须提供相关证明资料。）；</w:t>
      </w:r>
    </w:p>
    <w:p>
      <w:pPr>
        <w:spacing w:after="0" w:line="38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⑥</w:t>
      </w:r>
      <w:r>
        <w:rPr>
          <w:rFonts w:ascii="仿宋" w:hAnsi="仿宋" w:eastAsia="仿宋" w:cs="仿宋"/>
          <w:color w:val="auto"/>
          <w:sz w:val="24"/>
          <w:szCs w:val="24"/>
          <w:u w:val="single"/>
        </w:rPr>
        <w:t>、参加政府采购近三年内（成立不足三年的从成立之日起算），在经营活动中没有重大违法记录（提供声明函）</w:t>
      </w:r>
      <w:r>
        <w:rPr>
          <w:rFonts w:hint="eastAsia" w:ascii="仿宋" w:hAnsi="仿宋" w:eastAsia="仿宋" w:cs="仿宋"/>
          <w:color w:val="auto"/>
          <w:sz w:val="24"/>
          <w:szCs w:val="24"/>
          <w:u w:val="single"/>
        </w:rPr>
        <w:t>；</w:t>
      </w:r>
      <w:bookmarkStart w:id="160" w:name="_GoBack"/>
      <w:bookmarkEnd w:id="160"/>
    </w:p>
    <w:p>
      <w:pPr>
        <w:spacing w:after="0" w:line="38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u w:val="single"/>
        </w:rPr>
        <w:t>⑦、购买本项目磋商文件并按时提交磋商保证金（提供支付保证金凭证，复印件加盖公章）。</w:t>
      </w:r>
    </w:p>
    <w:p>
      <w:pPr>
        <w:spacing w:after="0" w:line="380" w:lineRule="exact"/>
        <w:ind w:firstLine="480" w:firstLineChars="200"/>
        <w:rPr>
          <w:rFonts w:ascii="仿宋" w:hAnsi="仿宋" w:eastAsia="仿宋"/>
          <w:i/>
          <w:color w:val="auto"/>
          <w:sz w:val="24"/>
          <w:szCs w:val="24"/>
          <w:u w:val="single"/>
        </w:rPr>
      </w:pPr>
      <w:r>
        <w:rPr>
          <w:rFonts w:hint="eastAsia" w:ascii="仿宋" w:hAnsi="仿宋" w:eastAsia="仿宋"/>
          <w:color w:val="auto"/>
          <w:sz w:val="24"/>
          <w:szCs w:val="24"/>
        </w:rPr>
        <w:t>3.本项目的特定资格要求：无。</w:t>
      </w:r>
    </w:p>
    <w:p>
      <w:pPr>
        <w:spacing w:after="0"/>
        <w:rPr>
          <w:color w:val="auto"/>
        </w:rPr>
      </w:pPr>
      <w:bookmarkStart w:id="16" w:name="_Toc35393631"/>
      <w:bookmarkStart w:id="17" w:name="_Toc35393800"/>
      <w:bookmarkStart w:id="18" w:name="_Toc20728"/>
      <w:r>
        <w:rPr>
          <w:rFonts w:hint="eastAsia"/>
          <w:color w:val="auto"/>
        </w:rPr>
        <w:t>三、获取采购文件</w:t>
      </w:r>
      <w:bookmarkEnd w:id="14"/>
      <w:bookmarkEnd w:id="15"/>
      <w:bookmarkEnd w:id="16"/>
      <w:bookmarkEnd w:id="17"/>
      <w:bookmarkEnd w:id="18"/>
    </w:p>
    <w:p>
      <w:pPr>
        <w:spacing w:after="0" w:line="380" w:lineRule="exact"/>
        <w:ind w:firstLine="540"/>
        <w:rPr>
          <w:rFonts w:ascii="仿宋" w:hAnsi="仿宋" w:eastAsia="仿宋" w:cs="宋体"/>
          <w:color w:val="auto"/>
          <w:sz w:val="24"/>
          <w:szCs w:val="24"/>
        </w:rPr>
      </w:pPr>
      <w:r>
        <w:rPr>
          <w:rFonts w:hint="eastAsia" w:ascii="仿宋" w:hAnsi="仿宋" w:eastAsia="仿宋" w:cs="宋体"/>
          <w:color w:val="auto"/>
          <w:sz w:val="24"/>
          <w:szCs w:val="24"/>
        </w:rPr>
        <w:t>时间：</w:t>
      </w:r>
      <w:r>
        <w:rPr>
          <w:rFonts w:hint="eastAsia" w:ascii="仿宋" w:hAnsi="仿宋" w:eastAsia="仿宋" w:cs="宋体"/>
          <w:color w:val="auto"/>
          <w:sz w:val="24"/>
          <w:szCs w:val="24"/>
          <w:u w:val="single"/>
        </w:rPr>
        <w:t>202</w:t>
      </w:r>
      <w:r>
        <w:rPr>
          <w:rFonts w:ascii="仿宋" w:hAnsi="仿宋" w:eastAsia="仿宋" w:cs="宋体"/>
          <w:color w:val="auto"/>
          <w:sz w:val="24"/>
          <w:szCs w:val="24"/>
          <w:u w:val="single"/>
        </w:rPr>
        <w:t>2</w:t>
      </w:r>
      <w:r>
        <w:rPr>
          <w:rFonts w:hint="eastAsia" w:ascii="仿宋" w:hAnsi="仿宋" w:eastAsia="仿宋" w:cs="宋体"/>
          <w:color w:val="auto"/>
          <w:sz w:val="24"/>
          <w:szCs w:val="24"/>
          <w:u w:val="single"/>
        </w:rPr>
        <w:t>年</w:t>
      </w:r>
      <w:r>
        <w:rPr>
          <w:rFonts w:hint="eastAsia" w:ascii="仿宋" w:hAnsi="仿宋" w:eastAsia="仿宋" w:cs="宋体"/>
          <w:color w:val="auto"/>
          <w:sz w:val="24"/>
          <w:szCs w:val="24"/>
          <w:u w:val="single"/>
          <w:lang w:val="en-US" w:eastAsia="zh-CN"/>
        </w:rPr>
        <w:t>11</w:t>
      </w:r>
      <w:r>
        <w:rPr>
          <w:rFonts w:hint="eastAsia" w:ascii="仿宋" w:hAnsi="仿宋" w:eastAsia="仿宋" w:cs="宋体"/>
          <w:color w:val="auto"/>
          <w:sz w:val="24"/>
          <w:szCs w:val="24"/>
          <w:u w:val="single"/>
        </w:rPr>
        <w:t>月</w:t>
      </w:r>
      <w:r>
        <w:rPr>
          <w:rFonts w:ascii="仿宋" w:hAnsi="仿宋" w:eastAsia="仿宋" w:cs="宋体"/>
          <w:color w:val="auto"/>
          <w:sz w:val="24"/>
          <w:szCs w:val="24"/>
          <w:u w:val="single"/>
        </w:rPr>
        <w:t>2</w:t>
      </w:r>
      <w:r>
        <w:rPr>
          <w:rFonts w:hint="eastAsia" w:ascii="仿宋" w:hAnsi="仿宋" w:eastAsia="仿宋" w:cs="宋体"/>
          <w:color w:val="auto"/>
          <w:sz w:val="24"/>
          <w:szCs w:val="24"/>
          <w:u w:val="single"/>
          <w:lang w:val="en-US" w:eastAsia="zh-CN"/>
        </w:rPr>
        <w:t>3</w:t>
      </w:r>
      <w:r>
        <w:rPr>
          <w:rFonts w:hint="eastAsia" w:ascii="仿宋" w:hAnsi="仿宋" w:eastAsia="仿宋" w:cs="宋体"/>
          <w:color w:val="auto"/>
          <w:sz w:val="24"/>
          <w:szCs w:val="24"/>
          <w:u w:val="single"/>
        </w:rPr>
        <w:t>日</w:t>
      </w:r>
      <w:r>
        <w:rPr>
          <w:rFonts w:hint="eastAsia" w:ascii="仿宋" w:hAnsi="仿宋" w:eastAsia="仿宋" w:cs="宋体"/>
          <w:color w:val="auto"/>
          <w:sz w:val="24"/>
          <w:szCs w:val="24"/>
        </w:rPr>
        <w:t>至</w:t>
      </w:r>
      <w:r>
        <w:rPr>
          <w:rFonts w:hint="eastAsia" w:ascii="仿宋" w:hAnsi="仿宋" w:eastAsia="仿宋" w:cs="宋体"/>
          <w:color w:val="auto"/>
          <w:sz w:val="24"/>
          <w:szCs w:val="24"/>
          <w:u w:val="single"/>
        </w:rPr>
        <w:t>2022年</w:t>
      </w:r>
      <w:r>
        <w:rPr>
          <w:rFonts w:hint="eastAsia" w:ascii="仿宋" w:hAnsi="仿宋" w:eastAsia="仿宋" w:cs="宋体"/>
          <w:color w:val="auto"/>
          <w:sz w:val="24"/>
          <w:szCs w:val="24"/>
          <w:u w:val="single"/>
          <w:lang w:val="en-US" w:eastAsia="zh-CN"/>
        </w:rPr>
        <w:t>11</w:t>
      </w:r>
      <w:r>
        <w:rPr>
          <w:rFonts w:hint="eastAsia" w:ascii="仿宋" w:hAnsi="仿宋" w:eastAsia="仿宋" w:cs="宋体"/>
          <w:color w:val="auto"/>
          <w:sz w:val="24"/>
          <w:szCs w:val="24"/>
          <w:u w:val="single"/>
        </w:rPr>
        <w:t>月</w:t>
      </w:r>
      <w:r>
        <w:rPr>
          <w:rFonts w:hint="eastAsia" w:ascii="仿宋" w:hAnsi="仿宋" w:eastAsia="仿宋" w:cs="宋体"/>
          <w:color w:val="auto"/>
          <w:sz w:val="24"/>
          <w:szCs w:val="24"/>
          <w:u w:val="single"/>
          <w:lang w:val="en-US" w:eastAsia="zh-CN"/>
        </w:rPr>
        <w:t>30</w:t>
      </w:r>
      <w:r>
        <w:rPr>
          <w:rFonts w:hint="eastAsia" w:ascii="仿宋" w:hAnsi="仿宋" w:eastAsia="仿宋" w:cs="宋体"/>
          <w:color w:val="auto"/>
          <w:sz w:val="24"/>
          <w:szCs w:val="24"/>
          <w:u w:val="single"/>
        </w:rPr>
        <w:t>日</w:t>
      </w:r>
      <w:r>
        <w:rPr>
          <w:rFonts w:hint="eastAsia" w:ascii="仿宋" w:hAnsi="仿宋" w:eastAsia="仿宋" w:cs="宋体"/>
          <w:color w:val="auto"/>
          <w:sz w:val="24"/>
          <w:szCs w:val="24"/>
        </w:rPr>
        <w:t>，每天上午</w:t>
      </w:r>
      <w:r>
        <w:rPr>
          <w:rFonts w:hint="eastAsia" w:ascii="仿宋" w:hAnsi="仿宋" w:eastAsia="仿宋" w:cs="宋体"/>
          <w:color w:val="auto"/>
          <w:sz w:val="24"/>
          <w:szCs w:val="24"/>
          <w:u w:val="single"/>
        </w:rPr>
        <w:t>0</w:t>
      </w:r>
      <w:r>
        <w:rPr>
          <w:rFonts w:ascii="仿宋" w:hAnsi="仿宋" w:eastAsia="仿宋" w:cs="宋体"/>
          <w:color w:val="auto"/>
          <w:sz w:val="24"/>
          <w:szCs w:val="24"/>
          <w:u w:val="single"/>
        </w:rPr>
        <w:t>0</w:t>
      </w:r>
      <w:r>
        <w:rPr>
          <w:rFonts w:hint="eastAsia" w:ascii="仿宋" w:hAnsi="仿宋" w:eastAsia="仿宋" w:cs="宋体"/>
          <w:color w:val="auto"/>
          <w:sz w:val="24"/>
          <w:szCs w:val="24"/>
          <w:u w:val="single"/>
        </w:rPr>
        <w:t>：</w:t>
      </w:r>
      <w:r>
        <w:rPr>
          <w:rFonts w:ascii="仿宋" w:hAnsi="仿宋" w:eastAsia="仿宋" w:cs="宋体"/>
          <w:color w:val="auto"/>
          <w:sz w:val="24"/>
          <w:szCs w:val="24"/>
          <w:u w:val="single"/>
        </w:rPr>
        <w:t>0</w:t>
      </w:r>
      <w:r>
        <w:rPr>
          <w:rFonts w:hint="eastAsia" w:ascii="仿宋" w:hAnsi="仿宋" w:eastAsia="仿宋" w:cs="宋体"/>
          <w:color w:val="auto"/>
          <w:sz w:val="24"/>
          <w:szCs w:val="24"/>
          <w:u w:val="single"/>
        </w:rPr>
        <w:t>0</w:t>
      </w:r>
      <w:r>
        <w:rPr>
          <w:rFonts w:hint="eastAsia" w:ascii="仿宋" w:hAnsi="仿宋" w:eastAsia="仿宋" w:cs="宋体"/>
          <w:color w:val="auto"/>
          <w:sz w:val="24"/>
          <w:szCs w:val="24"/>
        </w:rPr>
        <w:t>至</w:t>
      </w:r>
      <w:r>
        <w:rPr>
          <w:rFonts w:hint="eastAsia" w:ascii="仿宋" w:hAnsi="仿宋" w:eastAsia="仿宋" w:cs="宋体"/>
          <w:color w:val="auto"/>
          <w:sz w:val="24"/>
          <w:szCs w:val="24"/>
          <w:u w:val="single"/>
        </w:rPr>
        <w:t>1</w:t>
      </w:r>
      <w:r>
        <w:rPr>
          <w:rFonts w:ascii="仿宋" w:hAnsi="仿宋" w:eastAsia="仿宋" w:cs="宋体"/>
          <w:color w:val="auto"/>
          <w:sz w:val="24"/>
          <w:szCs w:val="24"/>
          <w:u w:val="single"/>
        </w:rPr>
        <w:t>2</w:t>
      </w:r>
      <w:r>
        <w:rPr>
          <w:rFonts w:hint="eastAsia" w:ascii="仿宋" w:hAnsi="仿宋" w:eastAsia="仿宋" w:cs="宋体"/>
          <w:color w:val="auto"/>
          <w:sz w:val="24"/>
          <w:szCs w:val="24"/>
          <w:u w:val="single"/>
        </w:rPr>
        <w:t>：</w:t>
      </w:r>
      <w:r>
        <w:rPr>
          <w:rFonts w:ascii="仿宋" w:hAnsi="仿宋" w:eastAsia="仿宋" w:cs="宋体"/>
          <w:color w:val="auto"/>
          <w:sz w:val="24"/>
          <w:szCs w:val="24"/>
          <w:u w:val="single"/>
        </w:rPr>
        <w:t>0</w:t>
      </w:r>
      <w:r>
        <w:rPr>
          <w:rFonts w:hint="eastAsia" w:ascii="仿宋" w:hAnsi="仿宋" w:eastAsia="仿宋" w:cs="宋体"/>
          <w:color w:val="auto"/>
          <w:sz w:val="24"/>
          <w:szCs w:val="24"/>
          <w:u w:val="single"/>
        </w:rPr>
        <w:t>0</w:t>
      </w:r>
      <w:r>
        <w:rPr>
          <w:rFonts w:hint="eastAsia" w:ascii="仿宋" w:hAnsi="仿宋" w:eastAsia="仿宋" w:cs="宋体"/>
          <w:color w:val="auto"/>
          <w:sz w:val="24"/>
          <w:szCs w:val="24"/>
        </w:rPr>
        <w:t>，下午</w:t>
      </w:r>
      <w:r>
        <w:rPr>
          <w:rFonts w:hint="eastAsia" w:ascii="仿宋" w:hAnsi="仿宋" w:eastAsia="仿宋" w:cs="宋体"/>
          <w:color w:val="auto"/>
          <w:sz w:val="24"/>
          <w:szCs w:val="24"/>
          <w:u w:val="single"/>
        </w:rPr>
        <w:t>　1</w:t>
      </w:r>
      <w:r>
        <w:rPr>
          <w:rFonts w:ascii="仿宋" w:hAnsi="仿宋" w:eastAsia="仿宋" w:cs="宋体"/>
          <w:color w:val="auto"/>
          <w:sz w:val="24"/>
          <w:szCs w:val="24"/>
          <w:u w:val="single"/>
        </w:rPr>
        <w:t>2</w:t>
      </w:r>
      <w:r>
        <w:rPr>
          <w:rFonts w:hint="eastAsia" w:ascii="仿宋" w:hAnsi="仿宋" w:eastAsia="仿宋" w:cs="宋体"/>
          <w:color w:val="auto"/>
          <w:sz w:val="24"/>
          <w:szCs w:val="24"/>
          <w:u w:val="single"/>
        </w:rPr>
        <w:t>：</w:t>
      </w:r>
      <w:r>
        <w:rPr>
          <w:rFonts w:ascii="仿宋" w:hAnsi="仿宋" w:eastAsia="仿宋" w:cs="宋体"/>
          <w:color w:val="auto"/>
          <w:sz w:val="24"/>
          <w:szCs w:val="24"/>
          <w:u w:val="single"/>
        </w:rPr>
        <w:t>0</w:t>
      </w:r>
      <w:r>
        <w:rPr>
          <w:rFonts w:hint="eastAsia" w:ascii="仿宋" w:hAnsi="仿宋" w:eastAsia="仿宋" w:cs="宋体"/>
          <w:color w:val="auto"/>
          <w:sz w:val="24"/>
          <w:szCs w:val="24"/>
          <w:u w:val="single"/>
        </w:rPr>
        <w:t>0</w:t>
      </w:r>
      <w:r>
        <w:rPr>
          <w:rFonts w:hint="eastAsia" w:ascii="仿宋" w:hAnsi="仿宋" w:eastAsia="仿宋" w:cs="宋体"/>
          <w:color w:val="auto"/>
          <w:sz w:val="24"/>
          <w:szCs w:val="24"/>
        </w:rPr>
        <w:t>至</w:t>
      </w:r>
      <w:r>
        <w:rPr>
          <w:rFonts w:ascii="仿宋" w:hAnsi="仿宋" w:eastAsia="仿宋" w:cs="宋体"/>
          <w:color w:val="auto"/>
          <w:sz w:val="24"/>
          <w:szCs w:val="24"/>
          <w:u w:val="single"/>
        </w:rPr>
        <w:t>24</w:t>
      </w:r>
      <w:r>
        <w:rPr>
          <w:rFonts w:hint="eastAsia" w:ascii="仿宋" w:hAnsi="仿宋" w:eastAsia="仿宋" w:cs="宋体"/>
          <w:color w:val="auto"/>
          <w:sz w:val="24"/>
          <w:szCs w:val="24"/>
          <w:u w:val="single"/>
        </w:rPr>
        <w:t>：00</w:t>
      </w:r>
      <w:r>
        <w:rPr>
          <w:rFonts w:hint="eastAsia" w:ascii="仿宋" w:hAnsi="仿宋" w:eastAsia="仿宋" w:cs="宋体"/>
          <w:color w:val="auto"/>
          <w:sz w:val="24"/>
          <w:szCs w:val="24"/>
        </w:rPr>
        <w:t>（北京时间，法定节假日除外 ）</w:t>
      </w:r>
    </w:p>
    <w:p>
      <w:pPr>
        <w:spacing w:after="0" w:line="380" w:lineRule="exact"/>
        <w:ind w:firstLine="540"/>
        <w:rPr>
          <w:rFonts w:ascii="仿宋" w:hAnsi="仿宋" w:eastAsia="仿宋" w:cs="宋体"/>
          <w:color w:val="auto"/>
          <w:sz w:val="24"/>
          <w:szCs w:val="24"/>
          <w:u w:val="single"/>
        </w:rPr>
      </w:pPr>
      <w:r>
        <w:rPr>
          <w:rFonts w:hint="eastAsia" w:ascii="仿宋" w:hAnsi="仿宋" w:eastAsia="仿宋" w:cs="宋体"/>
          <w:color w:val="auto"/>
          <w:sz w:val="24"/>
          <w:szCs w:val="24"/>
        </w:rPr>
        <w:t>地点：海南政府采购网</w:t>
      </w:r>
      <w:r>
        <w:rPr>
          <w:rFonts w:ascii="仿宋" w:hAnsi="仿宋" w:eastAsia="仿宋" w:cs="宋体"/>
          <w:color w:val="auto"/>
          <w:sz w:val="24"/>
          <w:szCs w:val="24"/>
        </w:rPr>
        <w:t>(www.ccgp-hainan.gov.cn)-海南省政府采购电子化交易管理系统(新)</w:t>
      </w:r>
    </w:p>
    <w:p>
      <w:pPr>
        <w:spacing w:after="0" w:line="380" w:lineRule="exact"/>
        <w:ind w:firstLine="540"/>
        <w:rPr>
          <w:rFonts w:ascii="仿宋" w:hAnsi="仿宋" w:eastAsia="仿宋" w:cs="宋体"/>
          <w:color w:val="auto"/>
          <w:sz w:val="24"/>
          <w:szCs w:val="24"/>
        </w:rPr>
      </w:pPr>
      <w:bookmarkStart w:id="19" w:name="_Toc28359092"/>
      <w:bookmarkStart w:id="20" w:name="_Toc28359015"/>
      <w:bookmarkStart w:id="21" w:name="_Toc35393632"/>
      <w:bookmarkStart w:id="22" w:name="_Toc30998"/>
      <w:bookmarkStart w:id="23" w:name="_Toc35393801"/>
      <w:r>
        <w:rPr>
          <w:rFonts w:hint="eastAsia" w:ascii="仿宋" w:hAnsi="仿宋" w:eastAsia="仿宋" w:cs="宋体"/>
          <w:color w:val="auto"/>
          <w:sz w:val="24"/>
          <w:szCs w:val="24"/>
        </w:rPr>
        <w:t>方式：网上下载</w:t>
      </w:r>
    </w:p>
    <w:p>
      <w:pPr>
        <w:spacing w:after="0" w:line="380" w:lineRule="exact"/>
        <w:ind w:firstLine="540"/>
        <w:rPr>
          <w:rFonts w:hint="eastAsia" w:ascii="仿宋" w:hAnsi="仿宋" w:eastAsia="仿宋" w:cs="宋体"/>
          <w:color w:val="auto"/>
          <w:sz w:val="24"/>
          <w:szCs w:val="24"/>
          <w:lang w:eastAsia="zh-CN"/>
        </w:rPr>
      </w:pPr>
      <w:r>
        <w:rPr>
          <w:rFonts w:hint="eastAsia" w:ascii="仿宋" w:hAnsi="仿宋" w:eastAsia="仿宋" w:cs="宋体"/>
          <w:color w:val="auto"/>
          <w:sz w:val="24"/>
          <w:szCs w:val="24"/>
        </w:rPr>
        <w:t>售价：人民币</w:t>
      </w:r>
      <w:r>
        <w:rPr>
          <w:rFonts w:ascii="仿宋" w:hAnsi="仿宋" w:eastAsia="仿宋" w:cs="宋体"/>
          <w:color w:val="auto"/>
          <w:sz w:val="24"/>
          <w:szCs w:val="24"/>
        </w:rPr>
        <w:t>300元/份</w:t>
      </w:r>
      <w:r>
        <w:rPr>
          <w:rFonts w:hint="eastAsia" w:ascii="仿宋" w:hAnsi="仿宋" w:eastAsia="仿宋" w:cs="宋体"/>
          <w:color w:val="auto"/>
          <w:sz w:val="24"/>
          <w:szCs w:val="24"/>
          <w:lang w:eastAsia="zh-CN"/>
        </w:rPr>
        <w:t>（</w:t>
      </w:r>
      <w:r>
        <w:rPr>
          <w:rFonts w:hint="eastAsia" w:ascii="仿宋" w:hAnsi="仿宋" w:eastAsia="仿宋" w:cs="宋体"/>
          <w:color w:val="auto"/>
          <w:sz w:val="24"/>
          <w:szCs w:val="24"/>
          <w:lang w:val="en-US" w:eastAsia="zh-CN"/>
        </w:rPr>
        <w:t>开标现场递交</w:t>
      </w:r>
      <w:r>
        <w:rPr>
          <w:rFonts w:hint="eastAsia" w:ascii="仿宋" w:hAnsi="仿宋" w:eastAsia="仿宋" w:cs="宋体"/>
          <w:color w:val="auto"/>
          <w:sz w:val="24"/>
          <w:szCs w:val="24"/>
          <w:lang w:eastAsia="zh-CN"/>
        </w:rPr>
        <w:t>）</w:t>
      </w:r>
    </w:p>
    <w:p>
      <w:pPr>
        <w:spacing w:after="0"/>
        <w:rPr>
          <w:color w:val="auto"/>
          <w:highlight w:val="none"/>
        </w:rPr>
      </w:pPr>
      <w:r>
        <w:rPr>
          <w:rFonts w:hint="eastAsia"/>
          <w:color w:val="auto"/>
        </w:rPr>
        <w:t>四、</w:t>
      </w:r>
      <w:r>
        <w:rPr>
          <w:rFonts w:hint="eastAsia"/>
          <w:color w:val="auto"/>
          <w:highlight w:val="none"/>
        </w:rPr>
        <w:t>响应文件提交</w:t>
      </w:r>
      <w:bookmarkEnd w:id="19"/>
      <w:bookmarkEnd w:id="20"/>
      <w:bookmarkEnd w:id="21"/>
      <w:bookmarkEnd w:id="22"/>
      <w:bookmarkEnd w:id="23"/>
    </w:p>
    <w:p>
      <w:pPr>
        <w:spacing w:after="0" w:line="380" w:lineRule="exact"/>
        <w:ind w:firstLine="480" w:firstLineChars="200"/>
        <w:rPr>
          <w:rFonts w:ascii="仿宋" w:hAnsi="仿宋" w:eastAsia="仿宋" w:cs="宋体"/>
          <w:color w:val="auto"/>
          <w:sz w:val="24"/>
          <w:szCs w:val="24"/>
          <w:highlight w:val="none"/>
          <w:u w:val="single"/>
        </w:rPr>
      </w:pPr>
      <w:r>
        <w:rPr>
          <w:rFonts w:hint="eastAsia" w:ascii="仿宋" w:hAnsi="仿宋" w:eastAsia="仿宋"/>
          <w:color w:val="auto"/>
          <w:sz w:val="24"/>
          <w:szCs w:val="24"/>
          <w:highlight w:val="none"/>
        </w:rPr>
        <w:t>截止时间：</w:t>
      </w:r>
      <w:r>
        <w:rPr>
          <w:rFonts w:hint="eastAsia" w:ascii="仿宋" w:hAnsi="仿宋" w:eastAsia="仿宋"/>
          <w:color w:val="auto"/>
          <w:sz w:val="24"/>
          <w:szCs w:val="24"/>
          <w:highlight w:val="none"/>
          <w:u w:val="single"/>
          <w:lang w:eastAsia="zh-CN"/>
        </w:rPr>
        <w:t>2022年12月05日14点30分</w:t>
      </w:r>
      <w:r>
        <w:rPr>
          <w:rFonts w:hint="eastAsia" w:ascii="仿宋" w:hAnsi="仿宋" w:eastAsia="仿宋"/>
          <w:color w:val="auto"/>
          <w:sz w:val="24"/>
          <w:szCs w:val="24"/>
          <w:highlight w:val="none"/>
        </w:rPr>
        <w:t>（北京时间）</w:t>
      </w:r>
    </w:p>
    <w:p>
      <w:pPr>
        <w:spacing w:after="0" w:line="380" w:lineRule="exact"/>
        <w:ind w:firstLine="480" w:firstLineChars="200"/>
        <w:rPr>
          <w:rFonts w:hint="eastAsia" w:ascii="仿宋" w:hAnsi="仿宋" w:eastAsia="仿宋"/>
          <w:color w:val="auto"/>
          <w:sz w:val="24"/>
          <w:szCs w:val="24"/>
          <w:highlight w:val="none"/>
          <w:u w:val="single"/>
          <w:lang w:eastAsia="zh-CN"/>
        </w:rPr>
      </w:pPr>
      <w:r>
        <w:rPr>
          <w:rFonts w:hint="eastAsia" w:ascii="仿宋" w:hAnsi="仿宋" w:eastAsia="仿宋"/>
          <w:color w:val="auto"/>
          <w:sz w:val="24"/>
          <w:szCs w:val="24"/>
          <w:highlight w:val="none"/>
        </w:rPr>
        <w:t>地点：(海南招协招标采购交易平台)海口市美兰区蓝天路51号京航大酒店5楼</w:t>
      </w:r>
      <w:r>
        <w:rPr>
          <w:rFonts w:hint="eastAsia" w:ascii="仿宋" w:hAnsi="仿宋" w:eastAsia="仿宋"/>
          <w:color w:val="auto"/>
          <w:sz w:val="24"/>
          <w:szCs w:val="24"/>
          <w:highlight w:val="none"/>
          <w:lang w:eastAsia="zh-CN"/>
        </w:rPr>
        <w:t>开标室1</w:t>
      </w:r>
    </w:p>
    <w:p>
      <w:pPr>
        <w:spacing w:after="0"/>
        <w:rPr>
          <w:color w:val="auto"/>
          <w:highlight w:val="none"/>
        </w:rPr>
      </w:pPr>
      <w:bookmarkStart w:id="24" w:name="_Toc28359016"/>
      <w:bookmarkStart w:id="25" w:name="_Toc28359093"/>
      <w:bookmarkStart w:id="26" w:name="_Toc35393633"/>
      <w:bookmarkStart w:id="27" w:name="_Toc35393802"/>
      <w:bookmarkStart w:id="28" w:name="_Toc23144"/>
      <w:r>
        <w:rPr>
          <w:rFonts w:hint="eastAsia"/>
          <w:color w:val="auto"/>
          <w:highlight w:val="none"/>
        </w:rPr>
        <w:t>五、开启</w:t>
      </w:r>
      <w:bookmarkEnd w:id="24"/>
      <w:bookmarkEnd w:id="25"/>
      <w:bookmarkEnd w:id="26"/>
      <w:bookmarkEnd w:id="27"/>
      <w:bookmarkEnd w:id="28"/>
    </w:p>
    <w:p>
      <w:pPr>
        <w:spacing w:after="0" w:line="380" w:lineRule="exact"/>
        <w:ind w:firstLine="480" w:firstLineChars="200"/>
        <w:rPr>
          <w:rFonts w:ascii="仿宋" w:hAnsi="仿宋" w:eastAsia="仿宋"/>
          <w:color w:val="auto"/>
          <w:sz w:val="24"/>
          <w:szCs w:val="24"/>
          <w:highlight w:val="none"/>
          <w:u w:val="single"/>
        </w:rPr>
      </w:pPr>
      <w:r>
        <w:rPr>
          <w:rFonts w:hint="eastAsia" w:ascii="仿宋" w:hAnsi="仿宋" w:eastAsia="仿宋"/>
          <w:color w:val="auto"/>
          <w:sz w:val="24"/>
          <w:szCs w:val="24"/>
          <w:highlight w:val="none"/>
        </w:rPr>
        <w:t>时间：</w:t>
      </w:r>
      <w:r>
        <w:rPr>
          <w:rFonts w:hint="eastAsia" w:ascii="仿宋" w:hAnsi="仿宋" w:eastAsia="仿宋"/>
          <w:color w:val="auto"/>
          <w:sz w:val="24"/>
          <w:szCs w:val="24"/>
          <w:highlight w:val="none"/>
          <w:u w:val="single"/>
          <w:lang w:eastAsia="zh-CN"/>
        </w:rPr>
        <w:t>2022年12月05日14点30分</w:t>
      </w:r>
      <w:r>
        <w:rPr>
          <w:rFonts w:hint="eastAsia" w:ascii="仿宋" w:hAnsi="仿宋" w:eastAsia="仿宋"/>
          <w:color w:val="auto"/>
          <w:sz w:val="24"/>
          <w:szCs w:val="24"/>
          <w:highlight w:val="none"/>
        </w:rPr>
        <w:t>（北京时间）</w:t>
      </w:r>
    </w:p>
    <w:p>
      <w:pPr>
        <w:spacing w:after="0" w:line="380" w:lineRule="exact"/>
        <w:ind w:firstLine="480" w:firstLineChars="200"/>
        <w:rPr>
          <w:rFonts w:hint="eastAsia" w:ascii="仿宋" w:hAnsi="仿宋" w:eastAsia="仿宋"/>
          <w:color w:val="auto"/>
          <w:sz w:val="24"/>
          <w:szCs w:val="24"/>
          <w:u w:val="single"/>
          <w:lang w:eastAsia="zh-CN"/>
        </w:rPr>
      </w:pPr>
      <w:r>
        <w:rPr>
          <w:rFonts w:hint="eastAsia" w:ascii="仿宋" w:hAnsi="仿宋" w:eastAsia="仿宋"/>
          <w:color w:val="auto"/>
          <w:sz w:val="24"/>
          <w:szCs w:val="24"/>
          <w:highlight w:val="none"/>
        </w:rPr>
        <w:t>地点：(海南招协招标采购交易平台)海口市美兰区蓝天</w:t>
      </w:r>
      <w:r>
        <w:rPr>
          <w:rFonts w:hint="eastAsia" w:ascii="仿宋" w:hAnsi="仿宋" w:eastAsia="仿宋"/>
          <w:color w:val="auto"/>
          <w:sz w:val="24"/>
          <w:szCs w:val="24"/>
        </w:rPr>
        <w:t>路51号京航大酒</w:t>
      </w:r>
      <w:r>
        <w:rPr>
          <w:rFonts w:hint="eastAsia" w:ascii="仿宋" w:hAnsi="仿宋" w:eastAsia="仿宋"/>
          <w:color w:val="auto"/>
          <w:sz w:val="24"/>
          <w:szCs w:val="24"/>
          <w:highlight w:val="none"/>
        </w:rPr>
        <w:t>店5楼</w:t>
      </w:r>
      <w:r>
        <w:rPr>
          <w:rFonts w:hint="eastAsia" w:ascii="仿宋" w:hAnsi="仿宋" w:eastAsia="仿宋"/>
          <w:color w:val="auto"/>
          <w:sz w:val="24"/>
          <w:szCs w:val="24"/>
          <w:highlight w:val="none"/>
          <w:lang w:eastAsia="zh-CN"/>
        </w:rPr>
        <w:t>开标室1</w:t>
      </w:r>
    </w:p>
    <w:p>
      <w:pPr>
        <w:spacing w:after="0"/>
        <w:rPr>
          <w:color w:val="auto"/>
        </w:rPr>
      </w:pPr>
      <w:bookmarkStart w:id="29" w:name="_Toc28359094"/>
      <w:bookmarkStart w:id="30" w:name="_Toc28359017"/>
      <w:bookmarkStart w:id="31" w:name="_Toc35393634"/>
      <w:bookmarkStart w:id="32" w:name="_Toc26911"/>
      <w:bookmarkStart w:id="33" w:name="_Toc35393803"/>
      <w:r>
        <w:rPr>
          <w:rFonts w:hint="eastAsia"/>
          <w:color w:val="auto"/>
        </w:rPr>
        <w:t>六、公告期限</w:t>
      </w:r>
      <w:bookmarkEnd w:id="29"/>
      <w:bookmarkEnd w:id="30"/>
      <w:bookmarkEnd w:id="31"/>
      <w:bookmarkEnd w:id="32"/>
      <w:bookmarkEnd w:id="33"/>
    </w:p>
    <w:p>
      <w:pPr>
        <w:spacing w:after="0" w:line="3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自本公告发布之日起</w:t>
      </w:r>
      <w:r>
        <w:rPr>
          <w:rFonts w:hint="eastAsia" w:ascii="仿宋" w:hAnsi="仿宋" w:eastAsia="仿宋" w:cs="宋体"/>
          <w:color w:val="auto"/>
          <w:sz w:val="24"/>
          <w:szCs w:val="24"/>
          <w:lang w:val="en-US" w:eastAsia="zh-CN"/>
        </w:rPr>
        <w:t>3</w:t>
      </w:r>
      <w:r>
        <w:rPr>
          <w:rFonts w:hint="eastAsia" w:ascii="仿宋" w:hAnsi="仿宋" w:eastAsia="仿宋" w:cs="宋体"/>
          <w:color w:val="auto"/>
          <w:sz w:val="24"/>
          <w:szCs w:val="24"/>
        </w:rPr>
        <w:t>个工作日。</w:t>
      </w:r>
    </w:p>
    <w:p>
      <w:pPr>
        <w:spacing w:after="0"/>
        <w:rPr>
          <w:color w:val="auto"/>
        </w:rPr>
      </w:pPr>
      <w:bookmarkStart w:id="34" w:name="_Toc35393804"/>
      <w:bookmarkStart w:id="35" w:name="_Toc35393635"/>
      <w:bookmarkStart w:id="36" w:name="_Toc9703"/>
      <w:r>
        <w:rPr>
          <w:rFonts w:hint="eastAsia"/>
          <w:color w:val="auto"/>
        </w:rPr>
        <w:t>七、其他补充事宜</w:t>
      </w:r>
      <w:bookmarkEnd w:id="34"/>
      <w:bookmarkEnd w:id="35"/>
      <w:bookmarkEnd w:id="36"/>
    </w:p>
    <w:p>
      <w:pPr>
        <w:spacing w:after="0" w:line="38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1本次竞争性磋商公告在《中国海南政府采购网》上发布。</w:t>
      </w:r>
    </w:p>
    <w:p>
      <w:pPr>
        <w:spacing w:after="0" w:line="38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2潜在供应商按以下步骤进行报名并获取采购文件：</w:t>
      </w:r>
    </w:p>
    <w:p>
      <w:pPr>
        <w:numPr>
          <w:ilvl w:val="0"/>
          <w:numId w:val="12"/>
        </w:numPr>
        <w:spacing w:after="0" w:line="38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网上注册：投标人须在海南省政府采购网(www.ccgp-hainan.gov.cn)中的海南省政府采购电子化交易管理系统(新)平台进行注册；</w:t>
      </w:r>
    </w:p>
    <w:p>
      <w:pPr>
        <w:numPr>
          <w:ilvl w:val="0"/>
          <w:numId w:val="12"/>
        </w:numPr>
        <w:spacing w:after="0" w:line="38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rPr>
        <w:t>登陆交易平台进行报名并下载采购文件；</w:t>
      </w:r>
    </w:p>
    <w:p>
      <w:pPr>
        <w:spacing w:after="0" w:line="38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lang w:val="en-US" w:eastAsia="zh-CN"/>
        </w:rPr>
        <w:t>3、</w:t>
      </w:r>
      <w:r>
        <w:rPr>
          <w:rFonts w:hint="eastAsia" w:ascii="仿宋" w:hAnsi="仿宋" w:eastAsia="仿宋" w:cs="宋体"/>
          <w:color w:val="auto"/>
          <w:sz w:val="24"/>
          <w:szCs w:val="24"/>
        </w:rPr>
        <w:t>有关本项目采购文件的补遗、澄清及变更信息以上述网站公告与下载为准，采购代理机构不再另行通知，采购文件与更正公告的内容相互矛盾时，以最后发出的更正公告内容为准。</w:t>
      </w:r>
    </w:p>
    <w:p>
      <w:pPr>
        <w:spacing w:after="0" w:line="380" w:lineRule="exact"/>
        <w:ind w:firstLine="480" w:firstLineChars="200"/>
        <w:rPr>
          <w:rFonts w:hint="eastAsia" w:ascii="仿宋" w:hAnsi="仿宋" w:eastAsia="仿宋" w:cs="宋体"/>
          <w:color w:val="auto"/>
          <w:sz w:val="24"/>
          <w:szCs w:val="24"/>
        </w:rPr>
      </w:pPr>
      <w:r>
        <w:rPr>
          <w:rFonts w:hint="eastAsia" w:ascii="仿宋" w:hAnsi="仿宋" w:eastAsia="仿宋" w:cs="宋体"/>
          <w:color w:val="auto"/>
          <w:sz w:val="24"/>
          <w:szCs w:val="24"/>
          <w:lang w:val="en-US" w:eastAsia="zh-CN"/>
        </w:rPr>
        <w:t>4</w:t>
      </w:r>
      <w:r>
        <w:rPr>
          <w:rFonts w:hint="eastAsia" w:ascii="仿宋" w:hAnsi="仿宋" w:eastAsia="仿宋" w:cs="宋体"/>
          <w:color w:val="auto"/>
          <w:sz w:val="24"/>
          <w:szCs w:val="24"/>
        </w:rPr>
        <w:t>、本项目落实的政府采购政策：支持《政府采购促进中小企业发展暂行办法》、《关于调整优化节能产品、环境标志产品政府采购执行机制的通知》、《关于信息安全产品实施政府采购的通知》、《关于促进残疾人就业政府采购政策的通知》、《财政部 司法部关于政府采购支持监狱企业发展有关问题的通知》。</w:t>
      </w:r>
    </w:p>
    <w:p>
      <w:pPr>
        <w:spacing w:after="0" w:line="3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spacing w:after="0"/>
        <w:rPr>
          <w:color w:val="auto"/>
        </w:rPr>
      </w:pPr>
      <w:bookmarkStart w:id="37" w:name="_Toc29176"/>
      <w:bookmarkStart w:id="38" w:name="_Toc28359095"/>
      <w:bookmarkStart w:id="39" w:name="_Toc28359018"/>
      <w:bookmarkStart w:id="40" w:name="_Toc35393636"/>
      <w:bookmarkStart w:id="41" w:name="_Toc35393805"/>
      <w:r>
        <w:rPr>
          <w:rFonts w:hint="eastAsia"/>
          <w:color w:val="auto"/>
        </w:rPr>
        <w:t>八、凡对本次采购提出询问，请按以下方式联系。</w:t>
      </w:r>
      <w:bookmarkEnd w:id="37"/>
      <w:bookmarkEnd w:id="38"/>
      <w:bookmarkEnd w:id="39"/>
      <w:bookmarkEnd w:id="40"/>
      <w:bookmarkEnd w:id="41"/>
    </w:p>
    <w:p>
      <w:pPr>
        <w:spacing w:after="0" w:line="380" w:lineRule="exact"/>
        <w:ind w:firstLine="480" w:firstLineChars="200"/>
        <w:rPr>
          <w:rFonts w:ascii="仿宋" w:hAnsi="仿宋" w:eastAsia="仿宋" w:cs="宋体"/>
          <w:color w:val="auto"/>
          <w:sz w:val="24"/>
          <w:szCs w:val="24"/>
        </w:rPr>
      </w:pPr>
      <w:bookmarkStart w:id="42" w:name="_Toc35393806"/>
      <w:bookmarkStart w:id="43" w:name="_Toc35393637"/>
      <w:bookmarkStart w:id="44" w:name="_Toc28359096"/>
      <w:bookmarkStart w:id="45" w:name="_Toc28359019"/>
      <w:r>
        <w:rPr>
          <w:rFonts w:hint="eastAsia" w:ascii="仿宋" w:hAnsi="仿宋" w:eastAsia="仿宋" w:cs="宋体"/>
          <w:color w:val="auto"/>
          <w:sz w:val="24"/>
          <w:szCs w:val="24"/>
        </w:rPr>
        <w:t>采购人信息</w:t>
      </w:r>
      <w:bookmarkEnd w:id="42"/>
      <w:bookmarkEnd w:id="43"/>
      <w:bookmarkEnd w:id="44"/>
      <w:bookmarkEnd w:id="45"/>
    </w:p>
    <w:p>
      <w:pPr>
        <w:spacing w:after="0" w:line="380" w:lineRule="exact"/>
        <w:ind w:firstLine="480" w:firstLineChars="200"/>
        <w:rPr>
          <w:rFonts w:hint="eastAsia" w:ascii="仿宋" w:hAnsi="仿宋" w:eastAsia="仿宋" w:cs="宋体"/>
          <w:color w:val="auto"/>
          <w:sz w:val="24"/>
          <w:szCs w:val="24"/>
          <w:lang w:eastAsia="zh-CN"/>
        </w:rPr>
      </w:pPr>
      <w:r>
        <w:rPr>
          <w:rFonts w:hint="eastAsia" w:ascii="仿宋" w:hAnsi="仿宋" w:eastAsia="仿宋" w:cs="宋体"/>
          <w:color w:val="auto"/>
          <w:sz w:val="24"/>
          <w:szCs w:val="24"/>
        </w:rPr>
        <w:t>名    称：</w:t>
      </w:r>
      <w:r>
        <w:rPr>
          <w:rFonts w:hint="eastAsia" w:ascii="仿宋" w:hAnsi="仿宋" w:eastAsia="仿宋" w:cs="宋体"/>
          <w:color w:val="auto"/>
          <w:sz w:val="24"/>
          <w:szCs w:val="24"/>
          <w:lang w:eastAsia="zh-CN"/>
        </w:rPr>
        <w:t>琼中黎族苗族自治县农业农村局</w:t>
      </w:r>
    </w:p>
    <w:p>
      <w:pPr>
        <w:spacing w:after="0" w:line="380" w:lineRule="exact"/>
        <w:ind w:firstLine="480" w:firstLineChars="200"/>
        <w:rPr>
          <w:rFonts w:hint="eastAsia" w:ascii="仿宋" w:hAnsi="仿宋" w:eastAsia="仿宋" w:cs="宋体"/>
          <w:color w:val="auto"/>
          <w:sz w:val="24"/>
          <w:szCs w:val="24"/>
          <w:lang w:eastAsia="zh-CN"/>
        </w:rPr>
      </w:pPr>
      <w:r>
        <w:rPr>
          <w:rFonts w:hint="eastAsia" w:ascii="仿宋" w:hAnsi="仿宋" w:eastAsia="仿宋" w:cs="宋体"/>
          <w:color w:val="auto"/>
          <w:sz w:val="24"/>
          <w:szCs w:val="24"/>
        </w:rPr>
        <w:t>地    址：</w:t>
      </w:r>
      <w:r>
        <w:rPr>
          <w:rFonts w:hint="eastAsia" w:ascii="仿宋" w:hAnsi="仿宋" w:eastAsia="仿宋" w:cs="宋体"/>
          <w:color w:val="auto"/>
          <w:sz w:val="24"/>
          <w:szCs w:val="24"/>
          <w:lang w:eastAsia="zh-CN"/>
        </w:rPr>
        <w:t>琼中黎族苗族自治县国兴大道</w:t>
      </w:r>
    </w:p>
    <w:p>
      <w:pPr>
        <w:spacing w:after="0" w:line="380" w:lineRule="exact"/>
        <w:ind w:firstLine="480" w:firstLineChars="200"/>
        <w:rPr>
          <w:rFonts w:hint="default"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联 系 人：吴</w:t>
      </w:r>
      <w:r>
        <w:rPr>
          <w:rFonts w:hint="eastAsia" w:ascii="仿宋" w:hAnsi="仿宋" w:eastAsia="仿宋" w:cs="宋体"/>
          <w:color w:val="auto"/>
          <w:sz w:val="24"/>
          <w:szCs w:val="24"/>
        </w:rPr>
        <w:t>先生</w:t>
      </w:r>
    </w:p>
    <w:p>
      <w:pPr>
        <w:spacing w:after="0" w:line="380" w:lineRule="exact"/>
        <w:ind w:firstLine="480" w:firstLineChars="200"/>
        <w:rPr>
          <w:rFonts w:hint="eastAsia" w:ascii="仿宋" w:hAnsi="仿宋" w:eastAsia="仿宋" w:cs="宋体"/>
          <w:color w:val="auto"/>
          <w:sz w:val="24"/>
          <w:szCs w:val="24"/>
          <w:lang w:eastAsia="zh-CN"/>
        </w:rPr>
      </w:pPr>
      <w:r>
        <w:rPr>
          <w:rFonts w:hint="eastAsia" w:ascii="仿宋" w:hAnsi="仿宋" w:eastAsia="仿宋" w:cs="宋体"/>
          <w:color w:val="auto"/>
          <w:sz w:val="24"/>
          <w:szCs w:val="24"/>
        </w:rPr>
        <w:t>联系方式：</w:t>
      </w:r>
      <w:r>
        <w:rPr>
          <w:rFonts w:hint="eastAsia" w:ascii="仿宋" w:hAnsi="仿宋" w:eastAsia="仿宋" w:cs="宋体"/>
          <w:color w:val="auto"/>
          <w:sz w:val="24"/>
          <w:szCs w:val="24"/>
          <w:lang w:eastAsia="zh-CN"/>
        </w:rPr>
        <w:t>18389859958</w:t>
      </w:r>
    </w:p>
    <w:p>
      <w:pPr>
        <w:spacing w:after="0" w:line="380" w:lineRule="exact"/>
        <w:ind w:firstLine="480" w:firstLineChars="200"/>
        <w:rPr>
          <w:rFonts w:ascii="仿宋" w:hAnsi="仿宋" w:eastAsia="仿宋" w:cs="宋体"/>
          <w:color w:val="auto"/>
          <w:sz w:val="24"/>
          <w:szCs w:val="24"/>
        </w:rPr>
      </w:pPr>
      <w:bookmarkStart w:id="46" w:name="_Toc28359097"/>
      <w:bookmarkStart w:id="47" w:name="_Toc35393638"/>
      <w:bookmarkStart w:id="48" w:name="_Toc35393807"/>
      <w:bookmarkStart w:id="49" w:name="_Toc28359020"/>
      <w:r>
        <w:rPr>
          <w:rFonts w:hint="eastAsia" w:ascii="仿宋" w:hAnsi="仿宋" w:eastAsia="仿宋" w:cs="宋体"/>
          <w:color w:val="auto"/>
          <w:sz w:val="24"/>
          <w:szCs w:val="24"/>
        </w:rPr>
        <w:t>采购代理机构信息</w:t>
      </w:r>
      <w:bookmarkEnd w:id="46"/>
      <w:bookmarkEnd w:id="47"/>
      <w:bookmarkEnd w:id="48"/>
      <w:bookmarkEnd w:id="49"/>
    </w:p>
    <w:p>
      <w:pPr>
        <w:spacing w:after="0" w:line="3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名    称：海南双达项目管理有限公司</w:t>
      </w:r>
    </w:p>
    <w:p>
      <w:pPr>
        <w:spacing w:after="0" w:line="3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地　　址：海南省海口市美兰区蓝天街道国兴大道3号互联网金融大厦A栋23层</w:t>
      </w:r>
    </w:p>
    <w:p>
      <w:pPr>
        <w:spacing w:after="0" w:line="380" w:lineRule="exact"/>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联系方式：0898-68652125</w:t>
      </w:r>
    </w:p>
    <w:p>
      <w:pPr>
        <w:spacing w:after="0" w:line="380" w:lineRule="exact"/>
        <w:ind w:firstLine="480" w:firstLineChars="200"/>
        <w:rPr>
          <w:rFonts w:ascii="仿宋" w:hAnsi="仿宋" w:eastAsia="仿宋" w:cs="宋体"/>
          <w:color w:val="auto"/>
          <w:sz w:val="24"/>
          <w:szCs w:val="24"/>
        </w:rPr>
      </w:pPr>
      <w:bookmarkStart w:id="50" w:name="_Toc28359098"/>
      <w:bookmarkStart w:id="51" w:name="_Toc35393639"/>
      <w:bookmarkStart w:id="52" w:name="_Toc28359021"/>
      <w:bookmarkStart w:id="53" w:name="_Toc35393808"/>
      <w:r>
        <w:rPr>
          <w:rFonts w:hint="eastAsia" w:ascii="仿宋" w:hAnsi="仿宋" w:eastAsia="仿宋" w:cs="宋体"/>
          <w:color w:val="auto"/>
          <w:sz w:val="24"/>
          <w:szCs w:val="24"/>
        </w:rPr>
        <w:t>项目联系方式</w:t>
      </w:r>
      <w:bookmarkEnd w:id="50"/>
      <w:bookmarkEnd w:id="51"/>
      <w:bookmarkEnd w:id="52"/>
      <w:bookmarkEnd w:id="53"/>
    </w:p>
    <w:p>
      <w:pPr>
        <w:spacing w:after="0" w:line="380" w:lineRule="exact"/>
        <w:ind w:firstLine="480" w:firstLineChars="200"/>
        <w:rPr>
          <w:rFonts w:hint="eastAsia" w:ascii="仿宋" w:hAnsi="仿宋" w:eastAsia="仿宋" w:cs="宋体"/>
          <w:color w:val="auto"/>
          <w:sz w:val="24"/>
          <w:szCs w:val="24"/>
          <w:lang w:eastAsia="zh-CN"/>
        </w:rPr>
      </w:pPr>
      <w:r>
        <w:rPr>
          <w:rFonts w:hint="eastAsia" w:ascii="仿宋" w:hAnsi="仿宋" w:eastAsia="仿宋" w:cs="宋体"/>
          <w:color w:val="auto"/>
          <w:sz w:val="24"/>
          <w:szCs w:val="24"/>
        </w:rPr>
        <w:t>项目联系人：</w:t>
      </w:r>
      <w:r>
        <w:rPr>
          <w:rFonts w:hint="eastAsia" w:ascii="仿宋" w:hAnsi="仿宋" w:eastAsia="仿宋" w:cs="宋体"/>
          <w:color w:val="auto"/>
          <w:sz w:val="24"/>
          <w:szCs w:val="24"/>
          <w:lang w:eastAsia="zh-CN"/>
        </w:rPr>
        <w:t>吴工</w:t>
      </w:r>
    </w:p>
    <w:p>
      <w:pPr>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电　　 话：0898-68652125</w:t>
      </w:r>
    </w:p>
    <w:p>
      <w:pPr>
        <w:pStyle w:val="3"/>
        <w:rPr>
          <w:rStyle w:val="59"/>
          <w:b/>
          <w:color w:val="auto"/>
        </w:rPr>
      </w:pPr>
      <w:r>
        <w:rPr>
          <w:rFonts w:hint="eastAsia"/>
          <w:color w:val="auto"/>
        </w:rPr>
        <w:br w:type="page"/>
      </w:r>
      <w:bookmarkStart w:id="54" w:name="_Toc3838"/>
      <w:bookmarkStart w:id="55" w:name="_Toc56605082"/>
      <w:r>
        <w:rPr>
          <w:rStyle w:val="59"/>
          <w:b/>
          <w:color w:val="auto"/>
        </w:rPr>
        <w:t>第二章供应商须知前附表</w:t>
      </w:r>
      <w:bookmarkEnd w:id="54"/>
      <w:bookmarkEnd w:id="55"/>
    </w:p>
    <w:p>
      <w:pPr>
        <w:pStyle w:val="72"/>
        <w:spacing w:after="0" w:line="360" w:lineRule="auto"/>
        <w:ind w:left="0" w:firstLine="480" w:firstLineChars="200"/>
        <w:rPr>
          <w:rFonts w:ascii="Times New Roman" w:hAnsi="Times New Roman"/>
          <w:color w:val="auto"/>
          <w:sz w:val="24"/>
          <w:szCs w:val="24"/>
        </w:rPr>
      </w:pPr>
      <w:r>
        <w:rPr>
          <w:rFonts w:hint="eastAsia" w:ascii="Times New Roman" w:hAnsi="Times New Roman"/>
          <w:color w:val="auto"/>
          <w:sz w:val="24"/>
          <w:szCs w:val="24"/>
          <w:lang w:val="zh-TW" w:eastAsia="zh-TW"/>
        </w:rPr>
        <w:t>本表关于采购</w:t>
      </w:r>
      <w:r>
        <w:rPr>
          <w:rFonts w:hint="eastAsia" w:ascii="Times New Roman" w:hAnsi="Times New Roman"/>
          <w:color w:val="auto"/>
          <w:sz w:val="24"/>
          <w:szCs w:val="24"/>
          <w:lang w:val="zh-TW"/>
        </w:rPr>
        <w:t>服务</w:t>
      </w:r>
      <w:r>
        <w:rPr>
          <w:rFonts w:hint="eastAsia" w:ascii="Times New Roman" w:hAnsi="Times New Roman"/>
          <w:color w:val="auto"/>
          <w:sz w:val="24"/>
          <w:szCs w:val="24"/>
          <w:lang w:val="zh-TW" w:eastAsia="zh-TW"/>
        </w:rPr>
        <w:t>的具体要求是对供应商须知的具体补充和修改，如有矛盾，应以本表为准。</w:t>
      </w:r>
    </w:p>
    <w:tbl>
      <w:tblPr>
        <w:tblStyle w:val="51"/>
        <w:tblW w:w="973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060"/>
        <w:gridCol w:w="867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3"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60" w:lineRule="exact"/>
              <w:jc w:val="center"/>
              <w:rPr>
                <w:rFonts w:ascii="Times New Roman" w:hAnsi="Times New Roman" w:cs="Times New Roman"/>
                <w:b/>
                <w:color w:val="auto"/>
              </w:rPr>
            </w:pPr>
            <w:r>
              <w:rPr>
                <w:rFonts w:hint="eastAsia" w:ascii="Times New Roman" w:hAnsi="Times New Roman" w:cs="Times New Roman"/>
                <w:b/>
                <w:color w:val="auto"/>
                <w:sz w:val="24"/>
                <w:szCs w:val="24"/>
                <w:lang w:val="zh-TW" w:eastAsia="zh-TW"/>
              </w:rPr>
              <w:t>序号</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60" w:lineRule="exact"/>
              <w:jc w:val="center"/>
              <w:rPr>
                <w:rFonts w:ascii="Times New Roman" w:hAnsi="Times New Roman" w:cs="Times New Roman"/>
                <w:b/>
                <w:color w:val="auto"/>
              </w:rPr>
            </w:pPr>
            <w:r>
              <w:rPr>
                <w:rFonts w:hint="eastAsia" w:ascii="Times New Roman" w:hAnsi="Times New Roman" w:cs="Times New Roman"/>
                <w:b/>
                <w:color w:val="auto"/>
                <w:sz w:val="24"/>
                <w:szCs w:val="24"/>
                <w:lang w:val="zh-TW" w:eastAsia="zh-TW"/>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5"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20" w:lineRule="exact"/>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rPr>
              <w:t>采购人名称：</w:t>
            </w:r>
            <w:r>
              <w:rPr>
                <w:rFonts w:hint="eastAsia" w:ascii="Times New Roman" w:hAnsi="Times New Roman" w:cs="Times New Roman"/>
                <w:color w:val="auto"/>
                <w:sz w:val="24"/>
                <w:szCs w:val="24"/>
                <w:lang w:eastAsia="zh-CN"/>
              </w:rPr>
              <w:t>琼中黎族苗族自治县农业农村局</w:t>
            </w:r>
          </w:p>
          <w:p>
            <w:pPr>
              <w:spacing w:after="0" w:line="440" w:lineRule="exact"/>
              <w:jc w:val="both"/>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rPr>
              <w:t>项目联系人：</w:t>
            </w:r>
            <w:r>
              <w:rPr>
                <w:rFonts w:hint="eastAsia" w:ascii="Times New Roman" w:hAnsi="Times New Roman" w:cs="Times New Roman"/>
                <w:color w:val="auto"/>
                <w:sz w:val="24"/>
                <w:szCs w:val="24"/>
                <w:lang w:eastAsia="zh-CN"/>
              </w:rPr>
              <w:t>吴先生</w:t>
            </w:r>
          </w:p>
          <w:p>
            <w:pPr>
              <w:spacing w:after="0" w:line="440" w:lineRule="exact"/>
              <w:jc w:val="both"/>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rPr>
              <w:t>联系电话：</w:t>
            </w:r>
            <w:r>
              <w:rPr>
                <w:rFonts w:hint="eastAsia" w:ascii="Times New Roman" w:hAnsi="Times New Roman" w:cs="Times New Roman"/>
                <w:color w:val="auto"/>
                <w:sz w:val="24"/>
                <w:szCs w:val="24"/>
                <w:lang w:eastAsia="zh-CN"/>
              </w:rPr>
              <w:t>18389859958</w:t>
            </w:r>
          </w:p>
          <w:p>
            <w:pPr>
              <w:spacing w:after="0" w:line="440" w:lineRule="exact"/>
              <w:jc w:val="both"/>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rPr>
              <w:t>地址：</w:t>
            </w:r>
            <w:r>
              <w:rPr>
                <w:rFonts w:hint="eastAsia" w:ascii="Times New Roman" w:hAnsi="Times New Roman" w:cs="Times New Roman"/>
                <w:color w:val="auto"/>
                <w:sz w:val="24"/>
                <w:szCs w:val="24"/>
                <w:lang w:eastAsia="zh-CN"/>
              </w:rPr>
              <w:t>琼中黎族苗族自治县国兴大道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97"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440" w:lineRule="exact"/>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采购代理：海南双达项目管理有限公司</w:t>
            </w:r>
          </w:p>
          <w:p>
            <w:pPr>
              <w:spacing w:after="0" w:line="440" w:lineRule="exact"/>
              <w:jc w:val="both"/>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rPr>
              <w:t>联系人：</w:t>
            </w:r>
            <w:r>
              <w:rPr>
                <w:rFonts w:hint="eastAsia" w:ascii="Times New Roman" w:hAnsi="Times New Roman" w:cs="Times New Roman"/>
                <w:color w:val="auto"/>
                <w:sz w:val="24"/>
                <w:szCs w:val="24"/>
                <w:lang w:eastAsia="zh-CN"/>
              </w:rPr>
              <w:t>吴工</w:t>
            </w:r>
          </w:p>
          <w:p>
            <w:pPr>
              <w:spacing w:after="0" w:line="440" w:lineRule="exact"/>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联系电话：</w:t>
            </w:r>
            <w:r>
              <w:rPr>
                <w:rFonts w:ascii="Times New Roman" w:hAnsi="Times New Roman" w:cs="Times New Roman"/>
                <w:color w:val="auto"/>
                <w:sz w:val="24"/>
                <w:szCs w:val="24"/>
              </w:rPr>
              <w:t>0898-68652125</w:t>
            </w:r>
          </w:p>
          <w:p>
            <w:pPr>
              <w:spacing w:after="0" w:line="440" w:lineRule="exact"/>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地址：海南省海口市美兰区蓝天街道国兴大道3号互联网金融大厦A栋23层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4"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供应商资格要求：详见磋商公告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2"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磋商文件的澄清：提交响应文件截止之日</w:t>
            </w:r>
            <w:r>
              <w:rPr>
                <w:rFonts w:ascii="Times New Roman" w:hAnsi="Times New Roman" w:cs="Times New Roman"/>
                <w:color w:val="auto"/>
                <w:sz w:val="24"/>
                <w:szCs w:val="24"/>
              </w:rPr>
              <w:t>5</w:t>
            </w:r>
            <w:r>
              <w:rPr>
                <w:rFonts w:hint="eastAsia" w:ascii="Times New Roman" w:hAnsi="Times New Roman" w:cs="Times New Roman"/>
                <w:color w:val="auto"/>
                <w:sz w:val="24"/>
                <w:szCs w:val="24"/>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3"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磋商文件的修改：提交响应文件截止之日</w:t>
            </w:r>
            <w:r>
              <w:rPr>
                <w:rFonts w:ascii="Times New Roman" w:hAnsi="Times New Roman" w:cs="Times New Roman"/>
                <w:color w:val="auto"/>
                <w:sz w:val="24"/>
                <w:szCs w:val="24"/>
              </w:rPr>
              <w:t>5</w:t>
            </w:r>
            <w:r>
              <w:rPr>
                <w:rFonts w:hint="eastAsia" w:ascii="Times New Roman" w:hAnsi="Times New Roman" w:cs="Times New Roman"/>
                <w:color w:val="auto"/>
                <w:sz w:val="24"/>
                <w:szCs w:val="24"/>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5" w:hRule="atLeast"/>
          <w:jc w:val="center"/>
        </w:trPr>
        <w:tc>
          <w:tcPr>
            <w:tcW w:w="1060" w:type="dxa"/>
            <w:tcBorders>
              <w:top w:val="single" w:color="auto"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6</w:t>
            </w:r>
          </w:p>
        </w:tc>
        <w:tc>
          <w:tcPr>
            <w:tcW w:w="8674" w:type="dxa"/>
            <w:tcBorders>
              <w:top w:val="single" w:color="auto"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hAnsi="宋体"/>
                <w:color w:val="auto"/>
                <w:sz w:val="24"/>
                <w:szCs w:val="24"/>
              </w:rPr>
              <w:t>是否组织踏勘现场：不组织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1"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7</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本项目不允许分包，不接受联合体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8"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8</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备选方案：不接受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6"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9</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本项目</w:t>
            </w:r>
            <w:r>
              <w:rPr>
                <w:rFonts w:ascii="Times New Roman" w:hAnsi="Times New Roman" w:cs="Times New Roman"/>
                <w:color w:val="auto"/>
                <w:sz w:val="24"/>
                <w:szCs w:val="24"/>
              </w:rPr>
              <w:t>对</w:t>
            </w:r>
            <w:r>
              <w:rPr>
                <w:rFonts w:hint="eastAsia" w:ascii="Times New Roman" w:hAnsi="Times New Roman" w:cs="Times New Roman"/>
                <w:color w:val="auto"/>
                <w:sz w:val="24"/>
                <w:szCs w:val="24"/>
              </w:rPr>
              <w:t>磋商</w:t>
            </w:r>
            <w:r>
              <w:rPr>
                <w:rFonts w:ascii="Times New Roman" w:hAnsi="Times New Roman" w:cs="Times New Roman"/>
                <w:color w:val="auto"/>
                <w:sz w:val="24"/>
                <w:szCs w:val="24"/>
              </w:rPr>
              <w:t>保证金</w:t>
            </w:r>
            <w:r>
              <w:rPr>
                <w:rFonts w:hint="eastAsia" w:ascii="Times New Roman" w:hAnsi="Times New Roman" w:cs="Times New Roman"/>
                <w:color w:val="auto"/>
                <w:sz w:val="24"/>
                <w:szCs w:val="24"/>
              </w:rPr>
              <w:t>：要求递交投标保证金：</w:t>
            </w:r>
          </w:p>
          <w:p>
            <w:pPr>
              <w:spacing w:after="0" w:line="300" w:lineRule="exact"/>
              <w:rPr>
                <w:rFonts w:ascii="Times New Roman" w:hAnsi="Times New Roman" w:cs="Times New Roman"/>
                <w:color w:val="auto"/>
                <w:sz w:val="24"/>
                <w:szCs w:val="24"/>
                <w:highlight w:val="yellow"/>
              </w:rPr>
            </w:pPr>
            <w:r>
              <w:rPr>
                <w:rFonts w:hint="eastAsia" w:ascii="Times New Roman" w:hAnsi="Times New Roman" w:cs="Times New Roman"/>
                <w:color w:val="auto"/>
                <w:sz w:val="24"/>
                <w:szCs w:val="24"/>
              </w:rPr>
              <w:t>投标保证金的形式：支票、汇票、本票、网上银行支付或者金融机构、担保机构出具的保函等非现金形式；采用金融机构、担保机构出具的保函提交磋商保证金的，受益人为采购人，且开标现场提交原件审核，否则按无效响应处理。</w:t>
            </w:r>
          </w:p>
          <w:p>
            <w:pPr>
              <w:spacing w:after="0" w:line="300" w:lineRule="exac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保证金的金额：人民币</w:t>
            </w:r>
            <w:r>
              <w:rPr>
                <w:rFonts w:hint="eastAsia" w:ascii="Times New Roman" w:hAnsi="Times New Roman" w:cs="Times New Roman"/>
                <w:color w:val="auto"/>
                <w:sz w:val="24"/>
                <w:szCs w:val="24"/>
                <w:highlight w:val="none"/>
                <w:lang w:val="en-US" w:eastAsia="zh-CN"/>
              </w:rPr>
              <w:t>贰仟壹佰元整</w:t>
            </w:r>
            <w:r>
              <w:rPr>
                <w:rFonts w:hint="eastAsia"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2100.00元</w:t>
            </w:r>
            <w:r>
              <w:rPr>
                <w:rFonts w:hint="eastAsia" w:ascii="Times New Roman" w:hAnsi="Times New Roman" w:cs="Times New Roman"/>
                <w:color w:val="auto"/>
                <w:sz w:val="24"/>
                <w:szCs w:val="24"/>
                <w:highlight w:val="none"/>
              </w:rPr>
              <w:t>）</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账号：1008 9813 0000 0187</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 xml:space="preserve">开户银行：海口市农村商业银行金贸支行(手机网银选择海南省农村信用社联合社或海南省农村信用社资金清算中心)  </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户名：海南双达项目管理有限公司</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用途：</w:t>
            </w:r>
            <w:r>
              <w:rPr>
                <w:rFonts w:hint="eastAsia" w:ascii="Times New Roman" w:hAnsi="Times New Roman" w:cs="Times New Roman"/>
                <w:color w:val="auto"/>
                <w:sz w:val="24"/>
                <w:szCs w:val="24"/>
                <w:lang w:eastAsia="zh-CN"/>
              </w:rPr>
              <w:t>琼中县菜篮子冷链车、皮卡车、面包车采购项目</w:t>
            </w:r>
            <w:r>
              <w:rPr>
                <w:rFonts w:hint="eastAsia" w:ascii="Times New Roman" w:hAnsi="Times New Roman" w:cs="Times New Roman"/>
                <w:color w:val="auto"/>
                <w:sz w:val="24"/>
                <w:szCs w:val="24"/>
              </w:rPr>
              <w:t>保证金（可简写）</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递交截止时间：</w:t>
            </w:r>
            <w:r>
              <w:rPr>
                <w:rFonts w:hint="eastAsia" w:ascii="Times New Roman" w:hAnsi="Times New Roman" w:cs="Times New Roman"/>
                <w:color w:val="auto"/>
                <w:sz w:val="24"/>
                <w:szCs w:val="24"/>
                <w:lang w:eastAsia="zh-CN"/>
              </w:rPr>
              <w:t>2022年12月05日14点30分</w:t>
            </w:r>
            <w:r>
              <w:rPr>
                <w:rFonts w:hint="eastAsia" w:ascii="Times New Roman" w:hAnsi="Times New Roman" w:cs="Times New Roman"/>
                <w:color w:val="auto"/>
                <w:sz w:val="24"/>
                <w:szCs w:val="24"/>
              </w:rPr>
              <w:t>前（以到达指定账户时间为准）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8"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0</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响应有效期：自响应文件提交截止之日起</w:t>
            </w:r>
            <w:r>
              <w:rPr>
                <w:rFonts w:ascii="Times New Roman" w:hAnsi="Times New Roman" w:cs="Times New Roman"/>
                <w:color w:val="auto"/>
                <w:sz w:val="24"/>
                <w:szCs w:val="24"/>
              </w:rPr>
              <w:t>90</w:t>
            </w:r>
            <w:r>
              <w:rPr>
                <w:rFonts w:hint="eastAsia" w:ascii="Times New Roman" w:hAnsi="Times New Roman" w:cs="Times New Roman"/>
                <w:color w:val="auto"/>
                <w:sz w:val="24"/>
                <w:szCs w:val="24"/>
              </w:rPr>
              <w:t>日历天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4"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1</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响应文件份数：正本壹份，副本贰份，</w:t>
            </w:r>
            <w:r>
              <w:rPr>
                <w:rFonts w:hAnsi="宋体"/>
                <w:color w:val="auto"/>
                <w:sz w:val="24"/>
              </w:rPr>
              <w:t>电子文档</w:t>
            </w:r>
            <w:r>
              <w:rPr>
                <w:rFonts w:hint="eastAsia" w:ascii="Times New Roman" w:hAnsi="Times New Roman" w:cs="Times New Roman"/>
                <w:color w:val="auto"/>
                <w:sz w:val="24"/>
                <w:szCs w:val="24"/>
              </w:rPr>
              <w:t>壹</w:t>
            </w:r>
            <w:r>
              <w:rPr>
                <w:rFonts w:hAnsi="宋体"/>
                <w:color w:val="auto"/>
                <w:sz w:val="24"/>
              </w:rPr>
              <w:t>份</w:t>
            </w:r>
            <w:r>
              <w:rPr>
                <w:rFonts w:hint="eastAsia" w:ascii="Times New Roman" w:hAnsi="Times New Roman" w:cs="Times New Roman"/>
                <w:color w:val="auto"/>
                <w:sz w:val="24"/>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1"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2</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响应文件递交地点：详见磋商公告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2"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13</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供应商在递交磋商响应文件的同时，应将报价函、报价一览表密封在一个唱标信封内，单独递交。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4"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响应文件递交截止时间：见磋商公告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70"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响应文件开启时间：见磋商公告；</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响应文件开启地点：见磋商公告。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76"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出现以下情况将可导致供应商的投标被拒绝：</w:t>
            </w:r>
          </w:p>
          <w:p>
            <w:pPr>
              <w:spacing w:after="0" w:line="300" w:lineRule="exact"/>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磋商响应文件的密封、签署、盖章不符合磋商文件的要求；</w:t>
            </w:r>
          </w:p>
          <w:p>
            <w:pPr>
              <w:spacing w:after="0" w:line="300" w:lineRule="exact"/>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供应商的资格证明文件不符合磋商文件的要求；</w:t>
            </w:r>
          </w:p>
          <w:p>
            <w:pPr>
              <w:spacing w:after="0" w:line="300" w:lineRule="exact"/>
              <w:rPr>
                <w:rFonts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rPr>
              <w:t>报价函或投标报价不符合磋商文件的要求；</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4</w:t>
            </w:r>
            <w:r>
              <w:rPr>
                <w:rFonts w:ascii="Times New Roman" w:hAnsi="Times New Roman" w:cs="Times New Roman"/>
                <w:color w:val="auto"/>
                <w:sz w:val="24"/>
                <w:szCs w:val="24"/>
              </w:rPr>
              <w:t>.</w:t>
            </w:r>
            <w:r>
              <w:rPr>
                <w:rFonts w:hint="eastAsia" w:ascii="Times New Roman" w:hAnsi="Times New Roman" w:cs="Times New Roman"/>
                <w:color w:val="auto"/>
                <w:sz w:val="24"/>
                <w:szCs w:val="24"/>
              </w:rPr>
              <w:t>磋商响应文件的响应与磋商文件的实质性要求存在重大偏离；</w:t>
            </w:r>
          </w:p>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5</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不符合法律、法规和磋商文件中规定的其他实质性要求。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0"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磋商小组由</w:t>
            </w:r>
            <w:r>
              <w:rPr>
                <w:rFonts w:ascii="Times New Roman" w:hAnsi="Times New Roman" w:cs="Times New Roman"/>
                <w:color w:val="auto"/>
                <w:sz w:val="24"/>
                <w:szCs w:val="24"/>
              </w:rPr>
              <w:t>3名专家组成。</w:t>
            </w:r>
            <w:r>
              <w:rPr>
                <w:rFonts w:hint="eastAsia" w:ascii="Times New Roman" w:hAnsi="Times New Roman" w:cs="Times New Roman"/>
                <w:color w:val="auto"/>
                <w:sz w:val="24"/>
                <w:szCs w:val="24"/>
              </w:rPr>
              <w:t>采购人代表</w:t>
            </w:r>
            <w:r>
              <w:rPr>
                <w:rFonts w:hint="eastAsia" w:ascii="Times New Roman" w:hAnsi="Times New Roman" w:cs="Times New Roman"/>
                <w:color w:val="auto"/>
                <w:sz w:val="24"/>
                <w:szCs w:val="24"/>
                <w:lang w:val="en-US" w:eastAsia="zh-CN"/>
              </w:rPr>
              <w:t>0</w:t>
            </w:r>
            <w:r>
              <w:rPr>
                <w:rFonts w:hint="eastAsia" w:ascii="Times New Roman" w:hAnsi="Times New Roman" w:cs="Times New Roman"/>
                <w:color w:val="auto"/>
                <w:sz w:val="24"/>
                <w:szCs w:val="24"/>
              </w:rPr>
              <w:t>名，从海南省综合评标</w:t>
            </w:r>
            <w:r>
              <w:rPr>
                <w:rFonts w:ascii="Times New Roman" w:hAnsi="Times New Roman" w:cs="Times New Roman"/>
                <w:color w:val="auto"/>
                <w:sz w:val="24"/>
                <w:szCs w:val="24"/>
              </w:rPr>
              <w:t>专家库中</w:t>
            </w:r>
            <w:r>
              <w:rPr>
                <w:rFonts w:hint="eastAsia" w:ascii="Times New Roman" w:hAnsi="Times New Roman" w:cs="Times New Roman"/>
                <w:color w:val="auto"/>
                <w:sz w:val="24"/>
                <w:szCs w:val="24"/>
              </w:rPr>
              <w:t>随机</w:t>
            </w:r>
            <w:r>
              <w:rPr>
                <w:rFonts w:ascii="Times New Roman" w:hAnsi="Times New Roman" w:cs="Times New Roman"/>
                <w:color w:val="auto"/>
                <w:sz w:val="24"/>
                <w:szCs w:val="24"/>
              </w:rPr>
              <w:t>抽取</w:t>
            </w:r>
            <w:r>
              <w:rPr>
                <w:rFonts w:hint="eastAsia"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rPr>
              <w:t>名</w:t>
            </w:r>
            <w:r>
              <w:rPr>
                <w:rFonts w:ascii="Times New Roman" w:hAnsi="Times New Roman" w:cs="Times New Roman"/>
                <w:color w:val="auto"/>
                <w:sz w:val="24"/>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5"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推荐成交候选人</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名，确定第一成交候选人为成交供应商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5"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00" w:lineRule="exact"/>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rPr>
              <w:t>预算金额：</w:t>
            </w:r>
            <w:r>
              <w:rPr>
                <w:rFonts w:hint="eastAsia" w:ascii="Times New Roman" w:hAnsi="Times New Roman" w:cs="Times New Roman"/>
                <w:color w:val="auto"/>
                <w:sz w:val="24"/>
                <w:szCs w:val="24"/>
                <w:lang w:eastAsia="zh-CN"/>
              </w:rPr>
              <w:t>1070000.00</w:t>
            </w:r>
            <w:r>
              <w:rPr>
                <w:rFonts w:hint="eastAsia" w:ascii="Times New Roman" w:hAnsi="Times New Roman" w:cs="Times New Roman"/>
                <w:color w:val="auto"/>
                <w:sz w:val="24"/>
                <w:szCs w:val="24"/>
              </w:rPr>
              <w:t>元</w:t>
            </w:r>
            <w:r>
              <w:rPr>
                <w:rFonts w:hint="eastAsia" w:ascii="Times New Roman" w:hAnsi="Times New Roman" w:cs="Times New Roman"/>
                <w:color w:val="auto"/>
                <w:sz w:val="24"/>
                <w:szCs w:val="24"/>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49" w:hRule="atLeast"/>
          <w:jc w:val="center"/>
        </w:trPr>
        <w:tc>
          <w:tcPr>
            <w:tcW w:w="10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867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3" w:type="dxa"/>
            </w:tcMar>
            <w:vAlign w:val="center"/>
          </w:tcPr>
          <w:p>
            <w:pPr>
              <w:spacing w:after="0" w:line="30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本次采购代理服务费参照《国家计委关于印发〈招标代理服务收费管理暂行办法〉的通知》（计价格［</w:t>
            </w:r>
            <w:r>
              <w:rPr>
                <w:rFonts w:ascii="Times New Roman" w:hAnsi="Times New Roman" w:cs="Times New Roman"/>
                <w:color w:val="auto"/>
                <w:sz w:val="24"/>
                <w:szCs w:val="24"/>
              </w:rPr>
              <w:t>2002</w:t>
            </w:r>
            <w:r>
              <w:rPr>
                <w:rFonts w:hint="eastAsia" w:ascii="Times New Roman" w:hAnsi="Times New Roman" w:cs="Times New Roman"/>
                <w:color w:val="auto"/>
                <w:sz w:val="24"/>
                <w:szCs w:val="24"/>
              </w:rPr>
              <w:t>］</w:t>
            </w:r>
            <w:r>
              <w:rPr>
                <w:rFonts w:ascii="Times New Roman" w:hAnsi="Times New Roman" w:cs="Times New Roman"/>
                <w:color w:val="auto"/>
                <w:sz w:val="24"/>
                <w:szCs w:val="24"/>
              </w:rPr>
              <w:t>1980</w:t>
            </w:r>
            <w:r>
              <w:rPr>
                <w:rFonts w:hint="eastAsia" w:ascii="Times New Roman" w:hAnsi="Times New Roman" w:cs="Times New Roman"/>
                <w:color w:val="auto"/>
                <w:sz w:val="24"/>
                <w:szCs w:val="24"/>
              </w:rPr>
              <w:t>号）规定</w:t>
            </w:r>
            <w:r>
              <w:rPr>
                <w:rFonts w:hint="eastAsia" w:ascii="Times New Roman" w:hAnsi="Times New Roman" w:cs="Times New Roman"/>
                <w:color w:val="auto"/>
                <w:sz w:val="24"/>
                <w:szCs w:val="24"/>
                <w:lang w:val="en-US" w:eastAsia="zh-CN"/>
              </w:rPr>
              <w:t>的6.8折</w:t>
            </w:r>
            <w:r>
              <w:rPr>
                <w:rFonts w:hint="eastAsia" w:ascii="Times New Roman" w:hAnsi="Times New Roman" w:cs="Times New Roman"/>
                <w:color w:val="auto"/>
                <w:sz w:val="24"/>
                <w:szCs w:val="24"/>
              </w:rPr>
              <w:t>计取，由成交供应商于成交通知书签发前一次性付清。</w:t>
            </w:r>
          </w:p>
        </w:tc>
      </w:tr>
    </w:tbl>
    <w:p>
      <w:pPr>
        <w:pStyle w:val="47"/>
      </w:pPr>
      <w:r>
        <w:rPr>
          <w:rFonts w:hint="eastAsia"/>
        </w:rPr>
        <w:br w:type="page"/>
      </w:r>
      <w:bookmarkStart w:id="56" w:name="_Toc23278"/>
      <w:bookmarkStart w:id="57" w:name="_Toc56605083"/>
      <w:r>
        <w:rPr>
          <w:rFonts w:hint="eastAsia"/>
        </w:rPr>
        <w:t>第三章供应商须知</w:t>
      </w:r>
      <w:bookmarkEnd w:id="56"/>
      <w:bookmarkEnd w:id="57"/>
    </w:p>
    <w:p>
      <w:pPr>
        <w:spacing w:after="0" w:line="460" w:lineRule="exact"/>
        <w:jc w:val="center"/>
        <w:rPr>
          <w:rFonts w:ascii="Times New Roman" w:hAnsi="Times New Roman" w:cs="Times New Roman"/>
          <w:b/>
          <w:color w:val="auto"/>
          <w:sz w:val="28"/>
          <w:szCs w:val="28"/>
        </w:rPr>
      </w:pPr>
      <w:r>
        <w:rPr>
          <w:rFonts w:hint="eastAsia" w:ascii="Times New Roman" w:hAnsi="Times New Roman" w:cs="Times New Roman"/>
          <w:b/>
          <w:color w:val="auto"/>
          <w:sz w:val="28"/>
          <w:szCs w:val="28"/>
        </w:rPr>
        <w:t>一、总则</w:t>
      </w:r>
    </w:p>
    <w:p>
      <w:pPr>
        <w:spacing w:after="0"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1.</w:t>
      </w:r>
      <w:r>
        <w:rPr>
          <w:rFonts w:hint="eastAsia" w:ascii="Times New Roman" w:hAnsi="Times New Roman" w:cs="Times New Roman"/>
          <w:b/>
          <w:color w:val="auto"/>
          <w:sz w:val="24"/>
          <w:szCs w:val="24"/>
        </w:rPr>
        <w:t>资金来源</w:t>
      </w:r>
      <w:r>
        <w:rPr>
          <w:rFonts w:hint="eastAsia" w:ascii="Times New Roman" w:hAnsi="Times New Roman" w:cs="Times New Roman"/>
          <w:color w:val="auto"/>
          <w:sz w:val="24"/>
          <w:szCs w:val="24"/>
        </w:rPr>
        <w:t>：财政资金。</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采购人：见《供应商须知前附表》</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采购代理机构：见《供应商须知前附表》</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2.</w:t>
      </w:r>
      <w:r>
        <w:rPr>
          <w:rFonts w:hint="eastAsia" w:ascii="Times New Roman" w:hAnsi="Times New Roman" w:cs="Times New Roman"/>
          <w:b/>
          <w:color w:val="auto"/>
          <w:sz w:val="24"/>
          <w:szCs w:val="24"/>
        </w:rPr>
        <w:t>合格的供应商</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2.1</w:t>
      </w:r>
      <w:r>
        <w:rPr>
          <w:rFonts w:hint="eastAsia" w:ascii="Times New Roman" w:hAnsi="Times New Roman" w:cs="Times New Roman"/>
          <w:color w:val="auto"/>
          <w:sz w:val="24"/>
          <w:szCs w:val="24"/>
        </w:rPr>
        <w:t>、合格的供应商：见《磋商公告》及《供应商须知前附表》中规定的内容。</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w:t>
      </w:r>
      <w:r>
        <w:rPr>
          <w:rFonts w:hint="eastAsia" w:ascii="Times New Roman" w:hAnsi="Times New Roman" w:cs="Times New Roman"/>
          <w:color w:val="auto"/>
          <w:sz w:val="24"/>
          <w:szCs w:val="24"/>
        </w:rPr>
        <w:t>、联合体投标：本次采购不接受联合体。</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2.3</w:t>
      </w:r>
      <w:r>
        <w:rPr>
          <w:rFonts w:hint="eastAsia" w:ascii="Times New Roman" w:hAnsi="Times New Roman" w:cs="Times New Roman"/>
          <w:color w:val="auto"/>
          <w:sz w:val="24"/>
          <w:szCs w:val="24"/>
        </w:rPr>
        <w:t>、合格的服务：合同规定的服务指其来源符合磋商文件要求的服务。</w:t>
      </w:r>
      <w:bookmarkStart w:id="58" w:name="_Toc533354138"/>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2.4</w:t>
      </w:r>
      <w:r>
        <w:rPr>
          <w:rFonts w:hint="eastAsia" w:ascii="Times New Roman" w:hAnsi="Times New Roman" w:cs="Times New Roman"/>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bookmarkEnd w:id="58"/>
      <w:bookmarkStart w:id="59" w:name="_Toc533354139"/>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2.5</w:t>
      </w:r>
      <w:r>
        <w:rPr>
          <w:rFonts w:hint="eastAsia" w:ascii="Times New Roman" w:hAnsi="Times New Roman" w:cs="Times New Roman"/>
          <w:color w:val="auto"/>
          <w:sz w:val="24"/>
          <w:szCs w:val="24"/>
        </w:rPr>
        <w:t>、如为信息系统采购项目，供应商不得为该整体项目或其中分项目前期工作提供过设计、编制、管理等服务的法人及附属单位。</w:t>
      </w:r>
      <w:bookmarkEnd w:id="59"/>
      <w:bookmarkStart w:id="60" w:name="_Toc533354140"/>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2.6</w:t>
      </w:r>
      <w:r>
        <w:rPr>
          <w:rFonts w:hint="eastAsia" w:ascii="Times New Roman" w:hAnsi="Times New Roman" w:cs="Times New Roman"/>
          <w:color w:val="auto"/>
          <w:sz w:val="24"/>
          <w:szCs w:val="24"/>
        </w:rPr>
        <w:t>、磋商（采购）文件中未明确规定允许进口产品参加的，均视为拒绝进口产品参加。（进口产品是指通过中国海关报关验放进入中国境内且产自关境外的产品）。</w:t>
      </w:r>
      <w:bookmarkEnd w:id="60"/>
      <w:bookmarkStart w:id="61" w:name="_Toc533354141"/>
    </w:p>
    <w:bookmarkEnd w:id="61"/>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Pr>
          <w:rFonts w:hint="eastAsia" w:ascii="Times New Roman" w:hAnsi="Times New Roman" w:cs="Times New Roman"/>
          <w:b/>
          <w:color w:val="auto"/>
          <w:sz w:val="24"/>
          <w:szCs w:val="24"/>
        </w:rPr>
        <w:t>投标费用</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spacing w:after="0" w:line="360" w:lineRule="auto"/>
        <w:jc w:val="center"/>
        <w:rPr>
          <w:rFonts w:ascii="Times New Roman" w:hAnsi="Times New Roman" w:cs="Times New Roman"/>
          <w:b/>
          <w:color w:val="auto"/>
          <w:sz w:val="28"/>
          <w:szCs w:val="28"/>
        </w:rPr>
      </w:pPr>
      <w:r>
        <w:rPr>
          <w:rFonts w:hint="eastAsia" w:ascii="Times New Roman" w:hAnsi="Times New Roman" w:cs="Times New Roman"/>
          <w:b/>
          <w:color w:val="auto"/>
          <w:sz w:val="28"/>
          <w:szCs w:val="28"/>
        </w:rPr>
        <w:t>二、磋商文件</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4.</w:t>
      </w:r>
      <w:r>
        <w:rPr>
          <w:rFonts w:hint="eastAsia" w:ascii="Times New Roman" w:hAnsi="Times New Roman" w:cs="Times New Roman"/>
          <w:b/>
          <w:color w:val="auto"/>
          <w:sz w:val="24"/>
          <w:szCs w:val="24"/>
        </w:rPr>
        <w:t>磋商文件的构成</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4.1</w:t>
      </w:r>
      <w:r>
        <w:rPr>
          <w:rFonts w:hint="eastAsia" w:ascii="Times New Roman" w:hAnsi="Times New Roman" w:cs="Times New Roman"/>
          <w:color w:val="auto"/>
          <w:sz w:val="24"/>
          <w:szCs w:val="24"/>
        </w:rPr>
        <w:t>、磋商文件包括：</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第一章磋商公告</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第二章供应商须知前附表</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第三章供应商须知</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第四章合同条款</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第五章用户需求书</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第六章评审办法和程序</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第七章磋商响应文件格式</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4.2</w:t>
      </w:r>
      <w:r>
        <w:rPr>
          <w:rFonts w:hint="eastAsia" w:ascii="Times New Roman" w:hAnsi="Times New Roman" w:cs="Times New Roman"/>
          <w:color w:val="auto"/>
          <w:sz w:val="24"/>
          <w:szCs w:val="24"/>
        </w:rPr>
        <w:t>、供应商应审阅磋商文件中所有须知、格式、条款和规格。供应商未按采购文件要求提供全部资料或提交的磋商文件未对磋商文件作出实质性响应，供应商将承担其风险并有可能根据磋商文件要求导致磋商响应文件被拒绝。</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5.</w:t>
      </w:r>
      <w:r>
        <w:rPr>
          <w:rFonts w:hint="eastAsia" w:ascii="Times New Roman" w:hAnsi="Times New Roman" w:cs="Times New Roman"/>
          <w:b/>
          <w:color w:val="auto"/>
          <w:sz w:val="24"/>
          <w:szCs w:val="24"/>
        </w:rPr>
        <w:t>磋商文件的澄清</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任何对磋商文件提出澄清的供应商，应在《供应商须知前附表》中规定的提交响应文件截止之日前</w:t>
      </w:r>
      <w:r>
        <w:rPr>
          <w:rFonts w:ascii="Times New Roman" w:hAnsi="Times New Roman" w:cs="Times New Roman"/>
          <w:color w:val="auto"/>
          <w:sz w:val="24"/>
          <w:szCs w:val="24"/>
        </w:rPr>
        <w:t>5</w:t>
      </w:r>
      <w:r>
        <w:rPr>
          <w:rFonts w:hint="eastAsia" w:ascii="Times New Roman" w:hAnsi="Times New Roman" w:cs="Times New Roman"/>
          <w:color w:val="auto"/>
          <w:sz w:val="24"/>
          <w:szCs w:val="24"/>
        </w:rPr>
        <w:t>日以书面形式通知采购代理机构。采购代理机构将视情况对提交响应文件截止之日前</w:t>
      </w:r>
      <w:r>
        <w:rPr>
          <w:rFonts w:ascii="Times New Roman" w:hAnsi="Times New Roman" w:cs="Times New Roman"/>
          <w:color w:val="auto"/>
          <w:sz w:val="24"/>
          <w:szCs w:val="24"/>
        </w:rPr>
        <w:t>5</w:t>
      </w:r>
      <w:r>
        <w:rPr>
          <w:rFonts w:hint="eastAsia" w:ascii="Times New Roman" w:hAnsi="Times New Roman" w:cs="Times New Roman"/>
          <w:color w:val="auto"/>
          <w:sz w:val="24"/>
          <w:szCs w:val="24"/>
        </w:rPr>
        <w:t>日收到的澄清要求采用适当方式或以书面形式予以答复，并在其认为必要时，将不标明查询来源的书面答复发给每一已购买磋商文件的潜在供应商。</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6.</w:t>
      </w:r>
      <w:r>
        <w:rPr>
          <w:rFonts w:hint="eastAsia" w:ascii="Times New Roman" w:hAnsi="Times New Roman" w:cs="Times New Roman"/>
          <w:b/>
          <w:color w:val="auto"/>
          <w:sz w:val="24"/>
          <w:szCs w:val="24"/>
        </w:rPr>
        <w:t>磋商文件的修改</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在提交响应文件截止之日前</w:t>
      </w:r>
      <w:r>
        <w:rPr>
          <w:rFonts w:ascii="Times New Roman" w:hAnsi="Times New Roman" w:cs="Times New Roman"/>
          <w:color w:val="auto"/>
          <w:sz w:val="24"/>
          <w:szCs w:val="24"/>
        </w:rPr>
        <w:t>5</w:t>
      </w:r>
      <w:r>
        <w:rPr>
          <w:rFonts w:hint="eastAsia" w:ascii="Times New Roman" w:hAnsi="Times New Roman" w:cs="Times New Roman"/>
          <w:color w:val="auto"/>
          <w:sz w:val="24"/>
          <w:szCs w:val="24"/>
        </w:rPr>
        <w:t>日的任何时候，无论何故，采购人可主动地或在答复供应商提出澄清的问题时对磋商文件进行修改。</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磋商文件的修改将以书面形式通知所有购买磋商文件的供应商，并对其具有约束力。供应商在接收后</w:t>
      </w:r>
      <w:r>
        <w:rPr>
          <w:rFonts w:ascii="Times New Roman" w:hAnsi="Times New Roman" w:cs="Times New Roman"/>
          <w:color w:val="auto"/>
          <w:sz w:val="24"/>
          <w:szCs w:val="24"/>
        </w:rPr>
        <w:t>1</w:t>
      </w:r>
      <w:r>
        <w:rPr>
          <w:rFonts w:hint="eastAsia" w:ascii="Times New Roman" w:hAnsi="Times New Roman" w:cs="Times New Roman"/>
          <w:color w:val="auto"/>
          <w:sz w:val="24"/>
          <w:szCs w:val="24"/>
        </w:rPr>
        <w:t>日内应立即以传真的形式确认已收到该修改。</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为使供应商在准备响应文件时有合理的时间考虑响应文件的修改，采购人可酌情推迟第一章竞争性磋商公告中规定的响应文件递交截止时间。</w:t>
      </w:r>
    </w:p>
    <w:p>
      <w:pPr>
        <w:spacing w:after="0" w:line="360" w:lineRule="auto"/>
        <w:jc w:val="center"/>
        <w:rPr>
          <w:rFonts w:ascii="Times New Roman" w:hAnsi="Times New Roman" w:cs="Times New Roman"/>
          <w:b/>
          <w:color w:val="auto"/>
          <w:sz w:val="28"/>
          <w:szCs w:val="28"/>
        </w:rPr>
      </w:pPr>
      <w:bookmarkStart w:id="62" w:name="_投标文件的编制"/>
      <w:bookmarkEnd w:id="62"/>
      <w:r>
        <w:rPr>
          <w:rFonts w:hint="eastAsia" w:ascii="Times New Roman" w:hAnsi="Times New Roman" w:cs="Times New Roman"/>
          <w:b/>
          <w:color w:val="auto"/>
          <w:sz w:val="28"/>
          <w:szCs w:val="28"/>
        </w:rPr>
        <w:t>三、磋商响应文件的编制</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7.</w:t>
      </w:r>
      <w:r>
        <w:rPr>
          <w:rFonts w:hint="eastAsia" w:ascii="Times New Roman" w:hAnsi="Times New Roman" w:cs="Times New Roman"/>
          <w:b/>
          <w:color w:val="auto"/>
          <w:sz w:val="24"/>
          <w:szCs w:val="24"/>
        </w:rPr>
        <w:t>投标使用的文字</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磋商响应文件所有部分均应以中文编制。</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8.</w:t>
      </w:r>
      <w:r>
        <w:rPr>
          <w:rFonts w:hint="eastAsia" w:ascii="Times New Roman" w:hAnsi="Times New Roman" w:cs="Times New Roman"/>
          <w:b/>
          <w:color w:val="auto"/>
          <w:sz w:val="24"/>
          <w:szCs w:val="24"/>
        </w:rPr>
        <w:t>磋商响应文件的组成</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8.1</w:t>
      </w:r>
      <w:r>
        <w:rPr>
          <w:rFonts w:hint="eastAsia" w:ascii="Times New Roman" w:hAnsi="Times New Roman" w:cs="Times New Roman"/>
          <w:color w:val="auto"/>
          <w:sz w:val="24"/>
          <w:szCs w:val="24"/>
        </w:rPr>
        <w:t>、供应商准备的磋商响应文件应包括以下部分：</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1</w:t>
      </w:r>
      <w:r>
        <w:rPr>
          <w:rFonts w:hint="eastAsia" w:ascii="Times New Roman" w:hAnsi="Times New Roman" w:cs="Times New Roman"/>
          <w:color w:val="auto"/>
          <w:sz w:val="24"/>
          <w:szCs w:val="24"/>
        </w:rPr>
        <w:t>）按第七章磋商响应文件格式填写的报价函及报价一览表。报价一览表与报价函总价不符，以报价一览表为准。</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2</w:t>
      </w:r>
      <w:r>
        <w:rPr>
          <w:rFonts w:hint="eastAsia" w:ascii="Times New Roman" w:hAnsi="Times New Roman" w:cs="Times New Roman"/>
          <w:color w:val="auto"/>
          <w:sz w:val="24"/>
          <w:szCs w:val="24"/>
        </w:rPr>
        <w:t>）按</w:t>
      </w:r>
      <w:r>
        <w:fldChar w:fldCharType="begin"/>
      </w:r>
      <w:r>
        <w:instrText xml:space="preserve"> HYPERLINK "file:///C:\\Users\\Administrator\\Desktop\\海口市中医医院接口改造采购项目\\磋商文件-海口市中医医院接口改造采购项目.docx" \l "bookmark" </w:instrText>
      </w:r>
      <w:r>
        <w:fldChar w:fldCharType="separate"/>
      </w:r>
      <w:r>
        <w:rPr>
          <w:rStyle w:val="57"/>
          <w:rFonts w:hint="eastAsia"/>
          <w:color w:val="auto"/>
          <w:sz w:val="24"/>
          <w:szCs w:val="24"/>
        </w:rPr>
        <w:t>第</w:t>
      </w:r>
      <w:r>
        <w:rPr>
          <w:rStyle w:val="57"/>
          <w:color w:val="auto"/>
          <w:sz w:val="24"/>
          <w:szCs w:val="24"/>
        </w:rPr>
        <w:t>13</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出具的，证明供应商有资格投标以及如果成交有能力履行合同的证明文件。</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8.2</w:t>
      </w:r>
      <w:r>
        <w:rPr>
          <w:rFonts w:hint="eastAsia" w:ascii="Times New Roman" w:hAnsi="Times New Roman" w:cs="Times New Roman"/>
          <w:color w:val="auto"/>
          <w:sz w:val="24"/>
          <w:szCs w:val="24"/>
        </w:rPr>
        <w:t>、供应商应按第七章《磋商响应文件格式》中规定结构和顺序编制磋商响应文件。</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9.</w:t>
      </w:r>
      <w:r>
        <w:rPr>
          <w:rFonts w:hint="eastAsia" w:ascii="Times New Roman" w:hAnsi="Times New Roman" w:cs="Times New Roman"/>
          <w:b/>
          <w:color w:val="auto"/>
          <w:sz w:val="24"/>
          <w:szCs w:val="24"/>
        </w:rPr>
        <w:t>磋商响应文件格式</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供应商应按磋商文件第七章提供的磋商响应文件格式编制磋商响应文件。</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10.</w:t>
      </w:r>
      <w:r>
        <w:rPr>
          <w:rFonts w:hint="eastAsia" w:ascii="Times New Roman" w:hAnsi="Times New Roman" w:cs="Times New Roman"/>
          <w:b/>
          <w:color w:val="auto"/>
          <w:sz w:val="24"/>
          <w:szCs w:val="24"/>
        </w:rPr>
        <w:t>响应报价</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10.1</w:t>
      </w:r>
      <w:r>
        <w:rPr>
          <w:rFonts w:hint="eastAsia" w:ascii="Times New Roman" w:hAnsi="Times New Roman" w:cs="Times New Roman"/>
          <w:color w:val="auto"/>
          <w:sz w:val="24"/>
          <w:szCs w:val="24"/>
        </w:rPr>
        <w:t>、本项目为固定预算采购，任何有选择报价将不予接受，只允许有一个报价。</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10.2</w:t>
      </w:r>
      <w:r>
        <w:rPr>
          <w:rFonts w:hint="eastAsia" w:ascii="Times New Roman" w:hAnsi="Times New Roman" w:cs="Times New Roman"/>
          <w:color w:val="auto"/>
          <w:sz w:val="24"/>
          <w:szCs w:val="24"/>
        </w:rPr>
        <w:t>、响应总报价及分项报价应包括：采购内容的全部费用。</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10.3</w:t>
      </w:r>
      <w:r>
        <w:rPr>
          <w:rFonts w:hint="eastAsia" w:ascii="Times New Roman" w:hAnsi="Times New Roman" w:cs="Times New Roman"/>
          <w:color w:val="auto"/>
          <w:sz w:val="24"/>
          <w:szCs w:val="24"/>
        </w:rPr>
        <w:t>、报价函和报价一览表中所填的价格在合同执行过程中是固定不变的；除非另有规定，非固定的投标价将根据</w:t>
      </w:r>
      <w:r>
        <w:fldChar w:fldCharType="begin"/>
      </w:r>
      <w:r>
        <w:instrText xml:space="preserve"> HYPERLINK "file:///C:\\Users\\Administrator\\Desktop\\海口市中医医院接口改造采购项目\\磋商文件-海口市中医医院接口改造采购项目.docx" \l "bookmark2" </w:instrText>
      </w:r>
      <w:r>
        <w:fldChar w:fldCharType="separate"/>
      </w:r>
      <w:r>
        <w:rPr>
          <w:rStyle w:val="57"/>
          <w:rFonts w:hint="eastAsia"/>
          <w:color w:val="auto"/>
          <w:sz w:val="24"/>
          <w:szCs w:val="24"/>
        </w:rPr>
        <w:t>第</w:t>
      </w:r>
      <w:r>
        <w:rPr>
          <w:rStyle w:val="57"/>
          <w:color w:val="auto"/>
          <w:sz w:val="24"/>
          <w:szCs w:val="24"/>
        </w:rPr>
        <w:t>22</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规定被采购人拒绝。</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10.4</w:t>
      </w:r>
      <w:r>
        <w:rPr>
          <w:rFonts w:hint="eastAsia" w:ascii="Times New Roman" w:hAnsi="Times New Roman" w:cs="Times New Roman"/>
          <w:color w:val="auto"/>
          <w:sz w:val="24"/>
          <w:szCs w:val="24"/>
        </w:rPr>
        <w:t>、其他要求见《供应商须知前附表》。</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11.</w:t>
      </w:r>
      <w:r>
        <w:rPr>
          <w:rFonts w:hint="eastAsia" w:ascii="Times New Roman" w:hAnsi="Times New Roman" w:cs="Times New Roman"/>
          <w:b/>
          <w:color w:val="auto"/>
          <w:sz w:val="24"/>
          <w:szCs w:val="24"/>
        </w:rPr>
        <w:t>报价货币</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本次采购的服务以人民币进行报价，以其它货币标价的投标将被拒绝。</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12.</w:t>
      </w:r>
      <w:r>
        <w:rPr>
          <w:rFonts w:hint="eastAsia" w:ascii="Times New Roman" w:hAnsi="Times New Roman" w:cs="Times New Roman"/>
          <w:b/>
          <w:color w:val="auto"/>
          <w:sz w:val="24"/>
          <w:szCs w:val="24"/>
        </w:rPr>
        <w:t>供应商的合格性和资格的声明文件</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12.1</w:t>
      </w:r>
      <w:r>
        <w:rPr>
          <w:rFonts w:hint="eastAsia" w:ascii="Times New Roman" w:hAnsi="Times New Roman" w:cs="Times New Roman"/>
          <w:color w:val="auto"/>
          <w:sz w:val="24"/>
          <w:szCs w:val="24"/>
        </w:rPr>
        <w:t>、根据</w:t>
      </w:r>
      <w:r>
        <w:fldChar w:fldCharType="begin"/>
      </w:r>
      <w:r>
        <w:instrText xml:space="preserve"> HYPERLINK "file:///C:\\Users\\Administrator\\Desktop\\海口市中医医院接口改造采购项目\\磋商文件-海口市中医医院接口改造采购项目.docx" \l "bookmark3" </w:instrText>
      </w:r>
      <w:r>
        <w:fldChar w:fldCharType="separate"/>
      </w:r>
      <w:r>
        <w:rPr>
          <w:rStyle w:val="57"/>
          <w:rFonts w:hint="eastAsia"/>
          <w:color w:val="auto"/>
          <w:sz w:val="24"/>
          <w:szCs w:val="24"/>
        </w:rPr>
        <w:t>第</w:t>
      </w:r>
      <w:r>
        <w:rPr>
          <w:rStyle w:val="57"/>
          <w:color w:val="auto"/>
          <w:sz w:val="24"/>
          <w:szCs w:val="24"/>
        </w:rPr>
        <w:t>13.2</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规定，供应商须提交证明其有资格进行投标和有能力履行合同的文件，做为磋商响应文件的一部分。</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12.2</w:t>
      </w:r>
      <w:r>
        <w:rPr>
          <w:rFonts w:hint="eastAsia" w:ascii="Times New Roman" w:hAnsi="Times New Roman" w:cs="Times New Roman"/>
          <w:color w:val="auto"/>
          <w:sz w:val="24"/>
          <w:szCs w:val="24"/>
        </w:rPr>
        <w:t>、供应商提供的履行合同的资格声明文件应使采购人满意。</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1</w:t>
      </w:r>
      <w:r>
        <w:rPr>
          <w:rFonts w:hint="eastAsia" w:ascii="Times New Roman" w:hAnsi="Times New Roman" w:cs="Times New Roman"/>
          <w:color w:val="auto"/>
          <w:sz w:val="24"/>
          <w:szCs w:val="24"/>
        </w:rPr>
        <w:t>）供应商具有履行合同所需的财务、技术和生产能力；</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2</w:t>
      </w:r>
      <w:r>
        <w:rPr>
          <w:rFonts w:hint="eastAsia" w:ascii="Times New Roman" w:hAnsi="Times New Roman" w:cs="Times New Roman"/>
          <w:color w:val="auto"/>
          <w:sz w:val="24"/>
          <w:szCs w:val="24"/>
        </w:rPr>
        <w:t>）供应商应填写并提交磋商文件第七章上所附的“资格证明文件”中的所有内容。</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13.</w:t>
      </w:r>
      <w:r>
        <w:rPr>
          <w:rFonts w:hint="eastAsia" w:ascii="Times New Roman" w:hAnsi="Times New Roman" w:cs="Times New Roman"/>
          <w:b/>
          <w:color w:val="auto"/>
          <w:sz w:val="24"/>
          <w:szCs w:val="24"/>
        </w:rPr>
        <w:t>服务的合格性及符合磋商文件规定的证明文件</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13.1</w:t>
      </w:r>
      <w:r>
        <w:rPr>
          <w:rFonts w:hint="eastAsia" w:ascii="Times New Roman" w:hAnsi="Times New Roman" w:cs="Times New Roman"/>
          <w:color w:val="auto"/>
          <w:sz w:val="24"/>
          <w:szCs w:val="24"/>
        </w:rPr>
        <w:t>、供应商须提交证明其提供服务的合格性并符合磋商文件规定的证明文件，作为磋商响应文件的一部分。证明文件可以是文字资料、彩页和数据。</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13.2</w:t>
      </w:r>
      <w:r>
        <w:rPr>
          <w:rFonts w:hint="eastAsia" w:ascii="Times New Roman" w:hAnsi="Times New Roman" w:cs="Times New Roman"/>
          <w:color w:val="auto"/>
          <w:sz w:val="24"/>
          <w:szCs w:val="24"/>
        </w:rPr>
        <w:t>、磋商文件规定的其他必要文件。</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14.</w:t>
      </w:r>
      <w:r>
        <w:rPr>
          <w:rFonts w:hint="eastAsia" w:ascii="Times New Roman" w:hAnsi="Times New Roman" w:cs="Times New Roman"/>
          <w:b/>
          <w:color w:val="auto"/>
          <w:sz w:val="24"/>
          <w:szCs w:val="24"/>
        </w:rPr>
        <w:t>磋商保证金</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14.1磋商保证金是参加本项目报价的必要条件，保证金支付要求见须知前附表。</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14.2若供应商不提交磋商保证金，其响应文件将被拒绝接受。</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14.3 磋商保证金的退还</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14.3.l 成交人的磋商保证金在其与采购人签订了采购合同后5个工作日内无息退还。</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14.3.2 落标的供应商的磋商保证金将在代理机构发出成交通知书5个工作日内无息退还。</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14.3.3如磋商保证金为海南双达项目管理有限公司收取，则供应商应递交投标保证金退还申请函加盖单位公章（必须注明项目名称、金额以及退还的银行账户），以便办理投标保证金退还手续。</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14.4 发生下列情况之一，磋商保证金将不予退还。</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（1）供应商在报价有效期内撤回报价书的；</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（2）成交人不按本章规定签订合同；</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（3）供应商提供虚假材料谋取中标、成交的；</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（4）与采购人、其它供应商或者代理机构恶意串通的；</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（5）向采购人、代理机构、磋商小组成员行贿或者提供其他不正当利益的。</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15.</w:t>
      </w:r>
      <w:r>
        <w:rPr>
          <w:rFonts w:hint="eastAsia" w:ascii="Times New Roman" w:hAnsi="Times New Roman" w:cs="Times New Roman"/>
          <w:b/>
          <w:color w:val="auto"/>
          <w:sz w:val="24"/>
          <w:szCs w:val="24"/>
        </w:rPr>
        <w:t>磋商有效期</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15.1</w:t>
      </w:r>
      <w:r>
        <w:rPr>
          <w:rFonts w:hint="eastAsia" w:ascii="Times New Roman" w:hAnsi="Times New Roman" w:cs="Times New Roman"/>
          <w:color w:val="auto"/>
          <w:sz w:val="24"/>
          <w:szCs w:val="24"/>
        </w:rPr>
        <w:t>、磋商响应文件将在响应截止之日,《供应商须知前附表》中规定的时间内有效。磋商有效期比规定短的可以视为非响应标予以拒绝。</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15.2</w:t>
      </w:r>
      <w:r>
        <w:rPr>
          <w:rFonts w:hint="eastAsia" w:ascii="Times New Roman" w:hAnsi="Times New Roman" w:cs="Times New Roman"/>
          <w:color w:val="auto"/>
          <w:sz w:val="24"/>
          <w:szCs w:val="24"/>
        </w:rPr>
        <w:t>、在特殊情况下，采购人可于磋商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16.</w:t>
      </w:r>
      <w:r>
        <w:rPr>
          <w:rFonts w:hint="eastAsia" w:ascii="Times New Roman" w:hAnsi="Times New Roman" w:cs="Times New Roman"/>
          <w:b/>
          <w:color w:val="auto"/>
          <w:sz w:val="24"/>
          <w:szCs w:val="24"/>
        </w:rPr>
        <w:t>响应文件的式样和签署</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16.1</w:t>
      </w:r>
      <w:r>
        <w:rPr>
          <w:rFonts w:hint="eastAsia" w:ascii="Times New Roman" w:hAnsi="Times New Roman" w:cs="Times New Roman"/>
          <w:color w:val="auto"/>
          <w:sz w:val="24"/>
          <w:szCs w:val="24"/>
        </w:rPr>
        <w:t>、供应商应按《供应商须知前附表》中规定的数量递交磋商响应文件，每一份磋商响应文件必须胶装成册。并要明确注明“正本”和“副本”，如正本和副本或电子文档有差异，以正本为准。</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16.2</w:t>
      </w:r>
      <w:r>
        <w:rPr>
          <w:rFonts w:hint="eastAsia" w:ascii="Times New Roman" w:hAnsi="Times New Roman" w:cs="Times New Roman"/>
          <w:color w:val="auto"/>
          <w:sz w:val="24"/>
          <w:szCs w:val="24"/>
        </w:rPr>
        <w:t>、磋商响应文件正本和副本须打印或用不退色墨水书写并由法定代表人或授权委托人签字，后者须将“授权委托书”以书面形式附在磋商响应文件中。响应文件须加盖骑缝章，否则作废标处理。磋商响应文件副本可以是正本的复印件。</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16.3</w:t>
      </w:r>
      <w:r>
        <w:rPr>
          <w:rFonts w:hint="eastAsia" w:ascii="Times New Roman" w:hAnsi="Times New Roman" w:cs="Times New Roman"/>
          <w:color w:val="auto"/>
          <w:sz w:val="24"/>
          <w:szCs w:val="24"/>
        </w:rPr>
        <w:t>、除供应商对错处作必要修改外，磋商响应文件中不许有加行、涂抹或改写。若有修改须由签署磋商响应文件的人进行签字，并加盖公章，否则视为无效。</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16.4</w:t>
      </w:r>
      <w:r>
        <w:rPr>
          <w:rFonts w:hint="eastAsia" w:ascii="Times New Roman" w:hAnsi="Times New Roman" w:cs="Times New Roman"/>
          <w:color w:val="auto"/>
          <w:sz w:val="24"/>
          <w:szCs w:val="24"/>
        </w:rPr>
        <w:t>、传真投标、邮寄投标概不接受。</w:t>
      </w:r>
    </w:p>
    <w:p>
      <w:pPr>
        <w:spacing w:after="0" w:line="360" w:lineRule="auto"/>
        <w:jc w:val="center"/>
        <w:rPr>
          <w:rFonts w:ascii="Times New Roman" w:hAnsi="Times New Roman" w:cs="Times New Roman"/>
          <w:b/>
          <w:color w:val="auto"/>
          <w:sz w:val="28"/>
          <w:szCs w:val="28"/>
        </w:rPr>
      </w:pPr>
      <w:bookmarkStart w:id="63" w:name="_投标文件的递交"/>
      <w:bookmarkEnd w:id="63"/>
      <w:r>
        <w:rPr>
          <w:rFonts w:hint="eastAsia" w:ascii="Times New Roman" w:hAnsi="Times New Roman" w:cs="Times New Roman"/>
          <w:b/>
          <w:color w:val="auto"/>
          <w:sz w:val="28"/>
          <w:szCs w:val="28"/>
        </w:rPr>
        <w:t>四、磋商响应文件的递交</w:t>
      </w:r>
    </w:p>
    <w:p>
      <w:pPr>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17.</w:t>
      </w:r>
      <w:r>
        <w:rPr>
          <w:rFonts w:hint="eastAsia" w:ascii="Times New Roman" w:hAnsi="Times New Roman" w:cs="Times New Roman"/>
          <w:b/>
          <w:color w:val="auto"/>
          <w:sz w:val="24"/>
          <w:szCs w:val="24"/>
        </w:rPr>
        <w:t>磋商响应文件的密封和标记</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17.1</w:t>
      </w:r>
      <w:r>
        <w:rPr>
          <w:rFonts w:hint="eastAsia" w:ascii="Times New Roman" w:hAnsi="Times New Roman" w:cs="Times New Roman"/>
          <w:color w:val="auto"/>
          <w:sz w:val="24"/>
          <w:szCs w:val="24"/>
        </w:rPr>
        <w:t>、供应商应将磋商响应文件正本和副本分别密封在两个投标专用袋（箱）中，并标明“正本”或“副本”，并在文件专用袋（箱）上标明“正本”“副本”字样，所有外层密封袋的封口处应加盖骑缝章，响应文件递交截止时间和响应文件开启时间由采购人和供应商代表共同检查，未按要求签署和密封，视为不合格投标，响应文件将被拒绝接受。《报价函》、《报价一览表》各另附一份单独密封于“唱标信封”内，独立于磋商响应文件之外一同递交。</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供应商务必在开标时提交电子版和纸质版响应文件，电子版响应文件要求PDF格式和WORD格式，U盘保存并在上面标明单位名称，电子介质的响应文件与纸质响应文件具有同等的法律效力，电子版响应文件密封，随纸质版响应文件正本一起密封递交，否则视为无效响应；供应商提供的电子版响应文件必须与纸质版响应文件的正本保持一致，否则自行承担由此带来的一切风险。</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1</w:t>
      </w:r>
      <w:r>
        <w:rPr>
          <w:rFonts w:hint="eastAsia" w:ascii="Times New Roman" w:hAnsi="Times New Roman" w:cs="Times New Roman"/>
          <w:color w:val="auto"/>
          <w:sz w:val="24"/>
          <w:szCs w:val="24"/>
        </w:rPr>
        <w:t>）按《供应商须知前附表》所示注明开标地点。</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2</w:t>
      </w:r>
      <w:r>
        <w:rPr>
          <w:rFonts w:hint="eastAsia" w:ascii="Times New Roman" w:hAnsi="Times New Roman" w:cs="Times New Roman"/>
          <w:color w:val="auto"/>
          <w:sz w:val="24"/>
          <w:szCs w:val="24"/>
        </w:rPr>
        <w:t>）注明项目名称、项目编号、正本、副本或唱标信封及在磋商公告规定的响应文件开启日期及时间前注明“不准启封”的字样。</w:t>
      </w:r>
    </w:p>
    <w:p>
      <w:pPr>
        <w:spacing w:after="0" w:line="360" w:lineRule="auto"/>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）写明供应商名称、地址、联系人和联系方式。</w:t>
      </w:r>
    </w:p>
    <w:p>
      <w:pPr>
        <w:spacing w:after="0" w:line="360" w:lineRule="auto"/>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17.2</w:t>
      </w:r>
      <w:r>
        <w:rPr>
          <w:rFonts w:hint="eastAsia" w:ascii="Times New Roman" w:hAnsi="Times New Roman" w:cs="Times New Roman"/>
          <w:color w:val="auto"/>
          <w:sz w:val="24"/>
          <w:szCs w:val="24"/>
        </w:rPr>
        <w:t>、如果未按第</w:t>
      </w:r>
      <w:r>
        <w:rPr>
          <w:rFonts w:ascii="Times New Roman" w:hAnsi="Times New Roman" w:cs="Times New Roman"/>
          <w:color w:val="auto"/>
          <w:sz w:val="24"/>
          <w:szCs w:val="24"/>
        </w:rPr>
        <w:t>17.1</w:t>
      </w:r>
      <w:r>
        <w:rPr>
          <w:rFonts w:hint="eastAsia" w:ascii="Times New Roman" w:hAnsi="Times New Roman" w:cs="Times New Roman"/>
          <w:color w:val="auto"/>
          <w:sz w:val="24"/>
          <w:szCs w:val="24"/>
        </w:rPr>
        <w:t>款规定密封和标记，采购人将予以拒绝，并退回供应商。</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18.</w:t>
      </w:r>
      <w:r>
        <w:rPr>
          <w:rFonts w:hint="eastAsia" w:ascii="Times New Roman" w:hAnsi="Times New Roman" w:cs="Times New Roman"/>
          <w:b/>
          <w:color w:val="auto"/>
          <w:sz w:val="24"/>
          <w:szCs w:val="24"/>
        </w:rPr>
        <w:t>递交磋商响应文件的截止日期</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18.1</w:t>
      </w:r>
      <w:r>
        <w:rPr>
          <w:rFonts w:hint="eastAsia" w:ascii="Times New Roman" w:hAnsi="Times New Roman" w:cs="Times New Roman"/>
          <w:color w:val="auto"/>
          <w:sz w:val="24"/>
          <w:szCs w:val="24"/>
        </w:rPr>
        <w:t>、采购代理机构收到磋商响应文件的时间不得迟于第一章竞争性磋商公告中规定的响应文件递交截止时间。</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18.2</w:t>
      </w:r>
      <w:r>
        <w:rPr>
          <w:rFonts w:hint="eastAsia" w:ascii="Times New Roman" w:hAnsi="Times New Roman" w:cs="Times New Roman"/>
          <w:color w:val="auto"/>
          <w:sz w:val="24"/>
          <w:szCs w:val="24"/>
        </w:rPr>
        <w:t>、采购人可按照第</w:t>
      </w:r>
      <w:r>
        <w:rPr>
          <w:rFonts w:ascii="Times New Roman" w:hAnsi="Times New Roman" w:cs="Times New Roman"/>
          <w:color w:val="auto"/>
          <w:sz w:val="24"/>
          <w:szCs w:val="24"/>
        </w:rPr>
        <w:t>6</w:t>
      </w:r>
      <w:r>
        <w:rPr>
          <w:rFonts w:hint="eastAsia" w:ascii="Times New Roman" w:hAnsi="Times New Roman" w:cs="Times New Roman"/>
          <w:color w:val="auto"/>
          <w:sz w:val="24"/>
          <w:szCs w:val="24"/>
        </w:rPr>
        <w:t>款的规定修改磋商响应文件并酌情延长提交磋商响应文件的截止时间，因此，业已规定的采购代理机构和供应商的一切权利和义务将按延期后的磋商响应文件递交截止时间履行。</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19.</w:t>
      </w:r>
      <w:r>
        <w:rPr>
          <w:rFonts w:hint="eastAsia" w:ascii="Times New Roman" w:hAnsi="Times New Roman" w:cs="Times New Roman"/>
          <w:b/>
          <w:color w:val="auto"/>
          <w:sz w:val="24"/>
          <w:szCs w:val="24"/>
        </w:rPr>
        <w:t>迟交的磋商响应文件</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根据第</w:t>
      </w:r>
      <w:r>
        <w:rPr>
          <w:rFonts w:ascii="Times New Roman" w:hAnsi="Times New Roman" w:cs="Times New Roman"/>
          <w:color w:val="auto"/>
          <w:sz w:val="24"/>
          <w:szCs w:val="24"/>
        </w:rPr>
        <w:t>19</w:t>
      </w:r>
      <w:r>
        <w:rPr>
          <w:rFonts w:hint="eastAsia" w:ascii="Times New Roman" w:hAnsi="Times New Roman" w:cs="Times New Roman"/>
          <w:color w:val="auto"/>
          <w:sz w:val="24"/>
          <w:szCs w:val="24"/>
        </w:rPr>
        <w:t>款规定，采购人将拒绝接收任何迟于《供应商须知前附表》中规定的截止时间递交的磋商响应文件。</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20.</w:t>
      </w:r>
      <w:r>
        <w:rPr>
          <w:rFonts w:hint="eastAsia" w:ascii="Times New Roman" w:hAnsi="Times New Roman" w:cs="Times New Roman"/>
          <w:b/>
          <w:color w:val="auto"/>
          <w:sz w:val="24"/>
          <w:szCs w:val="24"/>
        </w:rPr>
        <w:t>磋商响应文件的修改和撤回</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20.1</w:t>
      </w:r>
      <w:r>
        <w:rPr>
          <w:rFonts w:hint="eastAsia" w:ascii="Times New Roman" w:hAnsi="Times New Roman" w:cs="Times New Roman"/>
          <w:color w:val="auto"/>
          <w:sz w:val="24"/>
          <w:szCs w:val="24"/>
        </w:rPr>
        <w:t>、供应商在提交磋商响应文件后可对其磋商文件进行修改或撤回，但采购人须在提交响应文件截止之日前收到该修改或撤回的书面通知。</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rPr>
        <w:t>、供应商对磋商响应文件的修改或撤回的通知应按</w:t>
      </w:r>
      <w:r>
        <w:fldChar w:fldCharType="begin"/>
      </w:r>
      <w:r>
        <w:instrText xml:space="preserve"> HYPERLINK "file:///C:\\Users\\Administrator\\Desktop\\海口市中医医院接口改造采购项目\\磋商文件-海口市中医医院接口改造采购项目.docx" \l "bookmark6" </w:instrText>
      </w:r>
      <w:r>
        <w:fldChar w:fldCharType="separate"/>
      </w:r>
      <w:r>
        <w:rPr>
          <w:rStyle w:val="57"/>
          <w:rFonts w:hint="eastAsia"/>
          <w:color w:val="auto"/>
          <w:sz w:val="24"/>
          <w:szCs w:val="24"/>
        </w:rPr>
        <w:t>第</w:t>
      </w:r>
      <w:r>
        <w:rPr>
          <w:rStyle w:val="57"/>
          <w:color w:val="auto"/>
          <w:sz w:val="24"/>
          <w:szCs w:val="24"/>
        </w:rPr>
        <w:t>17</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和</w:t>
      </w:r>
      <w:r>
        <w:fldChar w:fldCharType="begin"/>
      </w:r>
      <w:r>
        <w:instrText xml:space="preserve"> HYPERLINK "file:///C:\\Users\\Administrator\\Desktop\\海口市中医医院接口改造采购项目\\磋商文件-海口市中医医院接口改造采购项目.docx" \l "bookmark7" </w:instrText>
      </w:r>
      <w:r>
        <w:fldChar w:fldCharType="separate"/>
      </w:r>
      <w:r>
        <w:rPr>
          <w:rStyle w:val="57"/>
          <w:rFonts w:hint="eastAsia"/>
          <w:color w:val="auto"/>
          <w:sz w:val="24"/>
          <w:szCs w:val="24"/>
        </w:rPr>
        <w:t>第</w:t>
      </w:r>
      <w:r>
        <w:rPr>
          <w:rStyle w:val="57"/>
          <w:color w:val="auto"/>
          <w:sz w:val="24"/>
          <w:szCs w:val="24"/>
        </w:rPr>
        <w:t>18</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规定进行准备、密封、标注和递送。</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20.3</w:t>
      </w:r>
      <w:r>
        <w:rPr>
          <w:rFonts w:hint="eastAsia" w:ascii="Times New Roman" w:hAnsi="Times New Roman" w:cs="Times New Roman"/>
          <w:color w:val="auto"/>
          <w:sz w:val="24"/>
          <w:szCs w:val="24"/>
        </w:rPr>
        <w:t>、磋商响应文件递交截止时间后不得修改磋商响应文件。</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20.4</w:t>
      </w:r>
      <w:r>
        <w:rPr>
          <w:rFonts w:hint="eastAsia" w:ascii="Times New Roman" w:hAnsi="Times New Roman" w:cs="Times New Roman"/>
          <w:color w:val="auto"/>
          <w:sz w:val="24"/>
          <w:szCs w:val="24"/>
        </w:rPr>
        <w:t>、供应商不得在磋商响应文件递交截止日起至</w:t>
      </w:r>
      <w:r>
        <w:fldChar w:fldCharType="begin"/>
      </w:r>
      <w:r>
        <w:instrText xml:space="preserve"> HYPERLINK "file:///C:\\Users\\Administrator\\Desktop\\海口市中医医院接口改造采购项目\\磋商文件-海口市中医医院接口改造采购项目.docx" \l "bookmark8" </w:instrText>
      </w:r>
      <w:r>
        <w:fldChar w:fldCharType="separate"/>
      </w:r>
      <w:r>
        <w:rPr>
          <w:rStyle w:val="57"/>
          <w:rFonts w:hint="eastAsia"/>
          <w:color w:val="auto"/>
          <w:sz w:val="24"/>
          <w:szCs w:val="24"/>
        </w:rPr>
        <w:t>第</w:t>
      </w:r>
      <w:r>
        <w:rPr>
          <w:rStyle w:val="57"/>
          <w:color w:val="auto"/>
          <w:sz w:val="24"/>
          <w:szCs w:val="24"/>
        </w:rPr>
        <w:t>15</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规定的磋商响应文件有效期期满前撤销磋商响应文件。否则采购人将按</w:t>
      </w:r>
      <w:r>
        <w:fldChar w:fldCharType="begin"/>
      </w:r>
      <w:r>
        <w:instrText xml:space="preserve"> HYPERLINK "file:///C:\\Users\\Administrator\\Desktop\\海口市中医医院接口改造采购项目\\磋商文件-海口市中医医院接口改造采购项目.docx" \l "bookmark9" </w:instrText>
      </w:r>
      <w:r>
        <w:fldChar w:fldCharType="separate"/>
      </w:r>
      <w:r>
        <w:rPr>
          <w:rStyle w:val="57"/>
          <w:rFonts w:hint="eastAsia"/>
          <w:color w:val="auto"/>
          <w:sz w:val="24"/>
          <w:szCs w:val="24"/>
        </w:rPr>
        <w:t>第</w:t>
      </w:r>
      <w:r>
        <w:rPr>
          <w:rStyle w:val="57"/>
          <w:color w:val="auto"/>
          <w:sz w:val="24"/>
          <w:szCs w:val="24"/>
        </w:rPr>
        <w:t>14.6</w:t>
      </w:r>
      <w:r>
        <w:rPr>
          <w:rStyle w:val="57"/>
          <w:rFonts w:hint="eastAsia"/>
          <w:color w:val="auto"/>
          <w:sz w:val="24"/>
          <w:szCs w:val="24"/>
        </w:rPr>
        <w:t>（</w:t>
      </w:r>
      <w:r>
        <w:rPr>
          <w:rStyle w:val="57"/>
          <w:color w:val="auto"/>
          <w:sz w:val="24"/>
          <w:szCs w:val="24"/>
        </w:rPr>
        <w:t>1</w:t>
      </w:r>
      <w:r>
        <w:rPr>
          <w:rStyle w:val="57"/>
          <w:rFonts w:hint="eastAsia"/>
          <w:color w:val="auto"/>
          <w:sz w:val="24"/>
          <w:szCs w:val="24"/>
        </w:rPr>
        <w:t>）</w:t>
      </w:r>
      <w:r>
        <w:rPr>
          <w:rStyle w:val="57"/>
          <w:rFonts w:hint="eastAsia"/>
          <w:color w:val="auto"/>
          <w:sz w:val="24"/>
          <w:szCs w:val="24"/>
        </w:rPr>
        <w:fldChar w:fldCharType="end"/>
      </w:r>
      <w:r>
        <w:rPr>
          <w:rFonts w:hint="eastAsia" w:ascii="Times New Roman" w:hAnsi="Times New Roman" w:cs="Times New Roman"/>
          <w:color w:val="auto"/>
          <w:sz w:val="24"/>
          <w:szCs w:val="24"/>
        </w:rPr>
        <w:t>款规定没收其磋商保证金。</w:t>
      </w:r>
    </w:p>
    <w:p>
      <w:pPr>
        <w:spacing w:after="0" w:line="460" w:lineRule="exact"/>
        <w:jc w:val="center"/>
        <w:rPr>
          <w:rFonts w:ascii="Times New Roman" w:hAnsi="Times New Roman" w:cs="Times New Roman"/>
          <w:b/>
          <w:color w:val="auto"/>
          <w:sz w:val="28"/>
          <w:szCs w:val="28"/>
        </w:rPr>
      </w:pPr>
      <w:bookmarkStart w:id="64" w:name="_开标与评标细则参见财政部_政"/>
      <w:bookmarkEnd w:id="64"/>
      <w:r>
        <w:rPr>
          <w:rFonts w:hint="eastAsia" w:ascii="Times New Roman" w:hAnsi="Times New Roman" w:cs="Times New Roman"/>
          <w:b/>
          <w:color w:val="auto"/>
          <w:sz w:val="28"/>
          <w:szCs w:val="28"/>
        </w:rPr>
        <w:t>五、开标与评审</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21.</w:t>
      </w:r>
      <w:r>
        <w:rPr>
          <w:rFonts w:hint="eastAsia" w:ascii="Times New Roman" w:hAnsi="Times New Roman" w:cs="Times New Roman"/>
          <w:b/>
          <w:color w:val="auto"/>
          <w:sz w:val="24"/>
          <w:szCs w:val="24"/>
        </w:rPr>
        <w:t>开标</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21.1</w:t>
      </w:r>
      <w:r>
        <w:rPr>
          <w:rFonts w:hint="eastAsia" w:ascii="Times New Roman" w:hAnsi="Times New Roman" w:cs="Times New Roman"/>
          <w:color w:val="auto"/>
          <w:sz w:val="24"/>
          <w:szCs w:val="24"/>
        </w:rPr>
        <w:t>、采购人在供应商代表自愿出席的情况下，在《供应商须知前附表》规定的地点和时间开标，出席代表需登记以示出席。</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21.2</w:t>
      </w:r>
      <w:r>
        <w:rPr>
          <w:rFonts w:hint="eastAsia" w:ascii="Times New Roman" w:hAnsi="Times New Roman" w:cs="Times New Roman"/>
          <w:color w:val="auto"/>
          <w:sz w:val="24"/>
          <w:szCs w:val="24"/>
        </w:rPr>
        <w:t>、按照第</w:t>
      </w:r>
      <w:r>
        <w:rPr>
          <w:rFonts w:ascii="Times New Roman" w:hAnsi="Times New Roman" w:cs="Times New Roman"/>
          <w:color w:val="auto"/>
          <w:sz w:val="24"/>
          <w:szCs w:val="24"/>
        </w:rPr>
        <w:t>20</w:t>
      </w:r>
      <w:r>
        <w:rPr>
          <w:rFonts w:hint="eastAsia" w:ascii="Times New Roman" w:hAnsi="Times New Roman" w:cs="Times New Roman"/>
          <w:color w:val="auto"/>
          <w:sz w:val="24"/>
          <w:szCs w:val="24"/>
        </w:rPr>
        <w:t>款规定，提交了可接受的“撤回”通知的磋商文件将不予开封。</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21.3</w:t>
      </w:r>
      <w:r>
        <w:rPr>
          <w:rFonts w:hint="eastAsia" w:ascii="Times New Roman" w:hAnsi="Times New Roman" w:cs="Times New Roman"/>
          <w:color w:val="auto"/>
          <w:sz w:val="24"/>
          <w:szCs w:val="24"/>
        </w:rPr>
        <w:t>、开标时，采购代理机构将当众宣读报价一览表中供应商名称、投标总价、合同履行期限，以及采购人认为合适的其他内容，只有在开标时唱出的投标声明（如进一步折扣等）评审时才能考虑。</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21.4</w:t>
      </w:r>
      <w:r>
        <w:rPr>
          <w:rFonts w:hint="eastAsia" w:ascii="Times New Roman" w:hAnsi="Times New Roman" w:cs="Times New Roman"/>
          <w:color w:val="auto"/>
          <w:sz w:val="24"/>
          <w:szCs w:val="24"/>
        </w:rPr>
        <w:t>、采购代理机构将做开标记录，开标记录包括按第</w:t>
      </w:r>
      <w:r>
        <w:rPr>
          <w:rFonts w:ascii="Times New Roman" w:hAnsi="Times New Roman" w:cs="Times New Roman"/>
          <w:color w:val="auto"/>
          <w:sz w:val="24"/>
          <w:szCs w:val="24"/>
        </w:rPr>
        <w:t>22.3</w:t>
      </w:r>
      <w:r>
        <w:rPr>
          <w:rFonts w:hint="eastAsia" w:ascii="Times New Roman" w:hAnsi="Times New Roman" w:cs="Times New Roman"/>
          <w:color w:val="auto"/>
          <w:sz w:val="24"/>
          <w:szCs w:val="24"/>
        </w:rPr>
        <w:t>款的规定在开标时宣读的全部内容。</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22.</w:t>
      </w:r>
      <w:r>
        <w:rPr>
          <w:rFonts w:hint="eastAsia" w:ascii="Times New Roman" w:hAnsi="Times New Roman" w:cs="Times New Roman"/>
          <w:b/>
          <w:color w:val="auto"/>
          <w:sz w:val="24"/>
          <w:szCs w:val="24"/>
        </w:rPr>
        <w:t>磋商响应文件的初审</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22.1</w:t>
      </w:r>
      <w:r>
        <w:rPr>
          <w:rFonts w:hint="eastAsia" w:ascii="Times New Roman" w:hAnsi="Times New Roman" w:cs="Times New Roman"/>
          <w:color w:val="auto"/>
          <w:sz w:val="24"/>
          <w:szCs w:val="24"/>
        </w:rPr>
        <w:t>、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）磋商小组将审查磋商文件是否完整、是否恰当地签署、是否大致编排有序等；</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2</w:t>
      </w:r>
      <w:r>
        <w:rPr>
          <w:rFonts w:hint="eastAsia" w:ascii="Times New Roman" w:hAnsi="Times New Roman" w:cs="Times New Roman"/>
          <w:color w:val="auto"/>
          <w:sz w:val="24"/>
          <w:szCs w:val="24"/>
        </w:rPr>
        <w:t>）根据第</w:t>
      </w:r>
      <w:r>
        <w:rPr>
          <w:rFonts w:ascii="Times New Roman" w:hAnsi="Times New Roman" w:cs="Times New Roman"/>
          <w:color w:val="auto"/>
          <w:sz w:val="24"/>
          <w:szCs w:val="24"/>
        </w:rPr>
        <w:t>25</w:t>
      </w:r>
      <w:r>
        <w:rPr>
          <w:rFonts w:hint="eastAsia" w:ascii="Times New Roman" w:hAnsi="Times New Roman" w:cs="Times New Roman"/>
          <w:color w:val="auto"/>
          <w:sz w:val="24"/>
          <w:szCs w:val="24"/>
        </w:rPr>
        <w:t>款规定对磋商文件进行详细评估之前，磋商小组将确定每一磋商响应文件是否对磋商文件的要求作出了实质性的响应。所谓作出实质性响应的投标指的是符合磋商文件要求的条件和规格而无任何重大偏离或保留。重大偏离或保留系指实质上影响到合同项下的供货范围、质量和性能，或指与磋商文件有实质不一致，限制了合同项下采购人的权利和供应商的义务，或对该重大偏离的修改对提交实质性响应投标的供应商将不公平。磋商小组决定磋商文件的响应性是基于磋商文件的内容本身而不靠外部的证据。</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22.2</w:t>
      </w:r>
      <w:r>
        <w:rPr>
          <w:rFonts w:hint="eastAsia" w:ascii="Times New Roman" w:hAnsi="Times New Roman" w:cs="Times New Roman"/>
          <w:color w:val="auto"/>
          <w:sz w:val="24"/>
          <w:szCs w:val="24"/>
        </w:rPr>
        <w:t>、磋商小组将拒绝被定为非响应性的投标，供应商不能通过修正或撤销不符之处而使其投标成为响应性投标。</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在采购采购中，出现下列情形之一的，应予废标：</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）符合专业条件的供应商或者对磋商文件作实质响应的供应商不足三家的；</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2</w:t>
      </w:r>
      <w:r>
        <w:rPr>
          <w:rFonts w:hint="eastAsia" w:ascii="Times New Roman" w:hAnsi="Times New Roman" w:cs="Times New Roman"/>
          <w:color w:val="auto"/>
          <w:sz w:val="24"/>
          <w:szCs w:val="24"/>
        </w:rPr>
        <w:t>）出现影响采购公正的违法、违规行为的；</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3</w:t>
      </w:r>
      <w:r>
        <w:rPr>
          <w:rFonts w:hint="eastAsia" w:ascii="Times New Roman" w:hAnsi="Times New Roman" w:cs="Times New Roman"/>
          <w:color w:val="auto"/>
          <w:sz w:val="24"/>
          <w:szCs w:val="24"/>
        </w:rPr>
        <w:t>）供应商的报价均超过了采购预算，采购人不能支付的；</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4</w:t>
      </w:r>
      <w:r>
        <w:rPr>
          <w:rFonts w:hint="eastAsia" w:ascii="Times New Roman" w:hAnsi="Times New Roman" w:cs="Times New Roman"/>
          <w:color w:val="auto"/>
          <w:sz w:val="24"/>
          <w:szCs w:val="24"/>
        </w:rPr>
        <w:t>）因重大变故，采购任务取消的。</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废标后，采购人或采购代理机构应当将废标理由通知所有供应商。</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22.3</w:t>
      </w:r>
      <w:r>
        <w:rPr>
          <w:rFonts w:hint="eastAsia" w:ascii="Times New Roman" w:hAnsi="Times New Roman" w:cs="Times New Roman"/>
          <w:color w:val="auto"/>
          <w:sz w:val="24"/>
          <w:szCs w:val="24"/>
        </w:rPr>
        <w:t>、磋商小组将对确定为实质上响应的投标进行审核，看其是否有计算上和累加上的算术错误，修正错误的原则如下：</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）磋商文件中报价一览表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报价表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内容与磋商文件中明细表内容不一致的，以报价一览表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报价表</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为准；</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2</w:t>
      </w:r>
      <w:r>
        <w:rPr>
          <w:rFonts w:hint="eastAsia" w:ascii="Times New Roman" w:hAnsi="Times New Roman" w:cs="Times New Roman"/>
          <w:color w:val="auto"/>
          <w:sz w:val="24"/>
          <w:szCs w:val="24"/>
        </w:rPr>
        <w:t>）磋商文件的大写金额和小写金额不一致的，以大写金额为准；</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3</w:t>
      </w:r>
      <w:r>
        <w:rPr>
          <w:rFonts w:hint="eastAsia" w:ascii="Times New Roman" w:hAnsi="Times New Roman" w:cs="Times New Roman"/>
          <w:color w:val="auto"/>
          <w:sz w:val="24"/>
          <w:szCs w:val="24"/>
        </w:rPr>
        <w:t>）总价金额与按单价汇总金额不一致的，以单价金额计算结果为准；单价金额小数点有明显错位的，应以总价为准，并修改单价；</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cs="Times New Roman"/>
          <w:color w:val="auto"/>
          <w:sz w:val="24"/>
          <w:szCs w:val="24"/>
        </w:rPr>
        <w:t>4</w:t>
      </w:r>
      <w:r>
        <w:rPr>
          <w:rFonts w:hint="eastAsia" w:ascii="Times New Roman" w:hAnsi="Times New Roman" w:cs="Times New Roman"/>
          <w:color w:val="auto"/>
          <w:sz w:val="24"/>
          <w:szCs w:val="24"/>
        </w:rPr>
        <w:t>）对不同文字文本磋商文件的解释发生异议的，以中文文本为准。</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22.4</w:t>
      </w:r>
      <w:r>
        <w:rPr>
          <w:rFonts w:hint="eastAsia" w:ascii="Times New Roman" w:hAnsi="Times New Roman" w:cs="Times New Roman"/>
          <w:color w:val="auto"/>
          <w:sz w:val="24"/>
          <w:szCs w:val="24"/>
        </w:rPr>
        <w:t>、磋商小组将按上述修正错误的方法调整磋商文件中的响应报价，调整后的价格应对供应商具有约束力。如果供应商不接受修正后的价格，则其投标将被拒绝，其磋商保证金将被没收。</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22.5</w:t>
      </w:r>
      <w:r>
        <w:rPr>
          <w:rFonts w:hint="eastAsia" w:ascii="Times New Roman" w:hAnsi="Times New Roman" w:cs="Times New Roman"/>
          <w:color w:val="auto"/>
          <w:sz w:val="24"/>
          <w:szCs w:val="24"/>
        </w:rPr>
        <w:t>、对供应商报价经过上述修正和调整（包括缺漏项调整）后所得出的价格构成其“评审价”。</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22.6</w:t>
      </w:r>
      <w:r>
        <w:rPr>
          <w:rFonts w:hint="eastAsia" w:ascii="Times New Roman" w:hAnsi="Times New Roman" w:cs="Times New Roman"/>
          <w:color w:val="auto"/>
          <w:sz w:val="24"/>
          <w:szCs w:val="24"/>
        </w:rPr>
        <w:t>、磋商小组将允许修正磋商文件中不构成重大偏离的、微小的、非正规的、不一致的或不规则的地方，但这些修正不能影响任何供应商相应的名次排列。</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22.7</w:t>
      </w:r>
      <w:r>
        <w:rPr>
          <w:rFonts w:hint="eastAsia" w:ascii="Times New Roman" w:hAnsi="Times New Roman" w:cs="Times New Roman"/>
          <w:color w:val="auto"/>
          <w:sz w:val="24"/>
          <w:szCs w:val="24"/>
        </w:rPr>
        <w:t>、本项目非专门面向中小企业的项目，对小型和微型企业产品的价格给予</w:t>
      </w:r>
      <w:r>
        <w:rPr>
          <w:rFonts w:hint="eastAsia" w:ascii="Times New Roman" w:hAnsi="Times New Roman" w:cs="Times New Roman"/>
          <w:color w:val="auto"/>
          <w:sz w:val="24"/>
          <w:szCs w:val="24"/>
          <w:lang w:val="en-US" w:eastAsia="zh-CN"/>
        </w:rPr>
        <w:t>10</w:t>
      </w:r>
      <w:r>
        <w:rPr>
          <w:rFonts w:ascii="Times New Roman" w:hAnsi="Times New Roman" w:cs="Times New Roman"/>
          <w:color w:val="auto"/>
          <w:sz w:val="24"/>
          <w:szCs w:val="24"/>
        </w:rPr>
        <w:t>%</w:t>
      </w:r>
      <w:r>
        <w:rPr>
          <w:rFonts w:hint="eastAsia" w:ascii="Times New Roman" w:hAnsi="Times New Roman" w:cs="Times New Roman"/>
          <w:color w:val="auto"/>
          <w:sz w:val="24"/>
          <w:szCs w:val="24"/>
        </w:rPr>
        <w:t>的扣除，用扣除后的价格参与评审。</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23.</w:t>
      </w:r>
      <w:r>
        <w:rPr>
          <w:rFonts w:hint="eastAsia" w:ascii="Times New Roman" w:hAnsi="Times New Roman" w:cs="Times New Roman"/>
          <w:b/>
          <w:color w:val="auto"/>
          <w:sz w:val="24"/>
          <w:szCs w:val="24"/>
        </w:rPr>
        <w:t>磋商响应文件的澄清</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after="0" w:line="460" w:lineRule="exact"/>
        <w:jc w:val="both"/>
        <w:rPr>
          <w:rFonts w:ascii="Times New Roman" w:hAnsi="Times New Roman" w:cs="Times New Roman"/>
          <w:color w:val="auto"/>
          <w:sz w:val="24"/>
          <w:szCs w:val="24"/>
        </w:rPr>
      </w:pPr>
      <w:r>
        <w:rPr>
          <w:rFonts w:ascii="Times New Roman" w:hAnsi="Times New Roman" w:cs="Times New Roman"/>
          <w:b/>
          <w:color w:val="auto"/>
          <w:sz w:val="24"/>
          <w:szCs w:val="24"/>
        </w:rPr>
        <w:t>24.</w:t>
      </w:r>
      <w:r>
        <w:rPr>
          <w:rFonts w:hint="eastAsia" w:ascii="Times New Roman" w:hAnsi="Times New Roman" w:cs="Times New Roman"/>
          <w:b/>
          <w:color w:val="auto"/>
          <w:sz w:val="24"/>
          <w:szCs w:val="24"/>
        </w:rPr>
        <w:t>磋商响应文件的详细评审</w:t>
      </w:r>
      <w:r>
        <w:rPr>
          <w:rFonts w:hint="eastAsia" w:ascii="Times New Roman" w:hAnsi="Times New Roman" w:cs="Times New Roman"/>
          <w:color w:val="auto"/>
          <w:sz w:val="24"/>
          <w:szCs w:val="24"/>
        </w:rPr>
        <w:t>：详见第六章《评审办法和程序》。</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25.</w:t>
      </w:r>
      <w:r>
        <w:rPr>
          <w:rFonts w:hint="eastAsia" w:ascii="Times New Roman" w:hAnsi="Times New Roman" w:cs="Times New Roman"/>
          <w:b/>
          <w:color w:val="auto"/>
          <w:sz w:val="24"/>
          <w:szCs w:val="24"/>
        </w:rPr>
        <w:t>确定成交供应商</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w:t>
      </w:r>
      <w:r>
        <w:rPr>
          <w:rFonts w:ascii="Times New Roman" w:hAnsi="Times New Roman" w:cs="Times New Roman"/>
          <w:color w:val="auto"/>
          <w:sz w:val="24"/>
          <w:szCs w:val="24"/>
        </w:rPr>
        <w:t>2</w:t>
      </w:r>
      <w:r>
        <w:rPr>
          <w:rFonts w:hint="eastAsia" w:ascii="Times New Roman" w:hAnsi="Times New Roman" w:cs="Times New Roman"/>
          <w:color w:val="auto"/>
          <w:sz w:val="24"/>
          <w:szCs w:val="24"/>
        </w:rPr>
        <w:t>个工作日内将评审报告送采购人确认。采购人应当在收到评审报告后</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rPr>
        <w:t>个工作日内，从评审报告提出的成交候选供应商中，按照排序由高到低的原则确定1名成交供应商。采购人逾期未确定成交供应商且不提出异议的，视为确定评审报告提出的排序第一的供应商为成交供应商。采购人或者采购代理机构在成交供应商确定后</w:t>
      </w:r>
      <w:r>
        <w:rPr>
          <w:rFonts w:ascii="Times New Roman" w:hAnsi="Times New Roman" w:cs="Times New Roman"/>
          <w:color w:val="auto"/>
          <w:sz w:val="24"/>
          <w:szCs w:val="24"/>
        </w:rPr>
        <w:t>2</w:t>
      </w:r>
      <w:r>
        <w:rPr>
          <w:rFonts w:hint="eastAsia" w:ascii="Times New Roman" w:hAnsi="Times New Roman" w:cs="Times New Roman"/>
          <w:color w:val="auto"/>
          <w:sz w:val="24"/>
          <w:szCs w:val="24"/>
        </w:rPr>
        <w:t>个工作日内，在财政部门指定的政府采购信息发布媒体上公告成交结果，同时向成交供应商发出成交通知书。</w:t>
      </w:r>
    </w:p>
    <w:p>
      <w:pPr>
        <w:spacing w:after="0" w:line="460" w:lineRule="exact"/>
        <w:jc w:val="center"/>
        <w:rPr>
          <w:rFonts w:ascii="Times New Roman" w:hAnsi="Times New Roman" w:cs="Times New Roman"/>
          <w:b/>
          <w:color w:val="auto"/>
          <w:sz w:val="28"/>
          <w:szCs w:val="28"/>
        </w:rPr>
      </w:pPr>
      <w:r>
        <w:rPr>
          <w:rFonts w:hint="eastAsia" w:ascii="Times New Roman" w:hAnsi="Times New Roman" w:cs="Times New Roman"/>
          <w:b/>
          <w:color w:val="auto"/>
          <w:sz w:val="28"/>
          <w:szCs w:val="28"/>
        </w:rPr>
        <w:t>六、授予合同</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26.</w:t>
      </w:r>
      <w:r>
        <w:rPr>
          <w:rFonts w:hint="eastAsia" w:ascii="Times New Roman" w:hAnsi="Times New Roman" w:cs="Times New Roman"/>
          <w:b/>
          <w:color w:val="auto"/>
          <w:sz w:val="24"/>
          <w:szCs w:val="24"/>
        </w:rPr>
        <w:t>授予合同的准则</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26.1</w:t>
      </w:r>
      <w:r>
        <w:rPr>
          <w:rFonts w:hint="eastAsia" w:ascii="Times New Roman" w:hAnsi="Times New Roman" w:cs="Times New Roman"/>
          <w:color w:val="auto"/>
          <w:sz w:val="24"/>
          <w:szCs w:val="24"/>
        </w:rPr>
        <w:t>、除</w:t>
      </w:r>
      <w:r>
        <w:fldChar w:fldCharType="begin"/>
      </w:r>
      <w:r>
        <w:instrText xml:space="preserve"> HYPERLINK "file:///C:\\Users\\Administrator\\Desktop\\海口市中医医院接口改造采购项目\\磋商文件-海口市中医医院接口改造采购项目.docx" \l "bookmark10" </w:instrText>
      </w:r>
      <w:r>
        <w:fldChar w:fldCharType="separate"/>
      </w:r>
      <w:r>
        <w:rPr>
          <w:rStyle w:val="57"/>
          <w:rFonts w:hint="eastAsia"/>
          <w:color w:val="auto"/>
          <w:sz w:val="24"/>
          <w:szCs w:val="24"/>
        </w:rPr>
        <w:t>第</w:t>
      </w:r>
      <w:r>
        <w:rPr>
          <w:rStyle w:val="57"/>
          <w:color w:val="auto"/>
          <w:sz w:val="24"/>
          <w:szCs w:val="24"/>
        </w:rPr>
        <w:t>30</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规定外，合同将授予采购人确定的成交供应商。成交供应商放弃成交、或因不可抗力提出不能履行合同，或者磋商文件规定应当提交履约保证金而在规定的期限内未能提交的，采购人可以与排位其后第一位的供应商签订合同，以此类推。</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26.2</w:t>
      </w:r>
      <w:r>
        <w:rPr>
          <w:rFonts w:hint="eastAsia" w:ascii="Times New Roman" w:hAnsi="Times New Roman" w:cs="Times New Roman"/>
          <w:color w:val="auto"/>
          <w:sz w:val="24"/>
          <w:szCs w:val="24"/>
        </w:rPr>
        <w:t>、如采购人发现成交供应商在投标、提供资料时有弄虚作假的行为，经核实，采购人有权拒绝该成交供应商的投标。</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26.3</w:t>
      </w:r>
      <w:r>
        <w:rPr>
          <w:rFonts w:hint="eastAsia" w:ascii="Times New Roman" w:hAnsi="Times New Roman" w:cs="Times New Roman"/>
          <w:color w:val="auto"/>
          <w:sz w:val="24"/>
          <w:szCs w:val="24"/>
        </w:rPr>
        <w:t>、其他规定见《供应商须知前附表》。</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27.</w:t>
      </w:r>
      <w:r>
        <w:rPr>
          <w:rFonts w:hint="eastAsia" w:ascii="Times New Roman" w:hAnsi="Times New Roman" w:cs="Times New Roman"/>
          <w:b/>
          <w:color w:val="auto"/>
          <w:sz w:val="24"/>
          <w:szCs w:val="24"/>
        </w:rPr>
        <w:t>资格后审</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供应商的财务、技术、和服务能力及信誉，确定其是否有资格能圆满地履行合同。如果审查通过，则将合同授予该供应商；如果审查没有通过，则拒绝其投标。在此情况下，磋商小组将对排位其后第一位的供应商的能力做类似的审查。</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28.</w:t>
      </w:r>
      <w:r>
        <w:rPr>
          <w:rFonts w:hint="eastAsia" w:ascii="Times New Roman" w:hAnsi="Times New Roman" w:cs="Times New Roman"/>
          <w:b/>
          <w:color w:val="auto"/>
          <w:sz w:val="24"/>
          <w:szCs w:val="24"/>
        </w:rPr>
        <w:t>在授予合同时变更采购服务数量的权利（适用）</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29.</w:t>
      </w:r>
      <w:r>
        <w:rPr>
          <w:rFonts w:hint="eastAsia" w:ascii="Times New Roman" w:hAnsi="Times New Roman" w:cs="Times New Roman"/>
          <w:b/>
          <w:color w:val="auto"/>
          <w:sz w:val="24"/>
          <w:szCs w:val="24"/>
        </w:rPr>
        <w:t>接受和拒绝任何投标或所有投标的权利（适用）</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29.1</w:t>
      </w:r>
      <w:r>
        <w:rPr>
          <w:rFonts w:hint="eastAsia" w:ascii="Times New Roman" w:hAnsi="Times New Roman" w:cs="Times New Roman"/>
          <w:color w:val="auto"/>
          <w:sz w:val="24"/>
          <w:szCs w:val="24"/>
        </w:rPr>
        <w:t>、供应商的报价均超过了采购预算，且采购人不能支付的，将予以废标；</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29.2</w:t>
      </w:r>
      <w:r>
        <w:rPr>
          <w:rFonts w:hint="eastAsia" w:ascii="Times New Roman" w:hAnsi="Times New Roman" w:cs="Times New Roman"/>
          <w:color w:val="auto"/>
          <w:sz w:val="24"/>
          <w:szCs w:val="24"/>
        </w:rPr>
        <w:t>、因重大变故或为维护国家利益，采购人在授予合同之前仍保留接受或拒绝任何投标或所有投标的权利。</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30.</w:t>
      </w:r>
      <w:r>
        <w:rPr>
          <w:rFonts w:hint="eastAsia" w:ascii="Times New Roman" w:hAnsi="Times New Roman" w:cs="Times New Roman"/>
          <w:b/>
          <w:color w:val="auto"/>
          <w:sz w:val="24"/>
          <w:szCs w:val="24"/>
        </w:rPr>
        <w:t>成交通知</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30.1</w:t>
      </w:r>
      <w:r>
        <w:rPr>
          <w:rFonts w:hint="eastAsia" w:ascii="Times New Roman" w:hAnsi="Times New Roman" w:cs="Times New Roman"/>
          <w:color w:val="auto"/>
          <w:sz w:val="24"/>
          <w:szCs w:val="24"/>
        </w:rPr>
        <w:t>、采购代理机构将以书面形式通知成交供应商其投标被接受。</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30.2</w:t>
      </w:r>
      <w:r>
        <w:rPr>
          <w:rFonts w:hint="eastAsia" w:ascii="Times New Roman" w:hAnsi="Times New Roman" w:cs="Times New Roman"/>
          <w:color w:val="auto"/>
          <w:sz w:val="24"/>
          <w:szCs w:val="24"/>
        </w:rPr>
        <w:t>、采购代理机构向成交供应商发出书面通知的同时，通知落选的供应商其投标未被接受，并按</w:t>
      </w:r>
      <w:r>
        <w:fldChar w:fldCharType="begin"/>
      </w:r>
      <w:r>
        <w:instrText xml:space="preserve"> HYPERLINK "file:///C:\\Users\\Administrator\\Desktop\\海口市中医医院接口改造采购项目\\磋商文件-海口市中医医院接口改造采购项目.docx" \l "bookmark11" </w:instrText>
      </w:r>
      <w:r>
        <w:fldChar w:fldCharType="separate"/>
      </w:r>
      <w:r>
        <w:rPr>
          <w:rStyle w:val="57"/>
          <w:rFonts w:hint="eastAsia"/>
          <w:color w:val="auto"/>
          <w:sz w:val="24"/>
          <w:szCs w:val="24"/>
        </w:rPr>
        <w:t>第</w:t>
      </w:r>
      <w:r>
        <w:rPr>
          <w:rStyle w:val="57"/>
          <w:color w:val="auto"/>
          <w:sz w:val="24"/>
          <w:szCs w:val="24"/>
        </w:rPr>
        <w:t>14</w:t>
      </w:r>
      <w:r>
        <w:rPr>
          <w:rStyle w:val="57"/>
          <w:rFonts w:hint="eastAsia"/>
          <w:color w:val="auto"/>
          <w:sz w:val="24"/>
          <w:szCs w:val="24"/>
        </w:rPr>
        <w:t>款</w:t>
      </w:r>
      <w:r>
        <w:rPr>
          <w:rStyle w:val="57"/>
          <w:rFonts w:hint="eastAsia"/>
          <w:color w:val="auto"/>
          <w:sz w:val="24"/>
          <w:szCs w:val="24"/>
        </w:rPr>
        <w:fldChar w:fldCharType="end"/>
      </w:r>
      <w:r>
        <w:rPr>
          <w:rFonts w:hint="eastAsia" w:ascii="Times New Roman" w:hAnsi="Times New Roman" w:cs="Times New Roman"/>
          <w:color w:val="auto"/>
          <w:sz w:val="24"/>
          <w:szCs w:val="24"/>
        </w:rPr>
        <w:t>规定退还其磋商保证金。</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30.3</w:t>
      </w:r>
      <w:r>
        <w:rPr>
          <w:rFonts w:hint="eastAsia" w:ascii="Times New Roman" w:hAnsi="Times New Roman" w:cs="Times New Roman"/>
          <w:color w:val="auto"/>
          <w:sz w:val="24"/>
          <w:szCs w:val="24"/>
        </w:rPr>
        <w:t>、成交通知书是合同的一个组成部分。</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31.</w:t>
      </w:r>
      <w:r>
        <w:rPr>
          <w:rFonts w:hint="eastAsia" w:ascii="Times New Roman" w:hAnsi="Times New Roman" w:cs="Times New Roman"/>
          <w:b/>
          <w:color w:val="auto"/>
          <w:sz w:val="24"/>
          <w:szCs w:val="24"/>
        </w:rPr>
        <w:t>签署合同</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31.1</w:t>
      </w:r>
      <w:r>
        <w:rPr>
          <w:rFonts w:hint="eastAsia" w:ascii="Times New Roman" w:hAnsi="Times New Roman" w:cs="Times New Roman"/>
          <w:color w:val="auto"/>
          <w:sz w:val="24"/>
          <w:szCs w:val="24"/>
        </w:rPr>
        <w:t>、采购人通知成交供应商成交时，将提供磋商文件中的合同格式，包括双方之间的有关协议给成交供应商。</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31.2</w:t>
      </w:r>
      <w:r>
        <w:rPr>
          <w:rFonts w:hint="eastAsia" w:ascii="Times New Roman" w:hAnsi="Times New Roman" w:cs="Times New Roman"/>
          <w:color w:val="auto"/>
          <w:sz w:val="24"/>
          <w:szCs w:val="24"/>
        </w:rPr>
        <w:t>、成交供应商在收到成交通知书和合同格式后，在成交通知书上规定的时间内，应派授权代表前往采购人指定地点签订合同。</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32.</w:t>
      </w:r>
      <w:r>
        <w:rPr>
          <w:rFonts w:hint="eastAsia" w:ascii="Times New Roman" w:hAnsi="Times New Roman" w:cs="Times New Roman"/>
          <w:b/>
          <w:color w:val="auto"/>
          <w:sz w:val="24"/>
          <w:szCs w:val="24"/>
        </w:rPr>
        <w:t>履约保证金（不作要求）</w:t>
      </w:r>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33.</w:t>
      </w:r>
      <w:r>
        <w:rPr>
          <w:rFonts w:hint="eastAsia" w:ascii="Times New Roman" w:hAnsi="Times New Roman" w:cs="Times New Roman"/>
          <w:b/>
          <w:color w:val="auto"/>
          <w:sz w:val="24"/>
          <w:szCs w:val="24"/>
        </w:rPr>
        <w:t>采购代理服务费</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采购代理服务费支付方式：由成交供应商支付。</w:t>
      </w:r>
    </w:p>
    <w:p>
      <w:pPr>
        <w:spacing w:after="0" w:line="460" w:lineRule="exact"/>
        <w:jc w:val="both"/>
        <w:rPr>
          <w:rFonts w:ascii="Times New Roman" w:hAnsi="Times New Roman" w:cs="Times New Roman"/>
          <w:b/>
          <w:color w:val="auto"/>
          <w:sz w:val="24"/>
          <w:szCs w:val="24"/>
        </w:rPr>
      </w:pPr>
      <w:bookmarkStart w:id="65" w:name="_Toc238907033"/>
      <w:bookmarkStart w:id="66" w:name="_Toc483396408"/>
      <w:bookmarkStart w:id="67" w:name="_Toc531882596"/>
      <w:bookmarkStart w:id="68" w:name="_Toc483396320"/>
      <w:r>
        <w:rPr>
          <w:rFonts w:ascii="Times New Roman" w:hAnsi="Times New Roman" w:cs="Times New Roman"/>
          <w:b/>
          <w:color w:val="auto"/>
          <w:sz w:val="24"/>
          <w:szCs w:val="24"/>
        </w:rPr>
        <w:t>34.</w:t>
      </w:r>
      <w:r>
        <w:rPr>
          <w:rFonts w:hint="eastAsia" w:ascii="Times New Roman" w:hAnsi="Times New Roman" w:cs="Times New Roman"/>
          <w:b/>
          <w:color w:val="auto"/>
          <w:sz w:val="24"/>
          <w:szCs w:val="24"/>
        </w:rPr>
        <w:t>质疑和投诉</w:t>
      </w:r>
      <w:bookmarkEnd w:id="65"/>
      <w:bookmarkEnd w:id="66"/>
      <w:bookmarkEnd w:id="67"/>
      <w:bookmarkEnd w:id="68"/>
      <w:bookmarkStart w:id="69" w:name="_Toc531861717"/>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34.1</w:t>
      </w:r>
      <w:r>
        <w:rPr>
          <w:rFonts w:hint="eastAsia" w:ascii="Times New Roman" w:hAnsi="Times New Roman" w:cs="Times New Roman"/>
          <w:color w:val="auto"/>
          <w:sz w:val="24"/>
          <w:szCs w:val="24"/>
        </w:rPr>
        <w:t>、质疑、投诉的接收和处理严格按照《中华人民共和国政府采购法》、《中华人共和国政府采购法实施条例》、《政府采购质疑和投诉办法》、《财政部关于加强政府采购供应商投诉受理审查工作的通知》的规定办理。</w:t>
      </w:r>
      <w:bookmarkEnd w:id="69"/>
    </w:p>
    <w:p>
      <w:pPr>
        <w:spacing w:after="0" w:line="460" w:lineRule="exact"/>
        <w:ind w:firstLine="480" w:firstLineChars="200"/>
        <w:jc w:val="both"/>
        <w:rPr>
          <w:rFonts w:ascii="Times New Roman" w:hAnsi="Times New Roman" w:cs="Times New Roman"/>
          <w:color w:val="auto"/>
          <w:sz w:val="24"/>
          <w:szCs w:val="24"/>
        </w:rPr>
      </w:pPr>
      <w:bookmarkStart w:id="70" w:name="_Toc531861718"/>
      <w:r>
        <w:rPr>
          <w:rFonts w:ascii="Times New Roman" w:hAnsi="Times New Roman" w:cs="Times New Roman"/>
          <w:color w:val="auto"/>
          <w:sz w:val="24"/>
          <w:szCs w:val="24"/>
        </w:rPr>
        <w:t>34.2</w:t>
      </w:r>
      <w:r>
        <w:rPr>
          <w:rFonts w:hint="eastAsia" w:ascii="Times New Roman" w:hAnsi="Times New Roman" w:cs="Times New Roman"/>
          <w:color w:val="auto"/>
          <w:sz w:val="24"/>
          <w:szCs w:val="24"/>
        </w:rPr>
        <w:t>、供应商对政府采购活动事项有疑问的，可以向采购人或采购代理机构提出询问，采购人或采购代理机构应当及时作出答复，但答复的内容不得涉及商业秘密。</w:t>
      </w:r>
      <w:bookmarkEnd w:id="70"/>
    </w:p>
    <w:p>
      <w:pPr>
        <w:spacing w:after="0" w:line="460" w:lineRule="exact"/>
        <w:ind w:firstLine="480" w:firstLineChars="200"/>
        <w:jc w:val="both"/>
        <w:rPr>
          <w:rFonts w:ascii="Times New Roman" w:hAnsi="Times New Roman" w:cs="Times New Roman"/>
          <w:color w:val="auto"/>
          <w:sz w:val="24"/>
          <w:szCs w:val="24"/>
        </w:rPr>
      </w:pPr>
      <w:bookmarkStart w:id="71" w:name="_Toc531861719"/>
      <w:r>
        <w:rPr>
          <w:rFonts w:ascii="Times New Roman" w:hAnsi="Times New Roman" w:cs="Times New Roman"/>
          <w:color w:val="auto"/>
          <w:sz w:val="24"/>
          <w:szCs w:val="24"/>
        </w:rPr>
        <w:t>34.3</w:t>
      </w:r>
      <w:r>
        <w:rPr>
          <w:rFonts w:hint="eastAsia" w:ascii="Times New Roman" w:hAnsi="Times New Roman" w:cs="Times New Roman"/>
          <w:color w:val="auto"/>
          <w:sz w:val="24"/>
          <w:szCs w:val="24"/>
        </w:rPr>
        <w:t>、供应商认为采购文件、采购过程和中标、成交结果使自己的权益受到损害的，可以以书面形式向采购人或采购代理机构提出质疑。</w:t>
      </w:r>
      <w:bookmarkEnd w:id="71"/>
    </w:p>
    <w:p>
      <w:pPr>
        <w:spacing w:after="0" w:line="460" w:lineRule="exact"/>
        <w:ind w:firstLine="480" w:firstLineChars="200"/>
        <w:jc w:val="both"/>
        <w:rPr>
          <w:rFonts w:ascii="Times New Roman" w:hAnsi="Times New Roman" w:cs="Times New Roman"/>
          <w:color w:val="auto"/>
          <w:sz w:val="24"/>
          <w:szCs w:val="24"/>
        </w:rPr>
      </w:pPr>
      <w:bookmarkStart w:id="72" w:name="_Toc531861720"/>
      <w:r>
        <w:rPr>
          <w:rFonts w:ascii="Times New Roman" w:hAnsi="Times New Roman" w:cs="Times New Roman"/>
          <w:color w:val="auto"/>
          <w:sz w:val="24"/>
          <w:szCs w:val="24"/>
        </w:rPr>
        <w:t>34.4</w:t>
      </w:r>
      <w:r>
        <w:rPr>
          <w:rFonts w:hint="eastAsia" w:ascii="Times New Roman" w:hAnsi="Times New Roman" w:cs="Times New Roman"/>
          <w:color w:val="auto"/>
          <w:sz w:val="24"/>
          <w:szCs w:val="24"/>
        </w:rPr>
        <w:t>、采购人或采购代理机构应当在收到供应商的书面质疑后</w:t>
      </w:r>
      <w:r>
        <w:rPr>
          <w:rFonts w:ascii="Times New Roman" w:hAnsi="Times New Roman" w:cs="Times New Roman"/>
          <w:color w:val="auto"/>
          <w:sz w:val="24"/>
          <w:szCs w:val="24"/>
        </w:rPr>
        <w:t>7</w:t>
      </w:r>
      <w:r>
        <w:rPr>
          <w:rFonts w:hint="eastAsia" w:ascii="Times New Roman" w:hAnsi="Times New Roman" w:cs="Times New Roman"/>
          <w:color w:val="auto"/>
          <w:sz w:val="24"/>
          <w:szCs w:val="24"/>
        </w:rPr>
        <w:t>个工作日内作出答复，并以书面形式通知质疑供应商和其他有关供应商，但答复的内容不得涉及商业秘密。</w:t>
      </w:r>
      <w:bookmarkEnd w:id="72"/>
    </w:p>
    <w:p>
      <w:pPr>
        <w:spacing w:after="0" w:line="460" w:lineRule="exact"/>
        <w:ind w:firstLine="480" w:firstLineChars="200"/>
        <w:jc w:val="both"/>
        <w:rPr>
          <w:rFonts w:ascii="Times New Roman" w:hAnsi="Times New Roman" w:cs="Times New Roman"/>
          <w:color w:val="auto"/>
          <w:sz w:val="24"/>
          <w:szCs w:val="24"/>
        </w:rPr>
      </w:pPr>
      <w:bookmarkStart w:id="73" w:name="_Toc531861721"/>
      <w:r>
        <w:rPr>
          <w:rFonts w:ascii="Times New Roman" w:hAnsi="Times New Roman" w:cs="Times New Roman"/>
          <w:color w:val="auto"/>
          <w:sz w:val="24"/>
          <w:szCs w:val="24"/>
        </w:rPr>
        <w:t>34.5</w:t>
      </w:r>
      <w:r>
        <w:rPr>
          <w:rFonts w:hint="eastAsia" w:ascii="Times New Roman" w:hAnsi="Times New Roman" w:cs="Times New Roman"/>
          <w:color w:val="auto"/>
          <w:sz w:val="24"/>
          <w:szCs w:val="24"/>
        </w:rPr>
        <w:t>、质疑供应商对采购人、采购代理机构的答复不满意或者采购人、采购代理机构在规定的时间内作出答复的，可以在答复期满后</w:t>
      </w:r>
      <w:r>
        <w:rPr>
          <w:rFonts w:ascii="Times New Roman" w:hAnsi="Times New Roman" w:cs="Times New Roman"/>
          <w:color w:val="auto"/>
          <w:sz w:val="24"/>
          <w:szCs w:val="24"/>
        </w:rPr>
        <w:t>15</w:t>
      </w:r>
      <w:r>
        <w:rPr>
          <w:rFonts w:hint="eastAsia" w:ascii="Times New Roman" w:hAnsi="Times New Roman" w:cs="Times New Roman"/>
          <w:color w:val="auto"/>
          <w:sz w:val="24"/>
          <w:szCs w:val="24"/>
        </w:rPr>
        <w:t>个工作日内向同级政府采购监督管理部门投诉。</w:t>
      </w:r>
      <w:bookmarkEnd w:id="73"/>
    </w:p>
    <w:p>
      <w:pPr>
        <w:spacing w:after="0" w:line="460" w:lineRule="exact"/>
        <w:ind w:firstLine="480" w:firstLineChars="200"/>
        <w:jc w:val="both"/>
        <w:rPr>
          <w:rFonts w:ascii="Times New Roman" w:hAnsi="Times New Roman" w:cs="Times New Roman"/>
          <w:color w:val="auto"/>
          <w:sz w:val="24"/>
          <w:szCs w:val="24"/>
        </w:rPr>
      </w:pPr>
      <w:bookmarkStart w:id="74" w:name="_Toc531861722"/>
      <w:r>
        <w:rPr>
          <w:rFonts w:ascii="Times New Roman" w:hAnsi="Times New Roman" w:cs="Times New Roman"/>
          <w:color w:val="auto"/>
          <w:sz w:val="24"/>
          <w:szCs w:val="24"/>
        </w:rPr>
        <w:t>34.6</w:t>
      </w:r>
      <w:r>
        <w:rPr>
          <w:rFonts w:hint="eastAsia" w:ascii="Times New Roman" w:hAnsi="Times New Roman" w:cs="Times New Roman"/>
          <w:color w:val="auto"/>
          <w:sz w:val="24"/>
          <w:szCs w:val="24"/>
        </w:rPr>
        <w:t>、政府采购监督管理部门应当在收到投诉后</w:t>
      </w:r>
      <w:r>
        <w:rPr>
          <w:rFonts w:ascii="Times New Roman" w:hAnsi="Times New Roman" w:cs="Times New Roman"/>
          <w:color w:val="auto"/>
          <w:sz w:val="24"/>
          <w:szCs w:val="24"/>
        </w:rPr>
        <w:t>30</w:t>
      </w:r>
      <w:r>
        <w:rPr>
          <w:rFonts w:hint="eastAsia" w:ascii="Times New Roman" w:hAnsi="Times New Roman" w:cs="Times New Roman"/>
          <w:color w:val="auto"/>
          <w:sz w:val="24"/>
          <w:szCs w:val="24"/>
        </w:rPr>
        <w:t>个工作日内，对投诉事项作出处理决定，并以书面形式通知投诉人和与投诉事项有关的当事人。</w:t>
      </w:r>
      <w:bookmarkEnd w:id="74"/>
    </w:p>
    <w:p>
      <w:pPr>
        <w:spacing w:after="0" w:line="460" w:lineRule="exact"/>
        <w:ind w:firstLine="480" w:firstLineChars="200"/>
        <w:jc w:val="both"/>
        <w:rPr>
          <w:rFonts w:ascii="Times New Roman" w:hAnsi="Times New Roman" w:cs="Times New Roman"/>
          <w:color w:val="auto"/>
          <w:sz w:val="24"/>
          <w:szCs w:val="24"/>
        </w:rPr>
      </w:pPr>
      <w:bookmarkStart w:id="75" w:name="_Toc531861723"/>
      <w:r>
        <w:rPr>
          <w:rFonts w:ascii="Times New Roman" w:hAnsi="Times New Roman" w:cs="Times New Roman"/>
          <w:color w:val="auto"/>
          <w:sz w:val="24"/>
          <w:szCs w:val="24"/>
        </w:rPr>
        <w:t>34.7</w:t>
      </w:r>
      <w:r>
        <w:rPr>
          <w:rFonts w:hint="eastAsia" w:ascii="Times New Roman" w:hAnsi="Times New Roman" w:cs="Times New Roman"/>
          <w:color w:val="auto"/>
          <w:sz w:val="24"/>
          <w:szCs w:val="24"/>
        </w:rPr>
        <w:t>、政府采购监督管理部门在处理投诉事项期间，可以视具体情况书面通知采购人暂停采购活动，但暂停时间最长不得超过</w:t>
      </w:r>
      <w:r>
        <w:rPr>
          <w:rFonts w:ascii="Times New Roman" w:hAnsi="Times New Roman" w:cs="Times New Roman"/>
          <w:color w:val="auto"/>
          <w:sz w:val="24"/>
          <w:szCs w:val="24"/>
        </w:rPr>
        <w:t>30</w:t>
      </w:r>
      <w:r>
        <w:rPr>
          <w:rFonts w:hint="eastAsia" w:ascii="Times New Roman" w:hAnsi="Times New Roman" w:cs="Times New Roman"/>
          <w:color w:val="auto"/>
          <w:sz w:val="24"/>
          <w:szCs w:val="24"/>
        </w:rPr>
        <w:t>日。</w:t>
      </w:r>
      <w:bookmarkEnd w:id="75"/>
    </w:p>
    <w:p>
      <w:pPr>
        <w:spacing w:after="0" w:line="460" w:lineRule="exact"/>
        <w:ind w:firstLine="480" w:firstLineChars="200"/>
        <w:jc w:val="both"/>
        <w:rPr>
          <w:rFonts w:ascii="Times New Roman" w:hAnsi="Times New Roman" w:cs="Times New Roman"/>
          <w:color w:val="auto"/>
          <w:sz w:val="24"/>
          <w:szCs w:val="24"/>
        </w:rPr>
      </w:pPr>
      <w:bookmarkStart w:id="76" w:name="_Toc531861724"/>
      <w:r>
        <w:rPr>
          <w:rFonts w:ascii="Times New Roman" w:hAnsi="Times New Roman" w:cs="Times New Roman"/>
          <w:color w:val="auto"/>
          <w:sz w:val="24"/>
          <w:szCs w:val="24"/>
        </w:rPr>
        <w:t>34.8</w:t>
      </w:r>
      <w:r>
        <w:rPr>
          <w:rFonts w:hint="eastAsia" w:ascii="Times New Roman" w:hAnsi="Times New Roman" w:cs="Times New Roman"/>
          <w:color w:val="auto"/>
          <w:sz w:val="24"/>
          <w:szCs w:val="24"/>
        </w:rPr>
        <w:t>、投诉人对政府采购监督管理部门的投诉处理决定不服或者政府采购监督管理部门逾期未作处理的，可以依法申请行政复议或者向人民法院提起行政诉。</w:t>
      </w:r>
      <w:bookmarkEnd w:id="76"/>
    </w:p>
    <w:p>
      <w:pPr>
        <w:spacing w:after="0" w:line="460" w:lineRule="exact"/>
        <w:ind w:firstLine="480" w:firstLineChars="200"/>
        <w:jc w:val="both"/>
        <w:rPr>
          <w:rFonts w:ascii="Times New Roman" w:hAnsi="Times New Roman" w:cs="Times New Roman"/>
          <w:color w:val="auto"/>
          <w:sz w:val="24"/>
          <w:szCs w:val="24"/>
        </w:rPr>
      </w:pPr>
      <w:bookmarkStart w:id="77" w:name="_Toc531861725"/>
      <w:r>
        <w:rPr>
          <w:rFonts w:ascii="Times New Roman" w:hAnsi="Times New Roman" w:cs="Times New Roman"/>
          <w:color w:val="auto"/>
          <w:sz w:val="24"/>
          <w:szCs w:val="24"/>
        </w:rPr>
        <w:t>34.9</w:t>
      </w:r>
      <w:r>
        <w:rPr>
          <w:rFonts w:hint="eastAsia" w:ascii="Times New Roman" w:hAnsi="Times New Roman" w:cs="Times New Roman"/>
          <w:color w:val="auto"/>
          <w:sz w:val="24"/>
          <w:szCs w:val="24"/>
        </w:rPr>
        <w:t>、供应商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bookmarkEnd w:id="77"/>
    </w:p>
    <w:p>
      <w:pPr>
        <w:spacing w:after="0" w:line="460" w:lineRule="exact"/>
        <w:jc w:val="both"/>
        <w:rPr>
          <w:rFonts w:ascii="Times New Roman" w:hAnsi="Times New Roman" w:cs="Times New Roman"/>
          <w:b/>
          <w:color w:val="auto"/>
          <w:sz w:val="24"/>
          <w:szCs w:val="24"/>
        </w:rPr>
      </w:pPr>
      <w:r>
        <w:rPr>
          <w:rFonts w:ascii="Times New Roman" w:hAnsi="Times New Roman" w:cs="Times New Roman"/>
          <w:b/>
          <w:color w:val="auto"/>
          <w:sz w:val="24"/>
          <w:szCs w:val="24"/>
        </w:rPr>
        <w:t>35.</w:t>
      </w:r>
      <w:r>
        <w:rPr>
          <w:rFonts w:hint="eastAsia" w:ascii="Times New Roman" w:hAnsi="Times New Roman" w:cs="Times New Roman"/>
          <w:b/>
          <w:color w:val="auto"/>
          <w:sz w:val="24"/>
          <w:szCs w:val="24"/>
        </w:rPr>
        <w:t>政策功能</w:t>
      </w:r>
    </w:p>
    <w:p>
      <w:pPr>
        <w:spacing w:after="0" w:line="460" w:lineRule="exact"/>
        <w:ind w:firstLine="480" w:firstLineChars="200"/>
        <w:jc w:val="both"/>
        <w:rPr>
          <w:rFonts w:ascii="Times New Roman" w:hAnsi="Times New Roman" w:cs="Times New Roman"/>
          <w:color w:val="auto"/>
          <w:sz w:val="24"/>
          <w:szCs w:val="24"/>
        </w:rPr>
      </w:pPr>
      <w:bookmarkStart w:id="78" w:name="_Toc531861735"/>
      <w:r>
        <w:rPr>
          <w:rFonts w:ascii="Times New Roman" w:hAnsi="Times New Roman" w:cs="Times New Roman"/>
          <w:color w:val="auto"/>
          <w:sz w:val="24"/>
          <w:szCs w:val="24"/>
        </w:rPr>
        <w:t>35.1</w:t>
      </w:r>
      <w:r>
        <w:rPr>
          <w:rFonts w:hint="eastAsia" w:ascii="Times New Roman" w:hAnsi="Times New Roman" w:cs="Times New Roman"/>
          <w:color w:val="auto"/>
          <w:sz w:val="24"/>
          <w:szCs w:val="24"/>
        </w:rPr>
        <w:t>、本次磋商优先选购中华人民共和国财政部公布的《政府采购自主创新产品目录》和《节能环保产品目录》的标的物。</w:t>
      </w:r>
      <w:bookmarkEnd w:id="78"/>
    </w:p>
    <w:p>
      <w:pPr>
        <w:spacing w:after="0" w:line="460" w:lineRule="exact"/>
        <w:ind w:firstLine="480" w:firstLineChars="200"/>
        <w:jc w:val="both"/>
        <w:rPr>
          <w:rFonts w:ascii="Times New Roman" w:hAnsi="Times New Roman" w:cs="Times New Roman"/>
          <w:color w:val="auto"/>
          <w:sz w:val="24"/>
          <w:szCs w:val="24"/>
        </w:rPr>
      </w:pPr>
      <w:bookmarkStart w:id="79" w:name="_Toc531861736"/>
      <w:r>
        <w:rPr>
          <w:rFonts w:ascii="Times New Roman" w:hAnsi="Times New Roman" w:cs="Times New Roman"/>
          <w:color w:val="auto"/>
          <w:sz w:val="24"/>
          <w:szCs w:val="24"/>
        </w:rPr>
        <w:t>35.2</w:t>
      </w:r>
      <w:r>
        <w:rPr>
          <w:rFonts w:hint="eastAsia" w:ascii="Times New Roman" w:hAnsi="Times New Roman" w:cs="Times New Roman"/>
          <w:color w:val="auto"/>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国家认监委《信息安全产品强制性认证目录》，并获得强制性产品认证证书的产品；环境标志产品是指列入财政部、国家环保总局制定的《环境标志产品政府采购清单》，且经过认证的环境标志产品。</w:t>
      </w:r>
      <w:bookmarkEnd w:id="79"/>
    </w:p>
    <w:p>
      <w:pPr>
        <w:spacing w:after="0" w:line="460" w:lineRule="exact"/>
        <w:ind w:firstLine="480" w:firstLineChars="200"/>
        <w:jc w:val="both"/>
        <w:rPr>
          <w:rFonts w:ascii="Times New Roman" w:hAnsi="Times New Roman" w:cs="Times New Roman"/>
          <w:color w:val="auto"/>
          <w:sz w:val="24"/>
          <w:szCs w:val="24"/>
        </w:rPr>
      </w:pPr>
      <w:bookmarkStart w:id="80" w:name="_Toc531861737"/>
      <w:r>
        <w:rPr>
          <w:rFonts w:ascii="Times New Roman" w:hAnsi="Times New Roman" w:cs="Times New Roman"/>
          <w:color w:val="auto"/>
          <w:sz w:val="24"/>
          <w:szCs w:val="24"/>
        </w:rPr>
        <w:t>35.3</w:t>
      </w:r>
      <w:r>
        <w:rPr>
          <w:rFonts w:hint="eastAsia" w:ascii="Times New Roman" w:hAnsi="Times New Roman" w:cs="Times New Roman"/>
          <w:color w:val="auto"/>
          <w:sz w:val="24"/>
          <w:szCs w:val="24"/>
        </w:rPr>
        <w:t>、投标产品属于信息安全产品的，供应商应当选择经国家认证的信息安全产品投标，并提供由中国信息安全认证中心按国家标准颁发的有效认证证书复印件。</w:t>
      </w:r>
      <w:bookmarkEnd w:id="80"/>
    </w:p>
    <w:p>
      <w:pPr>
        <w:spacing w:after="0" w:line="460" w:lineRule="exact"/>
        <w:ind w:firstLine="480" w:firstLineChars="200"/>
        <w:jc w:val="both"/>
        <w:rPr>
          <w:rFonts w:ascii="Times New Roman" w:hAnsi="Times New Roman" w:cs="Times New Roman"/>
          <w:color w:val="auto"/>
          <w:sz w:val="24"/>
          <w:szCs w:val="24"/>
        </w:rPr>
      </w:pPr>
      <w:bookmarkStart w:id="81" w:name="_Toc531861738"/>
      <w:r>
        <w:rPr>
          <w:rFonts w:ascii="Times New Roman" w:hAnsi="Times New Roman" w:cs="Times New Roman"/>
          <w:color w:val="auto"/>
          <w:sz w:val="24"/>
          <w:szCs w:val="24"/>
        </w:rPr>
        <w:t>35.4</w:t>
      </w:r>
      <w:r>
        <w:rPr>
          <w:rFonts w:hint="eastAsia" w:ascii="Times New Roman" w:hAnsi="Times New Roman" w:cs="Times New Roman"/>
          <w:color w:val="auto"/>
          <w:sz w:val="24"/>
          <w:szCs w:val="24"/>
        </w:rPr>
        <w:t>、投标产品属于政府强制采购节能产品的，供应商应当选择《节能产品政府采购清单》中的产品投标，并提供有效的节能产品认证证书复印件。</w:t>
      </w:r>
      <w:bookmarkEnd w:id="81"/>
    </w:p>
    <w:p>
      <w:pPr>
        <w:spacing w:after="0" w:line="460" w:lineRule="exact"/>
        <w:ind w:firstLine="480" w:firstLineChars="200"/>
        <w:jc w:val="both"/>
        <w:rPr>
          <w:rFonts w:ascii="Times New Roman" w:hAnsi="Times New Roman" w:cs="Times New Roman"/>
          <w:color w:val="auto"/>
          <w:sz w:val="24"/>
          <w:szCs w:val="24"/>
        </w:rPr>
      </w:pPr>
      <w:bookmarkStart w:id="82" w:name="_Toc531861739"/>
      <w:r>
        <w:rPr>
          <w:rFonts w:ascii="Times New Roman" w:hAnsi="Times New Roman" w:cs="Times New Roman"/>
          <w:color w:val="auto"/>
          <w:sz w:val="24"/>
          <w:szCs w:val="24"/>
        </w:rPr>
        <w:t>35.5</w:t>
      </w:r>
      <w:r>
        <w:rPr>
          <w:rFonts w:hint="eastAsia" w:ascii="Times New Roman" w:hAnsi="Times New Roman" w:cs="Times New Roman"/>
          <w:color w:val="auto"/>
          <w:sz w:val="24"/>
          <w:szCs w:val="24"/>
        </w:rPr>
        <w:t>、磋商文件中提供的参考产品品牌或型号，是采购人根据项目所要实现的功能根据市场情况列出的品牌或型号，并不是限制条件。</w:t>
      </w:r>
      <w:bookmarkEnd w:id="82"/>
    </w:p>
    <w:p>
      <w:pPr>
        <w:spacing w:after="0" w:line="460" w:lineRule="exact"/>
        <w:ind w:firstLine="480" w:firstLineChars="200"/>
        <w:jc w:val="both"/>
        <w:rPr>
          <w:rFonts w:ascii="Times New Roman" w:hAnsi="Times New Roman" w:cs="Times New Roman"/>
          <w:color w:val="auto"/>
          <w:sz w:val="24"/>
          <w:szCs w:val="24"/>
        </w:rPr>
      </w:pPr>
      <w:bookmarkStart w:id="83" w:name="_Toc531861740"/>
      <w:r>
        <w:rPr>
          <w:rFonts w:ascii="Times New Roman" w:hAnsi="Times New Roman" w:cs="Times New Roman"/>
          <w:color w:val="auto"/>
          <w:sz w:val="24"/>
          <w:szCs w:val="24"/>
        </w:rPr>
        <w:t>35.6</w:t>
      </w:r>
      <w:r>
        <w:rPr>
          <w:rFonts w:hint="eastAsia" w:ascii="Times New Roman" w:hAnsi="Times New Roman" w:cs="Times New Roman"/>
          <w:color w:val="auto"/>
          <w:sz w:val="24"/>
          <w:szCs w:val="24"/>
        </w:rPr>
        <w:t>、供应商为小型和微型企业（含联合体）的情况：</w:t>
      </w:r>
      <w:bookmarkEnd w:id="83"/>
    </w:p>
    <w:p>
      <w:pPr>
        <w:spacing w:after="0" w:line="460" w:lineRule="exact"/>
        <w:ind w:firstLine="480" w:firstLineChars="200"/>
        <w:jc w:val="both"/>
        <w:rPr>
          <w:rFonts w:ascii="Times New Roman" w:hAnsi="Times New Roman" w:cs="Times New Roman"/>
          <w:color w:val="auto"/>
          <w:sz w:val="24"/>
          <w:szCs w:val="24"/>
        </w:rPr>
      </w:pPr>
      <w:bookmarkStart w:id="84" w:name="_Toc531861741"/>
      <w:r>
        <w:rPr>
          <w:rFonts w:ascii="Times New Roman" w:hAnsi="Times New Roman" w:cs="Times New Roman"/>
          <w:color w:val="auto"/>
          <w:sz w:val="24"/>
          <w:szCs w:val="24"/>
        </w:rPr>
        <w:t>35.6.1</w:t>
      </w:r>
      <w:r>
        <w:rPr>
          <w:rFonts w:hint="eastAsia" w:ascii="Times New Roman" w:hAnsi="Times New Roman" w:cs="Times New Roman"/>
          <w:color w:val="auto"/>
          <w:sz w:val="24"/>
          <w:szCs w:val="24"/>
        </w:rPr>
        <w:t>、中小企业的认定标准：</w:t>
      </w:r>
      <w:bookmarkEnd w:id="84"/>
    </w:p>
    <w:p>
      <w:pPr>
        <w:spacing w:after="0" w:line="460" w:lineRule="exact"/>
        <w:ind w:firstLine="480" w:firstLineChars="200"/>
        <w:jc w:val="both"/>
        <w:rPr>
          <w:rFonts w:ascii="Times New Roman" w:hAnsi="Times New Roman" w:cs="Times New Roman"/>
          <w:color w:val="auto"/>
          <w:sz w:val="24"/>
          <w:szCs w:val="24"/>
        </w:rPr>
      </w:pPr>
      <w:bookmarkStart w:id="85" w:name="_Toc531861742"/>
      <w:r>
        <w:rPr>
          <w:rFonts w:ascii="Times New Roman" w:hAnsi="Times New Roman" w:cs="Times New Roman"/>
          <w:color w:val="auto"/>
          <w:sz w:val="24"/>
          <w:szCs w:val="24"/>
        </w:rPr>
        <w:t>(1</w:t>
      </w:r>
      <w:r>
        <w:rPr>
          <w:rFonts w:hint="eastAsia" w:ascii="Times New Roman" w:hAnsi="Times New Roman" w:cs="Times New Roman"/>
          <w:color w:val="auto"/>
          <w:sz w:val="24"/>
          <w:szCs w:val="24"/>
        </w:rPr>
        <w:t>）提供本企业制造的货物、承担的工程或者服务，或者提供其他中小企业制造的货物，不包括提供或使用大型企业注册商标的货物；</w:t>
      </w:r>
      <w:bookmarkEnd w:id="85"/>
    </w:p>
    <w:p>
      <w:pPr>
        <w:spacing w:after="0" w:line="460" w:lineRule="exact"/>
        <w:ind w:firstLine="480" w:firstLineChars="200"/>
        <w:jc w:val="both"/>
        <w:rPr>
          <w:rFonts w:ascii="Times New Roman" w:hAnsi="Times New Roman" w:cs="Times New Roman"/>
          <w:color w:val="auto"/>
          <w:sz w:val="24"/>
          <w:szCs w:val="24"/>
        </w:rPr>
      </w:pPr>
      <w:bookmarkStart w:id="86" w:name="_Toc531861743"/>
      <w:r>
        <w:rPr>
          <w:rFonts w:ascii="Times New Roman" w:hAnsi="Times New Roman" w:cs="Times New Roman"/>
          <w:color w:val="auto"/>
          <w:sz w:val="24"/>
          <w:szCs w:val="24"/>
        </w:rPr>
        <w:t>(2</w:t>
      </w:r>
      <w:r>
        <w:rPr>
          <w:rFonts w:hint="eastAsia" w:ascii="Times New Roman" w:hAnsi="Times New Roman" w:cs="Times New Roman"/>
          <w:color w:val="auto"/>
          <w:sz w:val="24"/>
          <w:szCs w:val="24"/>
        </w:rPr>
        <w:t>）本规定所称中小企业划分标准，是指国务院有关部门根据企业从业人员、营业收入、资产总额等指标制定的中小企业划型标准（工信部联企业〔</w:t>
      </w:r>
      <w:r>
        <w:rPr>
          <w:rFonts w:ascii="Times New Roman" w:hAnsi="Times New Roman" w:cs="Times New Roman"/>
          <w:color w:val="auto"/>
          <w:sz w:val="24"/>
          <w:szCs w:val="24"/>
        </w:rPr>
        <w:t>2011</w:t>
      </w:r>
      <w:r>
        <w:rPr>
          <w:rFonts w:hint="eastAsia" w:ascii="Times New Roman" w:hAnsi="Times New Roman" w:cs="Times New Roman"/>
          <w:color w:val="auto"/>
          <w:sz w:val="24"/>
          <w:szCs w:val="24"/>
        </w:rPr>
        <w:t>〕</w:t>
      </w:r>
      <w:r>
        <w:rPr>
          <w:rFonts w:ascii="Times New Roman" w:hAnsi="Times New Roman" w:cs="Times New Roman"/>
          <w:color w:val="auto"/>
          <w:sz w:val="24"/>
          <w:szCs w:val="24"/>
        </w:rPr>
        <w:t>300</w:t>
      </w:r>
      <w:r>
        <w:rPr>
          <w:rFonts w:hint="eastAsia" w:ascii="Times New Roman" w:hAnsi="Times New Roman" w:cs="Times New Roman"/>
          <w:color w:val="auto"/>
          <w:sz w:val="24"/>
          <w:szCs w:val="24"/>
        </w:rPr>
        <w:t>号）；</w:t>
      </w:r>
      <w:bookmarkEnd w:id="86"/>
    </w:p>
    <w:p>
      <w:pPr>
        <w:spacing w:after="0" w:line="460" w:lineRule="exact"/>
        <w:ind w:firstLine="480" w:firstLineChars="200"/>
        <w:jc w:val="both"/>
        <w:rPr>
          <w:rFonts w:ascii="Times New Roman" w:hAnsi="Times New Roman" w:cs="Times New Roman"/>
          <w:color w:val="auto"/>
          <w:sz w:val="24"/>
          <w:szCs w:val="24"/>
        </w:rPr>
      </w:pPr>
      <w:bookmarkStart w:id="87" w:name="_Toc531861744"/>
      <w:r>
        <w:rPr>
          <w:rFonts w:ascii="Times New Roman" w:hAnsi="Times New Roman" w:cs="Times New Roman"/>
          <w:color w:val="auto"/>
          <w:sz w:val="24"/>
          <w:szCs w:val="24"/>
        </w:rPr>
        <w:t>(3</w:t>
      </w:r>
      <w:r>
        <w:rPr>
          <w:rFonts w:hint="eastAsia" w:ascii="Times New Roman" w:hAnsi="Times New Roman" w:cs="Times New Roman"/>
          <w:color w:val="auto"/>
          <w:sz w:val="24"/>
          <w:szCs w:val="24"/>
        </w:rPr>
        <w:t>）小型、微型企业提供有中型企业制造的货物的，视同为中型企业；小型、微型、中型企业提供有大型企业制造的货物的，视同为大型企业；</w:t>
      </w:r>
      <w:bookmarkEnd w:id="87"/>
    </w:p>
    <w:p>
      <w:pPr>
        <w:spacing w:after="0" w:line="460" w:lineRule="exact"/>
        <w:ind w:firstLine="480" w:firstLineChars="200"/>
        <w:jc w:val="both"/>
        <w:rPr>
          <w:rFonts w:ascii="Times New Roman" w:hAnsi="Times New Roman" w:cs="Times New Roman"/>
          <w:color w:val="auto"/>
          <w:sz w:val="24"/>
          <w:szCs w:val="24"/>
        </w:rPr>
      </w:pPr>
      <w:bookmarkStart w:id="88" w:name="_Toc531861745"/>
      <w:r>
        <w:rPr>
          <w:rFonts w:ascii="Times New Roman" w:hAnsi="Times New Roman" w:cs="Times New Roman"/>
          <w:color w:val="auto"/>
          <w:sz w:val="24"/>
          <w:szCs w:val="24"/>
        </w:rPr>
        <w:t>(4)</w:t>
      </w:r>
      <w:r>
        <w:rPr>
          <w:rFonts w:hint="eastAsia" w:ascii="Times New Roman" w:hAnsi="Times New Roman" w:cs="Times New Roman"/>
          <w:color w:val="auto"/>
          <w:sz w:val="24"/>
          <w:szCs w:val="24"/>
        </w:rPr>
        <w:t>根据财库〔</w:t>
      </w:r>
      <w:r>
        <w:rPr>
          <w:rFonts w:ascii="Times New Roman" w:hAnsi="Times New Roman" w:cs="Times New Roman"/>
          <w:color w:val="auto"/>
          <w:sz w:val="24"/>
          <w:szCs w:val="24"/>
        </w:rPr>
        <w:t>2014</w:t>
      </w:r>
      <w:r>
        <w:rPr>
          <w:rFonts w:hint="eastAsia" w:ascii="Times New Roman" w:hAnsi="Times New Roman" w:cs="Times New Roman"/>
          <w:color w:val="auto"/>
          <w:sz w:val="24"/>
          <w:szCs w:val="24"/>
        </w:rPr>
        <w:t>〕</w:t>
      </w:r>
      <w:r>
        <w:rPr>
          <w:rFonts w:ascii="Times New Roman" w:hAnsi="Times New Roman" w:cs="Times New Roman"/>
          <w:color w:val="auto"/>
          <w:sz w:val="24"/>
          <w:szCs w:val="24"/>
        </w:rPr>
        <w:t>68</w:t>
      </w:r>
      <w:r>
        <w:rPr>
          <w:rFonts w:hint="eastAsia" w:ascii="Times New Roman" w:hAnsi="Times New Roman" w:cs="Times New Roman"/>
          <w:color w:val="auto"/>
          <w:sz w:val="24"/>
          <w:szCs w:val="24"/>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hAnsi="Times New Roman" w:cs="Times New Roman"/>
          <w:color w:val="auto"/>
          <w:sz w:val="24"/>
          <w:szCs w:val="24"/>
        </w:rPr>
        <w:t>(</w:t>
      </w:r>
      <w:r>
        <w:rPr>
          <w:rFonts w:hint="eastAsia" w:ascii="Times New Roman" w:hAnsi="Times New Roman" w:cs="Times New Roman"/>
          <w:color w:val="auto"/>
          <w:sz w:val="24"/>
          <w:szCs w:val="24"/>
        </w:rPr>
        <w:t>设区的市</w:t>
      </w:r>
      <w:r>
        <w:rPr>
          <w:rFonts w:ascii="Times New Roman" w:hAnsi="Times New Roman" w:cs="Times New Roman"/>
          <w:color w:val="auto"/>
          <w:sz w:val="24"/>
          <w:szCs w:val="24"/>
        </w:rPr>
        <w:t>)</w:t>
      </w:r>
      <w:r>
        <w:rPr>
          <w:rFonts w:hint="eastAsia" w:ascii="Times New Roman" w:hAnsi="Times New Roman" w:cs="Times New Roman"/>
          <w:color w:val="auto"/>
          <w:sz w:val="24"/>
          <w:szCs w:val="24"/>
        </w:rPr>
        <w:t>监狱、强制隔离戒毒所、戒毒康复所，以及新疆生产建设兵团监狱管理局、戒毒管理局的企业。监狱企业投标时，提供由省级以上监狱管理局、戒毒管理局</w:t>
      </w:r>
      <w:r>
        <w:rPr>
          <w:rFonts w:ascii="Times New Roman" w:hAnsi="Times New Roman" w:cs="Times New Roman"/>
          <w:color w:val="auto"/>
          <w:sz w:val="24"/>
          <w:szCs w:val="24"/>
        </w:rPr>
        <w:t>(</w:t>
      </w:r>
      <w:r>
        <w:rPr>
          <w:rFonts w:hint="eastAsia" w:ascii="Times New Roman" w:hAnsi="Times New Roman" w:cs="Times New Roman"/>
          <w:color w:val="auto"/>
          <w:sz w:val="24"/>
          <w:szCs w:val="24"/>
        </w:rPr>
        <w:t>含新疆生产建设兵团</w:t>
      </w:r>
      <w:r>
        <w:rPr>
          <w:rFonts w:ascii="Times New Roman" w:hAnsi="Times New Roman" w:cs="Times New Roman"/>
          <w:color w:val="auto"/>
          <w:sz w:val="24"/>
          <w:szCs w:val="24"/>
        </w:rPr>
        <w:t>)</w:t>
      </w:r>
      <w:r>
        <w:rPr>
          <w:rFonts w:hint="eastAsia" w:ascii="Times New Roman" w:hAnsi="Times New Roman" w:cs="Times New Roman"/>
          <w:color w:val="auto"/>
          <w:sz w:val="24"/>
          <w:szCs w:val="24"/>
        </w:rPr>
        <w:t>出具的属于监狱企业的证明文件，不再提供《中小微企业声明函》。</w:t>
      </w:r>
      <w:bookmarkEnd w:id="88"/>
    </w:p>
    <w:p>
      <w:pPr>
        <w:spacing w:after="0" w:line="460" w:lineRule="exact"/>
        <w:ind w:firstLine="480" w:firstLineChars="200"/>
        <w:jc w:val="both"/>
        <w:rPr>
          <w:rFonts w:ascii="Times New Roman" w:hAnsi="Times New Roman" w:cs="Times New Roman"/>
          <w:color w:val="auto"/>
          <w:sz w:val="24"/>
          <w:szCs w:val="24"/>
        </w:rPr>
      </w:pPr>
      <w:bookmarkStart w:id="89" w:name="_Toc531861746"/>
      <w:r>
        <w:rPr>
          <w:rFonts w:ascii="Times New Roman" w:hAnsi="Times New Roman" w:cs="Times New Roman"/>
          <w:color w:val="auto"/>
          <w:sz w:val="24"/>
          <w:szCs w:val="24"/>
        </w:rPr>
        <w:t>(5)</w:t>
      </w:r>
      <w:r>
        <w:rPr>
          <w:rFonts w:hint="eastAsia" w:ascii="Times New Roman" w:hAnsi="Times New Roman" w:cs="Times New Roman"/>
          <w:color w:val="auto"/>
          <w:sz w:val="24"/>
          <w:szCs w:val="24"/>
        </w:rPr>
        <w:t>根据财库〔</w:t>
      </w:r>
      <w:r>
        <w:rPr>
          <w:rFonts w:ascii="Times New Roman" w:hAnsi="Times New Roman" w:cs="Times New Roman"/>
          <w:color w:val="auto"/>
          <w:sz w:val="24"/>
          <w:szCs w:val="24"/>
        </w:rPr>
        <w:t>2017</w:t>
      </w:r>
      <w:r>
        <w:rPr>
          <w:rFonts w:hint="eastAsia" w:ascii="Times New Roman" w:hAnsi="Times New Roman" w:cs="Times New Roman"/>
          <w:color w:val="auto"/>
          <w:sz w:val="24"/>
          <w:szCs w:val="24"/>
        </w:rPr>
        <w:t>〕</w:t>
      </w:r>
      <w:r>
        <w:rPr>
          <w:rFonts w:ascii="Times New Roman" w:hAnsi="Times New Roman" w:cs="Times New Roman"/>
          <w:color w:val="auto"/>
          <w:sz w:val="24"/>
          <w:szCs w:val="24"/>
        </w:rPr>
        <w:t>141</w:t>
      </w:r>
      <w:r>
        <w:rPr>
          <w:rFonts w:hint="eastAsia" w:ascii="Times New Roman" w:hAnsi="Times New Roman" w:cs="Times New Roman"/>
          <w:color w:val="auto"/>
          <w:sz w:val="24"/>
          <w:szCs w:val="24"/>
        </w:rPr>
        <w:t>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bookmarkEnd w:id="89"/>
    </w:p>
    <w:p>
      <w:pPr>
        <w:spacing w:after="0" w:line="460" w:lineRule="exact"/>
        <w:ind w:firstLine="480" w:firstLineChars="200"/>
        <w:jc w:val="both"/>
        <w:rPr>
          <w:rFonts w:ascii="Times New Roman" w:hAnsi="Times New Roman" w:cs="Times New Roman"/>
          <w:color w:val="auto"/>
          <w:sz w:val="24"/>
          <w:szCs w:val="24"/>
        </w:rPr>
      </w:pPr>
      <w:bookmarkStart w:id="90" w:name="_Toc531861747"/>
      <w:r>
        <w:rPr>
          <w:rFonts w:ascii="Times New Roman" w:hAnsi="Times New Roman" w:cs="Times New Roman"/>
          <w:color w:val="auto"/>
          <w:sz w:val="24"/>
          <w:szCs w:val="24"/>
        </w:rPr>
        <w:t>35.6.2</w:t>
      </w:r>
      <w:r>
        <w:rPr>
          <w:rFonts w:hint="eastAsia" w:ascii="Times New Roman" w:hAnsi="Times New Roman" w:cs="Times New Roman"/>
          <w:color w:val="auto"/>
          <w:sz w:val="24"/>
          <w:szCs w:val="24"/>
        </w:rPr>
        <w:t>、具体评审价说明：</w:t>
      </w:r>
      <w:bookmarkEnd w:id="90"/>
    </w:p>
    <w:p>
      <w:pPr>
        <w:spacing w:after="0" w:line="460" w:lineRule="exact"/>
        <w:ind w:firstLine="480" w:firstLineChars="20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1）投标人符合（财库〔2022〕19号）规定的小微型企业报价给予10%（工程项目为3%）扣除，用扣除后的价格参加评审。</w:t>
      </w:r>
    </w:p>
    <w:p>
      <w:pPr>
        <w:spacing w:after="0" w:line="460" w:lineRule="exact"/>
        <w:ind w:firstLine="480" w:firstLineChars="20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适用招标投标法的政府采购工程建设项目，采用综合评估法但未采用低价优先法计算价格分的，评标时在采用原报价进行评分的基础上增加其价格得分的3%作为其价格分。</w:t>
      </w:r>
    </w:p>
    <w:p>
      <w:pPr>
        <w:spacing w:after="0" w:line="460" w:lineRule="exact"/>
        <w:ind w:firstLine="480" w:firstLineChars="20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2）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w:t>
      </w:r>
    </w:p>
    <w:p>
      <w:pPr>
        <w:spacing w:after="0" w:line="460" w:lineRule="exact"/>
        <w:ind w:firstLine="480" w:firstLineChars="20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适用招标投标法的政府采购工程建设项目，采用综合评估法但未采用低价优先法计算价格分的，评标时在采用原报价进行评分的基础上增加其价格得分的1%作为其价格分。</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组成联合体或者接受分包的小微企业与联合体内其他企业、分包企业之间存在直接控股、管理关系的，不享受价格扣除优惠政策。</w:t>
      </w:r>
    </w:p>
    <w:p>
      <w:pPr>
        <w:spacing w:after="0" w:line="460" w:lineRule="exact"/>
        <w:ind w:firstLine="482" w:firstLineChars="200"/>
        <w:jc w:val="both"/>
        <w:rPr>
          <w:rFonts w:ascii="Times New Roman" w:hAnsi="Times New Roman" w:cs="Times New Roman"/>
          <w:b/>
          <w:color w:val="auto"/>
          <w:sz w:val="24"/>
          <w:szCs w:val="24"/>
        </w:rPr>
      </w:pPr>
      <w:bookmarkStart w:id="91" w:name="_Toc531861751"/>
      <w:r>
        <w:rPr>
          <w:rFonts w:hint="eastAsia" w:ascii="Times New Roman" w:hAnsi="Times New Roman" w:cs="Times New Roman"/>
          <w:b/>
          <w:color w:val="auto"/>
          <w:sz w:val="24"/>
          <w:szCs w:val="24"/>
        </w:rPr>
        <w:t>如有虚假骗取政策性加分，将依法承担相应责任。</w:t>
      </w:r>
      <w:bookmarkEnd w:id="91"/>
    </w:p>
    <w:p>
      <w:pPr>
        <w:spacing w:after="0" w:line="460" w:lineRule="exact"/>
        <w:ind w:firstLine="200"/>
        <w:jc w:val="both"/>
        <w:rPr>
          <w:rFonts w:ascii="Times New Roman" w:hAnsi="Times New Roman" w:cs="Times New Roman"/>
          <w:color w:val="auto"/>
          <w:sz w:val="24"/>
          <w:szCs w:val="24"/>
        </w:rPr>
      </w:pPr>
    </w:p>
    <w:p>
      <w:pPr>
        <w:spacing w:after="0" w:line="460" w:lineRule="exact"/>
        <w:ind w:firstLine="200"/>
        <w:jc w:val="both"/>
        <w:rPr>
          <w:rFonts w:ascii="Times New Roman" w:hAnsi="Times New Roman" w:cs="Times New Roman"/>
          <w:color w:val="auto"/>
          <w:sz w:val="24"/>
          <w:szCs w:val="24"/>
        </w:rPr>
      </w:pPr>
    </w:p>
    <w:p>
      <w:pPr>
        <w:pStyle w:val="47"/>
      </w:pPr>
      <w:r>
        <w:rPr>
          <w:rFonts w:hint="eastAsia"/>
        </w:rPr>
        <w:br w:type="page"/>
      </w:r>
      <w:bookmarkStart w:id="92" w:name="_Toc23047"/>
      <w:bookmarkStart w:id="93" w:name="_Toc56605084"/>
      <w:r>
        <w:rPr>
          <w:rFonts w:hint="eastAsia"/>
        </w:rPr>
        <w:t>第四章合同条款</w:t>
      </w:r>
      <w:bookmarkEnd w:id="92"/>
      <w:bookmarkEnd w:id="93"/>
    </w:p>
    <w:p>
      <w:pPr>
        <w:snapToGrid w:val="0"/>
        <w:spacing w:after="0" w:line="460" w:lineRule="exact"/>
        <w:jc w:val="center"/>
        <w:rPr>
          <w:rFonts w:ascii="Times New Roman" w:hAnsi="Times New Roman" w:cs="Times New Roman"/>
          <w:b/>
          <w:color w:val="auto"/>
          <w:sz w:val="28"/>
          <w:szCs w:val="28"/>
        </w:rPr>
      </w:pPr>
      <w:r>
        <w:rPr>
          <w:rFonts w:hint="eastAsia" w:ascii="Times New Roman" w:hAnsi="Times New Roman" w:cs="Times New Roman"/>
          <w:b/>
          <w:color w:val="auto"/>
          <w:sz w:val="28"/>
          <w:szCs w:val="28"/>
        </w:rPr>
        <w:t>（此合同为格式合同，仅供参考，最终以甲乙双方协商签订合同为准）</w:t>
      </w:r>
    </w:p>
    <w:p>
      <w:pPr>
        <w:spacing w:line="360" w:lineRule="auto"/>
        <w:jc w:val="center"/>
        <w:rPr>
          <w:rFonts w:ascii="宋体" w:hAnsi="宋体"/>
          <w:b/>
          <w:color w:val="auto"/>
          <w:sz w:val="32"/>
          <w:szCs w:val="32"/>
        </w:rPr>
      </w:pPr>
      <w:r>
        <w:rPr>
          <w:rFonts w:hint="eastAsia" w:ascii="宋体" w:hAnsi="宋体"/>
          <w:b/>
          <w:color w:val="auto"/>
          <w:sz w:val="32"/>
          <w:szCs w:val="32"/>
        </w:rPr>
        <w:t>合同专用条款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u w:val="single"/>
        </w:rPr>
        <w:t xml:space="preserve">  （采购人名称）   </w:t>
      </w:r>
      <w:r>
        <w:rPr>
          <w:rFonts w:hint="eastAsia" w:ascii="宋体" w:hAnsi="宋体" w:cs="宋体"/>
          <w:color w:val="auto"/>
          <w:sz w:val="24"/>
          <w:szCs w:val="24"/>
        </w:rPr>
        <w:t xml:space="preserve">以 </w:t>
      </w:r>
      <w:r>
        <w:rPr>
          <w:rFonts w:hint="eastAsia" w:ascii="宋体" w:hAnsi="宋体" w:cs="宋体"/>
          <w:color w:val="auto"/>
          <w:sz w:val="24"/>
          <w:szCs w:val="24"/>
          <w:u w:val="single"/>
        </w:rPr>
        <w:t xml:space="preserve">  （政府采购方式）  </w:t>
      </w:r>
      <w:r>
        <w:rPr>
          <w:rFonts w:hint="eastAsia" w:ascii="宋体" w:hAnsi="宋体" w:cs="宋体"/>
          <w:color w:val="auto"/>
          <w:sz w:val="24"/>
          <w:szCs w:val="24"/>
        </w:rPr>
        <w:t xml:space="preserve">对 </w:t>
      </w:r>
      <w:r>
        <w:rPr>
          <w:rFonts w:hint="eastAsia" w:ascii="宋体" w:hAnsi="宋体" w:cs="宋体"/>
          <w:color w:val="auto"/>
          <w:sz w:val="24"/>
          <w:szCs w:val="24"/>
          <w:u w:val="single"/>
        </w:rPr>
        <w:t xml:space="preserve">  （同前页项目名称）</w:t>
      </w:r>
      <w:r>
        <w:rPr>
          <w:rFonts w:hint="eastAsia" w:ascii="宋体" w:hAnsi="宋体" w:cs="宋体"/>
          <w:color w:val="auto"/>
          <w:sz w:val="24"/>
          <w:szCs w:val="24"/>
        </w:rPr>
        <w:t xml:space="preserve">   项目（项目编号：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）进行了采购，</w:t>
      </w:r>
      <w:r>
        <w:rPr>
          <w:rFonts w:hint="eastAsia" w:ascii="宋体" w:hAnsi="宋体" w:cs="宋体"/>
          <w:color w:val="auto"/>
          <w:sz w:val="24"/>
          <w:szCs w:val="24"/>
          <w:u w:val="single"/>
        </w:rPr>
        <w:t xml:space="preserve">   （中标供应商名称）</w:t>
      </w:r>
      <w:r>
        <w:rPr>
          <w:rFonts w:hint="eastAsia" w:ascii="宋体" w:hAnsi="宋体" w:cs="宋体"/>
          <w:color w:val="auto"/>
          <w:sz w:val="24"/>
          <w:szCs w:val="24"/>
        </w:rPr>
        <w:t>为该项目中标供应商。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u w:val="single"/>
        </w:rPr>
        <w:t xml:space="preserve">（采购人名称）  </w:t>
      </w:r>
      <w:r>
        <w:rPr>
          <w:rFonts w:hint="eastAsia" w:ascii="宋体" w:hAnsi="宋体" w:cs="宋体"/>
          <w:color w:val="auto"/>
          <w:sz w:val="24"/>
          <w:szCs w:val="24"/>
          <w:lang w:val="zh-CN"/>
        </w:rPr>
        <w:t>(以下简称：甲方)</w:t>
      </w:r>
      <w:r>
        <w:rPr>
          <w:rFonts w:hint="eastAsia" w:ascii="宋体" w:hAnsi="宋体" w:cs="宋体"/>
          <w:color w:val="auto"/>
          <w:sz w:val="24"/>
          <w:szCs w:val="24"/>
        </w:rPr>
        <w:t xml:space="preserve">和 </w:t>
      </w:r>
      <w:r>
        <w:rPr>
          <w:rFonts w:hint="eastAsia" w:ascii="宋体" w:hAnsi="宋体" w:cs="宋体"/>
          <w:color w:val="auto"/>
          <w:sz w:val="24"/>
          <w:szCs w:val="24"/>
          <w:u w:val="single"/>
        </w:rPr>
        <w:t xml:space="preserve"> （中标供应商名称）   </w:t>
      </w:r>
      <w:r>
        <w:rPr>
          <w:rFonts w:hint="eastAsia" w:ascii="宋体" w:hAnsi="宋体" w:cs="宋体"/>
          <w:color w:val="auto"/>
          <w:sz w:val="24"/>
          <w:szCs w:val="24"/>
          <w:lang w:val="zh-CN"/>
        </w:rPr>
        <w:t>(以下简称：乙方)</w:t>
      </w:r>
      <w:r>
        <w:rPr>
          <w:rFonts w:hint="eastAsia" w:ascii="宋体" w:hAnsi="宋体" w:cs="宋体"/>
          <w:color w:val="auto"/>
          <w:sz w:val="24"/>
          <w:szCs w:val="24"/>
        </w:rPr>
        <w:t>根据《中华人民共和国民法典》、</w:t>
      </w:r>
      <w:r>
        <w:rPr>
          <w:rFonts w:hint="eastAsia" w:ascii="宋体" w:hAnsi="宋体" w:cs="宋体"/>
          <w:color w:val="auto"/>
          <w:sz w:val="24"/>
          <w:szCs w:val="24"/>
          <w:lang w:val="zh-CN"/>
        </w:rPr>
        <w:t>《中华人民共和国政府采购法》等相</w:t>
      </w:r>
      <w:r>
        <w:rPr>
          <w:rFonts w:hint="eastAsia" w:ascii="宋体" w:hAnsi="宋体" w:cs="宋体"/>
          <w:color w:val="auto"/>
          <w:sz w:val="24"/>
          <w:szCs w:val="24"/>
        </w:rPr>
        <w:t>关法律法规，遵循平等、自愿、公平和诚实信用原则，同意按照下面的条款和条件订立本政府采购合同，共同信守。</w:t>
      </w:r>
    </w:p>
    <w:p>
      <w:pPr>
        <w:spacing w:before="120" w:beforeLines="50" w:line="360" w:lineRule="auto"/>
        <w:ind w:firstLine="482" w:firstLineChars="200"/>
        <w:jc w:val="left"/>
        <w:outlineLvl w:val="0"/>
        <w:rPr>
          <w:rFonts w:ascii="宋体" w:hAnsi="宋体" w:cs="宋体"/>
          <w:b/>
          <w:color w:val="auto"/>
          <w:sz w:val="24"/>
          <w:szCs w:val="24"/>
        </w:rPr>
      </w:pPr>
      <w:bookmarkStart w:id="94" w:name="_Toc25467"/>
      <w:bookmarkStart w:id="95" w:name="_Toc13635"/>
      <w:r>
        <w:rPr>
          <w:rFonts w:hint="eastAsia" w:ascii="宋体" w:hAnsi="宋体" w:cs="宋体"/>
          <w:b/>
          <w:color w:val="auto"/>
          <w:sz w:val="24"/>
          <w:szCs w:val="24"/>
        </w:rPr>
        <w:t>一、政府采购合同文件</w:t>
      </w:r>
      <w:bookmarkEnd w:id="94"/>
      <w:bookmarkEnd w:id="95"/>
    </w:p>
    <w:p>
      <w:pPr>
        <w:spacing w:line="360" w:lineRule="auto"/>
        <w:jc w:val="left"/>
        <w:rPr>
          <w:rFonts w:ascii="宋体" w:hAnsi="宋体" w:cs="宋体"/>
          <w:color w:val="auto"/>
          <w:sz w:val="24"/>
          <w:szCs w:val="24"/>
        </w:rPr>
      </w:pPr>
      <w:r>
        <w:rPr>
          <w:rFonts w:hint="eastAsia" w:ascii="宋体" w:hAnsi="宋体" w:cs="宋体"/>
          <w:color w:val="auto"/>
          <w:sz w:val="24"/>
          <w:szCs w:val="24"/>
        </w:rPr>
        <w:t xml:space="preserve">    本政府采购合同所附下列文件是构成本政府采购合同不可分割的部分：</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w:t>
      </w:r>
      <w:r>
        <w:rPr>
          <w:rFonts w:hint="eastAsia" w:hAnsi="宋体" w:cs="宋体"/>
          <w:sz w:val="24"/>
          <w:szCs w:val="24"/>
          <w:lang w:eastAsia="zh-CN"/>
        </w:rPr>
        <w:t>磋商</w:t>
      </w:r>
      <w:r>
        <w:rPr>
          <w:rFonts w:hint="eastAsia" w:ascii="宋体" w:hAnsi="宋体" w:cs="宋体"/>
          <w:color w:val="auto"/>
          <w:sz w:val="24"/>
          <w:szCs w:val="24"/>
        </w:rPr>
        <w:t>文件（含澄清或者修改文件）；</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w:t>
      </w:r>
      <w:r>
        <w:rPr>
          <w:rFonts w:hint="eastAsia" w:hAnsi="宋体" w:cs="宋体"/>
          <w:sz w:val="24"/>
          <w:szCs w:val="24"/>
          <w:lang w:eastAsia="zh-CN"/>
        </w:rPr>
        <w:t>磋商</w:t>
      </w:r>
      <w:r>
        <w:rPr>
          <w:rFonts w:hint="eastAsia" w:ascii="宋体" w:hAnsi="宋体" w:cs="宋体"/>
          <w:color w:val="auto"/>
          <w:sz w:val="24"/>
          <w:szCs w:val="24"/>
        </w:rPr>
        <w:t>文件的更正公告、变更公告；</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3.乙方提交的投标文件（含澄清或者说明文件）；</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4.政府采购合同条款；</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5.中标通知书；</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6.政府采购合同的其它附件。</w:t>
      </w:r>
    </w:p>
    <w:p>
      <w:pPr>
        <w:spacing w:before="120" w:beforeLines="50" w:line="360" w:lineRule="auto"/>
        <w:ind w:firstLine="482" w:firstLineChars="200"/>
        <w:jc w:val="left"/>
        <w:outlineLvl w:val="0"/>
        <w:rPr>
          <w:rFonts w:ascii="宋体" w:hAnsi="宋体" w:cs="宋体"/>
          <w:b/>
          <w:color w:val="auto"/>
          <w:sz w:val="24"/>
          <w:szCs w:val="24"/>
        </w:rPr>
      </w:pPr>
      <w:bookmarkStart w:id="96" w:name="_Toc13152"/>
      <w:bookmarkStart w:id="97" w:name="_Toc14390"/>
      <w:r>
        <w:rPr>
          <w:rFonts w:hint="eastAsia" w:ascii="宋体" w:hAnsi="宋体" w:cs="宋体"/>
          <w:b/>
          <w:color w:val="auto"/>
          <w:sz w:val="24"/>
          <w:szCs w:val="24"/>
        </w:rPr>
        <w:t>二、政府采购合同范围和条件</w:t>
      </w:r>
      <w:bookmarkEnd w:id="96"/>
      <w:bookmarkEnd w:id="97"/>
    </w:p>
    <w:p>
      <w:pPr>
        <w:spacing w:line="360" w:lineRule="auto"/>
        <w:jc w:val="left"/>
        <w:rPr>
          <w:rFonts w:ascii="宋体" w:hAnsi="宋体" w:cs="宋体"/>
          <w:color w:val="auto"/>
          <w:sz w:val="24"/>
          <w:szCs w:val="24"/>
        </w:rPr>
      </w:pPr>
      <w:r>
        <w:rPr>
          <w:rFonts w:hint="eastAsia" w:ascii="宋体" w:hAnsi="宋体" w:cs="宋体"/>
          <w:color w:val="auto"/>
          <w:sz w:val="24"/>
          <w:szCs w:val="24"/>
        </w:rPr>
        <w:t xml:space="preserve">    本政府采购合同的范围和条件与上述政府采购合同文件的规定相一致。</w:t>
      </w:r>
    </w:p>
    <w:p>
      <w:pPr>
        <w:spacing w:before="120" w:beforeLines="50" w:line="360" w:lineRule="auto"/>
        <w:ind w:firstLine="482" w:firstLineChars="200"/>
        <w:jc w:val="left"/>
        <w:outlineLvl w:val="0"/>
        <w:rPr>
          <w:rFonts w:ascii="宋体" w:hAnsi="宋体" w:cs="宋体"/>
          <w:b/>
          <w:color w:val="auto"/>
          <w:sz w:val="24"/>
          <w:szCs w:val="24"/>
        </w:rPr>
      </w:pPr>
      <w:bookmarkStart w:id="98" w:name="_Toc356"/>
      <w:bookmarkStart w:id="99" w:name="_Toc20819"/>
      <w:r>
        <w:rPr>
          <w:rFonts w:hint="eastAsia" w:ascii="宋体" w:hAnsi="宋体" w:cs="宋体"/>
          <w:b/>
          <w:color w:val="auto"/>
          <w:sz w:val="24"/>
          <w:szCs w:val="24"/>
        </w:rPr>
        <w:t>三、政府采购合同标的</w:t>
      </w:r>
      <w:bookmarkEnd w:id="98"/>
      <w:bookmarkEnd w:id="99"/>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 xml:space="preserve">    本政府采购合同的标的为政府采购合同货物清单(同投标文件中的开标一览表/分项报价明细表)中所列货物及相关服务。</w:t>
      </w:r>
    </w:p>
    <w:p>
      <w:pPr>
        <w:rPr>
          <w:rFonts w:hint="eastAsia" w:ascii="宋体" w:hAnsi="宋体" w:cs="宋体"/>
          <w:color w:val="auto"/>
          <w:sz w:val="24"/>
          <w:szCs w:val="24"/>
        </w:rPr>
      </w:pPr>
      <w:r>
        <w:rPr>
          <w:rFonts w:hint="eastAsia" w:ascii="宋体" w:hAnsi="宋体" w:cs="宋体"/>
          <w:color w:val="auto"/>
          <w:sz w:val="24"/>
          <w:szCs w:val="24"/>
        </w:rPr>
        <w:br w:type="page"/>
      </w:r>
    </w:p>
    <w:p>
      <w:pPr>
        <w:pStyle w:val="34"/>
      </w:pPr>
    </w:p>
    <w:tbl>
      <w:tblPr>
        <w:tblStyle w:val="51"/>
        <w:tblW w:w="9353" w:type="dxa"/>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货物名称</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品牌、规格型号</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（或服务要求）</w:t>
            </w:r>
          </w:p>
        </w:tc>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数量/单位</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单价</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（元）</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单项总价</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(元)</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总       价</w:t>
            </w: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bl>
    <w:p>
      <w:pPr>
        <w:spacing w:before="120" w:beforeLines="50" w:line="360" w:lineRule="auto"/>
        <w:ind w:firstLine="482" w:firstLineChars="200"/>
        <w:jc w:val="left"/>
        <w:outlineLvl w:val="0"/>
        <w:rPr>
          <w:rFonts w:ascii="宋体" w:hAnsi="宋体" w:cs="宋体"/>
          <w:b/>
          <w:color w:val="auto"/>
          <w:sz w:val="24"/>
          <w:szCs w:val="24"/>
        </w:rPr>
      </w:pPr>
      <w:bookmarkStart w:id="100" w:name="_Toc8039"/>
      <w:bookmarkStart w:id="101" w:name="_Toc12757"/>
      <w:r>
        <w:rPr>
          <w:rFonts w:hint="eastAsia" w:ascii="宋体" w:hAnsi="宋体" w:cs="宋体"/>
          <w:b/>
          <w:color w:val="auto"/>
          <w:sz w:val="24"/>
          <w:szCs w:val="24"/>
        </w:rPr>
        <w:t>四、政府采购合同金额</w:t>
      </w:r>
      <w:bookmarkEnd w:id="100"/>
      <w:bookmarkEnd w:id="101"/>
    </w:p>
    <w:p>
      <w:pPr>
        <w:spacing w:line="360" w:lineRule="auto"/>
        <w:jc w:val="left"/>
        <w:rPr>
          <w:rFonts w:ascii="宋体" w:hAnsi="宋体" w:cs="宋体"/>
          <w:b/>
          <w:color w:val="auto"/>
          <w:sz w:val="24"/>
          <w:szCs w:val="24"/>
        </w:rPr>
      </w:pPr>
      <w:r>
        <w:rPr>
          <w:rFonts w:hint="eastAsia" w:ascii="宋体" w:hAnsi="宋体" w:cs="宋体"/>
          <w:color w:val="auto"/>
          <w:sz w:val="24"/>
          <w:szCs w:val="24"/>
        </w:rPr>
        <w:t xml:space="preserve">    根据上述政府采购合同文件要求，政府采购合同的总金额为人民币</w:t>
      </w:r>
      <w:r>
        <w:rPr>
          <w:rFonts w:hint="eastAsia" w:ascii="宋体" w:hAnsi="宋体" w:cs="宋体"/>
          <w:color w:val="auto"/>
          <w:sz w:val="24"/>
          <w:szCs w:val="24"/>
          <w:u w:val="single"/>
        </w:rPr>
        <w:t xml:space="preserve">(大写) </w:t>
      </w:r>
      <w:r>
        <w:rPr>
          <w:rFonts w:hint="eastAsia" w:ascii="宋体" w:hAnsi="宋体" w:cs="宋体"/>
          <w:color w:val="auto"/>
          <w:sz w:val="24"/>
          <w:szCs w:val="24"/>
        </w:rPr>
        <w:t>，小写：</w:t>
      </w:r>
      <w:r>
        <w:rPr>
          <w:rFonts w:hint="eastAsia" w:ascii="宋体" w:hAnsi="宋体" w:cs="宋体"/>
          <w:color w:val="auto"/>
          <w:sz w:val="24"/>
          <w:szCs w:val="24"/>
          <w:u w:val="single"/>
        </w:rPr>
        <w:t xml:space="preserve">  </w:t>
      </w:r>
      <w:r>
        <w:rPr>
          <w:rFonts w:hint="eastAsia" w:ascii="宋体" w:hAnsi="宋体" w:cs="宋体"/>
          <w:color w:val="auto"/>
          <w:sz w:val="24"/>
          <w:szCs w:val="24"/>
        </w:rPr>
        <w:t>元。 （此合同价指验收合格并将货物送到交货地点并安装完成的货款、运输费、安装</w:t>
      </w:r>
      <w:r>
        <w:rPr>
          <w:rFonts w:hint="eastAsia" w:hAnsi="宋体" w:cs="宋体"/>
          <w:color w:val="auto"/>
          <w:sz w:val="24"/>
          <w:szCs w:val="24"/>
          <w:lang w:eastAsia="zh-CN"/>
        </w:rPr>
        <w:t>、</w:t>
      </w:r>
      <w:r>
        <w:rPr>
          <w:rFonts w:hint="eastAsia" w:ascii="宋体" w:hAnsi="宋体" w:cs="宋体"/>
          <w:color w:val="auto"/>
          <w:sz w:val="24"/>
          <w:szCs w:val="24"/>
        </w:rPr>
        <w:t>调试费、保险费、税费等乙方为履行本合同的一切费用）</w:t>
      </w:r>
    </w:p>
    <w:p>
      <w:pPr>
        <w:spacing w:before="120" w:beforeLines="50" w:line="360" w:lineRule="auto"/>
        <w:ind w:firstLine="482" w:firstLineChars="200"/>
        <w:jc w:val="left"/>
        <w:outlineLvl w:val="0"/>
        <w:rPr>
          <w:rFonts w:ascii="宋体" w:hAnsi="宋体" w:cs="宋体"/>
          <w:b/>
          <w:color w:val="auto"/>
          <w:sz w:val="24"/>
          <w:szCs w:val="24"/>
        </w:rPr>
      </w:pPr>
      <w:bookmarkStart w:id="102" w:name="_Toc14593"/>
      <w:bookmarkStart w:id="103" w:name="_Toc17240"/>
      <w:r>
        <w:rPr>
          <w:rFonts w:hint="eastAsia" w:ascii="宋体" w:hAnsi="宋体" w:cs="宋体"/>
          <w:b/>
          <w:color w:val="auto"/>
          <w:sz w:val="24"/>
          <w:szCs w:val="24"/>
        </w:rPr>
        <w:t>五、付款方式</w:t>
      </w:r>
      <w:bookmarkEnd w:id="102"/>
      <w:bookmarkEnd w:id="103"/>
    </w:p>
    <w:p>
      <w:pPr>
        <w:spacing w:line="360" w:lineRule="auto"/>
        <w:ind w:firstLine="480" w:firstLineChars="200"/>
        <w:jc w:val="left"/>
        <w:rPr>
          <w:rFonts w:ascii="宋体" w:hAnsi="宋体" w:cs="宋体"/>
          <w:color w:val="auto"/>
          <w:sz w:val="24"/>
          <w:szCs w:val="24"/>
        </w:rPr>
      </w:pPr>
      <w:bookmarkStart w:id="104" w:name="_Toc31310"/>
      <w:bookmarkStart w:id="105" w:name="_Toc344"/>
      <w:r>
        <w:rPr>
          <w:rFonts w:hint="eastAsia" w:ascii="宋体" w:hAnsi="宋体" w:cs="宋体"/>
          <w:color w:val="auto"/>
          <w:sz w:val="24"/>
          <w:szCs w:val="24"/>
        </w:rPr>
        <w:t>第一期：合同签订后5个工作日内，支付合同总价款的</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%为预付款；</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第</w:t>
      </w:r>
      <w:r>
        <w:rPr>
          <w:rFonts w:hint="eastAsia" w:ascii="宋体" w:hAnsi="宋体" w:cs="宋体"/>
          <w:color w:val="auto"/>
          <w:sz w:val="24"/>
          <w:szCs w:val="24"/>
          <w:lang w:val="en-US" w:eastAsia="zh-CN"/>
        </w:rPr>
        <w:t>二</w:t>
      </w:r>
      <w:r>
        <w:rPr>
          <w:rFonts w:hint="eastAsia" w:ascii="宋体" w:hAnsi="宋体" w:cs="宋体"/>
          <w:color w:val="auto"/>
          <w:sz w:val="24"/>
          <w:szCs w:val="24"/>
        </w:rPr>
        <w:t>期：经双方验收合格后付合同总价款的</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w:t>
      </w:r>
    </w:p>
    <w:p>
      <w:pPr>
        <w:spacing w:before="100" w:beforeAutospacing="1" w:line="360" w:lineRule="auto"/>
        <w:ind w:firstLine="482" w:firstLineChars="200"/>
        <w:jc w:val="left"/>
        <w:outlineLvl w:val="0"/>
        <w:rPr>
          <w:rFonts w:ascii="宋体" w:hAnsi="宋体" w:cs="宋体"/>
          <w:b/>
          <w:color w:val="auto"/>
          <w:sz w:val="24"/>
          <w:szCs w:val="24"/>
        </w:rPr>
      </w:pPr>
      <w:bookmarkStart w:id="106" w:name="_Toc2743"/>
      <w:bookmarkStart w:id="107" w:name="_Toc5515"/>
      <w:r>
        <w:rPr>
          <w:rFonts w:hint="eastAsia" w:ascii="宋体" w:hAnsi="宋体" w:cs="宋体"/>
          <w:b/>
          <w:color w:val="auto"/>
          <w:sz w:val="24"/>
          <w:szCs w:val="24"/>
        </w:rPr>
        <w:t>六、交付时间、交付地点和方式</w:t>
      </w:r>
      <w:bookmarkEnd w:id="106"/>
      <w:bookmarkEnd w:id="107"/>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交付时间：</w:t>
      </w:r>
      <w:r>
        <w:rPr>
          <w:rFonts w:hint="eastAsia" w:ascii="宋体" w:hAnsi="宋体" w:cs="宋体"/>
          <w:bCs/>
          <w:color w:val="auto"/>
          <w:sz w:val="24"/>
          <w:szCs w:val="24"/>
          <w:u w:val="single"/>
          <w:lang w:val="en-US" w:eastAsia="zh-CN"/>
        </w:rPr>
        <w:t xml:space="preserve">                    </w:t>
      </w:r>
    </w:p>
    <w:p>
      <w:pPr>
        <w:spacing w:line="360" w:lineRule="auto"/>
        <w:ind w:firstLine="480" w:firstLineChars="200"/>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交付地点：</w:t>
      </w:r>
      <w:r>
        <w:rPr>
          <w:rFonts w:hint="eastAsia" w:ascii="宋体" w:hAnsi="宋体" w:cs="宋体"/>
          <w:bCs/>
          <w:color w:val="auto"/>
          <w:sz w:val="24"/>
          <w:szCs w:val="24"/>
          <w:u w:val="single"/>
          <w:lang w:val="en-US" w:eastAsia="zh-CN"/>
        </w:rPr>
        <w:t xml:space="preserve">                      </w:t>
      </w:r>
    </w:p>
    <w:p>
      <w:pPr>
        <w:spacing w:before="120" w:beforeLines="50" w:line="360" w:lineRule="auto"/>
        <w:ind w:firstLine="480" w:firstLineChars="200"/>
        <w:jc w:val="left"/>
        <w:outlineLvl w:val="0"/>
        <w:rPr>
          <w:rFonts w:ascii="宋体" w:hAnsi="宋体" w:cs="宋体"/>
          <w:color w:val="auto"/>
          <w:sz w:val="24"/>
          <w:szCs w:val="24"/>
        </w:rPr>
      </w:pPr>
      <w:r>
        <w:rPr>
          <w:rFonts w:hint="eastAsia" w:ascii="宋体" w:hAnsi="宋体" w:cs="宋体"/>
          <w:bCs/>
          <w:color w:val="auto"/>
          <w:sz w:val="24"/>
          <w:szCs w:val="24"/>
        </w:rPr>
        <w:t>交付方式</w:t>
      </w:r>
      <w:r>
        <w:rPr>
          <w:rFonts w:hint="eastAsia" w:ascii="宋体" w:hAnsi="宋体" w:cs="宋体"/>
          <w:color w:val="auto"/>
          <w:sz w:val="24"/>
          <w:szCs w:val="24"/>
        </w:rPr>
        <w:t>：按上述交货地点现场交货。乙方负责办理运输，将货物运抵现场。有关运输的一切费用由乙方承担。</w:t>
      </w:r>
      <w:r>
        <w:rPr>
          <w:rFonts w:hint="eastAsia" w:hAnsi="宋体" w:cs="宋体"/>
          <w:color w:val="auto"/>
          <w:sz w:val="24"/>
          <w:szCs w:val="24"/>
        </w:rPr>
        <w:t>所有货物运抵现扬并经甲方验收合格的日期为交货日期</w:t>
      </w:r>
      <w:r>
        <w:rPr>
          <w:rFonts w:hint="eastAsia" w:ascii="宋体" w:hAnsi="宋体" w:cs="宋体"/>
          <w:color w:val="auto"/>
          <w:sz w:val="24"/>
          <w:szCs w:val="24"/>
        </w:rPr>
        <w:t>。</w:t>
      </w:r>
    </w:p>
    <w:bookmarkEnd w:id="104"/>
    <w:bookmarkEnd w:id="105"/>
    <w:p>
      <w:pPr>
        <w:numPr>
          <w:ilvl w:val="0"/>
          <w:numId w:val="13"/>
        </w:numPr>
        <w:spacing w:before="120" w:beforeLines="50" w:line="360" w:lineRule="auto"/>
        <w:ind w:firstLine="482" w:firstLineChars="200"/>
        <w:jc w:val="left"/>
        <w:outlineLvl w:val="0"/>
        <w:rPr>
          <w:rFonts w:ascii="宋体" w:hAnsi="宋体" w:cs="宋体"/>
          <w:b/>
          <w:color w:val="auto"/>
          <w:sz w:val="24"/>
          <w:szCs w:val="24"/>
        </w:rPr>
      </w:pPr>
      <w:bookmarkStart w:id="108" w:name="_Toc14752"/>
      <w:bookmarkStart w:id="109" w:name="_Toc13786"/>
      <w:r>
        <w:rPr>
          <w:rFonts w:hint="eastAsia" w:ascii="宋体" w:hAnsi="宋体" w:cs="宋体"/>
          <w:b/>
          <w:color w:val="auto"/>
          <w:sz w:val="24"/>
          <w:szCs w:val="24"/>
        </w:rPr>
        <w:t>售后服务（以中标人的投标文件响应为准）</w:t>
      </w:r>
      <w:bookmarkEnd w:id="108"/>
      <w:bookmarkEnd w:id="109"/>
    </w:p>
    <w:p>
      <w:pPr>
        <w:spacing w:before="120" w:beforeLines="50" w:line="360" w:lineRule="auto"/>
        <w:ind w:firstLine="482" w:firstLineChars="200"/>
        <w:jc w:val="left"/>
        <w:outlineLvl w:val="0"/>
        <w:rPr>
          <w:rFonts w:ascii="宋体" w:hAnsi="宋体" w:cs="宋体"/>
          <w:b/>
          <w:color w:val="auto"/>
          <w:sz w:val="24"/>
          <w:szCs w:val="24"/>
        </w:rPr>
      </w:pPr>
      <w:bookmarkStart w:id="110" w:name="_Toc29641"/>
      <w:bookmarkStart w:id="111" w:name="_Toc31761"/>
      <w:r>
        <w:rPr>
          <w:rFonts w:hint="eastAsia" w:ascii="宋体" w:hAnsi="宋体" w:cs="宋体"/>
          <w:b/>
          <w:color w:val="auto"/>
          <w:sz w:val="24"/>
          <w:szCs w:val="24"/>
        </w:rPr>
        <w:t>八、质量保证</w:t>
      </w:r>
      <w:bookmarkEnd w:id="110"/>
      <w:bookmarkEnd w:id="111"/>
    </w:p>
    <w:p>
      <w:pPr>
        <w:spacing w:before="120" w:beforeLines="50" w:line="360" w:lineRule="auto"/>
        <w:ind w:firstLine="480" w:firstLineChars="200"/>
        <w:jc w:val="left"/>
        <w:outlineLvl w:val="0"/>
        <w:rPr>
          <w:rFonts w:ascii="宋体" w:hAnsi="宋体" w:cs="宋体"/>
          <w:b/>
          <w:color w:val="auto"/>
          <w:sz w:val="24"/>
          <w:szCs w:val="24"/>
        </w:rPr>
      </w:pPr>
      <w:bookmarkStart w:id="112" w:name="_Toc23077"/>
      <w:bookmarkStart w:id="113" w:name="_Toc14182"/>
      <w:r>
        <w:rPr>
          <w:rFonts w:hint="eastAsia" w:ascii="宋体" w:hAnsi="宋体" w:cs="宋体"/>
          <w:color w:val="auto"/>
          <w:sz w:val="24"/>
          <w:szCs w:val="24"/>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bookmarkEnd w:id="112"/>
      <w:bookmarkEnd w:id="113"/>
    </w:p>
    <w:p>
      <w:pPr>
        <w:numPr>
          <w:ilvl w:val="0"/>
          <w:numId w:val="0"/>
        </w:numPr>
        <w:spacing w:before="120" w:beforeLines="50" w:line="360" w:lineRule="auto"/>
        <w:ind w:leftChars="200"/>
        <w:jc w:val="left"/>
        <w:outlineLvl w:val="0"/>
        <w:rPr>
          <w:rFonts w:hint="eastAsia" w:ascii="宋体" w:hAnsi="宋体" w:cs="宋体"/>
          <w:b/>
          <w:color w:val="auto"/>
          <w:sz w:val="24"/>
          <w:szCs w:val="24"/>
        </w:rPr>
      </w:pPr>
      <w:bookmarkStart w:id="114" w:name="_Toc28648"/>
      <w:bookmarkStart w:id="115" w:name="_Toc12539"/>
      <w:r>
        <w:rPr>
          <w:rFonts w:hint="eastAsia" w:hAnsi="宋体" w:cs="宋体"/>
          <w:b/>
          <w:color w:val="auto"/>
          <w:sz w:val="24"/>
          <w:szCs w:val="24"/>
          <w:lang w:val="en-US" w:eastAsia="zh-CN"/>
        </w:rPr>
        <w:t>九、</w:t>
      </w:r>
      <w:r>
        <w:rPr>
          <w:rFonts w:hint="eastAsia" w:ascii="宋体" w:hAnsi="宋体" w:cs="宋体"/>
          <w:b/>
          <w:color w:val="auto"/>
          <w:sz w:val="24"/>
          <w:szCs w:val="24"/>
        </w:rPr>
        <w:t>验收要求</w:t>
      </w:r>
      <w:bookmarkEnd w:id="114"/>
      <w:bookmarkEnd w:id="115"/>
    </w:p>
    <w:p>
      <w:pPr>
        <w:numPr>
          <w:ilvl w:val="0"/>
          <w:numId w:val="0"/>
        </w:numPr>
        <w:spacing w:before="120" w:beforeLines="50" w:line="360" w:lineRule="auto"/>
        <w:ind w:leftChars="200"/>
        <w:jc w:val="left"/>
        <w:outlineLvl w:val="0"/>
        <w:rPr>
          <w:rFonts w:hint="default" w:cs="宋体"/>
          <w:b w:val="0"/>
          <w:color w:val="auto"/>
          <w:kern w:val="2"/>
          <w:sz w:val="24"/>
          <w:szCs w:val="24"/>
        </w:rPr>
      </w:pPr>
      <w:r>
        <w:rPr>
          <w:rFonts w:cs="宋体"/>
          <w:b w:val="0"/>
          <w:color w:val="auto"/>
          <w:kern w:val="2"/>
          <w:sz w:val="24"/>
          <w:szCs w:val="24"/>
        </w:rPr>
        <w:t>1.采购人应在中标人交货之日起7 个工作日内组织验收工作。验收时，中标人代表必须在场。采购人将对货物的质量、规格</w:t>
      </w:r>
      <w:r>
        <w:rPr>
          <w:rFonts w:hint="eastAsia" w:cs="宋体"/>
          <w:b w:val="0"/>
          <w:color w:val="auto"/>
          <w:kern w:val="2"/>
          <w:sz w:val="24"/>
          <w:szCs w:val="24"/>
          <w:lang w:eastAsia="zh-CN"/>
        </w:rPr>
        <w:t>、</w:t>
      </w:r>
      <w:r>
        <w:rPr>
          <w:rFonts w:cs="宋体"/>
          <w:b w:val="0"/>
          <w:color w:val="auto"/>
          <w:kern w:val="2"/>
          <w:sz w:val="24"/>
          <w:szCs w:val="24"/>
        </w:rPr>
        <w:t>数量</w:t>
      </w:r>
      <w:r>
        <w:rPr>
          <w:rFonts w:hint="eastAsia" w:cs="宋体"/>
          <w:b w:val="0"/>
          <w:color w:val="auto"/>
          <w:kern w:val="2"/>
          <w:sz w:val="24"/>
          <w:szCs w:val="24"/>
          <w:lang w:eastAsia="zh-CN"/>
        </w:rPr>
        <w:t>、安装</w:t>
      </w:r>
      <w:r>
        <w:rPr>
          <w:rFonts w:cs="宋体"/>
          <w:b w:val="0"/>
          <w:color w:val="auto"/>
          <w:kern w:val="2"/>
          <w:sz w:val="24"/>
          <w:szCs w:val="24"/>
        </w:rPr>
        <w:t>进行检验，并出具验收意见。验收标准除中标人投标文件所响应的质量、规格和数量外，可溯源到国家、行业相关标准。验收后，中标人可在 7 个工作日内提出书面验收异议，否则，视为同意验收意见。</w:t>
      </w:r>
    </w:p>
    <w:p>
      <w:pPr>
        <w:pStyle w:val="4"/>
        <w:spacing w:before="0" w:beforeAutospacing="0" w:after="0" w:afterAutospacing="0" w:line="360" w:lineRule="auto"/>
        <w:ind w:firstLine="480" w:firstLineChars="200"/>
        <w:rPr>
          <w:rFonts w:hint="default" w:cs="宋体"/>
          <w:b w:val="0"/>
          <w:color w:val="auto"/>
          <w:kern w:val="2"/>
          <w:sz w:val="24"/>
          <w:szCs w:val="24"/>
        </w:rPr>
      </w:pPr>
      <w:r>
        <w:rPr>
          <w:rFonts w:cs="宋体"/>
          <w:b w:val="0"/>
          <w:color w:val="auto"/>
          <w:kern w:val="2"/>
          <w:sz w:val="24"/>
          <w:szCs w:val="24"/>
        </w:rPr>
        <w:t>2.采购人有权邀请参加本项目的其他投标人或者第三方机构参与验收。</w:t>
      </w:r>
    </w:p>
    <w:p>
      <w:pPr>
        <w:pStyle w:val="4"/>
        <w:spacing w:before="0" w:beforeAutospacing="0" w:after="0" w:afterAutospacing="0" w:line="360" w:lineRule="auto"/>
        <w:ind w:firstLine="480" w:firstLineChars="200"/>
        <w:rPr>
          <w:rFonts w:hint="default" w:cs="宋体"/>
          <w:b w:val="0"/>
          <w:color w:val="auto"/>
          <w:kern w:val="2"/>
          <w:sz w:val="24"/>
          <w:szCs w:val="24"/>
        </w:rPr>
      </w:pPr>
      <w:r>
        <w:rPr>
          <w:rFonts w:cs="宋体"/>
          <w:b w:val="0"/>
          <w:color w:val="auto"/>
          <w:kern w:val="2"/>
          <w:sz w:val="24"/>
          <w:szCs w:val="24"/>
        </w:rPr>
        <w:t>3.如设备的规格或质量、规格或性能与合同不符，或设备存在缺陷，中标人应接到采购人书面通知后7日内按合同确定的质量、规格或性能予以更换，由此产生的一切费用及给采购人造成的一切损失由中标人承担。同时相应延长质量保证期。</w:t>
      </w:r>
    </w:p>
    <w:p>
      <w:pPr>
        <w:pStyle w:val="4"/>
        <w:spacing w:before="0" w:beforeAutospacing="0" w:after="0" w:afterAutospacing="0" w:line="360" w:lineRule="auto"/>
        <w:ind w:firstLine="480" w:firstLineChars="200"/>
        <w:rPr>
          <w:rFonts w:hint="default" w:cs="宋体"/>
          <w:b w:val="0"/>
          <w:color w:val="auto"/>
          <w:kern w:val="2"/>
          <w:sz w:val="24"/>
          <w:szCs w:val="24"/>
        </w:rPr>
      </w:pPr>
      <w:r>
        <w:rPr>
          <w:rFonts w:cs="宋体"/>
          <w:b w:val="0"/>
          <w:color w:val="auto"/>
          <w:kern w:val="2"/>
          <w:sz w:val="24"/>
          <w:szCs w:val="24"/>
        </w:rPr>
        <w:t>4.如因质量、规格或性能问题，中标人未按第3条的约定处理，采购人有权要求中标人退货，中标人必须按合同约定的货款并加算银行同期贷款利息，退款给采购人；并承担由退货给采购人造成的损失。</w:t>
      </w:r>
    </w:p>
    <w:p>
      <w:pPr>
        <w:pStyle w:val="4"/>
        <w:spacing w:before="0" w:beforeAutospacing="0" w:after="0" w:afterAutospacing="0" w:line="360" w:lineRule="auto"/>
        <w:ind w:firstLine="480" w:firstLineChars="200"/>
        <w:rPr>
          <w:rFonts w:cs="宋体"/>
          <w:b w:val="0"/>
          <w:color w:val="auto"/>
          <w:kern w:val="2"/>
          <w:sz w:val="24"/>
          <w:szCs w:val="24"/>
        </w:rPr>
      </w:pPr>
      <w:r>
        <w:rPr>
          <w:rFonts w:cs="宋体"/>
          <w:b w:val="0"/>
          <w:color w:val="auto"/>
          <w:kern w:val="2"/>
          <w:sz w:val="24"/>
          <w:szCs w:val="24"/>
        </w:rPr>
        <w:t>5.如因设备的质量问题发生纠纷，应由国家质检部门进行质量鉴定。如鉴定结果证明中标人所供货物存在质量问题，费用由中标人承担。否则，由采购人承担。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Arial" w:hAnsi="Arial" w:eastAsia="宋体" w:cs="宋体"/>
          <w:b w:val="0"/>
          <w:bCs/>
          <w:color w:val="auto"/>
          <w:kern w:val="2"/>
          <w:sz w:val="24"/>
          <w:szCs w:val="24"/>
          <w:lang w:val="en-US" w:eastAsia="zh-CN" w:bidi="ar-SA"/>
        </w:rPr>
      </w:pPr>
      <w:r>
        <w:rPr>
          <w:rFonts w:hint="default" w:ascii="Arial" w:hAnsi="Arial" w:eastAsia="宋体" w:cs="宋体"/>
          <w:b w:val="0"/>
          <w:bCs/>
          <w:color w:val="auto"/>
          <w:kern w:val="2"/>
          <w:sz w:val="24"/>
          <w:szCs w:val="24"/>
          <w:lang w:val="en-US" w:eastAsia="zh-CN" w:bidi="ar-SA"/>
        </w:rPr>
        <w:t>6.采购人验收通过并不免除中标人的质量保证责任。</w:t>
      </w:r>
    </w:p>
    <w:p>
      <w:pPr>
        <w:spacing w:before="120" w:beforeLines="50" w:line="360" w:lineRule="auto"/>
        <w:ind w:firstLine="482" w:firstLineChars="200"/>
        <w:jc w:val="left"/>
        <w:outlineLvl w:val="0"/>
        <w:rPr>
          <w:rFonts w:ascii="宋体" w:hAnsi="宋体" w:cs="宋体"/>
          <w:b/>
          <w:color w:val="auto"/>
          <w:sz w:val="24"/>
          <w:szCs w:val="24"/>
        </w:rPr>
      </w:pPr>
      <w:bookmarkStart w:id="116" w:name="_Toc2447"/>
      <w:bookmarkStart w:id="117" w:name="_Toc30057"/>
      <w:r>
        <w:rPr>
          <w:rFonts w:hint="eastAsia" w:ascii="宋体" w:hAnsi="宋体" w:cs="宋体"/>
          <w:b/>
          <w:color w:val="auto"/>
          <w:sz w:val="24"/>
          <w:szCs w:val="24"/>
        </w:rPr>
        <w:t>十、包装材料及运输环节</w:t>
      </w:r>
      <w:bookmarkEnd w:id="116"/>
      <w:bookmarkEnd w:id="117"/>
    </w:p>
    <w:p>
      <w:pPr>
        <w:spacing w:before="120" w:beforeLines="50" w:line="360" w:lineRule="auto"/>
        <w:ind w:firstLine="480" w:firstLineChars="200"/>
        <w:jc w:val="left"/>
        <w:outlineLvl w:val="0"/>
        <w:rPr>
          <w:rFonts w:ascii="宋体" w:hAnsi="宋体" w:cs="宋体"/>
          <w:color w:val="auto"/>
          <w:sz w:val="24"/>
          <w:szCs w:val="24"/>
        </w:rPr>
      </w:pPr>
      <w:bookmarkStart w:id="118" w:name="_Toc22841"/>
      <w:bookmarkStart w:id="119" w:name="_Toc11010"/>
      <w:r>
        <w:rPr>
          <w:rFonts w:hint="eastAsia" w:ascii="宋体" w:hAnsi="宋体" w:cs="宋体"/>
          <w:color w:val="auto"/>
          <w:sz w:val="24"/>
          <w:szCs w:val="24"/>
        </w:rPr>
        <w:t>1.包装材料的具体要求：采购产品的塑料包装材料应符合海南禁塑制品名录要求，优先使用低（无）挥发性有机物（VOCs）含量油墨印刷标识和全生物降解塑料。</w:t>
      </w:r>
      <w:bookmarkEnd w:id="118"/>
      <w:bookmarkEnd w:id="119"/>
    </w:p>
    <w:p>
      <w:pPr>
        <w:spacing w:before="120" w:beforeLines="50" w:line="360" w:lineRule="auto"/>
        <w:ind w:firstLine="480" w:firstLineChars="200"/>
        <w:jc w:val="left"/>
        <w:outlineLvl w:val="0"/>
        <w:rPr>
          <w:rFonts w:ascii="宋体" w:hAnsi="宋体" w:cs="宋体"/>
          <w:color w:val="auto"/>
          <w:sz w:val="24"/>
          <w:szCs w:val="24"/>
        </w:rPr>
      </w:pPr>
      <w:bookmarkStart w:id="120" w:name="_Toc13999"/>
      <w:bookmarkStart w:id="121" w:name="_Toc5024"/>
      <w:r>
        <w:rPr>
          <w:rFonts w:hint="eastAsia" w:ascii="宋体" w:hAnsi="宋体" w:cs="宋体"/>
          <w:color w:val="auto"/>
          <w:sz w:val="24"/>
          <w:szCs w:val="24"/>
        </w:rPr>
        <w:t>2.运输环节的具体要求：采购产品的运输优先使用清洁能源汽车。</w:t>
      </w:r>
      <w:bookmarkEnd w:id="120"/>
      <w:bookmarkEnd w:id="121"/>
    </w:p>
    <w:p>
      <w:pPr>
        <w:spacing w:before="120" w:beforeLines="50" w:line="360" w:lineRule="auto"/>
        <w:ind w:firstLine="482" w:firstLineChars="200"/>
        <w:jc w:val="left"/>
        <w:outlineLvl w:val="0"/>
        <w:rPr>
          <w:rFonts w:ascii="宋体" w:hAnsi="宋体" w:cs="宋体"/>
          <w:b/>
          <w:color w:val="auto"/>
          <w:sz w:val="24"/>
          <w:szCs w:val="24"/>
        </w:rPr>
      </w:pPr>
      <w:bookmarkStart w:id="122" w:name="_Toc28432"/>
      <w:bookmarkStart w:id="123" w:name="_Toc27218"/>
      <w:r>
        <w:rPr>
          <w:rFonts w:hint="eastAsia" w:ascii="宋体" w:hAnsi="宋体" w:cs="宋体"/>
          <w:b/>
          <w:color w:val="auto"/>
          <w:sz w:val="24"/>
          <w:szCs w:val="24"/>
        </w:rPr>
        <w:t>十一、违约责任</w:t>
      </w:r>
      <w:bookmarkEnd w:id="122"/>
      <w:bookmarkEnd w:id="123"/>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1.如甲方验收不符合产品目录或达不到国家标准，乙方无条件退货</w:t>
      </w:r>
      <w:r>
        <w:rPr>
          <w:rFonts w:hint="eastAsia" w:hAnsi="宋体" w:cs="宋体"/>
          <w:color w:val="auto"/>
          <w:sz w:val="24"/>
          <w:szCs w:val="24"/>
          <w:lang w:eastAsia="zh-CN"/>
        </w:rPr>
        <w:t>、退款</w:t>
      </w:r>
      <w:r>
        <w:rPr>
          <w:rFonts w:hint="eastAsia" w:ascii="宋体" w:hAnsi="宋体" w:cs="宋体"/>
          <w:color w:val="auto"/>
          <w:sz w:val="24"/>
          <w:szCs w:val="24"/>
        </w:rPr>
        <w:t>并偿付货款</w:t>
      </w:r>
      <w:r>
        <w:rPr>
          <w:rFonts w:hint="eastAsia" w:ascii="宋体" w:hAnsi="宋体" w:cs="宋体"/>
          <w:color w:val="auto"/>
          <w:sz w:val="24"/>
          <w:szCs w:val="24"/>
          <w:u w:val="single"/>
        </w:rPr>
        <w:t xml:space="preserve">  </w:t>
      </w:r>
      <w:r>
        <w:rPr>
          <w:rFonts w:ascii="宋体" w:hAnsi="宋体" w:cs="宋体"/>
          <w:color w:val="auto"/>
          <w:sz w:val="24"/>
          <w:szCs w:val="24"/>
          <w:u w:val="single"/>
        </w:rPr>
        <w:t>20</w:t>
      </w:r>
      <w:r>
        <w:rPr>
          <w:rFonts w:hint="eastAsia" w:ascii="宋体" w:hAnsi="宋体" w:cs="宋体"/>
          <w:color w:val="auto"/>
          <w:sz w:val="24"/>
          <w:szCs w:val="24"/>
          <w:u w:val="single"/>
        </w:rPr>
        <w:t xml:space="preserve">  </w:t>
      </w:r>
      <w:r>
        <w:rPr>
          <w:rFonts w:hint="eastAsia" w:ascii="宋体" w:hAnsi="宋体" w:cs="宋体"/>
          <w:color w:val="auto"/>
          <w:sz w:val="24"/>
          <w:szCs w:val="24"/>
        </w:rPr>
        <w:t>%的违约金。</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2.如乙方不能按期交货或甲方无正当理由中途退货，向对方偿付不能交货或中途退货货款每日</w:t>
      </w:r>
      <w:r>
        <w:rPr>
          <w:rFonts w:hint="eastAsia" w:hAnsi="宋体" w:cs="宋体"/>
          <w:color w:val="auto"/>
          <w:sz w:val="24"/>
          <w:szCs w:val="24"/>
          <w:u w:val="single"/>
          <w:lang w:val="en-US" w:eastAsia="zh-CN"/>
        </w:rPr>
        <w:t>2‰</w:t>
      </w:r>
      <w:r>
        <w:rPr>
          <w:rFonts w:hint="eastAsia" w:ascii="宋体" w:hAnsi="宋体" w:cs="宋体"/>
          <w:color w:val="auto"/>
          <w:sz w:val="24"/>
          <w:szCs w:val="24"/>
        </w:rPr>
        <w:t>的违约金。</w:t>
      </w:r>
    </w:p>
    <w:p>
      <w:pPr>
        <w:spacing w:line="360" w:lineRule="auto"/>
        <w:ind w:firstLine="480" w:firstLineChars="200"/>
        <w:jc w:val="left"/>
        <w:rPr>
          <w:color w:val="auto"/>
          <w:sz w:val="24"/>
          <w:szCs w:val="24"/>
        </w:rPr>
      </w:pPr>
      <w:r>
        <w:rPr>
          <w:rFonts w:hint="eastAsia" w:ascii="宋体" w:hAnsi="宋体" w:cs="宋体"/>
          <w:color w:val="auto"/>
          <w:sz w:val="24"/>
          <w:szCs w:val="24"/>
        </w:rPr>
        <w:t>3.如乙方交付货物使用的塑料包装材料不符合海南禁塑制品名录要求或者运输车辆达不到国家标准，乙方无条件退货并偿付货款</w:t>
      </w:r>
      <w:r>
        <w:rPr>
          <w:rFonts w:hint="eastAsia" w:ascii="宋体" w:hAnsi="宋体" w:cs="宋体"/>
          <w:color w:val="auto"/>
          <w:sz w:val="24"/>
          <w:szCs w:val="24"/>
          <w:u w:val="single"/>
        </w:rPr>
        <w:t xml:space="preserve">   20  </w:t>
      </w:r>
      <w:r>
        <w:rPr>
          <w:rFonts w:hint="eastAsia" w:ascii="宋体" w:hAnsi="宋体" w:cs="宋体"/>
          <w:color w:val="auto"/>
          <w:sz w:val="24"/>
          <w:szCs w:val="24"/>
        </w:rPr>
        <w:t>%的违约金。</w:t>
      </w:r>
    </w:p>
    <w:p>
      <w:pPr>
        <w:tabs>
          <w:tab w:val="left" w:pos="1980"/>
        </w:tabs>
        <w:snapToGrid w:val="0"/>
        <w:spacing w:before="19" w:line="500" w:lineRule="exact"/>
        <w:ind w:firstLine="472" w:firstLineChars="196"/>
        <w:outlineLvl w:val="0"/>
        <w:rPr>
          <w:rFonts w:ascii="宋体" w:hAnsi="宋体" w:cs="宋体"/>
          <w:b/>
          <w:color w:val="auto"/>
          <w:sz w:val="24"/>
          <w:szCs w:val="24"/>
        </w:rPr>
      </w:pPr>
      <w:bookmarkStart w:id="124" w:name="_Toc20817"/>
      <w:bookmarkStart w:id="125" w:name="_Toc3659"/>
      <w:r>
        <w:rPr>
          <w:rFonts w:hint="eastAsia" w:ascii="宋体" w:hAnsi="宋体" w:cs="宋体"/>
          <w:b/>
          <w:color w:val="auto"/>
          <w:sz w:val="24"/>
          <w:szCs w:val="24"/>
        </w:rPr>
        <w:t>十二、合同纠纷处理</w:t>
      </w:r>
      <w:bookmarkEnd w:id="124"/>
      <w:bookmarkEnd w:id="125"/>
    </w:p>
    <w:p>
      <w:pPr>
        <w:tabs>
          <w:tab w:val="left" w:pos="1980"/>
        </w:tabs>
        <w:snapToGrid w:val="0"/>
        <w:spacing w:before="19" w:line="500" w:lineRule="exact"/>
        <w:ind w:firstLine="470" w:firstLineChars="196"/>
        <w:rPr>
          <w:rFonts w:ascii="宋体" w:hAnsi="宋体" w:cs="宋体"/>
          <w:color w:val="auto"/>
          <w:sz w:val="24"/>
          <w:szCs w:val="24"/>
        </w:rPr>
      </w:pPr>
      <w:r>
        <w:rPr>
          <w:rFonts w:hint="eastAsia" w:ascii="宋体" w:hAnsi="宋体" w:cs="宋体"/>
          <w:color w:val="auto"/>
          <w:sz w:val="24"/>
          <w:szCs w:val="24"/>
        </w:rPr>
        <w:t>本合同履行过程中发生的任何争议，甲乙双方当事人均可通过和解或者调解解决；不愿和解、调解或者和解、调解不成的，可以选择下列第</w:t>
      </w:r>
      <w:r>
        <w:rPr>
          <w:rFonts w:hint="eastAsia" w:ascii="宋体" w:hAnsi="宋体" w:cs="宋体"/>
          <w:color w:val="auto"/>
          <w:sz w:val="24"/>
          <w:szCs w:val="24"/>
          <w:u w:val="single"/>
        </w:rPr>
        <w:t xml:space="preserve">    </w:t>
      </w:r>
      <w:r>
        <w:rPr>
          <w:rFonts w:hint="eastAsia" w:ascii="宋体" w:hAnsi="宋体" w:cs="宋体"/>
          <w:color w:val="auto"/>
          <w:sz w:val="24"/>
          <w:szCs w:val="24"/>
        </w:rPr>
        <w:t>种方式解决：</w:t>
      </w:r>
    </w:p>
    <w:p>
      <w:pPr>
        <w:numPr>
          <w:ilvl w:val="0"/>
          <w:numId w:val="14"/>
        </w:num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将争议提交</w:t>
      </w:r>
      <w:r>
        <w:rPr>
          <w:rFonts w:hint="eastAsia" w:ascii="宋体" w:hAnsi="宋体" w:cs="宋体"/>
          <w:color w:val="auto"/>
          <w:sz w:val="24"/>
          <w:szCs w:val="24"/>
          <w:u w:val="single"/>
        </w:rPr>
        <w:t xml:space="preserve">              </w:t>
      </w:r>
      <w:r>
        <w:rPr>
          <w:rFonts w:hint="eastAsia" w:ascii="宋体" w:hAnsi="宋体" w:cs="宋体"/>
          <w:color w:val="auto"/>
          <w:sz w:val="24"/>
          <w:szCs w:val="24"/>
        </w:rPr>
        <w:t>仲裁委员会依申请仲裁时其现行有效的仲裁规则裁决；</w:t>
      </w:r>
    </w:p>
    <w:p>
      <w:pPr>
        <w:tabs>
          <w:tab w:val="left" w:pos="1980"/>
        </w:tabs>
        <w:snapToGrid w:val="0"/>
        <w:spacing w:before="19" w:line="500" w:lineRule="exact"/>
        <w:ind w:firstLine="470" w:firstLineChars="196"/>
        <w:rPr>
          <w:rFonts w:ascii="宋体" w:hAnsi="宋体" w:cs="宋体"/>
          <w:color w:val="auto"/>
          <w:sz w:val="24"/>
          <w:szCs w:val="24"/>
          <w:shd w:val="clear" w:color="auto" w:fill="FFFFFF"/>
        </w:rPr>
      </w:pPr>
      <w:r>
        <w:rPr>
          <w:rFonts w:hint="eastAsia" w:ascii="宋体" w:hAnsi="宋体" w:cs="宋体"/>
          <w:color w:val="auto"/>
          <w:sz w:val="24"/>
          <w:szCs w:val="24"/>
        </w:rPr>
        <w:t>（2） 向</w:t>
      </w:r>
      <w:r>
        <w:rPr>
          <w:rFonts w:hint="eastAsia" w:ascii="宋体" w:hAnsi="宋体" w:cs="宋体"/>
          <w:color w:val="auto"/>
          <w:sz w:val="24"/>
          <w:szCs w:val="24"/>
          <w:u w:val="single"/>
        </w:rPr>
        <w:t xml:space="preserve">  （被告住所地、合同履行地、合同签订地、原告住所地、标的物所在地等与争议有实际联系的地点中选出的人民法院名称）  </w:t>
      </w:r>
      <w:r>
        <w:rPr>
          <w:rFonts w:hint="eastAsia" w:ascii="宋体" w:hAnsi="宋体" w:cs="宋体"/>
          <w:color w:val="auto"/>
          <w:sz w:val="24"/>
          <w:szCs w:val="24"/>
        </w:rPr>
        <w:t>人民法院起诉</w:t>
      </w:r>
      <w:r>
        <w:rPr>
          <w:rFonts w:hint="eastAsia" w:ascii="宋体" w:hAnsi="宋体" w:cs="宋体"/>
          <w:color w:val="auto"/>
          <w:sz w:val="24"/>
          <w:szCs w:val="24"/>
          <w:shd w:val="clear" w:color="auto" w:fill="FFFFFF"/>
        </w:rPr>
        <w:t>。</w:t>
      </w:r>
    </w:p>
    <w:p>
      <w:pPr>
        <w:spacing w:before="120" w:beforeLines="50" w:line="360" w:lineRule="auto"/>
        <w:ind w:firstLine="482" w:firstLineChars="200"/>
        <w:jc w:val="left"/>
        <w:outlineLvl w:val="0"/>
        <w:rPr>
          <w:rFonts w:ascii="宋体" w:hAnsi="宋体" w:cs="宋体"/>
          <w:b/>
          <w:color w:val="auto"/>
          <w:sz w:val="24"/>
          <w:szCs w:val="24"/>
        </w:rPr>
      </w:pPr>
      <w:bookmarkStart w:id="126" w:name="_Toc23841"/>
      <w:bookmarkStart w:id="127" w:name="_Toc20303"/>
      <w:r>
        <w:rPr>
          <w:rFonts w:hint="eastAsia" w:ascii="宋体" w:hAnsi="宋体" w:cs="宋体"/>
          <w:b/>
          <w:color w:val="auto"/>
          <w:sz w:val="24"/>
          <w:szCs w:val="24"/>
        </w:rPr>
        <w:t>十三、政府采购合同生效</w:t>
      </w:r>
      <w:bookmarkEnd w:id="126"/>
      <w:bookmarkEnd w:id="127"/>
    </w:p>
    <w:p>
      <w:pPr>
        <w:spacing w:before="120" w:beforeLines="50" w:line="360" w:lineRule="auto"/>
        <w:ind w:firstLine="480" w:firstLineChars="200"/>
        <w:jc w:val="left"/>
        <w:outlineLvl w:val="0"/>
        <w:rPr>
          <w:rFonts w:ascii="宋体" w:hAnsi="宋体" w:cs="宋体"/>
          <w:color w:val="auto"/>
          <w:sz w:val="24"/>
          <w:szCs w:val="24"/>
        </w:rPr>
      </w:pPr>
      <w:bookmarkStart w:id="128" w:name="_Toc26511"/>
      <w:bookmarkStart w:id="129" w:name="_Toc21060"/>
      <w:r>
        <w:rPr>
          <w:rFonts w:hint="eastAsia" w:ascii="宋体" w:hAnsi="宋体" w:cs="宋体"/>
          <w:color w:val="auto"/>
          <w:sz w:val="24"/>
          <w:szCs w:val="24"/>
        </w:rPr>
        <w:t>本政府采购合同经甲乙双方</w:t>
      </w:r>
      <w:r>
        <w:rPr>
          <w:rFonts w:hint="eastAsia" w:hAnsi="宋体" w:cs="宋体"/>
          <w:color w:val="auto"/>
          <w:sz w:val="24"/>
          <w:szCs w:val="24"/>
        </w:rPr>
        <w:t>法定代表人或授权代表签字并加盖单位公章</w:t>
      </w:r>
      <w:r>
        <w:rPr>
          <w:rFonts w:hint="eastAsia" w:ascii="宋体" w:hAnsi="宋体" w:cs="宋体"/>
          <w:color w:val="auto"/>
          <w:sz w:val="24"/>
          <w:szCs w:val="24"/>
        </w:rPr>
        <w:t>后生效。</w:t>
      </w:r>
      <w:bookmarkEnd w:id="128"/>
      <w:bookmarkEnd w:id="129"/>
    </w:p>
    <w:p>
      <w:pPr>
        <w:spacing w:before="120" w:beforeLines="50" w:line="360" w:lineRule="auto"/>
        <w:ind w:firstLine="480" w:firstLineChars="200"/>
        <w:jc w:val="left"/>
        <w:outlineLvl w:val="0"/>
        <w:rPr>
          <w:rFonts w:ascii="宋体" w:hAnsi="宋体" w:cs="宋体"/>
          <w:color w:val="auto"/>
          <w:sz w:val="24"/>
          <w:szCs w:val="24"/>
        </w:rPr>
      </w:pPr>
      <w:bookmarkStart w:id="130" w:name="_Toc20750"/>
      <w:bookmarkStart w:id="131" w:name="_Toc11749"/>
      <w:r>
        <w:rPr>
          <w:rFonts w:hint="eastAsia" w:ascii="宋体" w:hAnsi="宋体" w:cs="宋体"/>
          <w:color w:val="auto"/>
          <w:sz w:val="24"/>
          <w:szCs w:val="24"/>
        </w:rPr>
        <w:t>本合同共三份：甲方一份、乙方一份、</w:t>
      </w:r>
      <w:r>
        <w:rPr>
          <w:rFonts w:hint="eastAsia" w:ascii="宋体" w:hAnsi="宋体" w:cs="宋体"/>
          <w:color w:val="auto"/>
          <w:sz w:val="24"/>
          <w:szCs w:val="24"/>
          <w:lang w:eastAsia="zh-CN"/>
        </w:rPr>
        <w:t>中经国际工程咨询集团有限公司</w:t>
      </w:r>
      <w:r>
        <w:rPr>
          <w:rFonts w:hint="eastAsia" w:ascii="宋体" w:hAnsi="宋体" w:cs="宋体"/>
          <w:color w:val="auto"/>
          <w:sz w:val="24"/>
          <w:szCs w:val="24"/>
        </w:rPr>
        <w:t>一份。</w:t>
      </w:r>
      <w:bookmarkEnd w:id="130"/>
      <w:bookmarkEnd w:id="131"/>
    </w:p>
    <w:p>
      <w:pPr>
        <w:tabs>
          <w:tab w:val="left" w:pos="1980"/>
        </w:tabs>
        <w:snapToGrid w:val="0"/>
        <w:spacing w:before="19" w:line="500" w:lineRule="exact"/>
        <w:ind w:firstLine="472" w:firstLineChars="196"/>
        <w:outlineLvl w:val="0"/>
        <w:rPr>
          <w:rFonts w:hint="default" w:hAnsi="宋体" w:cs="宋体"/>
          <w:b/>
          <w:sz w:val="24"/>
          <w:szCs w:val="24"/>
          <w:lang w:val="en-US" w:eastAsia="zh-CN"/>
        </w:rPr>
      </w:pPr>
      <w:bookmarkStart w:id="132" w:name="_Toc2738"/>
      <w:bookmarkStart w:id="133" w:name="_Toc611"/>
      <w:r>
        <w:rPr>
          <w:rFonts w:hint="eastAsia" w:hAnsi="宋体" w:cs="宋体"/>
          <w:b/>
          <w:sz w:val="24"/>
          <w:szCs w:val="24"/>
          <w:lang w:eastAsia="zh-CN"/>
        </w:rPr>
        <w:t>十四、通知</w:t>
      </w:r>
      <w:r>
        <w:rPr>
          <w:rFonts w:hint="eastAsia" w:hAnsi="宋体" w:cs="宋体"/>
          <w:b/>
          <w:sz w:val="24"/>
          <w:szCs w:val="24"/>
          <w:lang w:val="en-US" w:eastAsia="zh-CN"/>
        </w:rPr>
        <w:t>款项</w:t>
      </w:r>
    </w:p>
    <w:p>
      <w:pPr>
        <w:tabs>
          <w:tab w:val="left" w:pos="1980"/>
        </w:tabs>
        <w:snapToGrid w:val="0"/>
        <w:spacing w:before="19" w:line="500" w:lineRule="exact"/>
        <w:ind w:firstLine="470" w:firstLineChars="196"/>
        <w:outlineLvl w:val="0"/>
        <w:rPr>
          <w:rFonts w:hint="eastAsia" w:ascii="宋体" w:hAnsi="宋体" w:cs="宋体"/>
          <w:b/>
          <w:color w:val="auto"/>
          <w:sz w:val="24"/>
          <w:szCs w:val="24"/>
        </w:rPr>
      </w:pPr>
      <w:r>
        <w:rPr>
          <w:rFonts w:hint="eastAsia" w:hAnsi="宋体" w:cs="宋体"/>
          <w:sz w:val="24"/>
          <w:szCs w:val="24"/>
          <w:lang w:eastAsia="zh-CN"/>
        </w:rPr>
        <w:t>与本合同有关的双方往来联系、通知、书面文件及司法文书送达发送合同签章处的联系人或联系地址即构成有效通知。相关联系方式和地址等信息发生变化的，变更方应当在变更当日书面通知对方，否则应自行承担逾期未通知所造成的损失。</w:t>
      </w:r>
    </w:p>
    <w:p>
      <w:pPr>
        <w:tabs>
          <w:tab w:val="left" w:pos="1980"/>
        </w:tabs>
        <w:snapToGrid w:val="0"/>
        <w:spacing w:before="19" w:line="500" w:lineRule="exact"/>
        <w:ind w:firstLine="472" w:firstLineChars="196"/>
        <w:outlineLvl w:val="0"/>
        <w:rPr>
          <w:rFonts w:ascii="宋体" w:hAnsi="宋体" w:cs="宋体"/>
          <w:b/>
          <w:color w:val="auto"/>
          <w:sz w:val="24"/>
          <w:szCs w:val="24"/>
        </w:rPr>
      </w:pPr>
      <w:r>
        <w:rPr>
          <w:rFonts w:hint="eastAsia" w:ascii="宋体" w:hAnsi="宋体" w:cs="宋体"/>
          <w:b/>
          <w:color w:val="auto"/>
          <w:sz w:val="24"/>
          <w:szCs w:val="24"/>
        </w:rPr>
        <w:t>十</w:t>
      </w:r>
      <w:r>
        <w:rPr>
          <w:rFonts w:hint="eastAsia" w:hAnsi="宋体" w:cs="宋体"/>
          <w:b/>
          <w:color w:val="auto"/>
          <w:sz w:val="24"/>
          <w:szCs w:val="24"/>
          <w:lang w:val="en-US" w:eastAsia="zh-CN"/>
        </w:rPr>
        <w:t>五</w:t>
      </w:r>
      <w:r>
        <w:rPr>
          <w:rFonts w:hint="eastAsia" w:ascii="宋体" w:hAnsi="宋体" w:cs="宋体"/>
          <w:b/>
          <w:color w:val="auto"/>
          <w:sz w:val="24"/>
          <w:szCs w:val="24"/>
        </w:rPr>
        <w:t>、其他</w:t>
      </w:r>
      <w:bookmarkEnd w:id="132"/>
      <w:bookmarkEnd w:id="133"/>
    </w:p>
    <w:p>
      <w:pPr>
        <w:spacing w:before="120" w:beforeLines="50" w:line="360" w:lineRule="auto"/>
        <w:ind w:firstLine="480" w:firstLineChars="200"/>
        <w:jc w:val="left"/>
        <w:outlineLvl w:val="0"/>
        <w:rPr>
          <w:rFonts w:ascii="宋体" w:hAnsi="宋体" w:cs="宋体"/>
          <w:color w:val="auto"/>
          <w:sz w:val="24"/>
          <w:szCs w:val="24"/>
        </w:rPr>
      </w:pPr>
      <w:bookmarkStart w:id="134" w:name="_Toc718"/>
      <w:bookmarkStart w:id="135" w:name="_Toc22327"/>
      <w:r>
        <w:rPr>
          <w:rFonts w:hint="eastAsia" w:ascii="宋体" w:hAnsi="宋体" w:cs="宋体"/>
          <w:color w:val="auto"/>
          <w:sz w:val="24"/>
          <w:szCs w:val="24"/>
        </w:rPr>
        <w:t>本合同未尽事宜，双方可以增加条款或补充协议的形式加以补充，但增加或补充协议的条款不得对磋商文件和投标文件约定的内容作实质性修改。补充协议与本合同具有相同的法律效力。</w:t>
      </w:r>
      <w:bookmarkEnd w:id="134"/>
      <w:bookmarkEnd w:id="135"/>
    </w:p>
    <w:p>
      <w:pPr>
        <w:autoSpaceDE w:val="0"/>
        <w:autoSpaceDN w:val="0"/>
        <w:adjustRightInd w:val="0"/>
        <w:spacing w:line="360" w:lineRule="auto"/>
        <w:ind w:firstLine="120" w:firstLineChars="50"/>
        <w:jc w:val="left"/>
        <w:rPr>
          <w:rFonts w:ascii="宋体" w:hAnsi="宋体" w:cs="宋体"/>
          <w:color w:val="auto"/>
          <w:sz w:val="24"/>
          <w:szCs w:val="24"/>
        </w:rPr>
      </w:pPr>
    </w:p>
    <w:p>
      <w:pPr>
        <w:autoSpaceDE w:val="0"/>
        <w:autoSpaceDN w:val="0"/>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附件：</w:t>
      </w:r>
      <w:r>
        <w:rPr>
          <w:rFonts w:hint="eastAsia" w:hAnsi="宋体" w:cs="宋体"/>
          <w:color w:val="auto"/>
          <w:sz w:val="24"/>
          <w:szCs w:val="24"/>
        </w:rPr>
        <w:t>中标通知书。</w:t>
      </w:r>
    </w:p>
    <w:p>
      <w:pPr>
        <w:spacing w:line="360" w:lineRule="auto"/>
        <w:ind w:firstLine="480" w:firstLineChars="200"/>
        <w:rPr>
          <w:rFonts w:ascii="宋体" w:hAnsi="宋体" w:cs="宋体"/>
          <w:color w:val="auto"/>
          <w:sz w:val="24"/>
          <w:szCs w:val="24"/>
        </w:rPr>
      </w:pP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 xml:space="preserve">甲方（公章）:                        乙方(公章):  </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办公地址：                           办公地址：</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法定代表人                           法定代表人</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或授权代表(签字):                    或授权代表(签字):</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联系人：                             联系人：</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电话：                               电话：</w:t>
      </w:r>
    </w:p>
    <w:p>
      <w:pPr>
        <w:snapToGrid w:val="0"/>
        <w:ind w:firstLine="444" w:firstLineChars="185"/>
        <w:rPr>
          <w:rFonts w:ascii="宋体" w:hAnsi="宋体" w:cs="宋体"/>
          <w:color w:val="auto"/>
          <w:sz w:val="24"/>
          <w:szCs w:val="24"/>
          <w:lang w:val="zh-CN"/>
        </w:rPr>
      </w:pPr>
      <w:r>
        <w:rPr>
          <w:rFonts w:hint="eastAsia" w:ascii="宋体" w:hAnsi="宋体" w:cs="宋体"/>
          <w:color w:val="auto"/>
          <w:sz w:val="24"/>
          <w:szCs w:val="24"/>
          <w:lang w:val="zh-CN"/>
        </w:rPr>
        <w:t>传真:                                传真:</w:t>
      </w:r>
    </w:p>
    <w:p>
      <w:pPr>
        <w:snapToGrid w:val="0"/>
        <w:ind w:firstLine="444" w:firstLineChars="185"/>
        <w:rPr>
          <w:rFonts w:ascii="宋体" w:hAnsi="宋体" w:cs="宋体"/>
          <w:color w:val="auto"/>
          <w:sz w:val="24"/>
          <w:szCs w:val="24"/>
        </w:rPr>
      </w:pPr>
      <w:r>
        <w:rPr>
          <w:rFonts w:hint="eastAsia" w:ascii="宋体" w:hAnsi="宋体" w:cs="宋体"/>
          <w:color w:val="auto"/>
          <w:sz w:val="24"/>
          <w:szCs w:val="24"/>
          <w:lang w:val="zh-CN"/>
        </w:rPr>
        <w:t>电子邮箱：                           电子邮箱：</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 xml:space="preserve">开户银行：                           开户银行： </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 xml:space="preserve">开户名称：                           开户名称： </w:t>
      </w:r>
    </w:p>
    <w:p>
      <w:pPr>
        <w:snapToGrid w:val="0"/>
        <w:ind w:firstLine="444" w:firstLineChars="185"/>
        <w:rPr>
          <w:rFonts w:ascii="宋体" w:hAnsi="宋体" w:cs="宋体"/>
          <w:color w:val="auto"/>
          <w:sz w:val="24"/>
          <w:szCs w:val="24"/>
        </w:rPr>
      </w:pPr>
      <w:r>
        <w:rPr>
          <w:rFonts w:hint="eastAsia" w:ascii="宋体" w:hAnsi="宋体" w:cs="宋体"/>
          <w:color w:val="auto"/>
          <w:sz w:val="24"/>
          <w:szCs w:val="24"/>
        </w:rPr>
        <w:t>开户账号：</w:t>
      </w:r>
      <w:r>
        <w:rPr>
          <w:rFonts w:hint="eastAsia" w:ascii="宋体" w:hAnsi="宋体" w:cs="宋体"/>
          <w:color w:val="auto"/>
          <w:sz w:val="24"/>
          <w:szCs w:val="24"/>
          <w:lang w:val="zh-CN"/>
        </w:rPr>
        <w:t xml:space="preserve">                           </w:t>
      </w:r>
      <w:r>
        <w:rPr>
          <w:rFonts w:hint="eastAsia" w:ascii="宋体" w:hAnsi="宋体" w:cs="宋体"/>
          <w:color w:val="auto"/>
          <w:sz w:val="24"/>
          <w:szCs w:val="24"/>
        </w:rPr>
        <w:t>开户账号：</w:t>
      </w:r>
    </w:p>
    <w:p>
      <w:pPr>
        <w:snapToGrid w:val="0"/>
        <w:spacing w:before="19"/>
        <w:ind w:firstLine="960" w:firstLineChars="400"/>
        <w:rPr>
          <w:rFonts w:ascii="宋体" w:hAnsi="宋体" w:cs="宋体"/>
          <w:color w:val="auto"/>
          <w:sz w:val="24"/>
          <w:szCs w:val="24"/>
        </w:rPr>
      </w:pPr>
    </w:p>
    <w:p>
      <w:pPr>
        <w:snapToGrid w:val="0"/>
        <w:spacing w:before="19"/>
        <w:rPr>
          <w:rFonts w:ascii="宋体" w:hAnsi="宋体" w:cs="宋体"/>
          <w:color w:val="auto"/>
          <w:sz w:val="24"/>
          <w:szCs w:val="24"/>
        </w:rPr>
      </w:pPr>
      <w:r>
        <w:rPr>
          <w:rFonts w:hint="eastAsia" w:ascii="宋体" w:hAnsi="宋体" w:cs="宋体"/>
          <w:color w:val="auto"/>
          <w:sz w:val="24"/>
          <w:szCs w:val="24"/>
        </w:rPr>
        <w:t xml:space="preserve">  </w:t>
      </w:r>
    </w:p>
    <w:p>
      <w:pPr>
        <w:snapToGrid w:val="0"/>
        <w:spacing w:before="19" w:line="500" w:lineRule="exact"/>
        <w:ind w:firstLine="482" w:firstLineChars="200"/>
        <w:rPr>
          <w:rFonts w:ascii="宋体" w:hAnsi="宋体" w:cs="宋体"/>
          <w:color w:val="auto"/>
          <w:sz w:val="24"/>
          <w:szCs w:val="24"/>
        </w:rPr>
      </w:pPr>
      <w:r>
        <w:rPr>
          <w:rFonts w:hint="eastAsia" w:ascii="宋体" w:hAnsi="宋体" w:cs="宋体"/>
          <w:b/>
          <w:color w:val="auto"/>
          <w:sz w:val="24"/>
          <w:szCs w:val="24"/>
        </w:rPr>
        <w:t>合同鉴证：</w:t>
      </w:r>
    </w:p>
    <w:p>
      <w:pPr>
        <w:snapToGrid w:val="0"/>
        <w:spacing w:before="19" w:line="500" w:lineRule="exact"/>
        <w:ind w:firstLine="480" w:firstLineChars="200"/>
        <w:rPr>
          <w:rFonts w:ascii="宋体" w:hAnsi="宋体" w:cs="宋体"/>
          <w:color w:val="auto"/>
          <w:sz w:val="24"/>
          <w:szCs w:val="24"/>
          <w:u w:val="single"/>
        </w:rPr>
      </w:pPr>
      <w:r>
        <w:rPr>
          <w:rFonts w:hint="eastAsia" w:ascii="宋体" w:hAnsi="宋体" w:cs="宋体"/>
          <w:color w:val="auto"/>
          <w:sz w:val="24"/>
          <w:szCs w:val="24"/>
          <w:lang w:val="en-US" w:eastAsia="zh-CN"/>
        </w:rPr>
        <w:t>代理机构</w:t>
      </w:r>
      <w:r>
        <w:rPr>
          <w:rFonts w:hint="eastAsia" w:ascii="宋体" w:hAnsi="宋体" w:cs="宋体"/>
          <w:color w:val="auto"/>
          <w:sz w:val="24"/>
          <w:szCs w:val="24"/>
        </w:rPr>
        <w:t>：</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（盖章）</w:t>
      </w:r>
    </w:p>
    <w:p>
      <w:pPr>
        <w:snapToGrid w:val="0"/>
        <w:spacing w:before="19" w:line="500" w:lineRule="exact"/>
        <w:ind w:firstLine="480" w:firstLineChars="200"/>
        <w:rPr>
          <w:rFonts w:ascii="宋体" w:hAnsi="宋体" w:cs="宋体"/>
          <w:color w:val="auto"/>
          <w:sz w:val="24"/>
          <w:szCs w:val="24"/>
        </w:rPr>
      </w:pPr>
      <w:r>
        <w:rPr>
          <w:rFonts w:hint="eastAsia" w:ascii="宋体" w:hAnsi="宋体" w:cs="宋体"/>
          <w:color w:val="auto"/>
          <w:sz w:val="24"/>
          <w:szCs w:val="24"/>
        </w:rPr>
        <w:t>地  址：</w:t>
      </w:r>
    </w:p>
    <w:p>
      <w:pPr>
        <w:snapToGrid w:val="0"/>
        <w:spacing w:before="19" w:line="50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经办人：       </w:t>
      </w:r>
    </w:p>
    <w:p>
      <w:pPr>
        <w:snapToGrid w:val="0"/>
        <w:spacing w:before="19" w:line="500" w:lineRule="exact"/>
        <w:ind w:firstLine="1200" w:firstLineChars="500"/>
        <w:rPr>
          <w:rFonts w:ascii="宋体" w:hAnsi="宋体" w:cs="宋体"/>
          <w:color w:val="auto"/>
          <w:sz w:val="24"/>
          <w:szCs w:val="24"/>
        </w:rPr>
      </w:pPr>
      <w:r>
        <w:rPr>
          <w:rFonts w:hint="eastAsia" w:ascii="宋体" w:hAnsi="宋体" w:cs="宋体"/>
          <w:color w:val="auto"/>
          <w:sz w:val="24"/>
          <w:szCs w:val="24"/>
        </w:rPr>
        <w:t>年   月    日</w:t>
      </w:r>
    </w:p>
    <w:p>
      <w:pPr>
        <w:spacing w:line="360" w:lineRule="auto"/>
        <w:rPr>
          <w:rFonts w:ascii="宋体" w:hAnsi="宋体" w:cs="宋体"/>
          <w:color w:val="auto"/>
          <w:sz w:val="24"/>
          <w:szCs w:val="24"/>
        </w:rPr>
        <w:sectPr>
          <w:footerReference r:id="rId7" w:type="first"/>
          <w:footerReference r:id="rId6" w:type="default"/>
          <w:pgSz w:w="11907" w:h="16840"/>
          <w:pgMar w:top="1440" w:right="1077" w:bottom="1440" w:left="1247" w:header="936" w:footer="992" w:gutter="0"/>
          <w:pgNumType w:fmt="decimal" w:start="1"/>
          <w:cols w:space="720" w:num="1"/>
          <w:titlePg/>
          <w:docGrid w:linePitch="312" w:charSpace="0"/>
        </w:sectPr>
      </w:pPr>
    </w:p>
    <w:p>
      <w:pPr>
        <w:pStyle w:val="47"/>
        <w:rPr>
          <w:rStyle w:val="59"/>
          <w:rFonts w:ascii="Cambria" w:hAnsi="Cambria" w:eastAsiaTheme="minorEastAsia" w:cstheme="minorBidi"/>
          <w:b/>
          <w:color w:val="auto"/>
          <w:sz w:val="32"/>
          <w:szCs w:val="32"/>
        </w:rPr>
      </w:pPr>
      <w:bookmarkStart w:id="136" w:name="_Toc56605085"/>
      <w:bookmarkStart w:id="137" w:name="_Toc4145"/>
      <w:r>
        <w:rPr>
          <w:rStyle w:val="59"/>
          <w:rFonts w:ascii="Cambria" w:hAnsi="Cambria" w:eastAsiaTheme="minorEastAsia" w:cstheme="minorBidi"/>
          <w:b/>
          <w:color w:val="auto"/>
          <w:sz w:val="32"/>
          <w:szCs w:val="32"/>
        </w:rPr>
        <w:t>第五章用户需求书</w:t>
      </w:r>
      <w:bookmarkEnd w:id="136"/>
      <w:bookmarkEnd w:id="137"/>
    </w:p>
    <w:p>
      <w:pPr>
        <w:tabs>
          <w:tab w:val="left" w:pos="1980"/>
        </w:tabs>
        <w:snapToGrid w:val="0"/>
        <w:spacing w:before="240"/>
        <w:jc w:val="both"/>
        <w:rPr>
          <w:rFonts w:ascii="Times New Roman" w:hAnsi="Times New Roman" w:cs="Times New Roman"/>
          <w:b/>
          <w:bCs/>
          <w:color w:val="auto"/>
          <w:sz w:val="24"/>
          <w:szCs w:val="24"/>
        </w:rPr>
      </w:pPr>
      <w:r>
        <w:rPr>
          <w:rFonts w:hint="eastAsia" w:ascii="Times New Roman" w:hAnsi="Times New Roman" w:cs="Times New Roman"/>
          <w:b/>
          <w:bCs/>
          <w:color w:val="auto"/>
          <w:sz w:val="24"/>
          <w:szCs w:val="24"/>
        </w:rPr>
        <w:t>一、项目概述</w:t>
      </w:r>
    </w:p>
    <w:p>
      <w:pPr>
        <w:keepNext w:val="0"/>
        <w:keepLines w:val="0"/>
        <w:pageBreakBefore w:val="0"/>
        <w:widowControl/>
        <w:tabs>
          <w:tab w:val="left" w:pos="1980"/>
        </w:tabs>
        <w:kinsoku/>
        <w:wordWrap/>
        <w:overflowPunct/>
        <w:topLinePunct w:val="0"/>
        <w:autoSpaceDE/>
        <w:autoSpaceDN/>
        <w:bidi w:val="0"/>
        <w:adjustRightInd/>
        <w:snapToGrid w:val="0"/>
        <w:spacing w:before="240"/>
        <w:ind w:firstLine="480" w:firstLineChars="200"/>
        <w:jc w:val="both"/>
        <w:textAlignment w:val="auto"/>
        <w:rPr>
          <w:rFonts w:hint="eastAsia" w:ascii="Times New Roman" w:hAnsi="Times New Roman" w:cs="Times New Roman"/>
          <w:b w:val="0"/>
          <w:bCs w:val="0"/>
          <w:color w:val="auto"/>
          <w:sz w:val="24"/>
          <w:szCs w:val="24"/>
        </w:rPr>
      </w:pPr>
      <w:r>
        <w:rPr>
          <w:rFonts w:hint="eastAsia" w:ascii="Times New Roman" w:hAnsi="Times New Roman" w:cs="Times New Roman"/>
          <w:b w:val="0"/>
          <w:bCs w:val="0"/>
          <w:color w:val="auto"/>
          <w:sz w:val="24"/>
          <w:szCs w:val="24"/>
        </w:rPr>
        <w:t>1、采购内容：冷链车、皮卡车、面包车；</w:t>
      </w:r>
    </w:p>
    <w:p>
      <w:pPr>
        <w:keepNext w:val="0"/>
        <w:keepLines w:val="0"/>
        <w:pageBreakBefore w:val="0"/>
        <w:widowControl/>
        <w:tabs>
          <w:tab w:val="left" w:pos="1980"/>
        </w:tabs>
        <w:kinsoku/>
        <w:wordWrap/>
        <w:overflowPunct/>
        <w:topLinePunct w:val="0"/>
        <w:autoSpaceDE/>
        <w:autoSpaceDN/>
        <w:bidi w:val="0"/>
        <w:adjustRightInd/>
        <w:snapToGrid w:val="0"/>
        <w:spacing w:before="240"/>
        <w:ind w:firstLine="480" w:firstLineChars="200"/>
        <w:jc w:val="both"/>
        <w:textAlignment w:val="auto"/>
        <w:rPr>
          <w:rFonts w:hint="eastAsia" w:ascii="Times New Roman" w:hAnsi="Times New Roman" w:cs="Times New Roman"/>
          <w:b w:val="0"/>
          <w:bCs w:val="0"/>
          <w:color w:val="auto"/>
          <w:sz w:val="24"/>
          <w:szCs w:val="24"/>
          <w:lang w:eastAsia="zh-CN"/>
        </w:rPr>
      </w:pPr>
      <w:r>
        <w:rPr>
          <w:rFonts w:hint="eastAsia" w:ascii="Times New Roman" w:hAnsi="Times New Roman" w:cs="Times New Roman"/>
          <w:b w:val="0"/>
          <w:bCs w:val="0"/>
          <w:color w:val="auto"/>
          <w:sz w:val="24"/>
          <w:szCs w:val="24"/>
          <w:lang w:val="en-US" w:eastAsia="zh-CN"/>
        </w:rPr>
        <w:t>2、</w:t>
      </w:r>
      <w:r>
        <w:rPr>
          <w:rFonts w:hint="eastAsia" w:ascii="Times New Roman" w:hAnsi="Times New Roman" w:cs="Times New Roman"/>
          <w:b w:val="0"/>
          <w:bCs w:val="0"/>
          <w:color w:val="auto"/>
          <w:sz w:val="24"/>
          <w:szCs w:val="24"/>
        </w:rPr>
        <w:t>合同履行期限：</w:t>
      </w:r>
      <w:r>
        <w:rPr>
          <w:rFonts w:hint="eastAsia" w:ascii="Times New Roman" w:hAnsi="Times New Roman" w:cs="Times New Roman"/>
          <w:b w:val="0"/>
          <w:bCs w:val="0"/>
          <w:color w:val="auto"/>
          <w:sz w:val="24"/>
          <w:szCs w:val="24"/>
          <w:lang w:eastAsia="zh-CN"/>
        </w:rPr>
        <w:t>自合同签订之日起10日历天内</w:t>
      </w:r>
    </w:p>
    <w:p>
      <w:pPr>
        <w:keepNext w:val="0"/>
        <w:keepLines w:val="0"/>
        <w:pageBreakBefore w:val="0"/>
        <w:widowControl/>
        <w:tabs>
          <w:tab w:val="left" w:pos="1980"/>
        </w:tabs>
        <w:kinsoku/>
        <w:wordWrap/>
        <w:overflowPunct/>
        <w:topLinePunct w:val="0"/>
        <w:autoSpaceDE/>
        <w:autoSpaceDN/>
        <w:bidi w:val="0"/>
        <w:adjustRightInd/>
        <w:snapToGrid w:val="0"/>
        <w:spacing w:before="240"/>
        <w:ind w:firstLine="480" w:firstLineChars="200"/>
        <w:jc w:val="both"/>
        <w:textAlignment w:val="auto"/>
        <w:rPr>
          <w:rFonts w:hint="eastAsia" w:ascii="Times New Roman" w:hAnsi="Times New Roman" w:cs="Times New Roman"/>
          <w:b w:val="0"/>
          <w:bCs w:val="0"/>
          <w:color w:val="auto"/>
          <w:sz w:val="24"/>
          <w:szCs w:val="24"/>
          <w:lang w:eastAsia="zh-CN"/>
        </w:rPr>
      </w:pPr>
      <w:r>
        <w:rPr>
          <w:rFonts w:hint="eastAsia" w:ascii="Times New Roman" w:hAnsi="Times New Roman" w:cs="Times New Roman"/>
          <w:b w:val="0"/>
          <w:bCs w:val="0"/>
          <w:color w:val="auto"/>
          <w:sz w:val="24"/>
          <w:szCs w:val="24"/>
          <w:lang w:val="en-US" w:eastAsia="zh-CN"/>
        </w:rPr>
        <w:t>3、</w:t>
      </w:r>
      <w:r>
        <w:rPr>
          <w:rFonts w:hint="eastAsia" w:ascii="Times New Roman" w:hAnsi="Times New Roman" w:cs="Times New Roman"/>
          <w:b w:val="0"/>
          <w:bCs w:val="0"/>
          <w:color w:val="auto"/>
          <w:sz w:val="24"/>
          <w:szCs w:val="24"/>
          <w:lang w:eastAsia="zh-CN"/>
        </w:rPr>
        <w:t>交货地点：采购人指定地点</w:t>
      </w:r>
    </w:p>
    <w:p>
      <w:pPr>
        <w:tabs>
          <w:tab w:val="left" w:pos="1980"/>
        </w:tabs>
        <w:snapToGrid w:val="0"/>
        <w:spacing w:before="240"/>
        <w:jc w:val="both"/>
        <w:rPr>
          <w:rFonts w:hint="default" w:ascii="Times New Roman" w:hAnsi="Times New Roman" w:eastAsia="宋体" w:cs="Times New Roman"/>
          <w:b/>
          <w:bCs/>
          <w:color w:val="auto"/>
          <w:sz w:val="24"/>
          <w:szCs w:val="24"/>
          <w:lang w:val="en-US" w:eastAsia="zh-CN"/>
        </w:rPr>
      </w:pPr>
      <w:r>
        <w:rPr>
          <w:rFonts w:hint="eastAsia" w:ascii="Times New Roman" w:hAnsi="Times New Roman" w:cs="Times New Roman"/>
          <w:b/>
          <w:bCs/>
          <w:color w:val="auto"/>
          <w:sz w:val="24"/>
          <w:szCs w:val="24"/>
        </w:rPr>
        <w:t>二、</w:t>
      </w:r>
      <w:r>
        <w:rPr>
          <w:rFonts w:hint="eastAsia" w:ascii="Times New Roman" w:hAnsi="Times New Roman" w:cs="Times New Roman"/>
          <w:b/>
          <w:bCs/>
          <w:color w:val="auto"/>
          <w:sz w:val="24"/>
          <w:szCs w:val="24"/>
          <w:lang w:val="en-US" w:eastAsia="zh-CN"/>
        </w:rPr>
        <w:t>采购品目</w:t>
      </w:r>
    </w:p>
    <w:tbl>
      <w:tblPr>
        <w:tblStyle w:val="51"/>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6"/>
        <w:gridCol w:w="1027"/>
        <w:gridCol w:w="3300"/>
        <w:gridCol w:w="600"/>
        <w:gridCol w:w="795"/>
        <w:gridCol w:w="2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2"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采购品目名称</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参考规格型号和配置技术参数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2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3"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箱式冷链车</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1.排放依据标准：国VI标准</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2.燃油种类/牌照：插电式柴油混动/绿牌</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w:t>
            </w:r>
            <w:r>
              <w:rPr>
                <w:rFonts w:hint="eastAsia" w:ascii="宋体" w:hAnsi="宋体" w:eastAsia="宋体" w:cs="宋体"/>
                <w:i w:val="0"/>
                <w:iCs w:val="0"/>
                <w:color w:val="000000"/>
                <w:sz w:val="24"/>
                <w:szCs w:val="24"/>
                <w:u w:val="none"/>
              </w:rPr>
              <w:t>.最大总质量：≤4500kg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4</w:t>
            </w:r>
            <w:r>
              <w:rPr>
                <w:rFonts w:hint="eastAsia" w:ascii="宋体" w:hAnsi="宋体" w:eastAsia="宋体" w:cs="宋体"/>
                <w:i w:val="0"/>
                <w:iCs w:val="0"/>
                <w:color w:val="000000"/>
                <w:sz w:val="24"/>
                <w:szCs w:val="24"/>
                <w:u w:val="none"/>
              </w:rPr>
              <w:t>、整备质量：≥3800kg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5</w:t>
            </w:r>
            <w:r>
              <w:rPr>
                <w:rFonts w:hint="eastAsia" w:ascii="宋体" w:hAnsi="宋体" w:eastAsia="宋体" w:cs="宋体"/>
                <w:i w:val="0"/>
                <w:iCs w:val="0"/>
                <w:color w:val="000000"/>
                <w:sz w:val="24"/>
                <w:szCs w:val="24"/>
                <w:u w:val="none"/>
              </w:rPr>
              <w:t>、动力电池电量：≥17.5kw.h</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w:t>
            </w:r>
            <w:r>
              <w:rPr>
                <w:rFonts w:hint="eastAsia" w:ascii="宋体" w:hAnsi="宋体" w:eastAsia="宋体" w:cs="宋体"/>
                <w:i w:val="0"/>
                <w:iCs w:val="0"/>
                <w:color w:val="000000"/>
                <w:sz w:val="24"/>
                <w:szCs w:val="24"/>
                <w:u w:val="none"/>
              </w:rPr>
              <w:t>.额定载货量：≥500kg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7</w:t>
            </w:r>
            <w:r>
              <w:rPr>
                <w:rFonts w:hint="eastAsia" w:ascii="宋体" w:hAnsi="宋体" w:eastAsia="宋体" w:cs="宋体"/>
                <w:i w:val="0"/>
                <w:iCs w:val="0"/>
                <w:color w:val="000000"/>
                <w:sz w:val="24"/>
                <w:szCs w:val="24"/>
                <w:u w:val="none"/>
              </w:rPr>
              <w:t>.发动机排量：≤2.3L</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8</w:t>
            </w:r>
            <w:r>
              <w:rPr>
                <w:rFonts w:hint="eastAsia" w:ascii="宋体" w:hAnsi="宋体" w:eastAsia="宋体" w:cs="宋体"/>
                <w:i w:val="0"/>
                <w:iCs w:val="0"/>
                <w:color w:val="000000"/>
                <w:sz w:val="24"/>
                <w:szCs w:val="24"/>
                <w:u w:val="none"/>
              </w:rPr>
              <w:t>.发动机马力：≥130马力</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9</w:t>
            </w:r>
            <w:r>
              <w:rPr>
                <w:rFonts w:hint="eastAsia" w:ascii="宋体" w:hAnsi="宋体" w:eastAsia="宋体" w:cs="宋体"/>
                <w:i w:val="0"/>
                <w:iCs w:val="0"/>
                <w:color w:val="000000"/>
                <w:sz w:val="24"/>
                <w:szCs w:val="24"/>
                <w:u w:val="none"/>
              </w:rPr>
              <w:t>.厢体容积：17m³≤容积≤20m³</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10</w:t>
            </w:r>
            <w:r>
              <w:rPr>
                <w:rFonts w:hint="eastAsia" w:ascii="宋体" w:hAnsi="宋体" w:eastAsia="宋体" w:cs="宋体"/>
                <w:i w:val="0"/>
                <w:iCs w:val="0"/>
                <w:color w:val="000000"/>
                <w:sz w:val="24"/>
                <w:szCs w:val="24"/>
                <w:u w:val="none"/>
              </w:rPr>
              <w:t>、厢体内部温度调控范围：-16℃≤温度≤20℃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11</w:t>
            </w:r>
            <w:r>
              <w:rPr>
                <w:rFonts w:hint="eastAsia" w:ascii="宋体" w:hAnsi="宋体" w:eastAsia="宋体" w:cs="宋体"/>
                <w:i w:val="0"/>
                <w:iCs w:val="0"/>
                <w:color w:val="000000"/>
                <w:sz w:val="24"/>
                <w:szCs w:val="24"/>
                <w:u w:val="none"/>
              </w:rPr>
              <w:t>、制动系统：气刹。</w:t>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1430" cy="9525"/>
                  <wp:effectExtent l="0" t="0" r="0" b="0"/>
                  <wp:wrapNone/>
                  <wp:docPr id="125" name="Picture_41"/>
                  <wp:cNvGraphicFramePr/>
                  <a:graphic xmlns:a="http://schemas.openxmlformats.org/drawingml/2006/main">
                    <a:graphicData uri="http://schemas.openxmlformats.org/drawingml/2006/picture">
                      <pic:pic xmlns:pic="http://schemas.openxmlformats.org/drawingml/2006/picture">
                        <pic:nvPicPr>
                          <pic:cNvPr id="125" name="Picture_4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1430" cy="9525"/>
                  <wp:effectExtent l="0" t="0" r="0" b="0"/>
                  <wp:wrapNone/>
                  <wp:docPr id="126" name="Picture_41_SpCnt_1"/>
                  <wp:cNvGraphicFramePr/>
                  <a:graphic xmlns:a="http://schemas.openxmlformats.org/drawingml/2006/main">
                    <a:graphicData uri="http://schemas.openxmlformats.org/drawingml/2006/picture">
                      <pic:pic xmlns:pic="http://schemas.openxmlformats.org/drawingml/2006/picture">
                        <pic:nvPicPr>
                          <pic:cNvPr id="126" name="Picture_41_SpCnt_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430" cy="9525"/>
                  <wp:effectExtent l="0" t="0" r="0" b="0"/>
                  <wp:wrapNone/>
                  <wp:docPr id="127" name="Picture_41_SpCnt_2"/>
                  <wp:cNvGraphicFramePr/>
                  <a:graphic xmlns:a="http://schemas.openxmlformats.org/drawingml/2006/main">
                    <a:graphicData uri="http://schemas.openxmlformats.org/drawingml/2006/picture">
                      <pic:pic xmlns:pic="http://schemas.openxmlformats.org/drawingml/2006/picture">
                        <pic:nvPicPr>
                          <pic:cNvPr id="127" name="Picture_41_SpCnt_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1430" cy="9525"/>
                  <wp:effectExtent l="0" t="0" r="0" b="0"/>
                  <wp:wrapNone/>
                  <wp:docPr id="128" name="Picture_41_SpCnt_3"/>
                  <wp:cNvGraphicFramePr/>
                  <a:graphic xmlns:a="http://schemas.openxmlformats.org/drawingml/2006/main">
                    <a:graphicData uri="http://schemas.openxmlformats.org/drawingml/2006/picture">
                      <pic:pic xmlns:pic="http://schemas.openxmlformats.org/drawingml/2006/picture">
                        <pic:nvPicPr>
                          <pic:cNvPr id="128" name="Picture_41_SpCnt_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1430" cy="9525"/>
                  <wp:effectExtent l="0" t="0" r="0" b="0"/>
                  <wp:wrapNone/>
                  <wp:docPr id="135" name="Picture_41_SpCnt_4"/>
                  <wp:cNvGraphicFramePr/>
                  <a:graphic xmlns:a="http://schemas.openxmlformats.org/drawingml/2006/main">
                    <a:graphicData uri="http://schemas.openxmlformats.org/drawingml/2006/picture">
                      <pic:pic xmlns:pic="http://schemas.openxmlformats.org/drawingml/2006/picture">
                        <pic:nvPicPr>
                          <pic:cNvPr id="135" name="Picture_41_SpCnt_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1430" cy="9525"/>
                  <wp:effectExtent l="0" t="0" r="0" b="0"/>
                  <wp:wrapNone/>
                  <wp:docPr id="137" name="Picture_41_SpCnt_5"/>
                  <wp:cNvGraphicFramePr/>
                  <a:graphic xmlns:a="http://schemas.openxmlformats.org/drawingml/2006/main">
                    <a:graphicData uri="http://schemas.openxmlformats.org/drawingml/2006/picture">
                      <pic:pic xmlns:pic="http://schemas.openxmlformats.org/drawingml/2006/picture">
                        <pic:nvPicPr>
                          <pic:cNvPr id="137" name="Picture_41_SpCnt_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1430" cy="9525"/>
                  <wp:effectExtent l="0" t="0" r="0" b="0"/>
                  <wp:wrapNone/>
                  <wp:docPr id="138" name="Picture_41_SpCnt_6"/>
                  <wp:cNvGraphicFramePr/>
                  <a:graphic xmlns:a="http://schemas.openxmlformats.org/drawingml/2006/main">
                    <a:graphicData uri="http://schemas.openxmlformats.org/drawingml/2006/picture">
                      <pic:pic xmlns:pic="http://schemas.openxmlformats.org/drawingml/2006/picture">
                        <pic:nvPicPr>
                          <pic:cNvPr id="138" name="Picture_41_SpCnt_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1430" cy="9525"/>
                  <wp:effectExtent l="0" t="0" r="0" b="0"/>
                  <wp:wrapNone/>
                  <wp:docPr id="153" name="Picture_41_SpCnt_7"/>
                  <wp:cNvGraphicFramePr/>
                  <a:graphic xmlns:a="http://schemas.openxmlformats.org/drawingml/2006/main">
                    <a:graphicData uri="http://schemas.openxmlformats.org/drawingml/2006/picture">
                      <pic:pic xmlns:pic="http://schemas.openxmlformats.org/drawingml/2006/picture">
                        <pic:nvPicPr>
                          <pic:cNvPr id="153" name="Picture_41_SpCnt_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1430" cy="9525"/>
                  <wp:effectExtent l="0" t="0" r="0" b="0"/>
                  <wp:wrapNone/>
                  <wp:docPr id="132" name="Picture_41_SpCnt_8"/>
                  <wp:cNvGraphicFramePr/>
                  <a:graphic xmlns:a="http://schemas.openxmlformats.org/drawingml/2006/main">
                    <a:graphicData uri="http://schemas.openxmlformats.org/drawingml/2006/picture">
                      <pic:pic xmlns:pic="http://schemas.openxmlformats.org/drawingml/2006/picture">
                        <pic:nvPicPr>
                          <pic:cNvPr id="132" name="Picture_41_SpCnt_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1430" cy="9525"/>
                  <wp:effectExtent l="0" t="0" r="0" b="0"/>
                  <wp:wrapNone/>
                  <wp:docPr id="145" name="Picture_41_SpCnt_9"/>
                  <wp:cNvGraphicFramePr/>
                  <a:graphic xmlns:a="http://schemas.openxmlformats.org/drawingml/2006/main">
                    <a:graphicData uri="http://schemas.openxmlformats.org/drawingml/2006/picture">
                      <pic:pic xmlns:pic="http://schemas.openxmlformats.org/drawingml/2006/picture">
                        <pic:nvPicPr>
                          <pic:cNvPr id="145" name="Picture_41_SpCnt_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1430" cy="9525"/>
                  <wp:effectExtent l="0" t="0" r="0" b="0"/>
                  <wp:wrapNone/>
                  <wp:docPr id="148" name="Picture_41_SpCnt_10"/>
                  <wp:cNvGraphicFramePr/>
                  <a:graphic xmlns:a="http://schemas.openxmlformats.org/drawingml/2006/main">
                    <a:graphicData uri="http://schemas.openxmlformats.org/drawingml/2006/picture">
                      <pic:pic xmlns:pic="http://schemas.openxmlformats.org/drawingml/2006/picture">
                        <pic:nvPicPr>
                          <pic:cNvPr id="148" name="Picture_41_SpCnt_1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1430" cy="9525"/>
                  <wp:effectExtent l="0" t="0" r="0" b="0"/>
                  <wp:wrapNone/>
                  <wp:docPr id="142" name="Picture_41_SpCnt_11"/>
                  <wp:cNvGraphicFramePr/>
                  <a:graphic xmlns:a="http://schemas.openxmlformats.org/drawingml/2006/main">
                    <a:graphicData uri="http://schemas.openxmlformats.org/drawingml/2006/picture">
                      <pic:pic xmlns:pic="http://schemas.openxmlformats.org/drawingml/2006/picture">
                        <pic:nvPicPr>
                          <pic:cNvPr id="142" name="Picture_41_SpCnt_1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1430" cy="9525"/>
                  <wp:effectExtent l="0" t="0" r="0" b="0"/>
                  <wp:wrapNone/>
                  <wp:docPr id="159" name="Picture_41_SpCnt_12"/>
                  <wp:cNvGraphicFramePr/>
                  <a:graphic xmlns:a="http://schemas.openxmlformats.org/drawingml/2006/main">
                    <a:graphicData uri="http://schemas.openxmlformats.org/drawingml/2006/picture">
                      <pic:pic xmlns:pic="http://schemas.openxmlformats.org/drawingml/2006/picture">
                        <pic:nvPicPr>
                          <pic:cNvPr id="159" name="Picture_41_SpCnt_1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1430" cy="9525"/>
                  <wp:effectExtent l="0" t="0" r="0" b="0"/>
                  <wp:wrapNone/>
                  <wp:docPr id="130" name="Picture_41_SpCnt_13"/>
                  <wp:cNvGraphicFramePr/>
                  <a:graphic xmlns:a="http://schemas.openxmlformats.org/drawingml/2006/main">
                    <a:graphicData uri="http://schemas.openxmlformats.org/drawingml/2006/picture">
                      <pic:pic xmlns:pic="http://schemas.openxmlformats.org/drawingml/2006/picture">
                        <pic:nvPicPr>
                          <pic:cNvPr id="130" name="Picture_41_SpCnt_1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1430" cy="9525"/>
                  <wp:effectExtent l="0" t="0" r="0" b="0"/>
                  <wp:wrapNone/>
                  <wp:docPr id="129" name="Picture_41_SpCnt_14"/>
                  <wp:cNvGraphicFramePr/>
                  <a:graphic xmlns:a="http://schemas.openxmlformats.org/drawingml/2006/main">
                    <a:graphicData uri="http://schemas.openxmlformats.org/drawingml/2006/picture">
                      <pic:pic xmlns:pic="http://schemas.openxmlformats.org/drawingml/2006/picture">
                        <pic:nvPicPr>
                          <pic:cNvPr id="129" name="Picture_41_SpCnt_1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1430" cy="9525"/>
                  <wp:effectExtent l="0" t="0" r="0" b="0"/>
                  <wp:wrapNone/>
                  <wp:docPr id="154" name="Picture_41_SpCnt_15"/>
                  <wp:cNvGraphicFramePr/>
                  <a:graphic xmlns:a="http://schemas.openxmlformats.org/drawingml/2006/main">
                    <a:graphicData uri="http://schemas.openxmlformats.org/drawingml/2006/picture">
                      <pic:pic xmlns:pic="http://schemas.openxmlformats.org/drawingml/2006/picture">
                        <pic:nvPicPr>
                          <pic:cNvPr id="154" name="Picture_41_SpCnt_1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1430" cy="9525"/>
                  <wp:effectExtent l="0" t="0" r="0" b="0"/>
                  <wp:wrapNone/>
                  <wp:docPr id="140" name="Picture_41_SpCnt_16"/>
                  <wp:cNvGraphicFramePr/>
                  <a:graphic xmlns:a="http://schemas.openxmlformats.org/drawingml/2006/main">
                    <a:graphicData uri="http://schemas.openxmlformats.org/drawingml/2006/picture">
                      <pic:pic xmlns:pic="http://schemas.openxmlformats.org/drawingml/2006/picture">
                        <pic:nvPicPr>
                          <pic:cNvPr id="140" name="Picture_41_SpCnt_1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1430" cy="9525"/>
                  <wp:effectExtent l="0" t="0" r="0" b="0"/>
                  <wp:wrapNone/>
                  <wp:docPr id="146" name="Picture_41_SpCnt_17"/>
                  <wp:cNvGraphicFramePr/>
                  <a:graphic xmlns:a="http://schemas.openxmlformats.org/drawingml/2006/main">
                    <a:graphicData uri="http://schemas.openxmlformats.org/drawingml/2006/picture">
                      <pic:pic xmlns:pic="http://schemas.openxmlformats.org/drawingml/2006/picture">
                        <pic:nvPicPr>
                          <pic:cNvPr id="146" name="Picture_41_SpCnt_1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1430" cy="9525"/>
                  <wp:effectExtent l="0" t="0" r="0" b="0"/>
                  <wp:wrapNone/>
                  <wp:docPr id="141" name="Picture_41_SpCnt_18"/>
                  <wp:cNvGraphicFramePr/>
                  <a:graphic xmlns:a="http://schemas.openxmlformats.org/drawingml/2006/main">
                    <a:graphicData uri="http://schemas.openxmlformats.org/drawingml/2006/picture">
                      <pic:pic xmlns:pic="http://schemas.openxmlformats.org/drawingml/2006/picture">
                        <pic:nvPicPr>
                          <pic:cNvPr id="141" name="Picture_41_SpCnt_1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1430" cy="9525"/>
                  <wp:effectExtent l="0" t="0" r="0" b="0"/>
                  <wp:wrapNone/>
                  <wp:docPr id="143" name="Picture_41_SpCnt_19"/>
                  <wp:cNvGraphicFramePr/>
                  <a:graphic xmlns:a="http://schemas.openxmlformats.org/drawingml/2006/main">
                    <a:graphicData uri="http://schemas.openxmlformats.org/drawingml/2006/picture">
                      <pic:pic xmlns:pic="http://schemas.openxmlformats.org/drawingml/2006/picture">
                        <pic:nvPicPr>
                          <pic:cNvPr id="143" name="Picture_41_SpCnt_1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1430" cy="9525"/>
                  <wp:effectExtent l="0" t="0" r="0" b="0"/>
                  <wp:wrapNone/>
                  <wp:docPr id="136" name="Picture_41_SpCnt_20"/>
                  <wp:cNvGraphicFramePr/>
                  <a:graphic xmlns:a="http://schemas.openxmlformats.org/drawingml/2006/main">
                    <a:graphicData uri="http://schemas.openxmlformats.org/drawingml/2006/picture">
                      <pic:pic xmlns:pic="http://schemas.openxmlformats.org/drawingml/2006/picture">
                        <pic:nvPicPr>
                          <pic:cNvPr id="136" name="Picture_41_SpCnt_2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1430" cy="9525"/>
                  <wp:effectExtent l="0" t="0" r="0" b="0"/>
                  <wp:wrapNone/>
                  <wp:docPr id="150" name="Picture_41_SpCnt_21"/>
                  <wp:cNvGraphicFramePr/>
                  <a:graphic xmlns:a="http://schemas.openxmlformats.org/drawingml/2006/main">
                    <a:graphicData uri="http://schemas.openxmlformats.org/drawingml/2006/picture">
                      <pic:pic xmlns:pic="http://schemas.openxmlformats.org/drawingml/2006/picture">
                        <pic:nvPicPr>
                          <pic:cNvPr id="150" name="Picture_41_SpCnt_2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1430" cy="9525"/>
                  <wp:effectExtent l="0" t="0" r="0" b="0"/>
                  <wp:wrapNone/>
                  <wp:docPr id="133" name="Picture_41_SpCnt_22"/>
                  <wp:cNvGraphicFramePr/>
                  <a:graphic xmlns:a="http://schemas.openxmlformats.org/drawingml/2006/main">
                    <a:graphicData uri="http://schemas.openxmlformats.org/drawingml/2006/picture">
                      <pic:pic xmlns:pic="http://schemas.openxmlformats.org/drawingml/2006/picture">
                        <pic:nvPicPr>
                          <pic:cNvPr id="133" name="Picture_41_SpCnt_2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1430" cy="9525"/>
                  <wp:effectExtent l="0" t="0" r="0" b="0"/>
                  <wp:wrapNone/>
                  <wp:docPr id="134" name="Picture_41_SpCnt_23"/>
                  <wp:cNvGraphicFramePr/>
                  <a:graphic xmlns:a="http://schemas.openxmlformats.org/drawingml/2006/main">
                    <a:graphicData uri="http://schemas.openxmlformats.org/drawingml/2006/picture">
                      <pic:pic xmlns:pic="http://schemas.openxmlformats.org/drawingml/2006/picture">
                        <pic:nvPicPr>
                          <pic:cNvPr id="134" name="Picture_41_SpCnt_2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1430" cy="9525"/>
                  <wp:effectExtent l="0" t="0" r="0" b="0"/>
                  <wp:wrapNone/>
                  <wp:docPr id="131" name="Picture_41_SpCnt_24"/>
                  <wp:cNvGraphicFramePr/>
                  <a:graphic xmlns:a="http://schemas.openxmlformats.org/drawingml/2006/main">
                    <a:graphicData uri="http://schemas.openxmlformats.org/drawingml/2006/picture">
                      <pic:pic xmlns:pic="http://schemas.openxmlformats.org/drawingml/2006/picture">
                        <pic:nvPicPr>
                          <pic:cNvPr id="131" name="Picture_41_SpCnt_2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11430" cy="9525"/>
                  <wp:effectExtent l="0" t="0" r="0" b="0"/>
                  <wp:wrapNone/>
                  <wp:docPr id="152" name="Picture_41_SpCnt_25"/>
                  <wp:cNvGraphicFramePr/>
                  <a:graphic xmlns:a="http://schemas.openxmlformats.org/drawingml/2006/main">
                    <a:graphicData uri="http://schemas.openxmlformats.org/drawingml/2006/picture">
                      <pic:pic xmlns:pic="http://schemas.openxmlformats.org/drawingml/2006/picture">
                        <pic:nvPicPr>
                          <pic:cNvPr id="152" name="Picture_41_SpCnt_2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1430" cy="9525"/>
                  <wp:effectExtent l="0" t="0" r="0" b="0"/>
                  <wp:wrapNone/>
                  <wp:docPr id="144" name="Picture_41_SpCnt_26"/>
                  <wp:cNvGraphicFramePr/>
                  <a:graphic xmlns:a="http://schemas.openxmlformats.org/drawingml/2006/main">
                    <a:graphicData uri="http://schemas.openxmlformats.org/drawingml/2006/picture">
                      <pic:pic xmlns:pic="http://schemas.openxmlformats.org/drawingml/2006/picture">
                        <pic:nvPicPr>
                          <pic:cNvPr id="144" name="Picture_41_SpCnt_2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11430" cy="9525"/>
                  <wp:effectExtent l="0" t="0" r="0" b="0"/>
                  <wp:wrapNone/>
                  <wp:docPr id="139" name="Picture_41_SpCnt_27"/>
                  <wp:cNvGraphicFramePr/>
                  <a:graphic xmlns:a="http://schemas.openxmlformats.org/drawingml/2006/main">
                    <a:graphicData uri="http://schemas.openxmlformats.org/drawingml/2006/picture">
                      <pic:pic xmlns:pic="http://schemas.openxmlformats.org/drawingml/2006/picture">
                        <pic:nvPicPr>
                          <pic:cNvPr id="139" name="Picture_41_SpCnt_2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1430" cy="9525"/>
                  <wp:effectExtent l="0" t="0" r="0" b="0"/>
                  <wp:wrapNone/>
                  <wp:docPr id="147" name="Picture_41_SpCnt_28"/>
                  <wp:cNvGraphicFramePr/>
                  <a:graphic xmlns:a="http://schemas.openxmlformats.org/drawingml/2006/main">
                    <a:graphicData uri="http://schemas.openxmlformats.org/drawingml/2006/picture">
                      <pic:pic xmlns:pic="http://schemas.openxmlformats.org/drawingml/2006/picture">
                        <pic:nvPicPr>
                          <pic:cNvPr id="147" name="Picture_41_SpCnt_2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11430" cy="9525"/>
                  <wp:effectExtent l="0" t="0" r="0" b="0"/>
                  <wp:wrapNone/>
                  <wp:docPr id="149" name="Picture_41_SpCnt_29"/>
                  <wp:cNvGraphicFramePr/>
                  <a:graphic xmlns:a="http://schemas.openxmlformats.org/drawingml/2006/main">
                    <a:graphicData uri="http://schemas.openxmlformats.org/drawingml/2006/picture">
                      <pic:pic xmlns:pic="http://schemas.openxmlformats.org/drawingml/2006/picture">
                        <pic:nvPicPr>
                          <pic:cNvPr id="149" name="Picture_41_SpCnt_2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1430" cy="9525"/>
                  <wp:effectExtent l="0" t="0" r="0" b="0"/>
                  <wp:wrapNone/>
                  <wp:docPr id="151" name="Picture_41_SpCnt_30"/>
                  <wp:cNvGraphicFramePr/>
                  <a:graphic xmlns:a="http://schemas.openxmlformats.org/drawingml/2006/main">
                    <a:graphicData uri="http://schemas.openxmlformats.org/drawingml/2006/picture">
                      <pic:pic xmlns:pic="http://schemas.openxmlformats.org/drawingml/2006/picture">
                        <pic:nvPicPr>
                          <pic:cNvPr id="151" name="Picture_41_SpCnt_3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11430" cy="9525"/>
                  <wp:effectExtent l="0" t="0" r="0" b="0"/>
                  <wp:wrapNone/>
                  <wp:docPr id="155" name="Picture_41_SpCnt_31"/>
                  <wp:cNvGraphicFramePr/>
                  <a:graphic xmlns:a="http://schemas.openxmlformats.org/drawingml/2006/main">
                    <a:graphicData uri="http://schemas.openxmlformats.org/drawingml/2006/picture">
                      <pic:pic xmlns:pic="http://schemas.openxmlformats.org/drawingml/2006/picture">
                        <pic:nvPicPr>
                          <pic:cNvPr id="155" name="Picture_41_SpCnt_3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1430" cy="9525"/>
                  <wp:effectExtent l="0" t="0" r="0" b="0"/>
                  <wp:wrapNone/>
                  <wp:docPr id="156" name="Picture_41_SpCnt_32"/>
                  <wp:cNvGraphicFramePr/>
                  <a:graphic xmlns:a="http://schemas.openxmlformats.org/drawingml/2006/main">
                    <a:graphicData uri="http://schemas.openxmlformats.org/drawingml/2006/picture">
                      <pic:pic xmlns:pic="http://schemas.openxmlformats.org/drawingml/2006/picture">
                        <pic:nvPicPr>
                          <pic:cNvPr id="156" name="Picture_41_SpCnt_3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11430" cy="9525"/>
                  <wp:effectExtent l="0" t="0" r="0" b="0"/>
                  <wp:wrapNone/>
                  <wp:docPr id="157" name="Picture_41_SpCnt_33"/>
                  <wp:cNvGraphicFramePr/>
                  <a:graphic xmlns:a="http://schemas.openxmlformats.org/drawingml/2006/main">
                    <a:graphicData uri="http://schemas.openxmlformats.org/drawingml/2006/picture">
                      <pic:pic xmlns:pic="http://schemas.openxmlformats.org/drawingml/2006/picture">
                        <pic:nvPicPr>
                          <pic:cNvPr id="157" name="Picture_41_SpCnt_3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1430" cy="9525"/>
                  <wp:effectExtent l="0" t="0" r="0" b="0"/>
                  <wp:wrapNone/>
                  <wp:docPr id="158" name="Picture_41_SpCnt_34"/>
                  <wp:cNvGraphicFramePr/>
                  <a:graphic xmlns:a="http://schemas.openxmlformats.org/drawingml/2006/main">
                    <a:graphicData uri="http://schemas.openxmlformats.org/drawingml/2006/picture">
                      <pic:pic xmlns:pic="http://schemas.openxmlformats.org/drawingml/2006/picture">
                        <pic:nvPicPr>
                          <pic:cNvPr id="158" name="Picture_41_SpCnt_3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11430" cy="9525"/>
                  <wp:effectExtent l="0" t="0" r="0" b="0"/>
                  <wp:wrapNone/>
                  <wp:docPr id="160" name="Picture_41_SpCnt_35"/>
                  <wp:cNvGraphicFramePr/>
                  <a:graphic xmlns:a="http://schemas.openxmlformats.org/drawingml/2006/main">
                    <a:graphicData uri="http://schemas.openxmlformats.org/drawingml/2006/picture">
                      <pic:pic xmlns:pic="http://schemas.openxmlformats.org/drawingml/2006/picture">
                        <pic:nvPicPr>
                          <pic:cNvPr id="160" name="Picture_41_SpCnt_3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11430" cy="9525"/>
                  <wp:effectExtent l="0" t="0" r="0" b="0"/>
                  <wp:wrapNone/>
                  <wp:docPr id="176" name="Picture_41_SpCnt_36"/>
                  <wp:cNvGraphicFramePr/>
                  <a:graphic xmlns:a="http://schemas.openxmlformats.org/drawingml/2006/main">
                    <a:graphicData uri="http://schemas.openxmlformats.org/drawingml/2006/picture">
                      <pic:pic xmlns:pic="http://schemas.openxmlformats.org/drawingml/2006/picture">
                        <pic:nvPicPr>
                          <pic:cNvPr id="176" name="Picture_41_SpCnt_3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11430" cy="9525"/>
                  <wp:effectExtent l="0" t="0" r="0" b="0"/>
                  <wp:wrapNone/>
                  <wp:docPr id="172" name="Picture_41_SpCnt_37"/>
                  <wp:cNvGraphicFramePr/>
                  <a:graphic xmlns:a="http://schemas.openxmlformats.org/drawingml/2006/main">
                    <a:graphicData uri="http://schemas.openxmlformats.org/drawingml/2006/picture">
                      <pic:pic xmlns:pic="http://schemas.openxmlformats.org/drawingml/2006/picture">
                        <pic:nvPicPr>
                          <pic:cNvPr id="172" name="Picture_41_SpCnt_3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11430" cy="9525"/>
                  <wp:effectExtent l="0" t="0" r="0" b="0"/>
                  <wp:wrapNone/>
                  <wp:docPr id="187" name="Picture_41_SpCnt_38"/>
                  <wp:cNvGraphicFramePr/>
                  <a:graphic xmlns:a="http://schemas.openxmlformats.org/drawingml/2006/main">
                    <a:graphicData uri="http://schemas.openxmlformats.org/drawingml/2006/picture">
                      <pic:pic xmlns:pic="http://schemas.openxmlformats.org/drawingml/2006/picture">
                        <pic:nvPicPr>
                          <pic:cNvPr id="187" name="Picture_41_SpCnt_3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1430" cy="9525"/>
                  <wp:effectExtent l="0" t="0" r="0" b="0"/>
                  <wp:wrapNone/>
                  <wp:docPr id="183" name="Picture_41_SpCnt_39"/>
                  <wp:cNvGraphicFramePr/>
                  <a:graphic xmlns:a="http://schemas.openxmlformats.org/drawingml/2006/main">
                    <a:graphicData uri="http://schemas.openxmlformats.org/drawingml/2006/picture">
                      <pic:pic xmlns:pic="http://schemas.openxmlformats.org/drawingml/2006/picture">
                        <pic:nvPicPr>
                          <pic:cNvPr id="183" name="Picture_41_SpCnt_3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11430" cy="9525"/>
                  <wp:effectExtent l="0" t="0" r="0" b="0"/>
                  <wp:wrapNone/>
                  <wp:docPr id="184" name="Picture_41_SpCnt_40"/>
                  <wp:cNvGraphicFramePr/>
                  <a:graphic xmlns:a="http://schemas.openxmlformats.org/drawingml/2006/main">
                    <a:graphicData uri="http://schemas.openxmlformats.org/drawingml/2006/picture">
                      <pic:pic xmlns:pic="http://schemas.openxmlformats.org/drawingml/2006/picture">
                        <pic:nvPicPr>
                          <pic:cNvPr id="184" name="Picture_41_SpCnt_4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11430" cy="9525"/>
                  <wp:effectExtent l="0" t="0" r="0" b="0"/>
                  <wp:wrapNone/>
                  <wp:docPr id="165" name="Picture_41_SpCnt_41"/>
                  <wp:cNvGraphicFramePr/>
                  <a:graphic xmlns:a="http://schemas.openxmlformats.org/drawingml/2006/main">
                    <a:graphicData uri="http://schemas.openxmlformats.org/drawingml/2006/picture">
                      <pic:pic xmlns:pic="http://schemas.openxmlformats.org/drawingml/2006/picture">
                        <pic:nvPicPr>
                          <pic:cNvPr id="165" name="Picture_41_SpCnt_4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11430" cy="9525"/>
                  <wp:effectExtent l="0" t="0" r="0" b="0"/>
                  <wp:wrapNone/>
                  <wp:docPr id="190" name="Picture_41_SpCnt_42"/>
                  <wp:cNvGraphicFramePr/>
                  <a:graphic xmlns:a="http://schemas.openxmlformats.org/drawingml/2006/main">
                    <a:graphicData uri="http://schemas.openxmlformats.org/drawingml/2006/picture">
                      <pic:pic xmlns:pic="http://schemas.openxmlformats.org/drawingml/2006/picture">
                        <pic:nvPicPr>
                          <pic:cNvPr id="190" name="Picture_41_SpCnt_4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11430" cy="9525"/>
                  <wp:effectExtent l="0" t="0" r="0" b="0"/>
                  <wp:wrapNone/>
                  <wp:docPr id="164" name="Picture_41_SpCnt_43"/>
                  <wp:cNvGraphicFramePr/>
                  <a:graphic xmlns:a="http://schemas.openxmlformats.org/drawingml/2006/main">
                    <a:graphicData uri="http://schemas.openxmlformats.org/drawingml/2006/picture">
                      <pic:pic xmlns:pic="http://schemas.openxmlformats.org/drawingml/2006/picture">
                        <pic:nvPicPr>
                          <pic:cNvPr id="164" name="Picture_41_SpCnt_4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11430" cy="9525"/>
                  <wp:effectExtent l="0" t="0" r="0" b="0"/>
                  <wp:wrapNone/>
                  <wp:docPr id="174" name="Picture_41_SpCnt_44"/>
                  <wp:cNvGraphicFramePr/>
                  <a:graphic xmlns:a="http://schemas.openxmlformats.org/drawingml/2006/main">
                    <a:graphicData uri="http://schemas.openxmlformats.org/drawingml/2006/picture">
                      <pic:pic xmlns:pic="http://schemas.openxmlformats.org/drawingml/2006/picture">
                        <pic:nvPicPr>
                          <pic:cNvPr id="174" name="Picture_41_SpCnt_4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11430" cy="9525"/>
                  <wp:effectExtent l="0" t="0" r="0" b="0"/>
                  <wp:wrapNone/>
                  <wp:docPr id="171" name="Picture_41_SpCnt_45"/>
                  <wp:cNvGraphicFramePr/>
                  <a:graphic xmlns:a="http://schemas.openxmlformats.org/drawingml/2006/main">
                    <a:graphicData uri="http://schemas.openxmlformats.org/drawingml/2006/picture">
                      <pic:pic xmlns:pic="http://schemas.openxmlformats.org/drawingml/2006/picture">
                        <pic:nvPicPr>
                          <pic:cNvPr id="171" name="Picture_41_SpCnt_4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11430" cy="9525"/>
                  <wp:effectExtent l="0" t="0" r="0" b="0"/>
                  <wp:wrapNone/>
                  <wp:docPr id="163" name="Picture_41_SpCnt_46"/>
                  <wp:cNvGraphicFramePr/>
                  <a:graphic xmlns:a="http://schemas.openxmlformats.org/drawingml/2006/main">
                    <a:graphicData uri="http://schemas.openxmlformats.org/drawingml/2006/picture">
                      <pic:pic xmlns:pic="http://schemas.openxmlformats.org/drawingml/2006/picture">
                        <pic:nvPicPr>
                          <pic:cNvPr id="163" name="Picture_41_SpCnt_4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11430" cy="9525"/>
                  <wp:effectExtent l="0" t="0" r="0" b="0"/>
                  <wp:wrapNone/>
                  <wp:docPr id="167" name="Picture_41_SpCnt_47"/>
                  <wp:cNvGraphicFramePr/>
                  <a:graphic xmlns:a="http://schemas.openxmlformats.org/drawingml/2006/main">
                    <a:graphicData uri="http://schemas.openxmlformats.org/drawingml/2006/picture">
                      <pic:pic xmlns:pic="http://schemas.openxmlformats.org/drawingml/2006/picture">
                        <pic:nvPicPr>
                          <pic:cNvPr id="167" name="Picture_41_SpCnt_4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11430" cy="9525"/>
                  <wp:effectExtent l="0" t="0" r="0" b="0"/>
                  <wp:wrapNone/>
                  <wp:docPr id="191" name="Picture_41_SpCnt_48"/>
                  <wp:cNvGraphicFramePr/>
                  <a:graphic xmlns:a="http://schemas.openxmlformats.org/drawingml/2006/main">
                    <a:graphicData uri="http://schemas.openxmlformats.org/drawingml/2006/picture">
                      <pic:pic xmlns:pic="http://schemas.openxmlformats.org/drawingml/2006/picture">
                        <pic:nvPicPr>
                          <pic:cNvPr id="191" name="Picture_41_SpCnt_4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11430" cy="9525"/>
                  <wp:effectExtent l="0" t="0" r="0" b="0"/>
                  <wp:wrapNone/>
                  <wp:docPr id="182" name="Picture_41_SpCnt_49"/>
                  <wp:cNvGraphicFramePr/>
                  <a:graphic xmlns:a="http://schemas.openxmlformats.org/drawingml/2006/main">
                    <a:graphicData uri="http://schemas.openxmlformats.org/drawingml/2006/picture">
                      <pic:pic xmlns:pic="http://schemas.openxmlformats.org/drawingml/2006/picture">
                        <pic:nvPicPr>
                          <pic:cNvPr id="182" name="Picture_41_SpCnt_4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11430" cy="9525"/>
                  <wp:effectExtent l="0" t="0" r="0" b="0"/>
                  <wp:wrapNone/>
                  <wp:docPr id="188" name="Picture_41_SpCnt_50"/>
                  <wp:cNvGraphicFramePr/>
                  <a:graphic xmlns:a="http://schemas.openxmlformats.org/drawingml/2006/main">
                    <a:graphicData uri="http://schemas.openxmlformats.org/drawingml/2006/picture">
                      <pic:pic xmlns:pic="http://schemas.openxmlformats.org/drawingml/2006/picture">
                        <pic:nvPicPr>
                          <pic:cNvPr id="188" name="Picture_41_SpCnt_5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11430" cy="9525"/>
                  <wp:effectExtent l="0" t="0" r="0" b="0"/>
                  <wp:wrapNone/>
                  <wp:docPr id="166" name="Picture_41_SpCnt_51"/>
                  <wp:cNvGraphicFramePr/>
                  <a:graphic xmlns:a="http://schemas.openxmlformats.org/drawingml/2006/main">
                    <a:graphicData uri="http://schemas.openxmlformats.org/drawingml/2006/picture">
                      <pic:pic xmlns:pic="http://schemas.openxmlformats.org/drawingml/2006/picture">
                        <pic:nvPicPr>
                          <pic:cNvPr id="166" name="Picture_41_SpCnt_5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11430" cy="9525"/>
                  <wp:effectExtent l="0" t="0" r="0" b="0"/>
                  <wp:wrapNone/>
                  <wp:docPr id="185" name="Picture_41_SpCnt_52"/>
                  <wp:cNvGraphicFramePr/>
                  <a:graphic xmlns:a="http://schemas.openxmlformats.org/drawingml/2006/main">
                    <a:graphicData uri="http://schemas.openxmlformats.org/drawingml/2006/picture">
                      <pic:pic xmlns:pic="http://schemas.openxmlformats.org/drawingml/2006/picture">
                        <pic:nvPicPr>
                          <pic:cNvPr id="185" name="Picture_41_SpCnt_5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11430" cy="9525"/>
                  <wp:effectExtent l="0" t="0" r="0" b="0"/>
                  <wp:wrapNone/>
                  <wp:docPr id="168" name="Picture_41_SpCnt_53"/>
                  <wp:cNvGraphicFramePr/>
                  <a:graphic xmlns:a="http://schemas.openxmlformats.org/drawingml/2006/main">
                    <a:graphicData uri="http://schemas.openxmlformats.org/drawingml/2006/picture">
                      <pic:pic xmlns:pic="http://schemas.openxmlformats.org/drawingml/2006/picture">
                        <pic:nvPicPr>
                          <pic:cNvPr id="168" name="Picture_41_SpCnt_5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11430" cy="9525"/>
                  <wp:effectExtent l="0" t="0" r="0" b="0"/>
                  <wp:wrapNone/>
                  <wp:docPr id="169" name="Picture_41_SpCnt_54"/>
                  <wp:cNvGraphicFramePr/>
                  <a:graphic xmlns:a="http://schemas.openxmlformats.org/drawingml/2006/main">
                    <a:graphicData uri="http://schemas.openxmlformats.org/drawingml/2006/picture">
                      <pic:pic xmlns:pic="http://schemas.openxmlformats.org/drawingml/2006/picture">
                        <pic:nvPicPr>
                          <pic:cNvPr id="169" name="Picture_41_SpCnt_5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11430" cy="9525"/>
                  <wp:effectExtent l="0" t="0" r="0" b="0"/>
                  <wp:wrapNone/>
                  <wp:docPr id="177" name="Picture_41_SpCnt_55"/>
                  <wp:cNvGraphicFramePr/>
                  <a:graphic xmlns:a="http://schemas.openxmlformats.org/drawingml/2006/main">
                    <a:graphicData uri="http://schemas.openxmlformats.org/drawingml/2006/picture">
                      <pic:pic xmlns:pic="http://schemas.openxmlformats.org/drawingml/2006/picture">
                        <pic:nvPicPr>
                          <pic:cNvPr id="177" name="Picture_41_SpCnt_5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11430" cy="9525"/>
                  <wp:effectExtent l="0" t="0" r="0" b="0"/>
                  <wp:wrapNone/>
                  <wp:docPr id="173" name="Picture_41_SpCnt_56"/>
                  <wp:cNvGraphicFramePr/>
                  <a:graphic xmlns:a="http://schemas.openxmlformats.org/drawingml/2006/main">
                    <a:graphicData uri="http://schemas.openxmlformats.org/drawingml/2006/picture">
                      <pic:pic xmlns:pic="http://schemas.openxmlformats.org/drawingml/2006/picture">
                        <pic:nvPicPr>
                          <pic:cNvPr id="173" name="Picture_41_SpCnt_5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11430" cy="9525"/>
                  <wp:effectExtent l="0" t="0" r="0" b="0"/>
                  <wp:wrapNone/>
                  <wp:docPr id="186" name="Picture_41_SpCnt_57"/>
                  <wp:cNvGraphicFramePr/>
                  <a:graphic xmlns:a="http://schemas.openxmlformats.org/drawingml/2006/main">
                    <a:graphicData uri="http://schemas.openxmlformats.org/drawingml/2006/picture">
                      <pic:pic xmlns:pic="http://schemas.openxmlformats.org/drawingml/2006/picture">
                        <pic:nvPicPr>
                          <pic:cNvPr id="186" name="Picture_41_SpCnt_5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11430" cy="9525"/>
                  <wp:effectExtent l="0" t="0" r="0" b="0"/>
                  <wp:wrapNone/>
                  <wp:docPr id="189" name="Picture_41_SpCnt_58"/>
                  <wp:cNvGraphicFramePr/>
                  <a:graphic xmlns:a="http://schemas.openxmlformats.org/drawingml/2006/main">
                    <a:graphicData uri="http://schemas.openxmlformats.org/drawingml/2006/picture">
                      <pic:pic xmlns:pic="http://schemas.openxmlformats.org/drawingml/2006/picture">
                        <pic:nvPicPr>
                          <pic:cNvPr id="189" name="Picture_41_SpCnt_5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11430" cy="9525"/>
                  <wp:effectExtent l="0" t="0" r="0" b="0"/>
                  <wp:wrapNone/>
                  <wp:docPr id="175" name="Picture_41_SpCnt_59"/>
                  <wp:cNvGraphicFramePr/>
                  <a:graphic xmlns:a="http://schemas.openxmlformats.org/drawingml/2006/main">
                    <a:graphicData uri="http://schemas.openxmlformats.org/drawingml/2006/picture">
                      <pic:pic xmlns:pic="http://schemas.openxmlformats.org/drawingml/2006/picture">
                        <pic:nvPicPr>
                          <pic:cNvPr id="175" name="Picture_41_SpCnt_5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11430" cy="9525"/>
                  <wp:effectExtent l="0" t="0" r="0" b="0"/>
                  <wp:wrapNone/>
                  <wp:docPr id="181" name="Picture_41_SpCnt_60"/>
                  <wp:cNvGraphicFramePr/>
                  <a:graphic xmlns:a="http://schemas.openxmlformats.org/drawingml/2006/main">
                    <a:graphicData uri="http://schemas.openxmlformats.org/drawingml/2006/picture">
                      <pic:pic xmlns:pic="http://schemas.openxmlformats.org/drawingml/2006/picture">
                        <pic:nvPicPr>
                          <pic:cNvPr id="181" name="Picture_41_SpCnt_6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11430" cy="9525"/>
                  <wp:effectExtent l="0" t="0" r="0" b="0"/>
                  <wp:wrapNone/>
                  <wp:docPr id="170" name="Picture_41_SpCnt_61"/>
                  <wp:cNvGraphicFramePr/>
                  <a:graphic xmlns:a="http://schemas.openxmlformats.org/drawingml/2006/main">
                    <a:graphicData uri="http://schemas.openxmlformats.org/drawingml/2006/picture">
                      <pic:pic xmlns:pic="http://schemas.openxmlformats.org/drawingml/2006/picture">
                        <pic:nvPicPr>
                          <pic:cNvPr id="170" name="Picture_41_SpCnt_6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11430" cy="9525"/>
                  <wp:effectExtent l="0" t="0" r="0" b="0"/>
                  <wp:wrapNone/>
                  <wp:docPr id="178" name="Picture_41_SpCnt_62"/>
                  <wp:cNvGraphicFramePr/>
                  <a:graphic xmlns:a="http://schemas.openxmlformats.org/drawingml/2006/main">
                    <a:graphicData uri="http://schemas.openxmlformats.org/drawingml/2006/picture">
                      <pic:pic xmlns:pic="http://schemas.openxmlformats.org/drawingml/2006/picture">
                        <pic:nvPicPr>
                          <pic:cNvPr id="178" name="Picture_41_SpCnt_6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11430" cy="9525"/>
                  <wp:effectExtent l="0" t="0" r="0" b="0"/>
                  <wp:wrapNone/>
                  <wp:docPr id="192" name="Picture_41_SpCnt_63"/>
                  <wp:cNvGraphicFramePr/>
                  <a:graphic xmlns:a="http://schemas.openxmlformats.org/drawingml/2006/main">
                    <a:graphicData uri="http://schemas.openxmlformats.org/drawingml/2006/picture">
                      <pic:pic xmlns:pic="http://schemas.openxmlformats.org/drawingml/2006/picture">
                        <pic:nvPicPr>
                          <pic:cNvPr id="192" name="Picture_41_SpCnt_6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11430" cy="9525"/>
                  <wp:effectExtent l="0" t="0" r="0" b="0"/>
                  <wp:wrapNone/>
                  <wp:docPr id="179" name="Picture_41_SpCnt_64"/>
                  <wp:cNvGraphicFramePr/>
                  <a:graphic xmlns:a="http://schemas.openxmlformats.org/drawingml/2006/main">
                    <a:graphicData uri="http://schemas.openxmlformats.org/drawingml/2006/picture">
                      <pic:pic xmlns:pic="http://schemas.openxmlformats.org/drawingml/2006/picture">
                        <pic:nvPicPr>
                          <pic:cNvPr id="179" name="Picture_41_SpCnt_6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11430" cy="9525"/>
                  <wp:effectExtent l="0" t="0" r="0" b="0"/>
                  <wp:wrapNone/>
                  <wp:docPr id="180" name="Picture_41_SpCnt_65"/>
                  <wp:cNvGraphicFramePr/>
                  <a:graphic xmlns:a="http://schemas.openxmlformats.org/drawingml/2006/main">
                    <a:graphicData uri="http://schemas.openxmlformats.org/drawingml/2006/picture">
                      <pic:pic xmlns:pic="http://schemas.openxmlformats.org/drawingml/2006/picture">
                        <pic:nvPicPr>
                          <pic:cNvPr id="180" name="Picture_41_SpCnt_6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11430" cy="9525"/>
                  <wp:effectExtent l="0" t="0" r="0" b="0"/>
                  <wp:wrapNone/>
                  <wp:docPr id="161" name="Picture_41_SpCnt_66"/>
                  <wp:cNvGraphicFramePr/>
                  <a:graphic xmlns:a="http://schemas.openxmlformats.org/drawingml/2006/main">
                    <a:graphicData uri="http://schemas.openxmlformats.org/drawingml/2006/picture">
                      <pic:pic xmlns:pic="http://schemas.openxmlformats.org/drawingml/2006/picture">
                        <pic:nvPicPr>
                          <pic:cNvPr id="161" name="Picture_41_SpCnt_6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11430" cy="9525"/>
                  <wp:effectExtent l="0" t="0" r="0" b="0"/>
                  <wp:wrapNone/>
                  <wp:docPr id="162" name="Picture_41_SpCnt_67"/>
                  <wp:cNvGraphicFramePr/>
                  <a:graphic xmlns:a="http://schemas.openxmlformats.org/drawingml/2006/main">
                    <a:graphicData uri="http://schemas.openxmlformats.org/drawingml/2006/picture">
                      <pic:pic xmlns:pic="http://schemas.openxmlformats.org/drawingml/2006/picture">
                        <pic:nvPicPr>
                          <pic:cNvPr id="162" name="Picture_41_SpCnt_6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11430" cy="9525"/>
                  <wp:effectExtent l="0" t="0" r="0" b="0"/>
                  <wp:wrapNone/>
                  <wp:docPr id="221" name="Picture_41_SpCnt_68"/>
                  <wp:cNvGraphicFramePr/>
                  <a:graphic xmlns:a="http://schemas.openxmlformats.org/drawingml/2006/main">
                    <a:graphicData uri="http://schemas.openxmlformats.org/drawingml/2006/picture">
                      <pic:pic xmlns:pic="http://schemas.openxmlformats.org/drawingml/2006/picture">
                        <pic:nvPicPr>
                          <pic:cNvPr id="221" name="Picture_41_SpCnt_6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11430" cy="9525"/>
                  <wp:effectExtent l="0" t="0" r="0" b="0"/>
                  <wp:wrapNone/>
                  <wp:docPr id="219" name="Picture_41_SpCnt_69"/>
                  <wp:cNvGraphicFramePr/>
                  <a:graphic xmlns:a="http://schemas.openxmlformats.org/drawingml/2006/main">
                    <a:graphicData uri="http://schemas.openxmlformats.org/drawingml/2006/picture">
                      <pic:pic xmlns:pic="http://schemas.openxmlformats.org/drawingml/2006/picture">
                        <pic:nvPicPr>
                          <pic:cNvPr id="219" name="Picture_41_SpCnt_6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11430" cy="9525"/>
                  <wp:effectExtent l="0" t="0" r="0" b="0"/>
                  <wp:wrapNone/>
                  <wp:docPr id="197" name="Picture_41_SpCnt_70"/>
                  <wp:cNvGraphicFramePr/>
                  <a:graphic xmlns:a="http://schemas.openxmlformats.org/drawingml/2006/main">
                    <a:graphicData uri="http://schemas.openxmlformats.org/drawingml/2006/picture">
                      <pic:pic xmlns:pic="http://schemas.openxmlformats.org/drawingml/2006/picture">
                        <pic:nvPicPr>
                          <pic:cNvPr id="197" name="Picture_41_SpCnt_7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11430" cy="9525"/>
                  <wp:effectExtent l="0" t="0" r="0" b="0"/>
                  <wp:wrapNone/>
                  <wp:docPr id="220" name="Picture_41_SpCnt_71"/>
                  <wp:cNvGraphicFramePr/>
                  <a:graphic xmlns:a="http://schemas.openxmlformats.org/drawingml/2006/main">
                    <a:graphicData uri="http://schemas.openxmlformats.org/drawingml/2006/picture">
                      <pic:pic xmlns:pic="http://schemas.openxmlformats.org/drawingml/2006/picture">
                        <pic:nvPicPr>
                          <pic:cNvPr id="220" name="Picture_41_SpCnt_7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11430" cy="9525"/>
                  <wp:effectExtent l="0" t="0" r="0" b="0"/>
                  <wp:wrapNone/>
                  <wp:docPr id="217" name="Picture_41_SpCnt_72"/>
                  <wp:cNvGraphicFramePr/>
                  <a:graphic xmlns:a="http://schemas.openxmlformats.org/drawingml/2006/main">
                    <a:graphicData uri="http://schemas.openxmlformats.org/drawingml/2006/picture">
                      <pic:pic xmlns:pic="http://schemas.openxmlformats.org/drawingml/2006/picture">
                        <pic:nvPicPr>
                          <pic:cNvPr id="217" name="Picture_41_SpCnt_7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11430" cy="9525"/>
                  <wp:effectExtent l="0" t="0" r="0" b="0"/>
                  <wp:wrapNone/>
                  <wp:docPr id="218" name="Picture_41_SpCnt_73"/>
                  <wp:cNvGraphicFramePr/>
                  <a:graphic xmlns:a="http://schemas.openxmlformats.org/drawingml/2006/main">
                    <a:graphicData uri="http://schemas.openxmlformats.org/drawingml/2006/picture">
                      <pic:pic xmlns:pic="http://schemas.openxmlformats.org/drawingml/2006/picture">
                        <pic:nvPicPr>
                          <pic:cNvPr id="218" name="Picture_41_SpCnt_7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11430" cy="9525"/>
                  <wp:effectExtent l="0" t="0" r="0" b="0"/>
                  <wp:wrapNone/>
                  <wp:docPr id="205" name="Picture_41_SpCnt_74"/>
                  <wp:cNvGraphicFramePr/>
                  <a:graphic xmlns:a="http://schemas.openxmlformats.org/drawingml/2006/main">
                    <a:graphicData uri="http://schemas.openxmlformats.org/drawingml/2006/picture">
                      <pic:pic xmlns:pic="http://schemas.openxmlformats.org/drawingml/2006/picture">
                        <pic:nvPicPr>
                          <pic:cNvPr id="205" name="Picture_41_SpCnt_7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11430" cy="9525"/>
                  <wp:effectExtent l="0" t="0" r="0" b="0"/>
                  <wp:wrapNone/>
                  <wp:docPr id="206" name="Picture_41_SpCnt_75"/>
                  <wp:cNvGraphicFramePr/>
                  <a:graphic xmlns:a="http://schemas.openxmlformats.org/drawingml/2006/main">
                    <a:graphicData uri="http://schemas.openxmlformats.org/drawingml/2006/picture">
                      <pic:pic xmlns:pic="http://schemas.openxmlformats.org/drawingml/2006/picture">
                        <pic:nvPicPr>
                          <pic:cNvPr id="206" name="Picture_41_SpCnt_7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11430" cy="9525"/>
                  <wp:effectExtent l="0" t="0" r="0" b="0"/>
                  <wp:wrapNone/>
                  <wp:docPr id="213" name="Picture_41_SpCnt_76"/>
                  <wp:cNvGraphicFramePr/>
                  <a:graphic xmlns:a="http://schemas.openxmlformats.org/drawingml/2006/main">
                    <a:graphicData uri="http://schemas.openxmlformats.org/drawingml/2006/picture">
                      <pic:pic xmlns:pic="http://schemas.openxmlformats.org/drawingml/2006/picture">
                        <pic:nvPicPr>
                          <pic:cNvPr id="213" name="Picture_41_SpCnt_7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11430" cy="9525"/>
                  <wp:effectExtent l="0" t="0" r="0" b="0"/>
                  <wp:wrapNone/>
                  <wp:docPr id="207" name="Picture_41_SpCnt_77"/>
                  <wp:cNvGraphicFramePr/>
                  <a:graphic xmlns:a="http://schemas.openxmlformats.org/drawingml/2006/main">
                    <a:graphicData uri="http://schemas.openxmlformats.org/drawingml/2006/picture">
                      <pic:pic xmlns:pic="http://schemas.openxmlformats.org/drawingml/2006/picture">
                        <pic:nvPicPr>
                          <pic:cNvPr id="207" name="Picture_41_SpCnt_7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11430" cy="9525"/>
                  <wp:effectExtent l="0" t="0" r="0" b="0"/>
                  <wp:wrapNone/>
                  <wp:docPr id="222" name="Picture_41_SpCnt_78"/>
                  <wp:cNvGraphicFramePr/>
                  <a:graphic xmlns:a="http://schemas.openxmlformats.org/drawingml/2006/main">
                    <a:graphicData uri="http://schemas.openxmlformats.org/drawingml/2006/picture">
                      <pic:pic xmlns:pic="http://schemas.openxmlformats.org/drawingml/2006/picture">
                        <pic:nvPicPr>
                          <pic:cNvPr id="222" name="Picture_41_SpCnt_7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11430" cy="9525"/>
                  <wp:effectExtent l="0" t="0" r="0" b="0"/>
                  <wp:wrapNone/>
                  <wp:docPr id="193" name="Picture_41_SpCnt_79"/>
                  <wp:cNvGraphicFramePr/>
                  <a:graphic xmlns:a="http://schemas.openxmlformats.org/drawingml/2006/main">
                    <a:graphicData uri="http://schemas.openxmlformats.org/drawingml/2006/picture">
                      <pic:pic xmlns:pic="http://schemas.openxmlformats.org/drawingml/2006/picture">
                        <pic:nvPicPr>
                          <pic:cNvPr id="193" name="Picture_41_SpCnt_7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11430" cy="9525"/>
                  <wp:effectExtent l="0" t="0" r="0" b="0"/>
                  <wp:wrapNone/>
                  <wp:docPr id="203" name="Picture_41_SpCnt_80"/>
                  <wp:cNvGraphicFramePr/>
                  <a:graphic xmlns:a="http://schemas.openxmlformats.org/drawingml/2006/main">
                    <a:graphicData uri="http://schemas.openxmlformats.org/drawingml/2006/picture">
                      <pic:pic xmlns:pic="http://schemas.openxmlformats.org/drawingml/2006/picture">
                        <pic:nvPicPr>
                          <pic:cNvPr id="203" name="Picture_41_SpCnt_8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11430" cy="9525"/>
                  <wp:effectExtent l="0" t="0" r="0" b="0"/>
                  <wp:wrapNone/>
                  <wp:docPr id="223" name="Picture_41_SpCnt_81"/>
                  <wp:cNvGraphicFramePr/>
                  <a:graphic xmlns:a="http://schemas.openxmlformats.org/drawingml/2006/main">
                    <a:graphicData uri="http://schemas.openxmlformats.org/drawingml/2006/picture">
                      <pic:pic xmlns:pic="http://schemas.openxmlformats.org/drawingml/2006/picture">
                        <pic:nvPicPr>
                          <pic:cNvPr id="223" name="Picture_41_SpCnt_8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11430" cy="9525"/>
                  <wp:effectExtent l="0" t="0" r="0" b="0"/>
                  <wp:wrapNone/>
                  <wp:docPr id="224" name="Picture_41_SpCnt_82"/>
                  <wp:cNvGraphicFramePr/>
                  <a:graphic xmlns:a="http://schemas.openxmlformats.org/drawingml/2006/main">
                    <a:graphicData uri="http://schemas.openxmlformats.org/drawingml/2006/picture">
                      <pic:pic xmlns:pic="http://schemas.openxmlformats.org/drawingml/2006/picture">
                        <pic:nvPicPr>
                          <pic:cNvPr id="224" name="Picture_41_SpCnt_8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11430" cy="9525"/>
                  <wp:effectExtent l="0" t="0" r="0" b="0"/>
                  <wp:wrapNone/>
                  <wp:docPr id="196" name="Picture_41_SpCnt_83"/>
                  <wp:cNvGraphicFramePr/>
                  <a:graphic xmlns:a="http://schemas.openxmlformats.org/drawingml/2006/main">
                    <a:graphicData uri="http://schemas.openxmlformats.org/drawingml/2006/picture">
                      <pic:pic xmlns:pic="http://schemas.openxmlformats.org/drawingml/2006/picture">
                        <pic:nvPicPr>
                          <pic:cNvPr id="196" name="Picture_41_SpCnt_8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11430" cy="9525"/>
                  <wp:effectExtent l="0" t="0" r="0" b="0"/>
                  <wp:wrapNone/>
                  <wp:docPr id="194" name="Picture_41_SpCnt_84"/>
                  <wp:cNvGraphicFramePr/>
                  <a:graphic xmlns:a="http://schemas.openxmlformats.org/drawingml/2006/main">
                    <a:graphicData uri="http://schemas.openxmlformats.org/drawingml/2006/picture">
                      <pic:pic xmlns:pic="http://schemas.openxmlformats.org/drawingml/2006/picture">
                        <pic:nvPicPr>
                          <pic:cNvPr id="194" name="Picture_41_SpCnt_8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11430" cy="9525"/>
                  <wp:effectExtent l="0" t="0" r="0" b="0"/>
                  <wp:wrapNone/>
                  <wp:docPr id="195" name="Picture_41_SpCnt_85"/>
                  <wp:cNvGraphicFramePr/>
                  <a:graphic xmlns:a="http://schemas.openxmlformats.org/drawingml/2006/main">
                    <a:graphicData uri="http://schemas.openxmlformats.org/drawingml/2006/picture">
                      <pic:pic xmlns:pic="http://schemas.openxmlformats.org/drawingml/2006/picture">
                        <pic:nvPicPr>
                          <pic:cNvPr id="195" name="Picture_41_SpCnt_8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11430" cy="9525"/>
                  <wp:effectExtent l="0" t="0" r="0" b="0"/>
                  <wp:wrapNone/>
                  <wp:docPr id="208" name="Picture_41_SpCnt_86"/>
                  <wp:cNvGraphicFramePr/>
                  <a:graphic xmlns:a="http://schemas.openxmlformats.org/drawingml/2006/main">
                    <a:graphicData uri="http://schemas.openxmlformats.org/drawingml/2006/picture">
                      <pic:pic xmlns:pic="http://schemas.openxmlformats.org/drawingml/2006/picture">
                        <pic:nvPicPr>
                          <pic:cNvPr id="208" name="Picture_41_SpCnt_8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11430" cy="9525"/>
                  <wp:effectExtent l="0" t="0" r="0" b="0"/>
                  <wp:wrapNone/>
                  <wp:docPr id="209" name="Picture_41_SpCnt_87"/>
                  <wp:cNvGraphicFramePr/>
                  <a:graphic xmlns:a="http://schemas.openxmlformats.org/drawingml/2006/main">
                    <a:graphicData uri="http://schemas.openxmlformats.org/drawingml/2006/picture">
                      <pic:pic xmlns:pic="http://schemas.openxmlformats.org/drawingml/2006/picture">
                        <pic:nvPicPr>
                          <pic:cNvPr id="209" name="Picture_41_SpCnt_8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11430" cy="9525"/>
                  <wp:effectExtent l="0" t="0" r="0" b="0"/>
                  <wp:wrapNone/>
                  <wp:docPr id="198" name="Picture_41_SpCnt_88"/>
                  <wp:cNvGraphicFramePr/>
                  <a:graphic xmlns:a="http://schemas.openxmlformats.org/drawingml/2006/main">
                    <a:graphicData uri="http://schemas.openxmlformats.org/drawingml/2006/picture">
                      <pic:pic xmlns:pic="http://schemas.openxmlformats.org/drawingml/2006/picture">
                        <pic:nvPicPr>
                          <pic:cNvPr id="198" name="Picture_41_SpCnt_8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11430" cy="9525"/>
                  <wp:effectExtent l="0" t="0" r="0" b="0"/>
                  <wp:wrapNone/>
                  <wp:docPr id="199" name="Picture_41_SpCnt_89"/>
                  <wp:cNvGraphicFramePr/>
                  <a:graphic xmlns:a="http://schemas.openxmlformats.org/drawingml/2006/main">
                    <a:graphicData uri="http://schemas.openxmlformats.org/drawingml/2006/picture">
                      <pic:pic xmlns:pic="http://schemas.openxmlformats.org/drawingml/2006/picture">
                        <pic:nvPicPr>
                          <pic:cNvPr id="199" name="Picture_41_SpCnt_8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11430" cy="9525"/>
                  <wp:effectExtent l="0" t="0" r="0" b="0"/>
                  <wp:wrapNone/>
                  <wp:docPr id="200" name="Picture_41_SpCnt_90"/>
                  <wp:cNvGraphicFramePr/>
                  <a:graphic xmlns:a="http://schemas.openxmlformats.org/drawingml/2006/main">
                    <a:graphicData uri="http://schemas.openxmlformats.org/drawingml/2006/picture">
                      <pic:pic xmlns:pic="http://schemas.openxmlformats.org/drawingml/2006/picture">
                        <pic:nvPicPr>
                          <pic:cNvPr id="200" name="Picture_41_SpCnt_9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11430" cy="9525"/>
                  <wp:effectExtent l="0" t="0" r="0" b="0"/>
                  <wp:wrapNone/>
                  <wp:docPr id="215" name="Picture_41_SpCnt_91"/>
                  <wp:cNvGraphicFramePr/>
                  <a:graphic xmlns:a="http://schemas.openxmlformats.org/drawingml/2006/main">
                    <a:graphicData uri="http://schemas.openxmlformats.org/drawingml/2006/picture">
                      <pic:pic xmlns:pic="http://schemas.openxmlformats.org/drawingml/2006/picture">
                        <pic:nvPicPr>
                          <pic:cNvPr id="215" name="Picture_41_SpCnt_9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11430" cy="9525"/>
                  <wp:effectExtent l="0" t="0" r="0" b="0"/>
                  <wp:wrapNone/>
                  <wp:docPr id="201" name="Picture_41_SpCnt_92"/>
                  <wp:cNvGraphicFramePr/>
                  <a:graphic xmlns:a="http://schemas.openxmlformats.org/drawingml/2006/main">
                    <a:graphicData uri="http://schemas.openxmlformats.org/drawingml/2006/picture">
                      <pic:pic xmlns:pic="http://schemas.openxmlformats.org/drawingml/2006/picture">
                        <pic:nvPicPr>
                          <pic:cNvPr id="201" name="Picture_41_SpCnt_9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11430" cy="9525"/>
                  <wp:effectExtent l="0" t="0" r="0" b="0"/>
                  <wp:wrapNone/>
                  <wp:docPr id="202" name="Picture_41_SpCnt_93"/>
                  <wp:cNvGraphicFramePr/>
                  <a:graphic xmlns:a="http://schemas.openxmlformats.org/drawingml/2006/main">
                    <a:graphicData uri="http://schemas.openxmlformats.org/drawingml/2006/picture">
                      <pic:pic xmlns:pic="http://schemas.openxmlformats.org/drawingml/2006/picture">
                        <pic:nvPicPr>
                          <pic:cNvPr id="202" name="Picture_41_SpCnt_9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11430" cy="9525"/>
                  <wp:effectExtent l="0" t="0" r="0" b="0"/>
                  <wp:wrapNone/>
                  <wp:docPr id="204" name="Picture_41_SpCnt_94"/>
                  <wp:cNvGraphicFramePr/>
                  <a:graphic xmlns:a="http://schemas.openxmlformats.org/drawingml/2006/main">
                    <a:graphicData uri="http://schemas.openxmlformats.org/drawingml/2006/picture">
                      <pic:pic xmlns:pic="http://schemas.openxmlformats.org/drawingml/2006/picture">
                        <pic:nvPicPr>
                          <pic:cNvPr id="204" name="Picture_41_SpCnt_9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11430" cy="9525"/>
                  <wp:effectExtent l="0" t="0" r="0" b="0"/>
                  <wp:wrapNone/>
                  <wp:docPr id="210" name="Picture_41_SpCnt_95"/>
                  <wp:cNvGraphicFramePr/>
                  <a:graphic xmlns:a="http://schemas.openxmlformats.org/drawingml/2006/main">
                    <a:graphicData uri="http://schemas.openxmlformats.org/drawingml/2006/picture">
                      <pic:pic xmlns:pic="http://schemas.openxmlformats.org/drawingml/2006/picture">
                        <pic:nvPicPr>
                          <pic:cNvPr id="210" name="Picture_41_SpCnt_9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11430" cy="9525"/>
                  <wp:effectExtent l="0" t="0" r="0" b="0"/>
                  <wp:wrapNone/>
                  <wp:docPr id="211" name="Picture_41_SpCnt_96"/>
                  <wp:cNvGraphicFramePr/>
                  <a:graphic xmlns:a="http://schemas.openxmlformats.org/drawingml/2006/main">
                    <a:graphicData uri="http://schemas.openxmlformats.org/drawingml/2006/picture">
                      <pic:pic xmlns:pic="http://schemas.openxmlformats.org/drawingml/2006/picture">
                        <pic:nvPicPr>
                          <pic:cNvPr id="211" name="Picture_41_SpCnt_9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11430" cy="9525"/>
                  <wp:effectExtent l="0" t="0" r="0" b="0"/>
                  <wp:wrapNone/>
                  <wp:docPr id="212" name="Picture_41_SpCnt_97"/>
                  <wp:cNvGraphicFramePr/>
                  <a:graphic xmlns:a="http://schemas.openxmlformats.org/drawingml/2006/main">
                    <a:graphicData uri="http://schemas.openxmlformats.org/drawingml/2006/picture">
                      <pic:pic xmlns:pic="http://schemas.openxmlformats.org/drawingml/2006/picture">
                        <pic:nvPicPr>
                          <pic:cNvPr id="212" name="Picture_41_SpCnt_9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11430" cy="9525"/>
                  <wp:effectExtent l="0" t="0" r="0" b="0"/>
                  <wp:wrapNone/>
                  <wp:docPr id="214" name="Picture_41_SpCnt_98"/>
                  <wp:cNvGraphicFramePr/>
                  <a:graphic xmlns:a="http://schemas.openxmlformats.org/drawingml/2006/main">
                    <a:graphicData uri="http://schemas.openxmlformats.org/drawingml/2006/picture">
                      <pic:pic xmlns:pic="http://schemas.openxmlformats.org/drawingml/2006/picture">
                        <pic:nvPicPr>
                          <pic:cNvPr id="214" name="Picture_41_SpCnt_9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11430" cy="9525"/>
                  <wp:effectExtent l="0" t="0" r="0" b="0"/>
                  <wp:wrapNone/>
                  <wp:docPr id="216" name="Picture_41_SpCnt_99"/>
                  <wp:cNvGraphicFramePr/>
                  <a:graphic xmlns:a="http://schemas.openxmlformats.org/drawingml/2006/main">
                    <a:graphicData uri="http://schemas.openxmlformats.org/drawingml/2006/picture">
                      <pic:pic xmlns:pic="http://schemas.openxmlformats.org/drawingml/2006/picture">
                        <pic:nvPicPr>
                          <pic:cNvPr id="216" name="Picture_41_SpCnt_9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11430" cy="9525"/>
                  <wp:effectExtent l="0" t="0" r="0" b="0"/>
                  <wp:wrapNone/>
                  <wp:docPr id="247" name="Picture_41_SpCnt_100"/>
                  <wp:cNvGraphicFramePr/>
                  <a:graphic xmlns:a="http://schemas.openxmlformats.org/drawingml/2006/main">
                    <a:graphicData uri="http://schemas.openxmlformats.org/drawingml/2006/picture">
                      <pic:pic xmlns:pic="http://schemas.openxmlformats.org/drawingml/2006/picture">
                        <pic:nvPicPr>
                          <pic:cNvPr id="247" name="Picture_41_SpCnt_10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11430" cy="9525"/>
                  <wp:effectExtent l="0" t="0" r="0" b="0"/>
                  <wp:wrapNone/>
                  <wp:docPr id="252" name="Picture_41_SpCnt_101"/>
                  <wp:cNvGraphicFramePr/>
                  <a:graphic xmlns:a="http://schemas.openxmlformats.org/drawingml/2006/main">
                    <a:graphicData uri="http://schemas.openxmlformats.org/drawingml/2006/picture">
                      <pic:pic xmlns:pic="http://schemas.openxmlformats.org/drawingml/2006/picture">
                        <pic:nvPicPr>
                          <pic:cNvPr id="252" name="Picture_41_SpCnt_10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11430" cy="9525"/>
                  <wp:effectExtent l="0" t="0" r="0" b="0"/>
                  <wp:wrapNone/>
                  <wp:docPr id="226" name="Picture_41_SpCnt_102"/>
                  <wp:cNvGraphicFramePr/>
                  <a:graphic xmlns:a="http://schemas.openxmlformats.org/drawingml/2006/main">
                    <a:graphicData uri="http://schemas.openxmlformats.org/drawingml/2006/picture">
                      <pic:pic xmlns:pic="http://schemas.openxmlformats.org/drawingml/2006/picture">
                        <pic:nvPicPr>
                          <pic:cNvPr id="226" name="Picture_41_SpCnt_10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11430" cy="9525"/>
                  <wp:effectExtent l="0" t="0" r="0" b="0"/>
                  <wp:wrapNone/>
                  <wp:docPr id="254" name="Picture_41_SpCnt_103"/>
                  <wp:cNvGraphicFramePr/>
                  <a:graphic xmlns:a="http://schemas.openxmlformats.org/drawingml/2006/main">
                    <a:graphicData uri="http://schemas.openxmlformats.org/drawingml/2006/picture">
                      <pic:pic xmlns:pic="http://schemas.openxmlformats.org/drawingml/2006/picture">
                        <pic:nvPicPr>
                          <pic:cNvPr id="254" name="Picture_41_SpCnt_10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11430" cy="9525"/>
                  <wp:effectExtent l="0" t="0" r="0" b="0"/>
                  <wp:wrapNone/>
                  <wp:docPr id="241" name="Picture_41_SpCnt_104"/>
                  <wp:cNvGraphicFramePr/>
                  <a:graphic xmlns:a="http://schemas.openxmlformats.org/drawingml/2006/main">
                    <a:graphicData uri="http://schemas.openxmlformats.org/drawingml/2006/picture">
                      <pic:pic xmlns:pic="http://schemas.openxmlformats.org/drawingml/2006/picture">
                        <pic:nvPicPr>
                          <pic:cNvPr id="241" name="Picture_41_SpCnt_10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11430" cy="9525"/>
                  <wp:effectExtent l="0" t="0" r="0" b="0"/>
                  <wp:wrapNone/>
                  <wp:docPr id="227" name="Picture_41_SpCnt_105"/>
                  <wp:cNvGraphicFramePr/>
                  <a:graphic xmlns:a="http://schemas.openxmlformats.org/drawingml/2006/main">
                    <a:graphicData uri="http://schemas.openxmlformats.org/drawingml/2006/picture">
                      <pic:pic xmlns:pic="http://schemas.openxmlformats.org/drawingml/2006/picture">
                        <pic:nvPicPr>
                          <pic:cNvPr id="227" name="Picture_41_SpCnt_10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1430" cy="9525"/>
                  <wp:effectExtent l="0" t="0" r="0" b="0"/>
                  <wp:wrapNone/>
                  <wp:docPr id="235" name="Picture_41_SpCnt_106"/>
                  <wp:cNvGraphicFramePr/>
                  <a:graphic xmlns:a="http://schemas.openxmlformats.org/drawingml/2006/main">
                    <a:graphicData uri="http://schemas.openxmlformats.org/drawingml/2006/picture">
                      <pic:pic xmlns:pic="http://schemas.openxmlformats.org/drawingml/2006/picture">
                        <pic:nvPicPr>
                          <pic:cNvPr id="235" name="Picture_41_SpCnt_10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11430" cy="9525"/>
                  <wp:effectExtent l="0" t="0" r="0" b="0"/>
                  <wp:wrapNone/>
                  <wp:docPr id="240" name="Picture_41_SpCnt_107"/>
                  <wp:cNvGraphicFramePr/>
                  <a:graphic xmlns:a="http://schemas.openxmlformats.org/drawingml/2006/main">
                    <a:graphicData uri="http://schemas.openxmlformats.org/drawingml/2006/picture">
                      <pic:pic xmlns:pic="http://schemas.openxmlformats.org/drawingml/2006/picture">
                        <pic:nvPicPr>
                          <pic:cNvPr id="240" name="Picture_41_SpCnt_10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11430" cy="9525"/>
                  <wp:effectExtent l="0" t="0" r="0" b="0"/>
                  <wp:wrapNone/>
                  <wp:docPr id="242" name="Picture_41_SpCnt_108"/>
                  <wp:cNvGraphicFramePr/>
                  <a:graphic xmlns:a="http://schemas.openxmlformats.org/drawingml/2006/main">
                    <a:graphicData uri="http://schemas.openxmlformats.org/drawingml/2006/picture">
                      <pic:pic xmlns:pic="http://schemas.openxmlformats.org/drawingml/2006/picture">
                        <pic:nvPicPr>
                          <pic:cNvPr id="242" name="Picture_41_SpCnt_10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11430" cy="9525"/>
                  <wp:effectExtent l="0" t="0" r="0" b="0"/>
                  <wp:wrapNone/>
                  <wp:docPr id="256" name="Picture_41_SpCnt_109"/>
                  <wp:cNvGraphicFramePr/>
                  <a:graphic xmlns:a="http://schemas.openxmlformats.org/drawingml/2006/main">
                    <a:graphicData uri="http://schemas.openxmlformats.org/drawingml/2006/picture">
                      <pic:pic xmlns:pic="http://schemas.openxmlformats.org/drawingml/2006/picture">
                        <pic:nvPicPr>
                          <pic:cNvPr id="256" name="Picture_41_SpCnt_10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11430" cy="9525"/>
                  <wp:effectExtent l="0" t="0" r="0" b="0"/>
                  <wp:wrapNone/>
                  <wp:docPr id="244" name="Picture_41_SpCnt_110"/>
                  <wp:cNvGraphicFramePr/>
                  <a:graphic xmlns:a="http://schemas.openxmlformats.org/drawingml/2006/main">
                    <a:graphicData uri="http://schemas.openxmlformats.org/drawingml/2006/picture">
                      <pic:pic xmlns:pic="http://schemas.openxmlformats.org/drawingml/2006/picture">
                        <pic:nvPicPr>
                          <pic:cNvPr id="244" name="Picture_41_SpCnt_11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11430" cy="9525"/>
                  <wp:effectExtent l="0" t="0" r="0" b="0"/>
                  <wp:wrapNone/>
                  <wp:docPr id="236" name="Picture_41_SpCnt_111"/>
                  <wp:cNvGraphicFramePr/>
                  <a:graphic xmlns:a="http://schemas.openxmlformats.org/drawingml/2006/main">
                    <a:graphicData uri="http://schemas.openxmlformats.org/drawingml/2006/picture">
                      <pic:pic xmlns:pic="http://schemas.openxmlformats.org/drawingml/2006/picture">
                        <pic:nvPicPr>
                          <pic:cNvPr id="236" name="Picture_41_SpCnt_11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11430" cy="9525"/>
                  <wp:effectExtent l="0" t="0" r="0" b="0"/>
                  <wp:wrapNone/>
                  <wp:docPr id="230" name="Picture_41_SpCnt_112"/>
                  <wp:cNvGraphicFramePr/>
                  <a:graphic xmlns:a="http://schemas.openxmlformats.org/drawingml/2006/main">
                    <a:graphicData uri="http://schemas.openxmlformats.org/drawingml/2006/picture">
                      <pic:pic xmlns:pic="http://schemas.openxmlformats.org/drawingml/2006/picture">
                        <pic:nvPicPr>
                          <pic:cNvPr id="230" name="Picture_41_SpCnt_11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11430" cy="9525"/>
                  <wp:effectExtent l="0" t="0" r="0" b="0"/>
                  <wp:wrapNone/>
                  <wp:docPr id="237" name="Picture_41_SpCnt_113"/>
                  <wp:cNvGraphicFramePr/>
                  <a:graphic xmlns:a="http://schemas.openxmlformats.org/drawingml/2006/main">
                    <a:graphicData uri="http://schemas.openxmlformats.org/drawingml/2006/picture">
                      <pic:pic xmlns:pic="http://schemas.openxmlformats.org/drawingml/2006/picture">
                        <pic:nvPicPr>
                          <pic:cNvPr id="237" name="Picture_41_SpCnt_11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11430" cy="9525"/>
                  <wp:effectExtent l="0" t="0" r="0" b="0"/>
                  <wp:wrapNone/>
                  <wp:docPr id="245" name="Picture_41_SpCnt_114"/>
                  <wp:cNvGraphicFramePr/>
                  <a:graphic xmlns:a="http://schemas.openxmlformats.org/drawingml/2006/main">
                    <a:graphicData uri="http://schemas.openxmlformats.org/drawingml/2006/picture">
                      <pic:pic xmlns:pic="http://schemas.openxmlformats.org/drawingml/2006/picture">
                        <pic:nvPicPr>
                          <pic:cNvPr id="245" name="Picture_41_SpCnt_11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11430" cy="9525"/>
                  <wp:effectExtent l="0" t="0" r="0" b="0"/>
                  <wp:wrapNone/>
                  <wp:docPr id="243" name="Picture_41_SpCnt_115"/>
                  <wp:cNvGraphicFramePr/>
                  <a:graphic xmlns:a="http://schemas.openxmlformats.org/drawingml/2006/main">
                    <a:graphicData uri="http://schemas.openxmlformats.org/drawingml/2006/picture">
                      <pic:pic xmlns:pic="http://schemas.openxmlformats.org/drawingml/2006/picture">
                        <pic:nvPicPr>
                          <pic:cNvPr id="243" name="Picture_41_SpCnt_11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11430" cy="9525"/>
                  <wp:effectExtent l="0" t="0" r="0" b="0"/>
                  <wp:wrapNone/>
                  <wp:docPr id="225" name="Picture_41_SpCnt_116"/>
                  <wp:cNvGraphicFramePr/>
                  <a:graphic xmlns:a="http://schemas.openxmlformats.org/drawingml/2006/main">
                    <a:graphicData uri="http://schemas.openxmlformats.org/drawingml/2006/picture">
                      <pic:pic xmlns:pic="http://schemas.openxmlformats.org/drawingml/2006/picture">
                        <pic:nvPicPr>
                          <pic:cNvPr id="225" name="Picture_41_SpCnt_11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11430" cy="9525"/>
                  <wp:effectExtent l="0" t="0" r="0" b="0"/>
                  <wp:wrapNone/>
                  <wp:docPr id="246" name="Picture_41_SpCnt_117"/>
                  <wp:cNvGraphicFramePr/>
                  <a:graphic xmlns:a="http://schemas.openxmlformats.org/drawingml/2006/main">
                    <a:graphicData uri="http://schemas.openxmlformats.org/drawingml/2006/picture">
                      <pic:pic xmlns:pic="http://schemas.openxmlformats.org/drawingml/2006/picture">
                        <pic:nvPicPr>
                          <pic:cNvPr id="246" name="Picture_41_SpCnt_11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11430" cy="9525"/>
                  <wp:effectExtent l="0" t="0" r="0" b="0"/>
                  <wp:wrapNone/>
                  <wp:docPr id="228" name="Picture_41_SpCnt_118"/>
                  <wp:cNvGraphicFramePr/>
                  <a:graphic xmlns:a="http://schemas.openxmlformats.org/drawingml/2006/main">
                    <a:graphicData uri="http://schemas.openxmlformats.org/drawingml/2006/picture">
                      <pic:pic xmlns:pic="http://schemas.openxmlformats.org/drawingml/2006/picture">
                        <pic:nvPicPr>
                          <pic:cNvPr id="228" name="Picture_41_SpCnt_11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11430" cy="9525"/>
                  <wp:effectExtent l="0" t="0" r="0" b="0"/>
                  <wp:wrapNone/>
                  <wp:docPr id="249" name="Picture_41_SpCnt_119"/>
                  <wp:cNvGraphicFramePr/>
                  <a:graphic xmlns:a="http://schemas.openxmlformats.org/drawingml/2006/main">
                    <a:graphicData uri="http://schemas.openxmlformats.org/drawingml/2006/picture">
                      <pic:pic xmlns:pic="http://schemas.openxmlformats.org/drawingml/2006/picture">
                        <pic:nvPicPr>
                          <pic:cNvPr id="249" name="Picture_41_SpCnt_11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11430" cy="9525"/>
                  <wp:effectExtent l="0" t="0" r="0" b="0"/>
                  <wp:wrapNone/>
                  <wp:docPr id="229" name="Picture_41_SpCnt_120"/>
                  <wp:cNvGraphicFramePr/>
                  <a:graphic xmlns:a="http://schemas.openxmlformats.org/drawingml/2006/main">
                    <a:graphicData uri="http://schemas.openxmlformats.org/drawingml/2006/picture">
                      <pic:pic xmlns:pic="http://schemas.openxmlformats.org/drawingml/2006/picture">
                        <pic:nvPicPr>
                          <pic:cNvPr id="229" name="Picture_41_SpCnt_12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11430" cy="9525"/>
                  <wp:effectExtent l="0" t="0" r="0" b="0"/>
                  <wp:wrapNone/>
                  <wp:docPr id="238" name="Picture_41_SpCnt_121"/>
                  <wp:cNvGraphicFramePr/>
                  <a:graphic xmlns:a="http://schemas.openxmlformats.org/drawingml/2006/main">
                    <a:graphicData uri="http://schemas.openxmlformats.org/drawingml/2006/picture">
                      <pic:pic xmlns:pic="http://schemas.openxmlformats.org/drawingml/2006/picture">
                        <pic:nvPicPr>
                          <pic:cNvPr id="238" name="Picture_41_SpCnt_12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11430" cy="9525"/>
                  <wp:effectExtent l="0" t="0" r="0" b="0"/>
                  <wp:wrapNone/>
                  <wp:docPr id="248" name="Picture_41_SpCnt_122"/>
                  <wp:cNvGraphicFramePr/>
                  <a:graphic xmlns:a="http://schemas.openxmlformats.org/drawingml/2006/main">
                    <a:graphicData uri="http://schemas.openxmlformats.org/drawingml/2006/picture">
                      <pic:pic xmlns:pic="http://schemas.openxmlformats.org/drawingml/2006/picture">
                        <pic:nvPicPr>
                          <pic:cNvPr id="248" name="Picture_41_SpCnt_12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11430" cy="9525"/>
                  <wp:effectExtent l="0" t="0" r="0" b="0"/>
                  <wp:wrapNone/>
                  <wp:docPr id="255" name="Picture_41_SpCnt_123"/>
                  <wp:cNvGraphicFramePr/>
                  <a:graphic xmlns:a="http://schemas.openxmlformats.org/drawingml/2006/main">
                    <a:graphicData uri="http://schemas.openxmlformats.org/drawingml/2006/picture">
                      <pic:pic xmlns:pic="http://schemas.openxmlformats.org/drawingml/2006/picture">
                        <pic:nvPicPr>
                          <pic:cNvPr id="255" name="Picture_41_SpCnt_12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11430" cy="9525"/>
                  <wp:effectExtent l="0" t="0" r="0" b="0"/>
                  <wp:wrapNone/>
                  <wp:docPr id="239" name="Picture_41_SpCnt_124"/>
                  <wp:cNvGraphicFramePr/>
                  <a:graphic xmlns:a="http://schemas.openxmlformats.org/drawingml/2006/main">
                    <a:graphicData uri="http://schemas.openxmlformats.org/drawingml/2006/picture">
                      <pic:pic xmlns:pic="http://schemas.openxmlformats.org/drawingml/2006/picture">
                        <pic:nvPicPr>
                          <pic:cNvPr id="239" name="Picture_41_SpCnt_12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11430" cy="9525"/>
                  <wp:effectExtent l="0" t="0" r="0" b="0"/>
                  <wp:wrapNone/>
                  <wp:docPr id="250" name="Picture_41_SpCnt_125"/>
                  <wp:cNvGraphicFramePr/>
                  <a:graphic xmlns:a="http://schemas.openxmlformats.org/drawingml/2006/main">
                    <a:graphicData uri="http://schemas.openxmlformats.org/drawingml/2006/picture">
                      <pic:pic xmlns:pic="http://schemas.openxmlformats.org/drawingml/2006/picture">
                        <pic:nvPicPr>
                          <pic:cNvPr id="250" name="Picture_41_SpCnt_12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11430" cy="9525"/>
                  <wp:effectExtent l="0" t="0" r="0" b="0"/>
                  <wp:wrapNone/>
                  <wp:docPr id="251" name="Picture_41_SpCnt_126"/>
                  <wp:cNvGraphicFramePr/>
                  <a:graphic xmlns:a="http://schemas.openxmlformats.org/drawingml/2006/main">
                    <a:graphicData uri="http://schemas.openxmlformats.org/drawingml/2006/picture">
                      <pic:pic xmlns:pic="http://schemas.openxmlformats.org/drawingml/2006/picture">
                        <pic:nvPicPr>
                          <pic:cNvPr id="251" name="Picture_41_SpCnt_12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11430" cy="9525"/>
                  <wp:effectExtent l="0" t="0" r="0" b="0"/>
                  <wp:wrapNone/>
                  <wp:docPr id="233" name="Picture_41_SpCnt_127"/>
                  <wp:cNvGraphicFramePr/>
                  <a:graphic xmlns:a="http://schemas.openxmlformats.org/drawingml/2006/main">
                    <a:graphicData uri="http://schemas.openxmlformats.org/drawingml/2006/picture">
                      <pic:pic xmlns:pic="http://schemas.openxmlformats.org/drawingml/2006/picture">
                        <pic:nvPicPr>
                          <pic:cNvPr id="233" name="Picture_41_SpCnt_12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11430" cy="9525"/>
                  <wp:effectExtent l="0" t="0" r="0" b="0"/>
                  <wp:wrapNone/>
                  <wp:docPr id="231" name="Picture_41_SpCnt_128"/>
                  <wp:cNvGraphicFramePr/>
                  <a:graphic xmlns:a="http://schemas.openxmlformats.org/drawingml/2006/main">
                    <a:graphicData uri="http://schemas.openxmlformats.org/drawingml/2006/picture">
                      <pic:pic xmlns:pic="http://schemas.openxmlformats.org/drawingml/2006/picture">
                        <pic:nvPicPr>
                          <pic:cNvPr id="231" name="Picture_41_SpCnt_12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11430" cy="9525"/>
                  <wp:effectExtent l="0" t="0" r="0" b="0"/>
                  <wp:wrapNone/>
                  <wp:docPr id="234" name="Picture_41_SpCnt_129"/>
                  <wp:cNvGraphicFramePr/>
                  <a:graphic xmlns:a="http://schemas.openxmlformats.org/drawingml/2006/main">
                    <a:graphicData uri="http://schemas.openxmlformats.org/drawingml/2006/picture">
                      <pic:pic xmlns:pic="http://schemas.openxmlformats.org/drawingml/2006/picture">
                        <pic:nvPicPr>
                          <pic:cNvPr id="234" name="Picture_41_SpCnt_12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11430" cy="9525"/>
                  <wp:effectExtent l="0" t="0" r="0" b="0"/>
                  <wp:wrapNone/>
                  <wp:docPr id="232" name="Picture_41_SpCnt_130"/>
                  <wp:cNvGraphicFramePr/>
                  <a:graphic xmlns:a="http://schemas.openxmlformats.org/drawingml/2006/main">
                    <a:graphicData uri="http://schemas.openxmlformats.org/drawingml/2006/picture">
                      <pic:pic xmlns:pic="http://schemas.openxmlformats.org/drawingml/2006/picture">
                        <pic:nvPicPr>
                          <pic:cNvPr id="232" name="Picture_41_SpCnt_13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11430" cy="9525"/>
                  <wp:effectExtent l="0" t="0" r="0" b="0"/>
                  <wp:wrapNone/>
                  <wp:docPr id="253" name="Picture_41_SpCnt_131"/>
                  <wp:cNvGraphicFramePr/>
                  <a:graphic xmlns:a="http://schemas.openxmlformats.org/drawingml/2006/main">
                    <a:graphicData uri="http://schemas.openxmlformats.org/drawingml/2006/picture">
                      <pic:pic xmlns:pic="http://schemas.openxmlformats.org/drawingml/2006/picture">
                        <pic:nvPicPr>
                          <pic:cNvPr id="253" name="Picture_41_SpCnt_13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11430" cy="9525"/>
                  <wp:effectExtent l="0" t="0" r="0" b="0"/>
                  <wp:wrapNone/>
                  <wp:docPr id="266" name="Picture_41_SpCnt_132"/>
                  <wp:cNvGraphicFramePr/>
                  <a:graphic xmlns:a="http://schemas.openxmlformats.org/drawingml/2006/main">
                    <a:graphicData uri="http://schemas.openxmlformats.org/drawingml/2006/picture">
                      <pic:pic xmlns:pic="http://schemas.openxmlformats.org/drawingml/2006/picture">
                        <pic:nvPicPr>
                          <pic:cNvPr id="266" name="Picture_41_SpCnt_13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11430" cy="9525"/>
                  <wp:effectExtent l="0" t="0" r="0" b="0"/>
                  <wp:wrapNone/>
                  <wp:docPr id="270" name="Picture_41_SpCnt_133"/>
                  <wp:cNvGraphicFramePr/>
                  <a:graphic xmlns:a="http://schemas.openxmlformats.org/drawingml/2006/main">
                    <a:graphicData uri="http://schemas.openxmlformats.org/drawingml/2006/picture">
                      <pic:pic xmlns:pic="http://schemas.openxmlformats.org/drawingml/2006/picture">
                        <pic:nvPicPr>
                          <pic:cNvPr id="270" name="Picture_41_SpCnt_13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11430" cy="9525"/>
                  <wp:effectExtent l="0" t="0" r="0" b="0"/>
                  <wp:wrapNone/>
                  <wp:docPr id="265" name="Picture_41_SpCnt_134"/>
                  <wp:cNvGraphicFramePr/>
                  <a:graphic xmlns:a="http://schemas.openxmlformats.org/drawingml/2006/main">
                    <a:graphicData uri="http://schemas.openxmlformats.org/drawingml/2006/picture">
                      <pic:pic xmlns:pic="http://schemas.openxmlformats.org/drawingml/2006/picture">
                        <pic:nvPicPr>
                          <pic:cNvPr id="265" name="Picture_41_SpCnt_13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11430" cy="9525"/>
                  <wp:effectExtent l="0" t="0" r="0" b="0"/>
                  <wp:wrapNone/>
                  <wp:docPr id="259" name="Picture_41_SpCnt_135"/>
                  <wp:cNvGraphicFramePr/>
                  <a:graphic xmlns:a="http://schemas.openxmlformats.org/drawingml/2006/main">
                    <a:graphicData uri="http://schemas.openxmlformats.org/drawingml/2006/picture">
                      <pic:pic xmlns:pic="http://schemas.openxmlformats.org/drawingml/2006/picture">
                        <pic:nvPicPr>
                          <pic:cNvPr id="259" name="Picture_41_SpCnt_13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11430" cy="9525"/>
                  <wp:effectExtent l="0" t="0" r="0" b="0"/>
                  <wp:wrapNone/>
                  <wp:docPr id="267" name="Picture_41_SpCnt_136"/>
                  <wp:cNvGraphicFramePr/>
                  <a:graphic xmlns:a="http://schemas.openxmlformats.org/drawingml/2006/main">
                    <a:graphicData uri="http://schemas.openxmlformats.org/drawingml/2006/picture">
                      <pic:pic xmlns:pic="http://schemas.openxmlformats.org/drawingml/2006/picture">
                        <pic:nvPicPr>
                          <pic:cNvPr id="267" name="Picture_41_SpCnt_13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11430" cy="9525"/>
                  <wp:effectExtent l="0" t="0" r="0" b="0"/>
                  <wp:wrapNone/>
                  <wp:docPr id="286" name="Picture_41_SpCnt_137"/>
                  <wp:cNvGraphicFramePr/>
                  <a:graphic xmlns:a="http://schemas.openxmlformats.org/drawingml/2006/main">
                    <a:graphicData uri="http://schemas.openxmlformats.org/drawingml/2006/picture">
                      <pic:pic xmlns:pic="http://schemas.openxmlformats.org/drawingml/2006/picture">
                        <pic:nvPicPr>
                          <pic:cNvPr id="286" name="Picture_41_SpCnt_13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11430" cy="9525"/>
                  <wp:effectExtent l="0" t="0" r="0" b="0"/>
                  <wp:wrapNone/>
                  <wp:docPr id="282" name="Picture_41_SpCnt_138"/>
                  <wp:cNvGraphicFramePr/>
                  <a:graphic xmlns:a="http://schemas.openxmlformats.org/drawingml/2006/main">
                    <a:graphicData uri="http://schemas.openxmlformats.org/drawingml/2006/picture">
                      <pic:pic xmlns:pic="http://schemas.openxmlformats.org/drawingml/2006/picture">
                        <pic:nvPicPr>
                          <pic:cNvPr id="282" name="Picture_41_SpCnt_13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11430" cy="9525"/>
                  <wp:effectExtent l="0" t="0" r="0" b="0"/>
                  <wp:wrapNone/>
                  <wp:docPr id="260" name="Picture_41_SpCnt_139"/>
                  <wp:cNvGraphicFramePr/>
                  <a:graphic xmlns:a="http://schemas.openxmlformats.org/drawingml/2006/main">
                    <a:graphicData uri="http://schemas.openxmlformats.org/drawingml/2006/picture">
                      <pic:pic xmlns:pic="http://schemas.openxmlformats.org/drawingml/2006/picture">
                        <pic:nvPicPr>
                          <pic:cNvPr id="260" name="Picture_41_SpCnt_13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11430" cy="9525"/>
                  <wp:effectExtent l="0" t="0" r="0" b="0"/>
                  <wp:wrapNone/>
                  <wp:docPr id="280" name="Picture_41_SpCnt_140"/>
                  <wp:cNvGraphicFramePr/>
                  <a:graphic xmlns:a="http://schemas.openxmlformats.org/drawingml/2006/main">
                    <a:graphicData uri="http://schemas.openxmlformats.org/drawingml/2006/picture">
                      <pic:pic xmlns:pic="http://schemas.openxmlformats.org/drawingml/2006/picture">
                        <pic:nvPicPr>
                          <pic:cNvPr id="280" name="Picture_41_SpCnt_14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11430" cy="9525"/>
                  <wp:effectExtent l="0" t="0" r="0" b="0"/>
                  <wp:wrapNone/>
                  <wp:docPr id="284" name="Picture_41_SpCnt_141"/>
                  <wp:cNvGraphicFramePr/>
                  <a:graphic xmlns:a="http://schemas.openxmlformats.org/drawingml/2006/main">
                    <a:graphicData uri="http://schemas.openxmlformats.org/drawingml/2006/picture">
                      <pic:pic xmlns:pic="http://schemas.openxmlformats.org/drawingml/2006/picture">
                        <pic:nvPicPr>
                          <pic:cNvPr id="284" name="Picture_41_SpCnt_14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11430" cy="9525"/>
                  <wp:effectExtent l="0" t="0" r="0" b="0"/>
                  <wp:wrapNone/>
                  <wp:docPr id="283" name="Picture_41_SpCnt_142"/>
                  <wp:cNvGraphicFramePr/>
                  <a:graphic xmlns:a="http://schemas.openxmlformats.org/drawingml/2006/main">
                    <a:graphicData uri="http://schemas.openxmlformats.org/drawingml/2006/picture">
                      <pic:pic xmlns:pic="http://schemas.openxmlformats.org/drawingml/2006/picture">
                        <pic:nvPicPr>
                          <pic:cNvPr id="283" name="Picture_41_SpCnt_14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11430" cy="9525"/>
                  <wp:effectExtent l="0" t="0" r="0" b="0"/>
                  <wp:wrapNone/>
                  <wp:docPr id="272" name="Picture_41_SpCnt_143"/>
                  <wp:cNvGraphicFramePr/>
                  <a:graphic xmlns:a="http://schemas.openxmlformats.org/drawingml/2006/main">
                    <a:graphicData uri="http://schemas.openxmlformats.org/drawingml/2006/picture">
                      <pic:pic xmlns:pic="http://schemas.openxmlformats.org/drawingml/2006/picture">
                        <pic:nvPicPr>
                          <pic:cNvPr id="272" name="Picture_41_SpCnt_14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11430" cy="9525"/>
                  <wp:effectExtent l="0" t="0" r="0" b="0"/>
                  <wp:wrapNone/>
                  <wp:docPr id="287" name="Picture_41_SpCnt_144"/>
                  <wp:cNvGraphicFramePr/>
                  <a:graphic xmlns:a="http://schemas.openxmlformats.org/drawingml/2006/main">
                    <a:graphicData uri="http://schemas.openxmlformats.org/drawingml/2006/picture">
                      <pic:pic xmlns:pic="http://schemas.openxmlformats.org/drawingml/2006/picture">
                        <pic:nvPicPr>
                          <pic:cNvPr id="287" name="Picture_41_SpCnt_14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11430" cy="9525"/>
                  <wp:effectExtent l="0" t="0" r="0" b="0"/>
                  <wp:wrapNone/>
                  <wp:docPr id="278" name="Picture_41_SpCnt_145"/>
                  <wp:cNvGraphicFramePr/>
                  <a:graphic xmlns:a="http://schemas.openxmlformats.org/drawingml/2006/main">
                    <a:graphicData uri="http://schemas.openxmlformats.org/drawingml/2006/picture">
                      <pic:pic xmlns:pic="http://schemas.openxmlformats.org/drawingml/2006/picture">
                        <pic:nvPicPr>
                          <pic:cNvPr id="278" name="Picture_41_SpCnt_14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11430" cy="9525"/>
                  <wp:effectExtent l="0" t="0" r="0" b="0"/>
                  <wp:wrapNone/>
                  <wp:docPr id="261" name="Picture_41_SpCnt_146"/>
                  <wp:cNvGraphicFramePr/>
                  <a:graphic xmlns:a="http://schemas.openxmlformats.org/drawingml/2006/main">
                    <a:graphicData uri="http://schemas.openxmlformats.org/drawingml/2006/picture">
                      <pic:pic xmlns:pic="http://schemas.openxmlformats.org/drawingml/2006/picture">
                        <pic:nvPicPr>
                          <pic:cNvPr id="261" name="Picture_41_SpCnt_14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11430" cy="9525"/>
                  <wp:effectExtent l="0" t="0" r="0" b="0"/>
                  <wp:wrapNone/>
                  <wp:docPr id="264" name="Picture_41_SpCnt_147"/>
                  <wp:cNvGraphicFramePr/>
                  <a:graphic xmlns:a="http://schemas.openxmlformats.org/drawingml/2006/main">
                    <a:graphicData uri="http://schemas.openxmlformats.org/drawingml/2006/picture">
                      <pic:pic xmlns:pic="http://schemas.openxmlformats.org/drawingml/2006/picture">
                        <pic:nvPicPr>
                          <pic:cNvPr id="264" name="Picture_41_SpCnt_14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11430" cy="9525"/>
                  <wp:effectExtent l="0" t="0" r="0" b="0"/>
                  <wp:wrapNone/>
                  <wp:docPr id="262" name="Picture_41_SpCnt_148"/>
                  <wp:cNvGraphicFramePr/>
                  <a:graphic xmlns:a="http://schemas.openxmlformats.org/drawingml/2006/main">
                    <a:graphicData uri="http://schemas.openxmlformats.org/drawingml/2006/picture">
                      <pic:pic xmlns:pic="http://schemas.openxmlformats.org/drawingml/2006/picture">
                        <pic:nvPicPr>
                          <pic:cNvPr id="262" name="Picture_41_SpCnt_14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11430" cy="9525"/>
                  <wp:effectExtent l="0" t="0" r="0" b="0"/>
                  <wp:wrapNone/>
                  <wp:docPr id="269" name="Picture_41_SpCnt_149"/>
                  <wp:cNvGraphicFramePr/>
                  <a:graphic xmlns:a="http://schemas.openxmlformats.org/drawingml/2006/main">
                    <a:graphicData uri="http://schemas.openxmlformats.org/drawingml/2006/picture">
                      <pic:pic xmlns:pic="http://schemas.openxmlformats.org/drawingml/2006/picture">
                        <pic:nvPicPr>
                          <pic:cNvPr id="269" name="Picture_41_SpCnt_14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11430" cy="9525"/>
                  <wp:effectExtent l="0" t="0" r="0" b="0"/>
                  <wp:wrapNone/>
                  <wp:docPr id="258" name="Picture_41_SpCnt_150"/>
                  <wp:cNvGraphicFramePr/>
                  <a:graphic xmlns:a="http://schemas.openxmlformats.org/drawingml/2006/main">
                    <a:graphicData uri="http://schemas.openxmlformats.org/drawingml/2006/picture">
                      <pic:pic xmlns:pic="http://schemas.openxmlformats.org/drawingml/2006/picture">
                        <pic:nvPicPr>
                          <pic:cNvPr id="258" name="Picture_41_SpCnt_15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11430" cy="9525"/>
                  <wp:effectExtent l="0" t="0" r="0" b="0"/>
                  <wp:wrapNone/>
                  <wp:docPr id="263" name="Picture_41_SpCnt_151"/>
                  <wp:cNvGraphicFramePr/>
                  <a:graphic xmlns:a="http://schemas.openxmlformats.org/drawingml/2006/main">
                    <a:graphicData uri="http://schemas.openxmlformats.org/drawingml/2006/picture">
                      <pic:pic xmlns:pic="http://schemas.openxmlformats.org/drawingml/2006/picture">
                        <pic:nvPicPr>
                          <pic:cNvPr id="263" name="Picture_41_SpCnt_15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11430" cy="9525"/>
                  <wp:effectExtent l="0" t="0" r="0" b="0"/>
                  <wp:wrapNone/>
                  <wp:docPr id="281" name="Picture_41_SpCnt_152"/>
                  <wp:cNvGraphicFramePr/>
                  <a:graphic xmlns:a="http://schemas.openxmlformats.org/drawingml/2006/main">
                    <a:graphicData uri="http://schemas.openxmlformats.org/drawingml/2006/picture">
                      <pic:pic xmlns:pic="http://schemas.openxmlformats.org/drawingml/2006/picture">
                        <pic:nvPicPr>
                          <pic:cNvPr id="281" name="Picture_41_SpCnt_15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11430" cy="9525"/>
                  <wp:effectExtent l="0" t="0" r="0" b="0"/>
                  <wp:wrapNone/>
                  <wp:docPr id="268" name="Picture_41_SpCnt_153"/>
                  <wp:cNvGraphicFramePr/>
                  <a:graphic xmlns:a="http://schemas.openxmlformats.org/drawingml/2006/main">
                    <a:graphicData uri="http://schemas.openxmlformats.org/drawingml/2006/picture">
                      <pic:pic xmlns:pic="http://schemas.openxmlformats.org/drawingml/2006/picture">
                        <pic:nvPicPr>
                          <pic:cNvPr id="268" name="Picture_41_SpCnt_15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11430" cy="9525"/>
                  <wp:effectExtent l="0" t="0" r="0" b="0"/>
                  <wp:wrapNone/>
                  <wp:docPr id="276" name="Picture_41_SpCnt_154"/>
                  <wp:cNvGraphicFramePr/>
                  <a:graphic xmlns:a="http://schemas.openxmlformats.org/drawingml/2006/main">
                    <a:graphicData uri="http://schemas.openxmlformats.org/drawingml/2006/picture">
                      <pic:pic xmlns:pic="http://schemas.openxmlformats.org/drawingml/2006/picture">
                        <pic:nvPicPr>
                          <pic:cNvPr id="276" name="Picture_41_SpCnt_15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11430" cy="9525"/>
                  <wp:effectExtent l="0" t="0" r="0" b="0"/>
                  <wp:wrapNone/>
                  <wp:docPr id="271" name="Picture_41_SpCnt_155"/>
                  <wp:cNvGraphicFramePr/>
                  <a:graphic xmlns:a="http://schemas.openxmlformats.org/drawingml/2006/main">
                    <a:graphicData uri="http://schemas.openxmlformats.org/drawingml/2006/picture">
                      <pic:pic xmlns:pic="http://schemas.openxmlformats.org/drawingml/2006/picture">
                        <pic:nvPicPr>
                          <pic:cNvPr id="271" name="Picture_41_SpCnt_15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11430" cy="9525"/>
                  <wp:effectExtent l="0" t="0" r="0" b="0"/>
                  <wp:wrapNone/>
                  <wp:docPr id="273" name="Picture_41_SpCnt_156"/>
                  <wp:cNvGraphicFramePr/>
                  <a:graphic xmlns:a="http://schemas.openxmlformats.org/drawingml/2006/main">
                    <a:graphicData uri="http://schemas.openxmlformats.org/drawingml/2006/picture">
                      <pic:pic xmlns:pic="http://schemas.openxmlformats.org/drawingml/2006/picture">
                        <pic:nvPicPr>
                          <pic:cNvPr id="273" name="Picture_41_SpCnt_15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11430" cy="9525"/>
                  <wp:effectExtent l="0" t="0" r="0" b="0"/>
                  <wp:wrapNone/>
                  <wp:docPr id="274" name="Picture_41_SpCnt_157"/>
                  <wp:cNvGraphicFramePr/>
                  <a:graphic xmlns:a="http://schemas.openxmlformats.org/drawingml/2006/main">
                    <a:graphicData uri="http://schemas.openxmlformats.org/drawingml/2006/picture">
                      <pic:pic xmlns:pic="http://schemas.openxmlformats.org/drawingml/2006/picture">
                        <pic:nvPicPr>
                          <pic:cNvPr id="274" name="Picture_41_SpCnt_157"/>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11430" cy="9525"/>
                  <wp:effectExtent l="0" t="0" r="0" b="0"/>
                  <wp:wrapNone/>
                  <wp:docPr id="275" name="Picture_41_SpCnt_158"/>
                  <wp:cNvGraphicFramePr/>
                  <a:graphic xmlns:a="http://schemas.openxmlformats.org/drawingml/2006/main">
                    <a:graphicData uri="http://schemas.openxmlformats.org/drawingml/2006/picture">
                      <pic:pic xmlns:pic="http://schemas.openxmlformats.org/drawingml/2006/picture">
                        <pic:nvPicPr>
                          <pic:cNvPr id="275" name="Picture_41_SpCnt_158"/>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11430" cy="9525"/>
                  <wp:effectExtent l="0" t="0" r="0" b="0"/>
                  <wp:wrapNone/>
                  <wp:docPr id="285" name="Picture_41_SpCnt_159"/>
                  <wp:cNvGraphicFramePr/>
                  <a:graphic xmlns:a="http://schemas.openxmlformats.org/drawingml/2006/main">
                    <a:graphicData uri="http://schemas.openxmlformats.org/drawingml/2006/picture">
                      <pic:pic xmlns:pic="http://schemas.openxmlformats.org/drawingml/2006/picture">
                        <pic:nvPicPr>
                          <pic:cNvPr id="285" name="Picture_41_SpCnt_159"/>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11430" cy="9525"/>
                  <wp:effectExtent l="0" t="0" r="0" b="0"/>
                  <wp:wrapNone/>
                  <wp:docPr id="277" name="Picture_41_SpCnt_160"/>
                  <wp:cNvGraphicFramePr/>
                  <a:graphic xmlns:a="http://schemas.openxmlformats.org/drawingml/2006/main">
                    <a:graphicData uri="http://schemas.openxmlformats.org/drawingml/2006/picture">
                      <pic:pic xmlns:pic="http://schemas.openxmlformats.org/drawingml/2006/picture">
                        <pic:nvPicPr>
                          <pic:cNvPr id="277" name="Picture_41_SpCnt_160"/>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11430" cy="9525"/>
                  <wp:effectExtent l="0" t="0" r="0" b="0"/>
                  <wp:wrapNone/>
                  <wp:docPr id="288" name="Picture_41_SpCnt_161"/>
                  <wp:cNvGraphicFramePr/>
                  <a:graphic xmlns:a="http://schemas.openxmlformats.org/drawingml/2006/main">
                    <a:graphicData uri="http://schemas.openxmlformats.org/drawingml/2006/picture">
                      <pic:pic xmlns:pic="http://schemas.openxmlformats.org/drawingml/2006/picture">
                        <pic:nvPicPr>
                          <pic:cNvPr id="288" name="Picture_41_SpCnt_161"/>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11430" cy="9525"/>
                  <wp:effectExtent l="0" t="0" r="0" b="0"/>
                  <wp:wrapNone/>
                  <wp:docPr id="279" name="Picture_41_SpCnt_162"/>
                  <wp:cNvGraphicFramePr/>
                  <a:graphic xmlns:a="http://schemas.openxmlformats.org/drawingml/2006/main">
                    <a:graphicData uri="http://schemas.openxmlformats.org/drawingml/2006/picture">
                      <pic:pic xmlns:pic="http://schemas.openxmlformats.org/drawingml/2006/picture">
                        <pic:nvPicPr>
                          <pic:cNvPr id="279" name="Picture_41_SpCnt_162"/>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11430" cy="9525"/>
                  <wp:effectExtent l="0" t="0" r="0" b="0"/>
                  <wp:wrapNone/>
                  <wp:docPr id="257" name="Picture_41_SpCnt_163"/>
                  <wp:cNvGraphicFramePr/>
                  <a:graphic xmlns:a="http://schemas.openxmlformats.org/drawingml/2006/main">
                    <a:graphicData uri="http://schemas.openxmlformats.org/drawingml/2006/picture">
                      <pic:pic xmlns:pic="http://schemas.openxmlformats.org/drawingml/2006/picture">
                        <pic:nvPicPr>
                          <pic:cNvPr id="257" name="Picture_41_SpCnt_163"/>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11430" cy="9525"/>
                  <wp:effectExtent l="0" t="0" r="0" b="0"/>
                  <wp:wrapNone/>
                  <wp:docPr id="316" name="Picture_41_SpCnt_164"/>
                  <wp:cNvGraphicFramePr/>
                  <a:graphic xmlns:a="http://schemas.openxmlformats.org/drawingml/2006/main">
                    <a:graphicData uri="http://schemas.openxmlformats.org/drawingml/2006/picture">
                      <pic:pic xmlns:pic="http://schemas.openxmlformats.org/drawingml/2006/picture">
                        <pic:nvPicPr>
                          <pic:cNvPr id="316" name="Picture_41_SpCnt_164"/>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11430" cy="9525"/>
                  <wp:effectExtent l="0" t="0" r="0" b="0"/>
                  <wp:wrapNone/>
                  <wp:docPr id="313" name="Picture_41_SpCnt_165"/>
                  <wp:cNvGraphicFramePr/>
                  <a:graphic xmlns:a="http://schemas.openxmlformats.org/drawingml/2006/main">
                    <a:graphicData uri="http://schemas.openxmlformats.org/drawingml/2006/picture">
                      <pic:pic xmlns:pic="http://schemas.openxmlformats.org/drawingml/2006/picture">
                        <pic:nvPicPr>
                          <pic:cNvPr id="313" name="Picture_41_SpCnt_165"/>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11430" cy="9525"/>
                  <wp:effectExtent l="0" t="0" r="0" b="0"/>
                  <wp:wrapNone/>
                  <wp:docPr id="290" name="Picture_41_SpCnt_166"/>
                  <wp:cNvGraphicFramePr/>
                  <a:graphic xmlns:a="http://schemas.openxmlformats.org/drawingml/2006/main">
                    <a:graphicData uri="http://schemas.openxmlformats.org/drawingml/2006/picture">
                      <pic:pic xmlns:pic="http://schemas.openxmlformats.org/drawingml/2006/picture">
                        <pic:nvPicPr>
                          <pic:cNvPr id="290" name="Picture_41_SpCnt_166"/>
                          <pic:cNvPicPr/>
                        </pic:nvPicPr>
                        <pic:blipFill>
                          <a:blip r:embed="rId9"/>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129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3" name="图片_3"/>
                  <wp:cNvGraphicFramePr/>
                  <a:graphic xmlns:a="http://schemas.openxmlformats.org/drawingml/2006/main">
                    <a:graphicData uri="http://schemas.openxmlformats.org/drawingml/2006/picture">
                      <pic:pic xmlns:pic="http://schemas.openxmlformats.org/drawingml/2006/picture">
                        <pic:nvPicPr>
                          <pic:cNvPr id="293" name="图片_3"/>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2320"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4" name="图片_3_SpCnt_1"/>
                  <wp:cNvGraphicFramePr/>
                  <a:graphic xmlns:a="http://schemas.openxmlformats.org/drawingml/2006/main">
                    <a:graphicData uri="http://schemas.openxmlformats.org/drawingml/2006/picture">
                      <pic:pic xmlns:pic="http://schemas.openxmlformats.org/drawingml/2006/picture">
                        <pic:nvPicPr>
                          <pic:cNvPr id="294" name="图片_3_SpCnt_1"/>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3344"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7" name="图片_3_SpCnt_2"/>
                  <wp:cNvGraphicFramePr/>
                  <a:graphic xmlns:a="http://schemas.openxmlformats.org/drawingml/2006/main">
                    <a:graphicData uri="http://schemas.openxmlformats.org/drawingml/2006/picture">
                      <pic:pic xmlns:pic="http://schemas.openxmlformats.org/drawingml/2006/picture">
                        <pic:nvPicPr>
                          <pic:cNvPr id="317" name="图片_3_SpCnt_2"/>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4368"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2" name="图片_3_SpCnt_3"/>
                  <wp:cNvGraphicFramePr/>
                  <a:graphic xmlns:a="http://schemas.openxmlformats.org/drawingml/2006/main">
                    <a:graphicData uri="http://schemas.openxmlformats.org/drawingml/2006/picture">
                      <pic:pic xmlns:pic="http://schemas.openxmlformats.org/drawingml/2006/picture">
                        <pic:nvPicPr>
                          <pic:cNvPr id="302" name="图片_3_SpCnt_3"/>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5392"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5" name="图片_3_SpCnt_4"/>
                  <wp:cNvGraphicFramePr/>
                  <a:graphic xmlns:a="http://schemas.openxmlformats.org/drawingml/2006/main">
                    <a:graphicData uri="http://schemas.openxmlformats.org/drawingml/2006/picture">
                      <pic:pic xmlns:pic="http://schemas.openxmlformats.org/drawingml/2006/picture">
                        <pic:nvPicPr>
                          <pic:cNvPr id="295" name="图片_3_SpCnt_4"/>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641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8" name="图片_3_SpCnt_5"/>
                  <wp:cNvGraphicFramePr/>
                  <a:graphic xmlns:a="http://schemas.openxmlformats.org/drawingml/2006/main">
                    <a:graphicData uri="http://schemas.openxmlformats.org/drawingml/2006/picture">
                      <pic:pic xmlns:pic="http://schemas.openxmlformats.org/drawingml/2006/picture">
                        <pic:nvPicPr>
                          <pic:cNvPr id="318" name="图片_3_SpCnt_5"/>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7440"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6" name="图片_3_SpCnt_6"/>
                  <wp:cNvGraphicFramePr/>
                  <a:graphic xmlns:a="http://schemas.openxmlformats.org/drawingml/2006/main">
                    <a:graphicData uri="http://schemas.openxmlformats.org/drawingml/2006/picture">
                      <pic:pic xmlns:pic="http://schemas.openxmlformats.org/drawingml/2006/picture">
                        <pic:nvPicPr>
                          <pic:cNvPr id="306" name="图片_3_SpCnt_6"/>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8464"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6" name="图片_3_SpCnt_7"/>
                  <wp:cNvGraphicFramePr/>
                  <a:graphic xmlns:a="http://schemas.openxmlformats.org/drawingml/2006/main">
                    <a:graphicData uri="http://schemas.openxmlformats.org/drawingml/2006/picture">
                      <pic:pic xmlns:pic="http://schemas.openxmlformats.org/drawingml/2006/picture">
                        <pic:nvPicPr>
                          <pic:cNvPr id="296" name="图片_3_SpCnt_7"/>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39488"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7" name="图片_3_SpCnt_8"/>
                  <wp:cNvGraphicFramePr/>
                  <a:graphic xmlns:a="http://schemas.openxmlformats.org/drawingml/2006/main">
                    <a:graphicData uri="http://schemas.openxmlformats.org/drawingml/2006/picture">
                      <pic:pic xmlns:pic="http://schemas.openxmlformats.org/drawingml/2006/picture">
                        <pic:nvPicPr>
                          <pic:cNvPr id="297" name="图片_3_SpCnt_8"/>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0512"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3" name="图片_3_SpCnt_9"/>
                  <wp:cNvGraphicFramePr/>
                  <a:graphic xmlns:a="http://schemas.openxmlformats.org/drawingml/2006/main">
                    <a:graphicData uri="http://schemas.openxmlformats.org/drawingml/2006/picture">
                      <pic:pic xmlns:pic="http://schemas.openxmlformats.org/drawingml/2006/picture">
                        <pic:nvPicPr>
                          <pic:cNvPr id="303" name="图片_3_SpCnt_9"/>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153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0" name="图片_3_SpCnt_10"/>
                  <wp:cNvGraphicFramePr/>
                  <a:graphic xmlns:a="http://schemas.openxmlformats.org/drawingml/2006/main">
                    <a:graphicData uri="http://schemas.openxmlformats.org/drawingml/2006/picture">
                      <pic:pic xmlns:pic="http://schemas.openxmlformats.org/drawingml/2006/picture">
                        <pic:nvPicPr>
                          <pic:cNvPr id="300" name="图片_3_SpCnt_10"/>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2560"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9" name="图片_3_SpCnt_11"/>
                  <wp:cNvGraphicFramePr/>
                  <a:graphic xmlns:a="http://schemas.openxmlformats.org/drawingml/2006/main">
                    <a:graphicData uri="http://schemas.openxmlformats.org/drawingml/2006/picture">
                      <pic:pic xmlns:pic="http://schemas.openxmlformats.org/drawingml/2006/picture">
                        <pic:nvPicPr>
                          <pic:cNvPr id="299" name="图片_3_SpCnt_11"/>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3584"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1" name="图片_3_SpCnt_12"/>
                  <wp:cNvGraphicFramePr/>
                  <a:graphic xmlns:a="http://schemas.openxmlformats.org/drawingml/2006/main">
                    <a:graphicData uri="http://schemas.openxmlformats.org/drawingml/2006/picture">
                      <pic:pic xmlns:pic="http://schemas.openxmlformats.org/drawingml/2006/picture">
                        <pic:nvPicPr>
                          <pic:cNvPr id="301" name="图片_3_SpCnt_12"/>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4608"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4" name="图片_3_SpCnt_13"/>
                  <wp:cNvGraphicFramePr/>
                  <a:graphic xmlns:a="http://schemas.openxmlformats.org/drawingml/2006/main">
                    <a:graphicData uri="http://schemas.openxmlformats.org/drawingml/2006/picture">
                      <pic:pic xmlns:pic="http://schemas.openxmlformats.org/drawingml/2006/picture">
                        <pic:nvPicPr>
                          <pic:cNvPr id="304" name="图片_3_SpCnt_13"/>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5632"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8" name="图片_3_SpCnt_14"/>
                  <wp:cNvGraphicFramePr/>
                  <a:graphic xmlns:a="http://schemas.openxmlformats.org/drawingml/2006/main">
                    <a:graphicData uri="http://schemas.openxmlformats.org/drawingml/2006/picture">
                      <pic:pic xmlns:pic="http://schemas.openxmlformats.org/drawingml/2006/picture">
                        <pic:nvPicPr>
                          <pic:cNvPr id="298" name="图片_3_SpCnt_14"/>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665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2" name="图片_3_SpCnt_15"/>
                  <wp:cNvGraphicFramePr/>
                  <a:graphic xmlns:a="http://schemas.openxmlformats.org/drawingml/2006/main">
                    <a:graphicData uri="http://schemas.openxmlformats.org/drawingml/2006/picture">
                      <pic:pic xmlns:pic="http://schemas.openxmlformats.org/drawingml/2006/picture">
                        <pic:nvPicPr>
                          <pic:cNvPr id="312" name="图片_3_SpCnt_15"/>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7680"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5" name="图片_3_SpCnt_16"/>
                  <wp:cNvGraphicFramePr/>
                  <a:graphic xmlns:a="http://schemas.openxmlformats.org/drawingml/2006/main">
                    <a:graphicData uri="http://schemas.openxmlformats.org/drawingml/2006/picture">
                      <pic:pic xmlns:pic="http://schemas.openxmlformats.org/drawingml/2006/picture">
                        <pic:nvPicPr>
                          <pic:cNvPr id="305" name="图片_3_SpCnt_16"/>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8704"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7" name="图片_3_SpCnt_17"/>
                  <wp:cNvGraphicFramePr/>
                  <a:graphic xmlns:a="http://schemas.openxmlformats.org/drawingml/2006/main">
                    <a:graphicData uri="http://schemas.openxmlformats.org/drawingml/2006/picture">
                      <pic:pic xmlns:pic="http://schemas.openxmlformats.org/drawingml/2006/picture">
                        <pic:nvPicPr>
                          <pic:cNvPr id="307" name="图片_3_SpCnt_17"/>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49728"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8" name="图片_3_SpCnt_18"/>
                  <wp:cNvGraphicFramePr/>
                  <a:graphic xmlns:a="http://schemas.openxmlformats.org/drawingml/2006/main">
                    <a:graphicData uri="http://schemas.openxmlformats.org/drawingml/2006/picture">
                      <pic:pic xmlns:pic="http://schemas.openxmlformats.org/drawingml/2006/picture">
                        <pic:nvPicPr>
                          <pic:cNvPr id="308" name="图片_3_SpCnt_18"/>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0752"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9" name="图片_3_SpCnt_19"/>
                  <wp:cNvGraphicFramePr/>
                  <a:graphic xmlns:a="http://schemas.openxmlformats.org/drawingml/2006/main">
                    <a:graphicData uri="http://schemas.openxmlformats.org/drawingml/2006/picture">
                      <pic:pic xmlns:pic="http://schemas.openxmlformats.org/drawingml/2006/picture">
                        <pic:nvPicPr>
                          <pic:cNvPr id="319" name="图片_3_SpCnt_19"/>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177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09" name="图片_3_SpCnt_20"/>
                  <wp:cNvGraphicFramePr/>
                  <a:graphic xmlns:a="http://schemas.openxmlformats.org/drawingml/2006/main">
                    <a:graphicData uri="http://schemas.openxmlformats.org/drawingml/2006/picture">
                      <pic:pic xmlns:pic="http://schemas.openxmlformats.org/drawingml/2006/picture">
                        <pic:nvPicPr>
                          <pic:cNvPr id="309" name="图片_3_SpCnt_20"/>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2800"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4" name="图片_3_SpCnt_21"/>
                  <wp:cNvGraphicFramePr/>
                  <a:graphic xmlns:a="http://schemas.openxmlformats.org/drawingml/2006/main">
                    <a:graphicData uri="http://schemas.openxmlformats.org/drawingml/2006/picture">
                      <pic:pic xmlns:pic="http://schemas.openxmlformats.org/drawingml/2006/picture">
                        <pic:nvPicPr>
                          <pic:cNvPr id="314" name="图片_3_SpCnt_21"/>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3824"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0" name="图片_3_SpCnt_22"/>
                  <wp:cNvGraphicFramePr/>
                  <a:graphic xmlns:a="http://schemas.openxmlformats.org/drawingml/2006/main">
                    <a:graphicData uri="http://schemas.openxmlformats.org/drawingml/2006/picture">
                      <pic:pic xmlns:pic="http://schemas.openxmlformats.org/drawingml/2006/picture">
                        <pic:nvPicPr>
                          <pic:cNvPr id="310" name="图片_3_SpCnt_22"/>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4848"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1" name="图片_3_SpCnt_23"/>
                  <wp:cNvGraphicFramePr/>
                  <a:graphic xmlns:a="http://schemas.openxmlformats.org/drawingml/2006/main">
                    <a:graphicData uri="http://schemas.openxmlformats.org/drawingml/2006/picture">
                      <pic:pic xmlns:pic="http://schemas.openxmlformats.org/drawingml/2006/picture">
                        <pic:nvPicPr>
                          <pic:cNvPr id="311" name="图片_3_SpCnt_23"/>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5872"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15" name="图片_3_SpCnt_24"/>
                  <wp:cNvGraphicFramePr/>
                  <a:graphic xmlns:a="http://schemas.openxmlformats.org/drawingml/2006/main">
                    <a:graphicData uri="http://schemas.openxmlformats.org/drawingml/2006/picture">
                      <pic:pic xmlns:pic="http://schemas.openxmlformats.org/drawingml/2006/picture">
                        <pic:nvPicPr>
                          <pic:cNvPr id="315" name="图片_3_SpCnt_24"/>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689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20" name="图片_3_SpCnt_25"/>
                  <wp:cNvGraphicFramePr/>
                  <a:graphic xmlns:a="http://schemas.openxmlformats.org/drawingml/2006/main">
                    <a:graphicData uri="http://schemas.openxmlformats.org/drawingml/2006/picture">
                      <pic:pic xmlns:pic="http://schemas.openxmlformats.org/drawingml/2006/picture">
                        <pic:nvPicPr>
                          <pic:cNvPr id="320" name="图片_3_SpCnt_25"/>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7920"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89" name="图片_3_SpCnt_26"/>
                  <wp:cNvGraphicFramePr/>
                  <a:graphic xmlns:a="http://schemas.openxmlformats.org/drawingml/2006/main">
                    <a:graphicData uri="http://schemas.openxmlformats.org/drawingml/2006/picture">
                      <pic:pic xmlns:pic="http://schemas.openxmlformats.org/drawingml/2006/picture">
                        <pic:nvPicPr>
                          <pic:cNvPr id="289" name="图片_3_SpCnt_26"/>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8944"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1" name="图片_3_SpCnt_27"/>
                  <wp:cNvGraphicFramePr/>
                  <a:graphic xmlns:a="http://schemas.openxmlformats.org/drawingml/2006/main">
                    <a:graphicData uri="http://schemas.openxmlformats.org/drawingml/2006/picture">
                      <pic:pic xmlns:pic="http://schemas.openxmlformats.org/drawingml/2006/picture">
                        <pic:nvPicPr>
                          <pic:cNvPr id="291" name="图片_3_SpCnt_27"/>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59968"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292" name="图片_3_SpCnt_28"/>
                  <wp:cNvGraphicFramePr/>
                  <a:graphic xmlns:a="http://schemas.openxmlformats.org/drawingml/2006/main">
                    <a:graphicData uri="http://schemas.openxmlformats.org/drawingml/2006/picture">
                      <pic:pic xmlns:pic="http://schemas.openxmlformats.org/drawingml/2006/picture">
                        <pic:nvPicPr>
                          <pic:cNvPr id="292" name="图片_3_SpCnt_28"/>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0992"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33" name="图片_3_SpCnt_29"/>
                  <wp:cNvGraphicFramePr/>
                  <a:graphic xmlns:a="http://schemas.openxmlformats.org/drawingml/2006/main">
                    <a:graphicData uri="http://schemas.openxmlformats.org/drawingml/2006/picture">
                      <pic:pic xmlns:pic="http://schemas.openxmlformats.org/drawingml/2006/picture">
                        <pic:nvPicPr>
                          <pic:cNvPr id="333" name="图片_3_SpCnt_29"/>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201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38" name="图片_3_SpCnt_30"/>
                  <wp:cNvGraphicFramePr/>
                  <a:graphic xmlns:a="http://schemas.openxmlformats.org/drawingml/2006/main">
                    <a:graphicData uri="http://schemas.openxmlformats.org/drawingml/2006/picture">
                      <pic:pic xmlns:pic="http://schemas.openxmlformats.org/drawingml/2006/picture">
                        <pic:nvPicPr>
                          <pic:cNvPr id="338" name="图片_3_SpCnt_30"/>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3040"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26" name="图片_3_SpCnt_31"/>
                  <wp:cNvGraphicFramePr/>
                  <a:graphic xmlns:a="http://schemas.openxmlformats.org/drawingml/2006/main">
                    <a:graphicData uri="http://schemas.openxmlformats.org/drawingml/2006/picture">
                      <pic:pic xmlns:pic="http://schemas.openxmlformats.org/drawingml/2006/picture">
                        <pic:nvPicPr>
                          <pic:cNvPr id="326" name="图片_3_SpCnt_31"/>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4064"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24" name="图片_3_SpCnt_32"/>
                  <wp:cNvGraphicFramePr/>
                  <a:graphic xmlns:a="http://schemas.openxmlformats.org/drawingml/2006/main">
                    <a:graphicData uri="http://schemas.openxmlformats.org/drawingml/2006/picture">
                      <pic:pic xmlns:pic="http://schemas.openxmlformats.org/drawingml/2006/picture">
                        <pic:nvPicPr>
                          <pic:cNvPr id="324" name="图片_3_SpCnt_32"/>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5088"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29" name="图片_3_SpCnt_33"/>
                  <wp:cNvGraphicFramePr/>
                  <a:graphic xmlns:a="http://schemas.openxmlformats.org/drawingml/2006/main">
                    <a:graphicData uri="http://schemas.openxmlformats.org/drawingml/2006/picture">
                      <pic:pic xmlns:pic="http://schemas.openxmlformats.org/drawingml/2006/picture">
                        <pic:nvPicPr>
                          <pic:cNvPr id="329" name="图片_3_SpCnt_33"/>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6112"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27" name="图片_3_SpCnt_34"/>
                  <wp:cNvGraphicFramePr/>
                  <a:graphic xmlns:a="http://schemas.openxmlformats.org/drawingml/2006/main">
                    <a:graphicData uri="http://schemas.openxmlformats.org/drawingml/2006/picture">
                      <pic:pic xmlns:pic="http://schemas.openxmlformats.org/drawingml/2006/picture">
                        <pic:nvPicPr>
                          <pic:cNvPr id="327" name="图片_3_SpCnt_34"/>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7136" behindDoc="0" locked="0" layoutInCell="1" allowOverlap="1">
                  <wp:simplePos x="0" y="0"/>
                  <wp:positionH relativeFrom="column">
                    <wp:posOffset>494665</wp:posOffset>
                  </wp:positionH>
                  <wp:positionV relativeFrom="paragraph">
                    <wp:posOffset>0</wp:posOffset>
                  </wp:positionV>
                  <wp:extent cx="11430" cy="9525"/>
                  <wp:effectExtent l="0" t="0" r="0" b="0"/>
                  <wp:wrapNone/>
                  <wp:docPr id="345" name="图片_3_SpCnt_35"/>
                  <wp:cNvGraphicFramePr/>
                  <a:graphic xmlns:a="http://schemas.openxmlformats.org/drawingml/2006/main">
                    <a:graphicData uri="http://schemas.openxmlformats.org/drawingml/2006/picture">
                      <pic:pic xmlns:pic="http://schemas.openxmlformats.org/drawingml/2006/picture">
                        <pic:nvPicPr>
                          <pic:cNvPr id="345" name="图片_3_SpCnt_35"/>
                          <pic:cNvPicPr/>
                        </pic:nvPicPr>
                        <pic:blipFill>
                          <a:blip r:embed="rId10"/>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816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7" name="图片_5"/>
                  <wp:cNvGraphicFramePr/>
                  <a:graphic xmlns:a="http://schemas.openxmlformats.org/drawingml/2006/main">
                    <a:graphicData uri="http://schemas.openxmlformats.org/drawingml/2006/picture">
                      <pic:pic xmlns:pic="http://schemas.openxmlformats.org/drawingml/2006/picture">
                        <pic:nvPicPr>
                          <pic:cNvPr id="347" name="图片_5"/>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69184"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1" name="图片_5_SpCnt_1"/>
                  <wp:cNvGraphicFramePr/>
                  <a:graphic xmlns:a="http://schemas.openxmlformats.org/drawingml/2006/main">
                    <a:graphicData uri="http://schemas.openxmlformats.org/drawingml/2006/picture">
                      <pic:pic xmlns:pic="http://schemas.openxmlformats.org/drawingml/2006/picture">
                        <pic:nvPicPr>
                          <pic:cNvPr id="341" name="图片_5_SpCnt_1"/>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0208"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3" name="图片_5_SpCnt_2"/>
                  <wp:cNvGraphicFramePr/>
                  <a:graphic xmlns:a="http://schemas.openxmlformats.org/drawingml/2006/main">
                    <a:graphicData uri="http://schemas.openxmlformats.org/drawingml/2006/picture">
                      <pic:pic xmlns:pic="http://schemas.openxmlformats.org/drawingml/2006/picture">
                        <pic:nvPicPr>
                          <pic:cNvPr id="343" name="图片_5_SpCnt_2"/>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1232"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9" name="图片_5_SpCnt_3"/>
                  <wp:cNvGraphicFramePr/>
                  <a:graphic xmlns:a="http://schemas.openxmlformats.org/drawingml/2006/main">
                    <a:graphicData uri="http://schemas.openxmlformats.org/drawingml/2006/picture">
                      <pic:pic xmlns:pic="http://schemas.openxmlformats.org/drawingml/2006/picture">
                        <pic:nvPicPr>
                          <pic:cNvPr id="339" name="图片_5_SpCnt_3"/>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2256"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2" name="图片_5_SpCnt_4"/>
                  <wp:cNvGraphicFramePr/>
                  <a:graphic xmlns:a="http://schemas.openxmlformats.org/drawingml/2006/main">
                    <a:graphicData uri="http://schemas.openxmlformats.org/drawingml/2006/picture">
                      <pic:pic xmlns:pic="http://schemas.openxmlformats.org/drawingml/2006/picture">
                        <pic:nvPicPr>
                          <pic:cNvPr id="332" name="图片_5_SpCnt_4"/>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328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4" name="图片_5_SpCnt_5"/>
                  <wp:cNvGraphicFramePr/>
                  <a:graphic xmlns:a="http://schemas.openxmlformats.org/drawingml/2006/main">
                    <a:graphicData uri="http://schemas.openxmlformats.org/drawingml/2006/picture">
                      <pic:pic xmlns:pic="http://schemas.openxmlformats.org/drawingml/2006/picture">
                        <pic:nvPicPr>
                          <pic:cNvPr id="344" name="图片_5_SpCnt_5"/>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4304"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25" name="图片_5_SpCnt_6"/>
                  <wp:cNvGraphicFramePr/>
                  <a:graphic xmlns:a="http://schemas.openxmlformats.org/drawingml/2006/main">
                    <a:graphicData uri="http://schemas.openxmlformats.org/drawingml/2006/picture">
                      <pic:pic xmlns:pic="http://schemas.openxmlformats.org/drawingml/2006/picture">
                        <pic:nvPicPr>
                          <pic:cNvPr id="325" name="图片_5_SpCnt_6"/>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5328"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6" name="图片_5_SpCnt_7"/>
                  <wp:cNvGraphicFramePr/>
                  <a:graphic xmlns:a="http://schemas.openxmlformats.org/drawingml/2006/main">
                    <a:graphicData uri="http://schemas.openxmlformats.org/drawingml/2006/picture">
                      <pic:pic xmlns:pic="http://schemas.openxmlformats.org/drawingml/2006/picture">
                        <pic:nvPicPr>
                          <pic:cNvPr id="346" name="图片_5_SpCnt_7"/>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6352"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23" name="图片_5_SpCnt_8"/>
                  <wp:cNvGraphicFramePr/>
                  <a:graphic xmlns:a="http://schemas.openxmlformats.org/drawingml/2006/main">
                    <a:graphicData uri="http://schemas.openxmlformats.org/drawingml/2006/picture">
                      <pic:pic xmlns:pic="http://schemas.openxmlformats.org/drawingml/2006/picture">
                        <pic:nvPicPr>
                          <pic:cNvPr id="323" name="图片_5_SpCnt_8"/>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7376"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51" name="图片_5_SpCnt_9"/>
                  <wp:cNvGraphicFramePr/>
                  <a:graphic xmlns:a="http://schemas.openxmlformats.org/drawingml/2006/main">
                    <a:graphicData uri="http://schemas.openxmlformats.org/drawingml/2006/picture">
                      <pic:pic xmlns:pic="http://schemas.openxmlformats.org/drawingml/2006/picture">
                        <pic:nvPicPr>
                          <pic:cNvPr id="351" name="图片_5_SpCnt_9"/>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840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28" name="图片_5_SpCnt_10"/>
                  <wp:cNvGraphicFramePr/>
                  <a:graphic xmlns:a="http://schemas.openxmlformats.org/drawingml/2006/main">
                    <a:graphicData uri="http://schemas.openxmlformats.org/drawingml/2006/picture">
                      <pic:pic xmlns:pic="http://schemas.openxmlformats.org/drawingml/2006/picture">
                        <pic:nvPicPr>
                          <pic:cNvPr id="328" name="图片_5_SpCnt_10"/>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79424"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8" name="图片_5_SpCnt_11"/>
                  <wp:cNvGraphicFramePr/>
                  <a:graphic xmlns:a="http://schemas.openxmlformats.org/drawingml/2006/main">
                    <a:graphicData uri="http://schemas.openxmlformats.org/drawingml/2006/picture">
                      <pic:pic xmlns:pic="http://schemas.openxmlformats.org/drawingml/2006/picture">
                        <pic:nvPicPr>
                          <pic:cNvPr id="348" name="图片_5_SpCnt_11"/>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0448"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9" name="图片_5_SpCnt_12"/>
                  <wp:cNvGraphicFramePr/>
                  <a:graphic xmlns:a="http://schemas.openxmlformats.org/drawingml/2006/main">
                    <a:graphicData uri="http://schemas.openxmlformats.org/drawingml/2006/picture">
                      <pic:pic xmlns:pic="http://schemas.openxmlformats.org/drawingml/2006/picture">
                        <pic:nvPicPr>
                          <pic:cNvPr id="349" name="图片_5_SpCnt_12"/>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1472"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50" name="图片_5_SpCnt_13"/>
                  <wp:cNvGraphicFramePr/>
                  <a:graphic xmlns:a="http://schemas.openxmlformats.org/drawingml/2006/main">
                    <a:graphicData uri="http://schemas.openxmlformats.org/drawingml/2006/picture">
                      <pic:pic xmlns:pic="http://schemas.openxmlformats.org/drawingml/2006/picture">
                        <pic:nvPicPr>
                          <pic:cNvPr id="350" name="图片_5_SpCnt_13"/>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2496"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0" name="图片_5_SpCnt_14"/>
                  <wp:cNvGraphicFramePr/>
                  <a:graphic xmlns:a="http://schemas.openxmlformats.org/drawingml/2006/main">
                    <a:graphicData uri="http://schemas.openxmlformats.org/drawingml/2006/picture">
                      <pic:pic xmlns:pic="http://schemas.openxmlformats.org/drawingml/2006/picture">
                        <pic:nvPicPr>
                          <pic:cNvPr id="330" name="图片_5_SpCnt_14"/>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352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1" name="图片_5_SpCnt_15"/>
                  <wp:cNvGraphicFramePr/>
                  <a:graphic xmlns:a="http://schemas.openxmlformats.org/drawingml/2006/main">
                    <a:graphicData uri="http://schemas.openxmlformats.org/drawingml/2006/picture">
                      <pic:pic xmlns:pic="http://schemas.openxmlformats.org/drawingml/2006/picture">
                        <pic:nvPicPr>
                          <pic:cNvPr id="331" name="图片_5_SpCnt_15"/>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4544"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4" name="图片_5_SpCnt_16"/>
                  <wp:cNvGraphicFramePr/>
                  <a:graphic xmlns:a="http://schemas.openxmlformats.org/drawingml/2006/main">
                    <a:graphicData uri="http://schemas.openxmlformats.org/drawingml/2006/picture">
                      <pic:pic xmlns:pic="http://schemas.openxmlformats.org/drawingml/2006/picture">
                        <pic:nvPicPr>
                          <pic:cNvPr id="334" name="图片_5_SpCnt_16"/>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5568"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52" name="图片_5_SpCnt_17"/>
                  <wp:cNvGraphicFramePr/>
                  <a:graphic xmlns:a="http://schemas.openxmlformats.org/drawingml/2006/main">
                    <a:graphicData uri="http://schemas.openxmlformats.org/drawingml/2006/picture">
                      <pic:pic xmlns:pic="http://schemas.openxmlformats.org/drawingml/2006/picture">
                        <pic:nvPicPr>
                          <pic:cNvPr id="352" name="图片_5_SpCnt_17"/>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6592"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5" name="图片_5_SpCnt_18"/>
                  <wp:cNvGraphicFramePr/>
                  <a:graphic xmlns:a="http://schemas.openxmlformats.org/drawingml/2006/main">
                    <a:graphicData uri="http://schemas.openxmlformats.org/drawingml/2006/picture">
                      <pic:pic xmlns:pic="http://schemas.openxmlformats.org/drawingml/2006/picture">
                        <pic:nvPicPr>
                          <pic:cNvPr id="335" name="图片_5_SpCnt_18"/>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7616"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21" name="图片_5_SpCnt_19"/>
                  <wp:cNvGraphicFramePr/>
                  <a:graphic xmlns:a="http://schemas.openxmlformats.org/drawingml/2006/main">
                    <a:graphicData uri="http://schemas.openxmlformats.org/drawingml/2006/picture">
                      <pic:pic xmlns:pic="http://schemas.openxmlformats.org/drawingml/2006/picture">
                        <pic:nvPicPr>
                          <pic:cNvPr id="321" name="图片_5_SpCnt_19"/>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864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22" name="图片_5_SpCnt_20"/>
                  <wp:cNvGraphicFramePr/>
                  <a:graphic xmlns:a="http://schemas.openxmlformats.org/drawingml/2006/main">
                    <a:graphicData uri="http://schemas.openxmlformats.org/drawingml/2006/picture">
                      <pic:pic xmlns:pic="http://schemas.openxmlformats.org/drawingml/2006/picture">
                        <pic:nvPicPr>
                          <pic:cNvPr id="322" name="图片_5_SpCnt_20"/>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89664"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6" name="图片_5_SpCnt_21"/>
                  <wp:cNvGraphicFramePr/>
                  <a:graphic xmlns:a="http://schemas.openxmlformats.org/drawingml/2006/main">
                    <a:graphicData uri="http://schemas.openxmlformats.org/drawingml/2006/picture">
                      <pic:pic xmlns:pic="http://schemas.openxmlformats.org/drawingml/2006/picture">
                        <pic:nvPicPr>
                          <pic:cNvPr id="336" name="图片_5_SpCnt_21"/>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0688"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2" name="图片_5_SpCnt_22"/>
                  <wp:cNvGraphicFramePr/>
                  <a:graphic xmlns:a="http://schemas.openxmlformats.org/drawingml/2006/main">
                    <a:graphicData uri="http://schemas.openxmlformats.org/drawingml/2006/picture">
                      <pic:pic xmlns:pic="http://schemas.openxmlformats.org/drawingml/2006/picture">
                        <pic:nvPicPr>
                          <pic:cNvPr id="342" name="图片_5_SpCnt_22"/>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1712"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37" name="图片_5_SpCnt_23"/>
                  <wp:cNvGraphicFramePr/>
                  <a:graphic xmlns:a="http://schemas.openxmlformats.org/drawingml/2006/main">
                    <a:graphicData uri="http://schemas.openxmlformats.org/drawingml/2006/picture">
                      <pic:pic xmlns:pic="http://schemas.openxmlformats.org/drawingml/2006/picture">
                        <pic:nvPicPr>
                          <pic:cNvPr id="337" name="图片_5_SpCnt_23"/>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2736"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40" name="图片_5_SpCnt_24"/>
                  <wp:cNvGraphicFramePr/>
                  <a:graphic xmlns:a="http://schemas.openxmlformats.org/drawingml/2006/main">
                    <a:graphicData uri="http://schemas.openxmlformats.org/drawingml/2006/picture">
                      <pic:pic xmlns:pic="http://schemas.openxmlformats.org/drawingml/2006/picture">
                        <pic:nvPicPr>
                          <pic:cNvPr id="340" name="图片_5_SpCnt_24"/>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376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55" name="图片_5_SpCnt_25"/>
                  <wp:cNvGraphicFramePr/>
                  <a:graphic xmlns:a="http://schemas.openxmlformats.org/drawingml/2006/main">
                    <a:graphicData uri="http://schemas.openxmlformats.org/drawingml/2006/picture">
                      <pic:pic xmlns:pic="http://schemas.openxmlformats.org/drawingml/2006/picture">
                        <pic:nvPicPr>
                          <pic:cNvPr id="355" name="图片_5_SpCnt_25"/>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4784"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65" name="图片_5_SpCnt_26"/>
                  <wp:cNvGraphicFramePr/>
                  <a:graphic xmlns:a="http://schemas.openxmlformats.org/drawingml/2006/main">
                    <a:graphicData uri="http://schemas.openxmlformats.org/drawingml/2006/picture">
                      <pic:pic xmlns:pic="http://schemas.openxmlformats.org/drawingml/2006/picture">
                        <pic:nvPicPr>
                          <pic:cNvPr id="365" name="图片_5_SpCnt_26"/>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5808"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70" name="图片_5_SpCnt_27"/>
                  <wp:cNvGraphicFramePr/>
                  <a:graphic xmlns:a="http://schemas.openxmlformats.org/drawingml/2006/main">
                    <a:graphicData uri="http://schemas.openxmlformats.org/drawingml/2006/picture">
                      <pic:pic xmlns:pic="http://schemas.openxmlformats.org/drawingml/2006/picture">
                        <pic:nvPicPr>
                          <pic:cNvPr id="370" name="图片_5_SpCnt_27"/>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6832"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71" name="图片_5_SpCnt_28"/>
                  <wp:cNvGraphicFramePr/>
                  <a:graphic xmlns:a="http://schemas.openxmlformats.org/drawingml/2006/main">
                    <a:graphicData uri="http://schemas.openxmlformats.org/drawingml/2006/picture">
                      <pic:pic xmlns:pic="http://schemas.openxmlformats.org/drawingml/2006/picture">
                        <pic:nvPicPr>
                          <pic:cNvPr id="371" name="图片_5_SpCnt_28"/>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7856"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73" name="图片_5_SpCnt_29"/>
                  <wp:cNvGraphicFramePr/>
                  <a:graphic xmlns:a="http://schemas.openxmlformats.org/drawingml/2006/main">
                    <a:graphicData uri="http://schemas.openxmlformats.org/drawingml/2006/picture">
                      <pic:pic xmlns:pic="http://schemas.openxmlformats.org/drawingml/2006/picture">
                        <pic:nvPicPr>
                          <pic:cNvPr id="373" name="图片_5_SpCnt_29"/>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888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76" name="图片_5_SpCnt_30"/>
                  <wp:cNvGraphicFramePr/>
                  <a:graphic xmlns:a="http://schemas.openxmlformats.org/drawingml/2006/main">
                    <a:graphicData uri="http://schemas.openxmlformats.org/drawingml/2006/picture">
                      <pic:pic xmlns:pic="http://schemas.openxmlformats.org/drawingml/2006/picture">
                        <pic:nvPicPr>
                          <pic:cNvPr id="376" name="图片_5_SpCnt_30"/>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899904"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54" name="图片_5_SpCnt_31"/>
                  <wp:cNvGraphicFramePr/>
                  <a:graphic xmlns:a="http://schemas.openxmlformats.org/drawingml/2006/main">
                    <a:graphicData uri="http://schemas.openxmlformats.org/drawingml/2006/picture">
                      <pic:pic xmlns:pic="http://schemas.openxmlformats.org/drawingml/2006/picture">
                        <pic:nvPicPr>
                          <pic:cNvPr id="354" name="图片_5_SpCnt_31"/>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0928"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61" name="图片_5_SpCnt_32"/>
                  <wp:cNvGraphicFramePr/>
                  <a:graphic xmlns:a="http://schemas.openxmlformats.org/drawingml/2006/main">
                    <a:graphicData uri="http://schemas.openxmlformats.org/drawingml/2006/picture">
                      <pic:pic xmlns:pic="http://schemas.openxmlformats.org/drawingml/2006/picture">
                        <pic:nvPicPr>
                          <pic:cNvPr id="361" name="图片_5_SpCnt_32"/>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1952"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67" name="图片_5_SpCnt_33"/>
                  <wp:cNvGraphicFramePr/>
                  <a:graphic xmlns:a="http://schemas.openxmlformats.org/drawingml/2006/main">
                    <a:graphicData uri="http://schemas.openxmlformats.org/drawingml/2006/picture">
                      <pic:pic xmlns:pic="http://schemas.openxmlformats.org/drawingml/2006/picture">
                        <pic:nvPicPr>
                          <pic:cNvPr id="367" name="图片_5_SpCnt_33"/>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2976"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74" name="图片_5_SpCnt_34"/>
                  <wp:cNvGraphicFramePr/>
                  <a:graphic xmlns:a="http://schemas.openxmlformats.org/drawingml/2006/main">
                    <a:graphicData uri="http://schemas.openxmlformats.org/drawingml/2006/picture">
                      <pic:pic xmlns:pic="http://schemas.openxmlformats.org/drawingml/2006/picture">
                        <pic:nvPicPr>
                          <pic:cNvPr id="374" name="图片_5_SpCnt_34"/>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4000" behindDoc="0" locked="0" layoutInCell="1" allowOverlap="1">
                  <wp:simplePos x="0" y="0"/>
                  <wp:positionH relativeFrom="column">
                    <wp:posOffset>563245</wp:posOffset>
                  </wp:positionH>
                  <wp:positionV relativeFrom="paragraph">
                    <wp:posOffset>0</wp:posOffset>
                  </wp:positionV>
                  <wp:extent cx="11430" cy="9525"/>
                  <wp:effectExtent l="0" t="0" r="0" b="0"/>
                  <wp:wrapNone/>
                  <wp:docPr id="356" name="图片_5_SpCnt_35"/>
                  <wp:cNvGraphicFramePr/>
                  <a:graphic xmlns:a="http://schemas.openxmlformats.org/drawingml/2006/main">
                    <a:graphicData uri="http://schemas.openxmlformats.org/drawingml/2006/picture">
                      <pic:pic xmlns:pic="http://schemas.openxmlformats.org/drawingml/2006/picture">
                        <pic:nvPicPr>
                          <pic:cNvPr id="356" name="图片_5_SpCnt_35"/>
                          <pic:cNvPicPr/>
                        </pic:nvPicPr>
                        <pic:blipFill>
                          <a:blip r:embed="rId11"/>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502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59" name="图片_2"/>
                  <wp:cNvGraphicFramePr/>
                  <a:graphic xmlns:a="http://schemas.openxmlformats.org/drawingml/2006/main">
                    <a:graphicData uri="http://schemas.openxmlformats.org/drawingml/2006/picture">
                      <pic:pic xmlns:pic="http://schemas.openxmlformats.org/drawingml/2006/picture">
                        <pic:nvPicPr>
                          <pic:cNvPr id="359" name="图片_2"/>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6048"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64" name="图片_2_SpCnt_1"/>
                  <wp:cNvGraphicFramePr/>
                  <a:graphic xmlns:a="http://schemas.openxmlformats.org/drawingml/2006/main">
                    <a:graphicData uri="http://schemas.openxmlformats.org/drawingml/2006/picture">
                      <pic:pic xmlns:pic="http://schemas.openxmlformats.org/drawingml/2006/picture">
                        <pic:nvPicPr>
                          <pic:cNvPr id="364" name="图片_2_SpCnt_1"/>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7072"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75" name="图片_2_SpCnt_2"/>
                  <wp:cNvGraphicFramePr/>
                  <a:graphic xmlns:a="http://schemas.openxmlformats.org/drawingml/2006/main">
                    <a:graphicData uri="http://schemas.openxmlformats.org/drawingml/2006/picture">
                      <pic:pic xmlns:pic="http://schemas.openxmlformats.org/drawingml/2006/picture">
                        <pic:nvPicPr>
                          <pic:cNvPr id="375" name="图片_2_SpCnt_2"/>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8096"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57" name="图片_2_SpCnt_3"/>
                  <wp:cNvGraphicFramePr/>
                  <a:graphic xmlns:a="http://schemas.openxmlformats.org/drawingml/2006/main">
                    <a:graphicData uri="http://schemas.openxmlformats.org/drawingml/2006/picture">
                      <pic:pic xmlns:pic="http://schemas.openxmlformats.org/drawingml/2006/picture">
                        <pic:nvPicPr>
                          <pic:cNvPr id="357" name="图片_2_SpCnt_3"/>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09120"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60" name="图片_2_SpCnt_4"/>
                  <wp:cNvGraphicFramePr/>
                  <a:graphic xmlns:a="http://schemas.openxmlformats.org/drawingml/2006/main">
                    <a:graphicData uri="http://schemas.openxmlformats.org/drawingml/2006/picture">
                      <pic:pic xmlns:pic="http://schemas.openxmlformats.org/drawingml/2006/picture">
                        <pic:nvPicPr>
                          <pic:cNvPr id="360" name="图片_2_SpCnt_4"/>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014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58" name="图片_2_SpCnt_5"/>
                  <wp:cNvGraphicFramePr/>
                  <a:graphic xmlns:a="http://schemas.openxmlformats.org/drawingml/2006/main">
                    <a:graphicData uri="http://schemas.openxmlformats.org/drawingml/2006/picture">
                      <pic:pic xmlns:pic="http://schemas.openxmlformats.org/drawingml/2006/picture">
                        <pic:nvPicPr>
                          <pic:cNvPr id="358" name="图片_2_SpCnt_5"/>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1168"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72" name="图片_2_SpCnt_6"/>
                  <wp:cNvGraphicFramePr/>
                  <a:graphic xmlns:a="http://schemas.openxmlformats.org/drawingml/2006/main">
                    <a:graphicData uri="http://schemas.openxmlformats.org/drawingml/2006/picture">
                      <pic:pic xmlns:pic="http://schemas.openxmlformats.org/drawingml/2006/picture">
                        <pic:nvPicPr>
                          <pic:cNvPr id="372" name="图片_2_SpCnt_6"/>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2192"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66" name="图片_2_SpCnt_7"/>
                  <wp:cNvGraphicFramePr/>
                  <a:graphic xmlns:a="http://schemas.openxmlformats.org/drawingml/2006/main">
                    <a:graphicData uri="http://schemas.openxmlformats.org/drawingml/2006/picture">
                      <pic:pic xmlns:pic="http://schemas.openxmlformats.org/drawingml/2006/picture">
                        <pic:nvPicPr>
                          <pic:cNvPr id="366" name="图片_2_SpCnt_7"/>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3216"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62" name="图片_2_SpCnt_8"/>
                  <wp:cNvGraphicFramePr/>
                  <a:graphic xmlns:a="http://schemas.openxmlformats.org/drawingml/2006/main">
                    <a:graphicData uri="http://schemas.openxmlformats.org/drawingml/2006/picture">
                      <pic:pic xmlns:pic="http://schemas.openxmlformats.org/drawingml/2006/picture">
                        <pic:nvPicPr>
                          <pic:cNvPr id="362" name="图片_2_SpCnt_8"/>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4240"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81" name="图片_2_SpCnt_9"/>
                  <wp:cNvGraphicFramePr/>
                  <a:graphic xmlns:a="http://schemas.openxmlformats.org/drawingml/2006/main">
                    <a:graphicData uri="http://schemas.openxmlformats.org/drawingml/2006/picture">
                      <pic:pic xmlns:pic="http://schemas.openxmlformats.org/drawingml/2006/picture">
                        <pic:nvPicPr>
                          <pic:cNvPr id="381" name="图片_2_SpCnt_9"/>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526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68" name="图片_2_SpCnt_10"/>
                  <wp:cNvGraphicFramePr/>
                  <a:graphic xmlns:a="http://schemas.openxmlformats.org/drawingml/2006/main">
                    <a:graphicData uri="http://schemas.openxmlformats.org/drawingml/2006/picture">
                      <pic:pic xmlns:pic="http://schemas.openxmlformats.org/drawingml/2006/picture">
                        <pic:nvPicPr>
                          <pic:cNvPr id="368" name="图片_2_SpCnt_10"/>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6288"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79" name="图片_2_SpCnt_11"/>
                  <wp:cNvGraphicFramePr/>
                  <a:graphic xmlns:a="http://schemas.openxmlformats.org/drawingml/2006/main">
                    <a:graphicData uri="http://schemas.openxmlformats.org/drawingml/2006/picture">
                      <pic:pic xmlns:pic="http://schemas.openxmlformats.org/drawingml/2006/picture">
                        <pic:nvPicPr>
                          <pic:cNvPr id="379" name="图片_2_SpCnt_11"/>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7312"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63" name="图片_2_SpCnt_12"/>
                  <wp:cNvGraphicFramePr/>
                  <a:graphic xmlns:a="http://schemas.openxmlformats.org/drawingml/2006/main">
                    <a:graphicData uri="http://schemas.openxmlformats.org/drawingml/2006/picture">
                      <pic:pic xmlns:pic="http://schemas.openxmlformats.org/drawingml/2006/picture">
                        <pic:nvPicPr>
                          <pic:cNvPr id="363" name="图片_2_SpCnt_12"/>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8336"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77" name="图片_2_SpCnt_13"/>
                  <wp:cNvGraphicFramePr/>
                  <a:graphic xmlns:a="http://schemas.openxmlformats.org/drawingml/2006/main">
                    <a:graphicData uri="http://schemas.openxmlformats.org/drawingml/2006/picture">
                      <pic:pic xmlns:pic="http://schemas.openxmlformats.org/drawingml/2006/picture">
                        <pic:nvPicPr>
                          <pic:cNvPr id="377" name="图片_2_SpCnt_13"/>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19360"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78" name="图片_2_SpCnt_14"/>
                  <wp:cNvGraphicFramePr/>
                  <a:graphic xmlns:a="http://schemas.openxmlformats.org/drawingml/2006/main">
                    <a:graphicData uri="http://schemas.openxmlformats.org/drawingml/2006/picture">
                      <pic:pic xmlns:pic="http://schemas.openxmlformats.org/drawingml/2006/picture">
                        <pic:nvPicPr>
                          <pic:cNvPr id="378" name="图片_2_SpCnt_14"/>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038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82" name="图片_2_SpCnt_15"/>
                  <wp:cNvGraphicFramePr/>
                  <a:graphic xmlns:a="http://schemas.openxmlformats.org/drawingml/2006/main">
                    <a:graphicData uri="http://schemas.openxmlformats.org/drawingml/2006/picture">
                      <pic:pic xmlns:pic="http://schemas.openxmlformats.org/drawingml/2006/picture">
                        <pic:nvPicPr>
                          <pic:cNvPr id="382" name="图片_2_SpCnt_15"/>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1408"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80" name="图片_2_SpCnt_16"/>
                  <wp:cNvGraphicFramePr/>
                  <a:graphic xmlns:a="http://schemas.openxmlformats.org/drawingml/2006/main">
                    <a:graphicData uri="http://schemas.openxmlformats.org/drawingml/2006/picture">
                      <pic:pic xmlns:pic="http://schemas.openxmlformats.org/drawingml/2006/picture">
                        <pic:nvPicPr>
                          <pic:cNvPr id="380" name="图片_2_SpCnt_16"/>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2432"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69" name="图片_2_SpCnt_17"/>
                  <wp:cNvGraphicFramePr/>
                  <a:graphic xmlns:a="http://schemas.openxmlformats.org/drawingml/2006/main">
                    <a:graphicData uri="http://schemas.openxmlformats.org/drawingml/2006/picture">
                      <pic:pic xmlns:pic="http://schemas.openxmlformats.org/drawingml/2006/picture">
                        <pic:nvPicPr>
                          <pic:cNvPr id="369" name="图片_2_SpCnt_17"/>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3456"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83" name="图片_2_SpCnt_18"/>
                  <wp:cNvGraphicFramePr/>
                  <a:graphic xmlns:a="http://schemas.openxmlformats.org/drawingml/2006/main">
                    <a:graphicData uri="http://schemas.openxmlformats.org/drawingml/2006/picture">
                      <pic:pic xmlns:pic="http://schemas.openxmlformats.org/drawingml/2006/picture">
                        <pic:nvPicPr>
                          <pic:cNvPr id="383" name="图片_2_SpCnt_18"/>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4480"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84" name="图片_2_SpCnt_19"/>
                  <wp:cNvGraphicFramePr/>
                  <a:graphic xmlns:a="http://schemas.openxmlformats.org/drawingml/2006/main">
                    <a:graphicData uri="http://schemas.openxmlformats.org/drawingml/2006/picture">
                      <pic:pic xmlns:pic="http://schemas.openxmlformats.org/drawingml/2006/picture">
                        <pic:nvPicPr>
                          <pic:cNvPr id="384" name="图片_2_SpCnt_19"/>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550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53" name="图片_2_SpCnt_20"/>
                  <wp:cNvGraphicFramePr/>
                  <a:graphic xmlns:a="http://schemas.openxmlformats.org/drawingml/2006/main">
                    <a:graphicData uri="http://schemas.openxmlformats.org/drawingml/2006/picture">
                      <pic:pic xmlns:pic="http://schemas.openxmlformats.org/drawingml/2006/picture">
                        <pic:nvPicPr>
                          <pic:cNvPr id="353" name="图片_2_SpCnt_20"/>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6528"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09" name="图片_2_SpCnt_21"/>
                  <wp:cNvGraphicFramePr/>
                  <a:graphic xmlns:a="http://schemas.openxmlformats.org/drawingml/2006/main">
                    <a:graphicData uri="http://schemas.openxmlformats.org/drawingml/2006/picture">
                      <pic:pic xmlns:pic="http://schemas.openxmlformats.org/drawingml/2006/picture">
                        <pic:nvPicPr>
                          <pic:cNvPr id="409" name="图片_2_SpCnt_21"/>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7552"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91" name="图片_2_SpCnt_22"/>
                  <wp:cNvGraphicFramePr/>
                  <a:graphic xmlns:a="http://schemas.openxmlformats.org/drawingml/2006/main">
                    <a:graphicData uri="http://schemas.openxmlformats.org/drawingml/2006/picture">
                      <pic:pic xmlns:pic="http://schemas.openxmlformats.org/drawingml/2006/picture">
                        <pic:nvPicPr>
                          <pic:cNvPr id="391" name="图片_2_SpCnt_22"/>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8576"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95" name="图片_2_SpCnt_23"/>
                  <wp:cNvGraphicFramePr/>
                  <a:graphic xmlns:a="http://schemas.openxmlformats.org/drawingml/2006/main">
                    <a:graphicData uri="http://schemas.openxmlformats.org/drawingml/2006/picture">
                      <pic:pic xmlns:pic="http://schemas.openxmlformats.org/drawingml/2006/picture">
                        <pic:nvPicPr>
                          <pic:cNvPr id="395" name="图片_2_SpCnt_23"/>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29600"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08" name="图片_2_SpCnt_24"/>
                  <wp:cNvGraphicFramePr/>
                  <a:graphic xmlns:a="http://schemas.openxmlformats.org/drawingml/2006/main">
                    <a:graphicData uri="http://schemas.openxmlformats.org/drawingml/2006/picture">
                      <pic:pic xmlns:pic="http://schemas.openxmlformats.org/drawingml/2006/picture">
                        <pic:nvPicPr>
                          <pic:cNvPr id="408" name="图片_2_SpCnt_24"/>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062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90" name="图片_2_SpCnt_25"/>
                  <wp:cNvGraphicFramePr/>
                  <a:graphic xmlns:a="http://schemas.openxmlformats.org/drawingml/2006/main">
                    <a:graphicData uri="http://schemas.openxmlformats.org/drawingml/2006/picture">
                      <pic:pic xmlns:pic="http://schemas.openxmlformats.org/drawingml/2006/picture">
                        <pic:nvPicPr>
                          <pic:cNvPr id="390" name="图片_2_SpCnt_25"/>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1648"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00" name="图片_2_SpCnt_26"/>
                  <wp:cNvGraphicFramePr/>
                  <a:graphic xmlns:a="http://schemas.openxmlformats.org/drawingml/2006/main">
                    <a:graphicData uri="http://schemas.openxmlformats.org/drawingml/2006/picture">
                      <pic:pic xmlns:pic="http://schemas.openxmlformats.org/drawingml/2006/picture">
                        <pic:nvPicPr>
                          <pic:cNvPr id="400" name="图片_2_SpCnt_26"/>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2672"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01" name="图片_2_SpCnt_27"/>
                  <wp:cNvGraphicFramePr/>
                  <a:graphic xmlns:a="http://schemas.openxmlformats.org/drawingml/2006/main">
                    <a:graphicData uri="http://schemas.openxmlformats.org/drawingml/2006/picture">
                      <pic:pic xmlns:pic="http://schemas.openxmlformats.org/drawingml/2006/picture">
                        <pic:nvPicPr>
                          <pic:cNvPr id="401" name="图片_2_SpCnt_27"/>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3696"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97" name="图片_2_SpCnt_28"/>
                  <wp:cNvGraphicFramePr/>
                  <a:graphic xmlns:a="http://schemas.openxmlformats.org/drawingml/2006/main">
                    <a:graphicData uri="http://schemas.openxmlformats.org/drawingml/2006/picture">
                      <pic:pic xmlns:pic="http://schemas.openxmlformats.org/drawingml/2006/picture">
                        <pic:nvPicPr>
                          <pic:cNvPr id="397" name="图片_2_SpCnt_28"/>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4720"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13" name="图片_2_SpCnt_29"/>
                  <wp:cNvGraphicFramePr/>
                  <a:graphic xmlns:a="http://schemas.openxmlformats.org/drawingml/2006/main">
                    <a:graphicData uri="http://schemas.openxmlformats.org/drawingml/2006/picture">
                      <pic:pic xmlns:pic="http://schemas.openxmlformats.org/drawingml/2006/picture">
                        <pic:nvPicPr>
                          <pic:cNvPr id="413" name="图片_2_SpCnt_29"/>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574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03" name="图片_2_SpCnt_30"/>
                  <wp:cNvGraphicFramePr/>
                  <a:graphic xmlns:a="http://schemas.openxmlformats.org/drawingml/2006/main">
                    <a:graphicData uri="http://schemas.openxmlformats.org/drawingml/2006/picture">
                      <pic:pic xmlns:pic="http://schemas.openxmlformats.org/drawingml/2006/picture">
                        <pic:nvPicPr>
                          <pic:cNvPr id="403" name="图片_2_SpCnt_30"/>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6768"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92" name="图片_2_SpCnt_31"/>
                  <wp:cNvGraphicFramePr/>
                  <a:graphic xmlns:a="http://schemas.openxmlformats.org/drawingml/2006/main">
                    <a:graphicData uri="http://schemas.openxmlformats.org/drawingml/2006/picture">
                      <pic:pic xmlns:pic="http://schemas.openxmlformats.org/drawingml/2006/picture">
                        <pic:nvPicPr>
                          <pic:cNvPr id="392" name="图片_2_SpCnt_31"/>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7792"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398" name="图片_2_SpCnt_32"/>
                  <wp:cNvGraphicFramePr/>
                  <a:graphic xmlns:a="http://schemas.openxmlformats.org/drawingml/2006/main">
                    <a:graphicData uri="http://schemas.openxmlformats.org/drawingml/2006/picture">
                      <pic:pic xmlns:pic="http://schemas.openxmlformats.org/drawingml/2006/picture">
                        <pic:nvPicPr>
                          <pic:cNvPr id="398" name="图片_2_SpCnt_32"/>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8816"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02" name="图片_2_SpCnt_33"/>
                  <wp:cNvGraphicFramePr/>
                  <a:graphic xmlns:a="http://schemas.openxmlformats.org/drawingml/2006/main">
                    <a:graphicData uri="http://schemas.openxmlformats.org/drawingml/2006/picture">
                      <pic:pic xmlns:pic="http://schemas.openxmlformats.org/drawingml/2006/picture">
                        <pic:nvPicPr>
                          <pic:cNvPr id="402" name="图片_2_SpCnt_33"/>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39840"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14" name="图片_2_SpCnt_34"/>
                  <wp:cNvGraphicFramePr/>
                  <a:graphic xmlns:a="http://schemas.openxmlformats.org/drawingml/2006/main">
                    <a:graphicData uri="http://schemas.openxmlformats.org/drawingml/2006/picture">
                      <pic:pic xmlns:pic="http://schemas.openxmlformats.org/drawingml/2006/picture">
                        <pic:nvPicPr>
                          <pic:cNvPr id="414" name="图片_2_SpCnt_34"/>
                          <pic:cNvPicPr/>
                        </pic:nvPicPr>
                        <pic:blipFill>
                          <a:blip r:embed="rId12"/>
                          <a:stretch>
                            <a:fillRect/>
                          </a:stretch>
                        </pic:blipFill>
                        <pic:spPr>
                          <a:xfrm>
                            <a:off x="0" y="0"/>
                            <a:ext cx="11430" cy="95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940864" behindDoc="0" locked="0" layoutInCell="1" allowOverlap="1">
                  <wp:simplePos x="0" y="0"/>
                  <wp:positionH relativeFrom="column">
                    <wp:posOffset>875665</wp:posOffset>
                  </wp:positionH>
                  <wp:positionV relativeFrom="paragraph">
                    <wp:posOffset>0</wp:posOffset>
                  </wp:positionV>
                  <wp:extent cx="11430" cy="9525"/>
                  <wp:effectExtent l="0" t="0" r="0" b="0"/>
                  <wp:wrapNone/>
                  <wp:docPr id="410" name="图片_2_SpCnt_35"/>
                  <wp:cNvGraphicFramePr/>
                  <a:graphic xmlns:a="http://schemas.openxmlformats.org/drawingml/2006/main">
                    <a:graphicData uri="http://schemas.openxmlformats.org/drawingml/2006/picture">
                      <pic:pic xmlns:pic="http://schemas.openxmlformats.org/drawingml/2006/picture">
                        <pic:nvPicPr>
                          <pic:cNvPr id="410" name="图片_2_SpCnt_35"/>
                          <pic:cNvPicPr/>
                        </pic:nvPicPr>
                        <pic:blipFill>
                          <a:blip r:embed="rId12"/>
                          <a:stretch>
                            <a:fillRect/>
                          </a:stretch>
                        </pic:blipFill>
                        <pic:spPr>
                          <a:xfrm>
                            <a:off x="0" y="0"/>
                            <a:ext cx="11430" cy="9525"/>
                          </a:xfrm>
                          <a:prstGeom prst="rect">
                            <a:avLst/>
                          </a:prstGeom>
                          <a:noFill/>
                          <a:ln>
                            <a:noFill/>
                          </a:ln>
                        </pic:spPr>
                      </pic:pic>
                    </a:graphicData>
                  </a:graphic>
                </wp:anchor>
              </w:drawing>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辆</w:t>
            </w:r>
          </w:p>
        </w:tc>
        <w:tc>
          <w:tcPr>
            <w:tcW w:w="2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1"/>
                <w:szCs w:val="21"/>
                <w:u w:val="none"/>
              </w:rPr>
            </w:pPr>
            <w:r>
              <w:rPr>
                <w:rFonts w:hint="eastAsia" w:ascii="宋体" w:hAnsi="宋体" w:cs="宋体"/>
                <w:i w:val="0"/>
                <w:iCs w:val="0"/>
                <w:color w:val="000000"/>
                <w:kern w:val="0"/>
                <w:sz w:val="24"/>
                <w:szCs w:val="24"/>
                <w:u w:val="none"/>
                <w:lang w:val="en-US" w:eastAsia="zh-CN" w:bidi="ar"/>
              </w:rPr>
              <w:t>应配有</w:t>
            </w:r>
            <w:r>
              <w:rPr>
                <w:rFonts w:hint="default" w:ascii="宋体" w:hAnsi="宋体" w:eastAsia="宋体" w:cs="宋体"/>
                <w:i w:val="0"/>
                <w:iCs w:val="0"/>
                <w:color w:val="000000"/>
                <w:kern w:val="0"/>
                <w:sz w:val="24"/>
                <w:szCs w:val="24"/>
                <w:u w:val="none"/>
                <w:lang w:val="en-US" w:eastAsia="zh-CN" w:bidi="ar"/>
              </w:rPr>
              <w:t>金属漆、动力转向、电动车窗+遥控中控锁、7.00R16加强型轮胎+高强钢轮辋、全包驾驶室、顶部置物盒、电加热后视镜、多功能方向盘+定速巡航、免维护蓄电池、前雾灯+弯道辅助照明、日间行车灯、电喇叭、7寸</w:t>
            </w:r>
            <w:r>
              <w:rPr>
                <w:rFonts w:hint="eastAsia" w:ascii="宋体" w:hAnsi="宋体" w:cs="宋体"/>
                <w:i w:val="0"/>
                <w:iCs w:val="0"/>
                <w:color w:val="000000"/>
                <w:kern w:val="0"/>
                <w:sz w:val="24"/>
                <w:szCs w:val="24"/>
                <w:u w:val="none"/>
                <w:lang w:val="en-US" w:eastAsia="zh-CN" w:bidi="ar"/>
              </w:rPr>
              <w:t>或以上</w:t>
            </w:r>
            <w:r>
              <w:rPr>
                <w:rFonts w:hint="default" w:ascii="宋体" w:hAnsi="宋体" w:eastAsia="宋体" w:cs="宋体"/>
                <w:i w:val="0"/>
                <w:iCs w:val="0"/>
                <w:color w:val="000000"/>
                <w:kern w:val="0"/>
                <w:sz w:val="24"/>
                <w:szCs w:val="24"/>
                <w:u w:val="none"/>
                <w:lang w:val="en-US" w:eastAsia="zh-CN" w:bidi="ar"/>
              </w:rPr>
              <w:t>液晶屏组合仪表、USB接口、ABS、T-BOX、铝合金储气筒、弹簧储能驻车、制动间隙自动调整臂、1</w:t>
            </w:r>
            <w:r>
              <w:rPr>
                <w:rFonts w:hint="eastAsia" w:ascii="宋体" w:hAnsi="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val="en-US" w:eastAsia="zh-CN" w:bidi="ar"/>
              </w:rPr>
              <w:t>0L</w:t>
            </w:r>
            <w:r>
              <w:rPr>
                <w:rFonts w:hint="eastAsia" w:ascii="宋体" w:hAnsi="宋体" w:cs="宋体"/>
                <w:i w:val="0"/>
                <w:iCs w:val="0"/>
                <w:color w:val="000000"/>
                <w:kern w:val="0"/>
                <w:sz w:val="24"/>
                <w:szCs w:val="24"/>
                <w:u w:val="none"/>
                <w:lang w:val="en-US" w:eastAsia="zh-CN" w:bidi="ar"/>
              </w:rPr>
              <w:t>以上</w:t>
            </w:r>
            <w:r>
              <w:rPr>
                <w:rFonts w:hint="default" w:ascii="宋体" w:hAnsi="宋体" w:eastAsia="宋体" w:cs="宋体"/>
                <w:i w:val="0"/>
                <w:iCs w:val="0"/>
                <w:color w:val="000000"/>
                <w:kern w:val="0"/>
                <w:sz w:val="24"/>
                <w:szCs w:val="24"/>
                <w:u w:val="none"/>
                <w:lang w:val="en-US" w:eastAsia="zh-CN" w:bidi="ar"/>
              </w:rPr>
              <w:t>铝合金油箱、低速行人报警提醒等功能。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0"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皮卡车</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1.排放依据标准：国VI标准</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2.燃油种类/牌照：柴油/蓝牌</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3.最大总质量：≤3000kg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4.整备质量：≥1800kg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5.额定载货量：≥600kg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6.发动机排量：≥1.7L</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7.发动机马力：≥150匹</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8.车厢参数:1805*1580*440mm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9.驱动形式：手动两驱</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辆</w:t>
            </w:r>
          </w:p>
        </w:tc>
        <w:tc>
          <w:tcPr>
            <w:tcW w:w="2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应配有</w:t>
            </w:r>
            <w:r>
              <w:rPr>
                <w:rFonts w:hint="default" w:ascii="宋体" w:hAnsi="宋体" w:eastAsia="宋体" w:cs="宋体"/>
                <w:i w:val="0"/>
                <w:iCs w:val="0"/>
                <w:color w:val="000000"/>
                <w:kern w:val="0"/>
                <w:sz w:val="24"/>
                <w:szCs w:val="24"/>
                <w:u w:val="none"/>
                <w:lang w:val="en-US" w:eastAsia="zh-CN" w:bidi="ar"/>
              </w:rPr>
              <w:t>主驾驶电动6向调节，8寸多媒体显示屏，车顶行李架，脚踏板，定速巡航，蓝牙电话</w:t>
            </w:r>
            <w:r>
              <w:rPr>
                <w:rFonts w:hint="eastAsia" w:ascii="宋体" w:hAnsi="宋体" w:eastAsia="宋体" w:cs="宋体"/>
                <w:i w:val="0"/>
                <w:iCs w:val="0"/>
                <w:color w:val="000000"/>
                <w:kern w:val="0"/>
                <w:sz w:val="24"/>
                <w:szCs w:val="24"/>
                <w:u w:val="none"/>
                <w:lang w:val="en-US" w:eastAsia="zh-CN" w:bidi="ar"/>
              </w:rPr>
              <w:t>等功能</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纯电面包货车</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1.排放依据标准：纯电</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2.燃油种类/牌照：绿牌</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3.最大总质量：≤3500kg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4.整备质量：≥2000kg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5.额定载货量：≥1200kg</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6、电池类型：锰酸锂</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7、电池电量（KW.h）:≥50.23</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8.电机类型：永磁同步电机</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9、电机功率：≥85</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10、厢体容积：≥7立方米</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辆</w:t>
            </w:r>
          </w:p>
        </w:tc>
        <w:tc>
          <w:tcPr>
            <w:tcW w:w="280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应配有</w:t>
            </w:r>
            <w:r>
              <w:rPr>
                <w:rFonts w:hint="default" w:ascii="宋体" w:hAnsi="宋体" w:eastAsia="宋体" w:cs="宋体"/>
                <w:i w:val="0"/>
                <w:iCs w:val="0"/>
                <w:color w:val="000000"/>
                <w:kern w:val="0"/>
                <w:sz w:val="24"/>
                <w:szCs w:val="24"/>
                <w:u w:val="none"/>
                <w:lang w:val="en-US" w:eastAsia="zh-CN" w:bidi="ar"/>
              </w:rPr>
              <w:t>大灯、大灯高度可调、后雾灯、LED高位刹车灯、右侧移门、高档全包内饰、电动前空调暖风、扬声器</w:t>
            </w:r>
            <w:r>
              <w:rPr>
                <w:rFonts w:hint="eastAsia" w:ascii="宋体" w:hAnsi="宋体" w:cs="宋体"/>
                <w:i w:val="0"/>
                <w:iCs w:val="0"/>
                <w:color w:val="000000"/>
                <w:kern w:val="0"/>
                <w:sz w:val="24"/>
                <w:szCs w:val="24"/>
                <w:u w:val="none"/>
                <w:lang w:val="en-US" w:eastAsia="zh-CN" w:bidi="ar"/>
              </w:rPr>
              <w:t>至少</w:t>
            </w:r>
            <w:r>
              <w:rPr>
                <w:rFonts w:hint="default" w:ascii="宋体" w:hAnsi="宋体" w:eastAsia="宋体" w:cs="宋体"/>
                <w:i w:val="0"/>
                <w:iCs w:val="0"/>
                <w:color w:val="000000"/>
                <w:kern w:val="0"/>
                <w:sz w:val="24"/>
                <w:szCs w:val="24"/>
                <w:u w:val="none"/>
                <w:lang w:val="en-US" w:eastAsia="zh-CN" w:bidi="ar"/>
              </w:rPr>
              <w:t>2个、感速型自动落锁+熄火自动开锁、ABS+EBD、驾驶员安全带未系报警、全车座椅三点式安全带、制动能量回收</w:t>
            </w:r>
            <w:r>
              <w:rPr>
                <w:rFonts w:hint="eastAsia" w:ascii="宋体" w:hAnsi="宋体" w:eastAsia="宋体" w:cs="宋体"/>
                <w:i w:val="0"/>
                <w:iCs w:val="0"/>
                <w:color w:val="000000"/>
                <w:kern w:val="0"/>
                <w:sz w:val="24"/>
                <w:szCs w:val="24"/>
                <w:u w:val="none"/>
                <w:lang w:val="en-US" w:eastAsia="zh-CN" w:bidi="ar"/>
              </w:rPr>
              <w:t>等功能</w:t>
            </w:r>
            <w:r>
              <w:rPr>
                <w:rFonts w:hint="default" w:ascii="宋体" w:hAnsi="宋体" w:eastAsia="宋体" w:cs="宋体"/>
                <w:i w:val="0"/>
                <w:iCs w:val="0"/>
                <w:color w:val="000000"/>
                <w:kern w:val="0"/>
                <w:sz w:val="24"/>
                <w:szCs w:val="24"/>
                <w:u w:val="none"/>
                <w:lang w:val="en-US" w:eastAsia="zh-CN" w:bidi="ar"/>
              </w:rPr>
              <w:t>。</w:t>
            </w:r>
          </w:p>
        </w:tc>
      </w:tr>
    </w:tbl>
    <w:p>
      <w:pPr>
        <w:rPr>
          <w:rFonts w:hint="eastAsia"/>
          <w:color w:val="auto"/>
        </w:rPr>
      </w:pPr>
    </w:p>
    <w:p>
      <w:pPr>
        <w:widowControl/>
        <w:spacing w:line="500" w:lineRule="exact"/>
        <w:ind w:right="880" w:rightChars="400"/>
        <w:jc w:val="left"/>
        <w:rPr>
          <w:rFonts w:ascii="Times New Roman" w:hAnsi="Times New Roman" w:eastAsia="宋体" w:cs="Times New Roman"/>
          <w:b/>
          <w:bCs/>
          <w:color w:val="auto"/>
          <w:sz w:val="28"/>
          <w:szCs w:val="28"/>
          <w:lang w:val="en-US" w:eastAsia="zh-CN" w:bidi="ar-SA"/>
        </w:rPr>
      </w:pPr>
      <w:r>
        <w:rPr>
          <w:rFonts w:hint="eastAsia" w:ascii="Times New Roman" w:hAnsi="Times New Roman" w:eastAsia="宋体" w:cs="Times New Roman"/>
          <w:b/>
          <w:bCs/>
          <w:color w:val="auto"/>
          <w:sz w:val="28"/>
          <w:szCs w:val="28"/>
          <w:lang w:val="en-US" w:eastAsia="zh-CN" w:bidi="ar-SA"/>
        </w:rPr>
        <w:t>三、售后服务</w:t>
      </w:r>
    </w:p>
    <w:p>
      <w:pPr>
        <w:snapToGrid w:val="0"/>
        <w:spacing w:line="500" w:lineRule="exact"/>
        <w:ind w:firstLine="420" w:firstLineChars="175"/>
        <w:rPr>
          <w:rFonts w:ascii="宋体" w:hAnsi="宋体" w:cs="宋体"/>
          <w:color w:val="auto"/>
          <w:sz w:val="24"/>
        </w:rPr>
      </w:pPr>
      <w:r>
        <w:rPr>
          <w:rFonts w:hint="eastAsia" w:ascii="宋体" w:hAnsi="宋体" w:cs="宋体"/>
          <w:color w:val="auto"/>
          <w:sz w:val="24"/>
        </w:rPr>
        <w:t>1、保修期:货物自验收合格签字之日起开始计算保修期，免费保修期为不少于12个月。</w:t>
      </w:r>
    </w:p>
    <w:p>
      <w:pPr>
        <w:snapToGrid w:val="0"/>
        <w:spacing w:line="500" w:lineRule="exact"/>
        <w:ind w:firstLine="420" w:firstLineChars="175"/>
        <w:rPr>
          <w:rFonts w:ascii="宋体" w:hAnsi="宋体" w:cs="宋体"/>
          <w:color w:val="auto"/>
          <w:sz w:val="24"/>
        </w:rPr>
      </w:pPr>
      <w:r>
        <w:rPr>
          <w:rFonts w:hint="eastAsia" w:ascii="宋体" w:hAnsi="宋体" w:cs="宋体"/>
          <w:color w:val="auto"/>
          <w:sz w:val="24"/>
        </w:rPr>
        <w:t>2、在保修期满后，供应商应保证以合理的价格提供备件和保养服务，当发生损坏或故障时，供应商应按保修期内同样的要求进行维修处理，合理收取维修费。</w:t>
      </w:r>
    </w:p>
    <w:p>
      <w:pPr>
        <w:widowControl/>
        <w:spacing w:line="500" w:lineRule="exact"/>
        <w:ind w:right="880" w:rightChars="400"/>
        <w:jc w:val="left"/>
        <w:rPr>
          <w:rFonts w:ascii="宋体" w:hAnsi="宋体"/>
          <w:b/>
          <w:color w:val="auto"/>
          <w:sz w:val="24"/>
        </w:rPr>
      </w:pPr>
      <w:r>
        <w:rPr>
          <w:rFonts w:hint="eastAsia" w:ascii="宋体" w:hAnsi="宋体" w:cs="宋体"/>
          <w:b/>
          <w:color w:val="auto"/>
          <w:kern w:val="0"/>
          <w:sz w:val="28"/>
          <w:szCs w:val="28"/>
          <w:lang w:val="en-US" w:eastAsia="zh-CN" w:bidi="ar"/>
        </w:rPr>
        <w:t>四</w:t>
      </w:r>
      <w:r>
        <w:rPr>
          <w:rFonts w:hint="eastAsia" w:ascii="宋体" w:hAnsi="宋体" w:cs="宋体"/>
          <w:b/>
          <w:color w:val="auto"/>
          <w:kern w:val="0"/>
          <w:sz w:val="28"/>
          <w:szCs w:val="28"/>
          <w:lang w:bidi="ar"/>
        </w:rPr>
        <w:t>、质量保证</w:t>
      </w:r>
    </w:p>
    <w:p>
      <w:pPr>
        <w:widowControl/>
        <w:spacing w:line="500" w:lineRule="exact"/>
        <w:ind w:right="-119" w:rightChars="-54" w:firstLine="420" w:firstLineChars="175"/>
        <w:jc w:val="left"/>
        <w:rPr>
          <w:rFonts w:ascii="宋体" w:hAnsi="宋体" w:cs="宋体"/>
          <w:color w:val="auto"/>
          <w:sz w:val="24"/>
        </w:rPr>
      </w:pPr>
      <w:r>
        <w:rPr>
          <w:rFonts w:hint="eastAsia" w:ascii="宋体" w:hAnsi="宋体" w:cs="宋体"/>
          <w:color w:val="auto"/>
          <w:sz w:val="24"/>
        </w:rPr>
        <w:t>1、供应商保证提供的货物必须为正规渠道销售的货物，为全新未使用过的，并完全符合国家、行业标准以及投标文件所响应的质量、规格和性能要求。供应商应保证所提供的货物经正确安装、正常运转和保养在其使用寿命期内具有满意的性能。在货物质量保证期内，供应商应对由于设计、工艺或材料的缺陷而造成的任何不足或故障负责。</w:t>
      </w:r>
    </w:p>
    <w:p>
      <w:pPr>
        <w:snapToGrid w:val="0"/>
        <w:spacing w:line="500" w:lineRule="exact"/>
        <w:ind w:right="-119" w:rightChars="-54" w:firstLine="420" w:firstLineChars="175"/>
        <w:rPr>
          <w:rFonts w:hint="eastAsia" w:ascii="宋体" w:hAnsi="宋体" w:cs="宋体"/>
          <w:color w:val="auto"/>
          <w:sz w:val="24"/>
        </w:rPr>
      </w:pPr>
      <w:r>
        <w:rPr>
          <w:rFonts w:hint="eastAsia" w:ascii="宋体" w:hAnsi="宋体" w:cs="宋体"/>
          <w:color w:val="auto"/>
          <w:sz w:val="24"/>
        </w:rPr>
        <w:t>2、供应商保证提供的货物不侵犯任何第三方的专利、商标或版权，否则供应商须承担由此对第三方的专利、商标或版权的侵权责任并承担因此而发生的所有费用，并按采购方要求更换或予以退货。</w:t>
      </w:r>
    </w:p>
    <w:p>
      <w:pPr>
        <w:spacing w:line="360" w:lineRule="auto"/>
        <w:rPr>
          <w:rFonts w:hint="eastAsia" w:ascii="宋体" w:hAnsi="宋体"/>
          <w:b/>
          <w:color w:val="auto"/>
          <w:sz w:val="28"/>
        </w:rPr>
      </w:pPr>
      <w:r>
        <w:rPr>
          <w:rFonts w:hint="eastAsia" w:ascii="宋体" w:hAnsi="宋体"/>
          <w:b/>
          <w:color w:val="auto"/>
          <w:sz w:val="28"/>
          <w:lang w:val="en-US" w:eastAsia="zh-CN"/>
        </w:rPr>
        <w:t>五</w:t>
      </w:r>
      <w:r>
        <w:rPr>
          <w:rFonts w:hint="eastAsia" w:ascii="宋体" w:hAnsi="宋体"/>
          <w:b/>
          <w:color w:val="auto"/>
          <w:sz w:val="28"/>
        </w:rPr>
        <w:t>、验收要求</w:t>
      </w:r>
    </w:p>
    <w:p>
      <w:pPr>
        <w:snapToGrid w:val="0"/>
        <w:spacing w:line="500" w:lineRule="exact"/>
        <w:ind w:right="-119" w:rightChars="-54" w:firstLine="420" w:firstLineChars="175"/>
        <w:rPr>
          <w:rFonts w:hint="eastAsia" w:ascii="宋体" w:hAnsi="宋体" w:cs="宋体"/>
          <w:color w:val="auto"/>
          <w:sz w:val="24"/>
        </w:rPr>
      </w:pPr>
      <w:r>
        <w:rPr>
          <w:rFonts w:hint="eastAsia" w:ascii="宋体" w:hAnsi="宋体" w:cs="宋体"/>
          <w:color w:val="auto"/>
          <w:sz w:val="24"/>
        </w:rPr>
        <w:t>1.采购人将对货物的质量、规格</w:t>
      </w:r>
      <w:r>
        <w:rPr>
          <w:rFonts w:hint="eastAsia" w:hAnsi="宋体" w:cs="宋体"/>
          <w:color w:val="auto"/>
          <w:sz w:val="24"/>
          <w:lang w:eastAsia="zh-CN"/>
        </w:rPr>
        <w:t>、</w:t>
      </w:r>
      <w:r>
        <w:rPr>
          <w:rFonts w:hint="eastAsia" w:ascii="宋体" w:hAnsi="宋体" w:cs="宋体"/>
          <w:color w:val="auto"/>
          <w:sz w:val="24"/>
        </w:rPr>
        <w:t>数量</w:t>
      </w:r>
      <w:r>
        <w:rPr>
          <w:rFonts w:hint="eastAsia" w:hAnsi="宋体" w:cs="宋体"/>
          <w:color w:val="auto"/>
          <w:sz w:val="24"/>
          <w:lang w:eastAsia="zh-CN"/>
        </w:rPr>
        <w:t>、安装</w:t>
      </w:r>
      <w:r>
        <w:rPr>
          <w:rFonts w:hint="eastAsia" w:ascii="宋体" w:hAnsi="宋体" w:cs="宋体"/>
          <w:color w:val="auto"/>
          <w:sz w:val="24"/>
        </w:rPr>
        <w:t>进行检验，并出具验收意见。验收标准除中标人投标文件所响应的质量、规格和数量外，可溯源到国家、行业相关标准。验收后，中标人可在7个工作日内提出书面验收异议，否则，视为同意验收意见。</w:t>
      </w:r>
    </w:p>
    <w:p>
      <w:pPr>
        <w:snapToGrid w:val="0"/>
        <w:spacing w:line="500" w:lineRule="exact"/>
        <w:ind w:right="-119" w:rightChars="-54" w:firstLine="420" w:firstLineChars="175"/>
        <w:rPr>
          <w:rFonts w:hint="eastAsia" w:ascii="宋体" w:hAnsi="宋体" w:cs="宋体"/>
          <w:color w:val="auto"/>
          <w:sz w:val="24"/>
        </w:rPr>
      </w:pPr>
      <w:r>
        <w:rPr>
          <w:rFonts w:hint="eastAsia" w:ascii="宋体" w:hAnsi="宋体" w:cs="宋体"/>
          <w:color w:val="auto"/>
          <w:sz w:val="24"/>
        </w:rPr>
        <w:t>2.采购人有权邀请参加本项目的其他投标人或者第三方机构参与验收。</w:t>
      </w:r>
    </w:p>
    <w:p>
      <w:pPr>
        <w:snapToGrid w:val="0"/>
        <w:spacing w:line="500" w:lineRule="exact"/>
        <w:ind w:right="-119" w:rightChars="-54" w:firstLine="420" w:firstLineChars="175"/>
        <w:rPr>
          <w:rFonts w:hint="eastAsia" w:ascii="宋体" w:hAnsi="宋体" w:cs="宋体"/>
          <w:color w:val="auto"/>
          <w:sz w:val="24"/>
        </w:rPr>
      </w:pPr>
      <w:r>
        <w:rPr>
          <w:rFonts w:hint="eastAsia" w:ascii="宋体" w:hAnsi="宋体" w:cs="宋体"/>
          <w:color w:val="auto"/>
          <w:sz w:val="24"/>
        </w:rPr>
        <w:t>3.如</w:t>
      </w:r>
      <w:r>
        <w:rPr>
          <w:rFonts w:hint="eastAsia" w:hAnsi="宋体" w:cs="宋体"/>
          <w:color w:val="auto"/>
          <w:sz w:val="24"/>
          <w:lang w:val="en-US" w:eastAsia="zh-CN"/>
        </w:rPr>
        <w:t>货物</w:t>
      </w:r>
      <w:r>
        <w:rPr>
          <w:rFonts w:hint="eastAsia" w:ascii="宋体" w:hAnsi="宋体" w:cs="宋体"/>
          <w:color w:val="auto"/>
          <w:sz w:val="24"/>
        </w:rPr>
        <w:t>的规格或质量、规格或性能与合同不符，或货物存在缺陷，中标人应接到采购人书面通知后7日内按合同确定的质量、规格或性能予以更换，由此产生的一切费用及给采购人造成的一切损失由中标人承担。同时相应延长质量保证期。</w:t>
      </w:r>
    </w:p>
    <w:p>
      <w:pPr>
        <w:snapToGrid w:val="0"/>
        <w:spacing w:line="500" w:lineRule="exact"/>
        <w:ind w:right="-119" w:rightChars="-54" w:firstLine="420" w:firstLineChars="175"/>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.如因设备的质量问题发生纠纷，应由国家质检部门进行质量鉴定。如鉴定结果证明中标人所供货物存在质量问题，费用由中标人承担。否则，由采购人承担。</w:t>
      </w:r>
    </w:p>
    <w:p>
      <w:pPr>
        <w:widowControl/>
        <w:spacing w:line="500" w:lineRule="exact"/>
        <w:ind w:right="880" w:rightChars="400"/>
        <w:jc w:val="left"/>
        <w:rPr>
          <w:rFonts w:ascii="宋体" w:hAnsi="宋体" w:cs="宋体"/>
          <w:b/>
          <w:color w:val="auto"/>
          <w:kern w:val="0"/>
          <w:sz w:val="28"/>
          <w:szCs w:val="28"/>
          <w:lang w:bidi="ar"/>
        </w:rPr>
      </w:pPr>
      <w:r>
        <w:rPr>
          <w:rFonts w:hint="eastAsia" w:hAnsi="宋体" w:cs="宋体"/>
          <w:b/>
          <w:color w:val="auto"/>
          <w:kern w:val="0"/>
          <w:sz w:val="28"/>
          <w:szCs w:val="28"/>
          <w:lang w:val="en-US" w:eastAsia="zh-CN" w:bidi="ar"/>
        </w:rPr>
        <w:t>六</w:t>
      </w:r>
      <w:r>
        <w:rPr>
          <w:rFonts w:hint="eastAsia" w:ascii="宋体" w:hAnsi="宋体" w:cs="宋体"/>
          <w:b/>
          <w:color w:val="auto"/>
          <w:kern w:val="0"/>
          <w:sz w:val="28"/>
          <w:szCs w:val="28"/>
          <w:lang w:bidi="ar"/>
        </w:rPr>
        <w:t>、其他要求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请供应商认真测算，本项目报价包括</w:t>
      </w:r>
      <w:r>
        <w:rPr>
          <w:rFonts w:hint="eastAsia" w:ascii="宋体" w:hAnsi="宋体" w:cs="宋体"/>
          <w:color w:val="auto"/>
          <w:sz w:val="24"/>
          <w:lang w:val="en-US" w:eastAsia="zh-CN"/>
        </w:rPr>
        <w:t>车辆</w:t>
      </w:r>
      <w:r>
        <w:rPr>
          <w:rFonts w:hint="eastAsia" w:ascii="宋体" w:hAnsi="宋体" w:eastAsia="宋体" w:cs="宋体"/>
          <w:color w:val="auto"/>
          <w:sz w:val="24"/>
        </w:rPr>
        <w:t>价格、调试费用、</w:t>
      </w:r>
      <w:r>
        <w:rPr>
          <w:rFonts w:hint="eastAsia" w:ascii="宋体" w:hAnsi="宋体" w:cs="宋体"/>
          <w:color w:val="auto"/>
          <w:sz w:val="24"/>
          <w:lang w:val="en-US" w:eastAsia="zh-CN"/>
        </w:rPr>
        <w:t>车辆首年保险（交强险与商业险等）、上牌费用及上牌服务、</w:t>
      </w:r>
      <w:r>
        <w:rPr>
          <w:rFonts w:hint="eastAsia" w:ascii="宋体" w:hAnsi="宋体" w:eastAsia="宋体" w:cs="宋体"/>
          <w:color w:val="auto"/>
          <w:sz w:val="24"/>
        </w:rPr>
        <w:t>运输及运输保险费用</w:t>
      </w:r>
      <w:r>
        <w:rPr>
          <w:rFonts w:hint="eastAsia" w:ascii="宋体" w:hAnsi="宋体" w:eastAsia="宋体" w:cs="宋体"/>
          <w:color w:val="auto"/>
          <w:sz w:val="24"/>
          <w:lang w:val="en-US" w:eastAsia="zh-CN"/>
        </w:rPr>
        <w:t>等</w:t>
      </w:r>
      <w:r>
        <w:rPr>
          <w:rFonts w:hint="eastAsia" w:ascii="宋体" w:hAnsi="宋体" w:eastAsia="宋体" w:cs="宋体"/>
          <w:color w:val="auto"/>
          <w:sz w:val="24"/>
        </w:rPr>
        <w:t>。项目实施过程中所需的采购文件中未列出的其他一切费用（如税费等）由供应商在报价时一并考虑，项目实施过程中不再单独结算。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auto"/>
        </w:rPr>
      </w:pPr>
      <w:r>
        <w:rPr>
          <w:rFonts w:hint="eastAsia" w:ascii="宋体" w:hAnsi="宋体" w:cs="宋体"/>
          <w:color w:val="auto"/>
          <w:sz w:val="24"/>
          <w:lang w:val="en-US" w:eastAsia="zh-CN"/>
        </w:rPr>
        <w:t>交货时应该是车辆已经交好保险（交强险与商业险等）并且按照相关法律法规上好牌照的车辆。采购人可直接驾驶上路的状态。</w:t>
      </w:r>
      <w:r>
        <w:rPr>
          <w:rFonts w:hint="eastAsia"/>
          <w:color w:val="auto"/>
        </w:rPr>
        <w:br w:type="page"/>
      </w:r>
    </w:p>
    <w:p>
      <w:pPr>
        <w:pStyle w:val="47"/>
      </w:pPr>
      <w:bookmarkStart w:id="138" w:name="_Toc56605086"/>
      <w:bookmarkStart w:id="139" w:name="_Toc10111"/>
      <w:r>
        <w:rPr>
          <w:rStyle w:val="59"/>
          <w:rFonts w:ascii="Cambria" w:hAnsi="Cambria" w:eastAsiaTheme="minorEastAsia" w:cstheme="minorBidi"/>
          <w:b/>
          <w:color w:val="auto"/>
          <w:sz w:val="32"/>
          <w:szCs w:val="32"/>
        </w:rPr>
        <w:t>第六章评审办法和程序</w:t>
      </w:r>
      <w:bookmarkEnd w:id="138"/>
      <w:bookmarkEnd w:id="139"/>
    </w:p>
    <w:p>
      <w:pPr>
        <w:jc w:val="center"/>
        <w:rPr>
          <w:b/>
          <w:color w:val="auto"/>
          <w:sz w:val="28"/>
        </w:rPr>
      </w:pPr>
      <w:bookmarkStart w:id="140" w:name="_Toc16422134"/>
      <w:bookmarkStart w:id="141" w:name="_Toc10466"/>
      <w:bookmarkStart w:id="142" w:name="_Toc28351"/>
      <w:r>
        <w:rPr>
          <w:rFonts w:hint="eastAsia"/>
          <w:b/>
          <w:color w:val="auto"/>
          <w:sz w:val="28"/>
        </w:rPr>
        <w:t>评审标准和方法</w:t>
      </w:r>
      <w:bookmarkEnd w:id="140"/>
      <w:bookmarkEnd w:id="141"/>
      <w:bookmarkEnd w:id="142"/>
    </w:p>
    <w:tbl>
      <w:tblPr>
        <w:tblStyle w:val="51"/>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0"/>
        <w:gridCol w:w="1524"/>
        <w:gridCol w:w="6011"/>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730" w:type="dxa"/>
            <w:tcMar>
              <w:left w:w="108" w:type="dxa"/>
              <w:right w:w="108" w:type="dxa"/>
            </w:tcMar>
            <w:vAlign w:val="center"/>
          </w:tcPr>
          <w:p>
            <w:pPr>
              <w:spacing w:after="0" w:line="360" w:lineRule="auto"/>
              <w:rPr>
                <w:rFonts w:ascii="宋体" w:hAnsi="宋体" w:cs="宋体"/>
                <w:sz w:val="24"/>
                <w:szCs w:val="24"/>
              </w:rPr>
            </w:pPr>
            <w:r>
              <w:rPr>
                <w:rFonts w:ascii="宋体" w:hAnsi="宋体" w:cs="宋体"/>
                <w:sz w:val="24"/>
                <w:szCs w:val="24"/>
              </w:rPr>
              <w:t>序号</w:t>
            </w:r>
          </w:p>
        </w:tc>
        <w:tc>
          <w:tcPr>
            <w:tcW w:w="1524" w:type="dxa"/>
            <w:tcMar>
              <w:left w:w="108" w:type="dxa"/>
              <w:right w:w="108" w:type="dxa"/>
            </w:tcMar>
            <w:vAlign w:val="center"/>
          </w:tcPr>
          <w:p>
            <w:pPr>
              <w:spacing w:after="0" w:line="360" w:lineRule="auto"/>
              <w:jc w:val="center"/>
              <w:rPr>
                <w:rFonts w:ascii="宋体" w:hAnsi="宋体" w:cs="宋体"/>
                <w:sz w:val="24"/>
                <w:szCs w:val="24"/>
              </w:rPr>
            </w:pPr>
            <w:r>
              <w:rPr>
                <w:rFonts w:ascii="宋体" w:hAnsi="宋体" w:cs="宋体"/>
                <w:sz w:val="24"/>
                <w:szCs w:val="24"/>
              </w:rPr>
              <w:t>评比项目</w:t>
            </w:r>
          </w:p>
        </w:tc>
        <w:tc>
          <w:tcPr>
            <w:tcW w:w="6011" w:type="dxa"/>
            <w:tcMar>
              <w:left w:w="108" w:type="dxa"/>
              <w:right w:w="108" w:type="dxa"/>
            </w:tcMar>
            <w:vAlign w:val="center"/>
          </w:tcPr>
          <w:p>
            <w:pPr>
              <w:spacing w:after="0" w:line="360" w:lineRule="auto"/>
              <w:jc w:val="center"/>
              <w:rPr>
                <w:rFonts w:ascii="宋体" w:hAnsi="宋体" w:cs="宋体"/>
                <w:sz w:val="24"/>
                <w:szCs w:val="24"/>
              </w:rPr>
            </w:pPr>
            <w:r>
              <w:rPr>
                <w:rFonts w:ascii="宋体" w:hAnsi="宋体" w:cs="宋体"/>
                <w:sz w:val="24"/>
                <w:szCs w:val="24"/>
              </w:rPr>
              <w:t>评价内容</w:t>
            </w:r>
          </w:p>
        </w:tc>
        <w:tc>
          <w:tcPr>
            <w:tcW w:w="726" w:type="dxa"/>
            <w:tcMar>
              <w:left w:w="108" w:type="dxa"/>
              <w:right w:w="108" w:type="dxa"/>
            </w:tcMar>
            <w:vAlign w:val="center"/>
          </w:tcPr>
          <w:p>
            <w:pPr>
              <w:spacing w:after="0" w:line="360" w:lineRule="auto"/>
              <w:jc w:val="center"/>
              <w:rPr>
                <w:rFonts w:ascii="宋体" w:hAnsi="宋体" w:cs="宋体"/>
                <w:sz w:val="24"/>
                <w:szCs w:val="24"/>
              </w:rPr>
            </w:pPr>
            <w:r>
              <w:rPr>
                <w:rFonts w:ascii="宋体" w:hAnsi="宋体" w:cs="宋体"/>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730"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1</w:t>
            </w:r>
          </w:p>
        </w:tc>
        <w:tc>
          <w:tcPr>
            <w:tcW w:w="1524"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项目经验</w:t>
            </w:r>
          </w:p>
        </w:tc>
        <w:tc>
          <w:tcPr>
            <w:tcW w:w="6011" w:type="dxa"/>
            <w:tcMar>
              <w:left w:w="108" w:type="dxa"/>
              <w:right w:w="108" w:type="dxa"/>
            </w:tcMar>
            <w:vAlign w:val="center"/>
          </w:tcPr>
          <w:p>
            <w:pPr>
              <w:snapToGrid w:val="0"/>
              <w:spacing w:after="0"/>
              <w:rPr>
                <w:rFonts w:hint="eastAsia"/>
              </w:rPr>
            </w:pPr>
            <w:r>
              <w:rPr>
                <w:rFonts w:hint="eastAsia"/>
              </w:rPr>
              <w:t>供应商2019年1月1日至今（时间以合同签订的时间为准）承接过类似项目业绩，每个得5分，本项满分5分。</w:t>
            </w:r>
          </w:p>
          <w:p>
            <w:pPr>
              <w:snapToGrid w:val="0"/>
              <w:spacing w:after="0"/>
            </w:pPr>
            <w:r>
              <w:rPr>
                <w:rFonts w:hint="eastAsia"/>
              </w:rPr>
              <w:t>证明</w:t>
            </w:r>
            <w:r>
              <w:t>材料：提供</w:t>
            </w:r>
            <w:r>
              <w:rPr>
                <w:rFonts w:hint="eastAsia"/>
              </w:rPr>
              <w:t>项目佐证材料</w:t>
            </w:r>
            <w:r>
              <w:rPr>
                <w:rFonts w:hint="eastAsia"/>
                <w:lang w:eastAsia="zh-CN"/>
              </w:rPr>
              <w:t>，</w:t>
            </w:r>
            <w:r>
              <w:t>合同或中标通知书等相关材料</w:t>
            </w:r>
            <w:r>
              <w:rPr>
                <w:rFonts w:hint="eastAsia"/>
              </w:rPr>
              <w:t>复印件并加盖公章。</w:t>
            </w:r>
          </w:p>
        </w:tc>
        <w:tc>
          <w:tcPr>
            <w:tcW w:w="726" w:type="dxa"/>
            <w:tcMar>
              <w:left w:w="108" w:type="dxa"/>
              <w:right w:w="108" w:type="dxa"/>
            </w:tcMar>
            <w:vAlign w:val="center"/>
          </w:tcPr>
          <w:p>
            <w:pPr>
              <w:snapToGrid w:val="0"/>
              <w:spacing w:after="0"/>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jc w:val="center"/>
        </w:trPr>
        <w:tc>
          <w:tcPr>
            <w:tcW w:w="730"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2</w:t>
            </w:r>
          </w:p>
        </w:tc>
        <w:tc>
          <w:tcPr>
            <w:tcW w:w="1524"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需求响应</w:t>
            </w:r>
          </w:p>
        </w:tc>
        <w:tc>
          <w:tcPr>
            <w:tcW w:w="6011" w:type="dxa"/>
            <w:tcMar>
              <w:left w:w="108" w:type="dxa"/>
              <w:right w:w="108" w:type="dxa"/>
            </w:tcMar>
            <w:vAlign w:val="center"/>
          </w:tcPr>
          <w:p>
            <w:pPr>
              <w:snapToGrid w:val="0"/>
              <w:spacing w:after="0"/>
              <w:rPr>
                <w:rFonts w:hint="eastAsia"/>
                <w:lang w:val="en-US" w:eastAsia="zh-CN"/>
              </w:rPr>
            </w:pPr>
            <w:r>
              <w:rPr>
                <w:rFonts w:hint="eastAsia"/>
                <w:lang w:val="en-US" w:eastAsia="zh-CN"/>
              </w:rPr>
              <w:t>根据采购需求书，对比选货物的功能及技术参数响应情况进行综合评分；比选货物技术参数完全满足或优于本比选文件的“需求书”得20分；（满分20分）</w:t>
            </w:r>
          </w:p>
          <w:p>
            <w:pPr>
              <w:snapToGrid w:val="0"/>
              <w:spacing w:after="0"/>
            </w:pPr>
            <w:r>
              <w:rPr>
                <w:rFonts w:hint="eastAsia"/>
                <w:lang w:val="en-US" w:eastAsia="zh-CN"/>
              </w:rPr>
              <w:t>有1项不满足或负偏离的扣0.5分，扣完本项得分为止。</w:t>
            </w:r>
          </w:p>
        </w:tc>
        <w:tc>
          <w:tcPr>
            <w:tcW w:w="726" w:type="dxa"/>
            <w:tcMar>
              <w:left w:w="108" w:type="dxa"/>
              <w:right w:w="108" w:type="dxa"/>
            </w:tcMar>
            <w:vAlign w:val="center"/>
          </w:tcPr>
          <w:p>
            <w:pPr>
              <w:snapToGrid w:val="0"/>
              <w:spacing w:after="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730"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3</w:t>
            </w:r>
          </w:p>
        </w:tc>
        <w:tc>
          <w:tcPr>
            <w:tcW w:w="1524" w:type="dxa"/>
            <w:tcMar>
              <w:left w:w="108" w:type="dxa"/>
              <w:right w:w="108" w:type="dxa"/>
            </w:tcMar>
            <w:vAlign w:val="center"/>
          </w:tcPr>
          <w:p>
            <w:pPr>
              <w:ind w:firstLine="0" w:firstLineChars="0"/>
              <w:jc w:val="center"/>
              <w:rPr>
                <w:rFonts w:ascii="宋体" w:hAnsi="宋体" w:cs="宋体"/>
                <w:sz w:val="24"/>
                <w:szCs w:val="24"/>
              </w:rPr>
            </w:pPr>
            <w:r>
              <w:rPr>
                <w:rFonts w:hint="eastAsia" w:ascii="宋体" w:hAnsi="宋体" w:eastAsia="宋体" w:cs="宋体"/>
                <w:sz w:val="24"/>
                <w:szCs w:val="24"/>
                <w:lang w:val="en-US" w:eastAsia="zh-CN"/>
              </w:rPr>
              <w:t>服务方案</w:t>
            </w:r>
          </w:p>
        </w:tc>
        <w:tc>
          <w:tcPr>
            <w:tcW w:w="6011" w:type="dxa"/>
            <w:tcMar>
              <w:left w:w="108" w:type="dxa"/>
              <w:right w:w="108" w:type="dxa"/>
            </w:tcMar>
            <w:vAlign w:val="center"/>
          </w:tcPr>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根据供应商对项目的了解、拟投入的人力成本、制定的服务流程、</w:t>
            </w:r>
            <w:r>
              <w:rPr>
                <w:rFonts w:hint="eastAsia" w:ascii="宋体" w:hAnsi="宋体" w:eastAsia="宋体" w:cs="宋体"/>
                <w:color w:val="auto"/>
                <w:sz w:val="24"/>
                <w:szCs w:val="24"/>
                <w:lang w:val="en-US" w:eastAsia="zh-CN"/>
              </w:rPr>
              <w:t>供货</w:t>
            </w:r>
            <w:r>
              <w:rPr>
                <w:rFonts w:hint="eastAsia" w:ascii="宋体" w:hAnsi="宋体" w:eastAsia="宋体" w:cs="宋体"/>
                <w:color w:val="auto"/>
                <w:sz w:val="24"/>
                <w:szCs w:val="24"/>
                <w:lang w:val="en-GB" w:eastAsia="zh-CN"/>
              </w:rPr>
              <w:t>进度计划等内容的合理性、科学性、针对性进行综合评审：</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GB" w:eastAsia="zh-CN"/>
              </w:rPr>
              <w:t>）内容合理性、科学性、针对性高，得</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GB" w:eastAsia="zh-CN"/>
              </w:rPr>
              <w:t>）内容合理性、科学性、针对性较高，得</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GB" w:eastAsia="zh-CN"/>
              </w:rPr>
              <w:t>）内容合理性、科学性、针对性一般，得</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en-GB" w:eastAsia="zh-CN"/>
              </w:rPr>
              <w:t>）内容合理性、科学性、针对性较弱，得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GB" w:eastAsia="zh-CN"/>
              </w:rPr>
              <w:t>分；</w:t>
            </w:r>
          </w:p>
          <w:p>
            <w:pPr>
              <w:snapToGrid w:val="0"/>
              <w:spacing w:after="0"/>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GB" w:eastAsia="zh-CN"/>
              </w:rPr>
              <w:t>）未提供不得分。</w:t>
            </w:r>
          </w:p>
        </w:tc>
        <w:tc>
          <w:tcPr>
            <w:tcW w:w="726" w:type="dxa"/>
            <w:tcMar>
              <w:left w:w="108" w:type="dxa"/>
              <w:right w:w="108" w:type="dxa"/>
            </w:tcMar>
            <w:vAlign w:val="center"/>
          </w:tcPr>
          <w:p>
            <w:pPr>
              <w:snapToGrid w:val="0"/>
              <w:spacing w:after="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730"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4</w:t>
            </w:r>
          </w:p>
        </w:tc>
        <w:tc>
          <w:tcPr>
            <w:tcW w:w="1524" w:type="dxa"/>
            <w:tcMar>
              <w:left w:w="108" w:type="dxa"/>
              <w:right w:w="108" w:type="dxa"/>
            </w:tcMar>
            <w:vAlign w:val="center"/>
          </w:tcPr>
          <w:p>
            <w:pPr>
              <w:ind w:firstLine="0" w:firstLineChars="0"/>
              <w:jc w:val="center"/>
              <w:rPr>
                <w:rFonts w:ascii="宋体" w:hAnsi="宋体" w:cs="宋体"/>
                <w:sz w:val="24"/>
                <w:szCs w:val="24"/>
              </w:rPr>
            </w:pPr>
            <w:r>
              <w:rPr>
                <w:rFonts w:hint="eastAsia" w:ascii="宋体" w:hAnsi="宋体" w:eastAsia="宋体" w:cs="宋体"/>
                <w:sz w:val="24"/>
                <w:szCs w:val="24"/>
                <w:lang w:val="en-US" w:eastAsia="zh-CN"/>
              </w:rPr>
              <w:t>质量保证方案</w:t>
            </w:r>
          </w:p>
        </w:tc>
        <w:tc>
          <w:tcPr>
            <w:tcW w:w="6011" w:type="dxa"/>
            <w:tcMar>
              <w:left w:w="108" w:type="dxa"/>
              <w:right w:w="108" w:type="dxa"/>
            </w:tcMar>
            <w:vAlign w:val="center"/>
          </w:tcPr>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根据供应商提供的质量保证范围、质量保证承诺、质量保证措施等内容的合理性、科学性、针对性进行综合评审：</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GB" w:eastAsia="zh-CN"/>
              </w:rPr>
              <w:t>）内容合理性、科学性、针对性高，得</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GB" w:eastAsia="zh-CN"/>
              </w:rPr>
              <w:t>）内容合理性、科学性、针对性较高，得</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GB" w:eastAsia="zh-CN"/>
              </w:rPr>
              <w:t>）内容合理性、科学性、针对性一般，得</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en-GB" w:eastAsia="zh-CN"/>
              </w:rPr>
              <w:t>）内容合理性、科学性、针对性较弱，得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GB" w:eastAsia="zh-CN"/>
              </w:rPr>
              <w:t>分；</w:t>
            </w:r>
          </w:p>
          <w:p>
            <w:pPr>
              <w:snapToGrid w:val="0"/>
              <w:spacing w:after="0"/>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GB" w:eastAsia="zh-CN"/>
              </w:rPr>
              <w:t>）未提供不得分。</w:t>
            </w:r>
          </w:p>
        </w:tc>
        <w:tc>
          <w:tcPr>
            <w:tcW w:w="726" w:type="dxa"/>
            <w:tcMar>
              <w:left w:w="108" w:type="dxa"/>
              <w:right w:w="108" w:type="dxa"/>
            </w:tcMar>
            <w:vAlign w:val="center"/>
          </w:tcPr>
          <w:p>
            <w:pPr>
              <w:snapToGrid w:val="0"/>
              <w:spacing w:after="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3" w:hRule="atLeast"/>
          <w:jc w:val="center"/>
        </w:trPr>
        <w:tc>
          <w:tcPr>
            <w:tcW w:w="730"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5</w:t>
            </w:r>
          </w:p>
        </w:tc>
        <w:tc>
          <w:tcPr>
            <w:tcW w:w="1524" w:type="dxa"/>
            <w:tcMar>
              <w:left w:w="108" w:type="dxa"/>
              <w:right w:w="108" w:type="dxa"/>
            </w:tcMar>
            <w:vAlign w:val="center"/>
          </w:tcPr>
          <w:p>
            <w:pPr>
              <w:ind w:firstLine="0" w:firstLineChars="0"/>
              <w:jc w:val="center"/>
              <w:rPr>
                <w:rFonts w:ascii="宋体" w:hAnsi="宋体" w:cs="宋体"/>
                <w:sz w:val="24"/>
                <w:szCs w:val="24"/>
              </w:rPr>
            </w:pPr>
            <w:r>
              <w:rPr>
                <w:rFonts w:hint="eastAsia" w:ascii="宋体" w:hAnsi="宋体" w:eastAsia="宋体" w:cs="宋体"/>
                <w:sz w:val="24"/>
                <w:szCs w:val="24"/>
                <w:lang w:val="en-US" w:eastAsia="zh-CN"/>
              </w:rPr>
              <w:t>应急预案</w:t>
            </w:r>
          </w:p>
        </w:tc>
        <w:tc>
          <w:tcPr>
            <w:tcW w:w="6011" w:type="dxa"/>
            <w:tcMar>
              <w:left w:w="108" w:type="dxa"/>
              <w:right w:w="108" w:type="dxa"/>
            </w:tcMar>
            <w:vAlign w:val="center"/>
          </w:tcPr>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根据供应商提供的突发事件分析及应对措施、应急人员安排等内容的合理性、科学性、针对性进行综合评审：</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GB" w:eastAsia="zh-CN"/>
              </w:rPr>
              <w:t>）内容合理性、科学性、针对性高，得</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GB" w:eastAsia="zh-CN"/>
              </w:rPr>
              <w:t>）内容合理性、科学性、针对性较高，得</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GB" w:eastAsia="zh-CN"/>
              </w:rPr>
              <w:t>）内容合理性、科学性、针对性一般，得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GB" w:eastAsia="zh-CN"/>
              </w:rPr>
              <w:t>分；</w:t>
            </w:r>
          </w:p>
          <w:p>
            <w:pPr>
              <w:snapToGrid w:val="0"/>
              <w:spacing w:after="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en-GB" w:eastAsia="zh-CN"/>
              </w:rPr>
              <w:t>）内容合理性、科学性、针对性较弱，得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GB" w:eastAsia="zh-CN"/>
              </w:rPr>
              <w:t>分；</w:t>
            </w:r>
          </w:p>
          <w:p>
            <w:pPr>
              <w:snapToGrid w:val="0"/>
              <w:spacing w:after="0"/>
              <w:rPr>
                <w:rFonts w:ascii="宋体" w:hAnsi="宋体" w:cs="宋体"/>
                <w:color w:val="auto"/>
                <w:sz w:val="24"/>
                <w:szCs w:val="24"/>
              </w:rPr>
            </w:pPr>
            <w:r>
              <w:rPr>
                <w:rFonts w:hint="eastAsia" w:ascii="宋体" w:hAnsi="宋体" w:eastAsia="宋体" w:cs="宋体"/>
                <w:color w:val="auto"/>
                <w:sz w:val="24"/>
                <w:szCs w:val="24"/>
                <w:lang w:val="en-GB"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GB" w:eastAsia="zh-CN"/>
              </w:rPr>
              <w:t>）未提供不得分。</w:t>
            </w:r>
          </w:p>
        </w:tc>
        <w:tc>
          <w:tcPr>
            <w:tcW w:w="726" w:type="dxa"/>
            <w:tcMar>
              <w:left w:w="108" w:type="dxa"/>
              <w:right w:w="108" w:type="dxa"/>
            </w:tcMar>
            <w:vAlign w:val="center"/>
          </w:tcPr>
          <w:p>
            <w:pPr>
              <w:snapToGrid w:val="0"/>
              <w:spacing w:after="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3" w:hRule="atLeast"/>
          <w:jc w:val="center"/>
        </w:trPr>
        <w:tc>
          <w:tcPr>
            <w:tcW w:w="730"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6</w:t>
            </w:r>
          </w:p>
        </w:tc>
        <w:tc>
          <w:tcPr>
            <w:tcW w:w="1524"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制作文件规范性</w:t>
            </w:r>
          </w:p>
        </w:tc>
        <w:tc>
          <w:tcPr>
            <w:tcW w:w="6011" w:type="dxa"/>
            <w:tcMar>
              <w:left w:w="108" w:type="dxa"/>
              <w:right w:w="108" w:type="dxa"/>
            </w:tcMar>
            <w:vAlign w:val="center"/>
          </w:tcPr>
          <w:p>
            <w:pPr>
              <w:snapToGrid w:val="0"/>
              <w:spacing w:after="0"/>
              <w:rPr>
                <w:rFonts w:ascii="宋体" w:hAnsi="宋体" w:cs="宋体"/>
                <w:color w:val="auto"/>
                <w:sz w:val="24"/>
                <w:szCs w:val="24"/>
              </w:rPr>
            </w:pPr>
            <w:r>
              <w:rPr>
                <w:rFonts w:hint="eastAsia" w:ascii="宋体" w:hAnsi="宋体" w:cs="宋体"/>
                <w:color w:val="auto"/>
                <w:sz w:val="24"/>
                <w:szCs w:val="24"/>
              </w:rPr>
              <w:t>根据供应商标书制作完整性（内容齐全、编排合理、格式符合磋商文件要求、条理清晰、无缺漏页）及其他因素酌情打分，优得3</w:t>
            </w:r>
            <w:r>
              <w:rPr>
                <w:rFonts w:ascii="宋体" w:hAnsi="宋体" w:cs="宋体"/>
                <w:color w:val="auto"/>
                <w:sz w:val="24"/>
                <w:szCs w:val="24"/>
              </w:rPr>
              <w:t>.1-</w:t>
            </w:r>
            <w:r>
              <w:rPr>
                <w:rFonts w:hint="eastAsia" w:ascii="宋体" w:hAnsi="宋体" w:cs="宋体"/>
                <w:color w:val="auto"/>
                <w:sz w:val="24"/>
                <w:szCs w:val="24"/>
              </w:rPr>
              <w:t>5</w:t>
            </w:r>
            <w:r>
              <w:rPr>
                <w:rFonts w:ascii="宋体" w:hAnsi="宋体" w:cs="宋体"/>
                <w:color w:val="auto"/>
                <w:sz w:val="24"/>
                <w:szCs w:val="24"/>
              </w:rPr>
              <w:t>分，良得1.1-</w:t>
            </w:r>
            <w:r>
              <w:rPr>
                <w:rFonts w:hint="eastAsia" w:ascii="宋体" w:hAnsi="宋体" w:cs="宋体"/>
                <w:color w:val="auto"/>
                <w:sz w:val="24"/>
                <w:szCs w:val="24"/>
              </w:rPr>
              <w:t>3.0</w:t>
            </w:r>
            <w:r>
              <w:rPr>
                <w:rFonts w:ascii="宋体" w:hAnsi="宋体" w:cs="宋体"/>
                <w:color w:val="auto"/>
                <w:sz w:val="24"/>
                <w:szCs w:val="24"/>
              </w:rPr>
              <w:t>分，一般得0.1-1</w:t>
            </w:r>
            <w:r>
              <w:rPr>
                <w:rFonts w:hint="eastAsia" w:ascii="宋体" w:hAnsi="宋体" w:cs="宋体"/>
                <w:color w:val="auto"/>
                <w:sz w:val="24"/>
                <w:szCs w:val="24"/>
              </w:rPr>
              <w:t>.0</w:t>
            </w:r>
            <w:r>
              <w:rPr>
                <w:rFonts w:ascii="宋体" w:hAnsi="宋体" w:cs="宋体"/>
                <w:color w:val="auto"/>
                <w:sz w:val="24"/>
                <w:szCs w:val="24"/>
              </w:rPr>
              <w:t>分。</w:t>
            </w:r>
          </w:p>
        </w:tc>
        <w:tc>
          <w:tcPr>
            <w:tcW w:w="726" w:type="dxa"/>
            <w:tcMar>
              <w:left w:w="108" w:type="dxa"/>
              <w:right w:w="108" w:type="dxa"/>
            </w:tcMar>
            <w:vAlign w:val="center"/>
          </w:tcPr>
          <w:p>
            <w:pPr>
              <w:snapToGrid w:val="0"/>
              <w:spacing w:after="0"/>
              <w:jc w:val="center"/>
              <w:rPr>
                <w:rFonts w:ascii="宋体" w:hAnsi="宋体" w:cs="宋体"/>
                <w:color w:val="auto"/>
                <w:sz w:val="24"/>
                <w:szCs w:val="24"/>
              </w:rPr>
            </w:pPr>
            <w:r>
              <w:rPr>
                <w:rFonts w:hint="eastAsia" w:ascii="宋体" w:hAnsi="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3" w:hRule="atLeast"/>
          <w:jc w:val="center"/>
        </w:trPr>
        <w:tc>
          <w:tcPr>
            <w:tcW w:w="730"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7</w:t>
            </w:r>
          </w:p>
        </w:tc>
        <w:tc>
          <w:tcPr>
            <w:tcW w:w="1524" w:type="dxa"/>
            <w:tcMar>
              <w:left w:w="108" w:type="dxa"/>
              <w:right w:w="108" w:type="dxa"/>
            </w:tcMar>
            <w:vAlign w:val="center"/>
          </w:tcPr>
          <w:p>
            <w:pPr>
              <w:snapToGrid w:val="0"/>
              <w:spacing w:after="0"/>
              <w:jc w:val="center"/>
              <w:rPr>
                <w:rFonts w:ascii="宋体" w:hAnsi="宋体" w:cs="宋体"/>
                <w:sz w:val="24"/>
                <w:szCs w:val="24"/>
              </w:rPr>
            </w:pPr>
            <w:r>
              <w:rPr>
                <w:rFonts w:hint="eastAsia" w:ascii="宋体" w:hAnsi="宋体" w:cs="宋体"/>
                <w:sz w:val="24"/>
                <w:szCs w:val="24"/>
              </w:rPr>
              <w:t xml:space="preserve">价格分    </w:t>
            </w:r>
          </w:p>
        </w:tc>
        <w:tc>
          <w:tcPr>
            <w:tcW w:w="6011" w:type="dxa"/>
            <w:tcMar>
              <w:left w:w="108" w:type="dxa"/>
              <w:right w:w="108" w:type="dxa"/>
            </w:tcMar>
            <w:vAlign w:val="center"/>
          </w:tcPr>
          <w:p>
            <w:pPr>
              <w:snapToGrid w:val="0"/>
              <w:spacing w:after="0"/>
              <w:rPr>
                <w:rFonts w:ascii="宋体" w:hAnsi="宋体" w:cs="宋体"/>
                <w:color w:val="auto"/>
                <w:sz w:val="24"/>
                <w:szCs w:val="24"/>
              </w:rPr>
            </w:pPr>
            <w:r>
              <w:rPr>
                <w:rFonts w:hint="eastAsia" w:ascii="宋体" w:hAnsi="宋体" w:cs="宋体"/>
                <w:color w:val="auto"/>
                <w:sz w:val="24"/>
                <w:szCs w:val="24"/>
              </w:rPr>
              <w:t>所有通过初步评审的最终投标报价中最低价为评标基准价，其价格分为满分；</w:t>
            </w:r>
          </w:p>
          <w:p>
            <w:pPr>
              <w:snapToGrid w:val="0"/>
              <w:spacing w:after="0"/>
              <w:rPr>
                <w:rFonts w:ascii="宋体" w:hAnsi="宋体" w:cs="宋体"/>
                <w:color w:val="auto"/>
                <w:sz w:val="24"/>
                <w:szCs w:val="24"/>
              </w:rPr>
            </w:pPr>
            <w:r>
              <w:rPr>
                <w:rFonts w:hint="eastAsia" w:ascii="宋体" w:hAnsi="宋体" w:cs="宋体"/>
                <w:color w:val="auto"/>
                <w:sz w:val="24"/>
                <w:szCs w:val="24"/>
              </w:rPr>
              <w:t>其他投标人的价格分统一按照下列公式计算：投标报价得分=(评标基准价／投标报价)×</w:t>
            </w:r>
            <w:r>
              <w:rPr>
                <w:rFonts w:hint="eastAsia" w:ascii="宋体" w:hAnsi="宋体" w:cs="宋体"/>
                <w:color w:val="auto"/>
                <w:sz w:val="24"/>
                <w:szCs w:val="24"/>
                <w:lang w:val="en-US" w:eastAsia="zh-CN"/>
              </w:rPr>
              <w:t>30</w:t>
            </w:r>
            <w:r>
              <w:rPr>
                <w:rFonts w:hint="eastAsia" w:ascii="宋体" w:hAnsi="宋体" w:cs="宋体"/>
                <w:color w:val="auto"/>
                <w:sz w:val="24"/>
                <w:szCs w:val="24"/>
              </w:rPr>
              <w:t>分。</w:t>
            </w:r>
          </w:p>
        </w:tc>
        <w:tc>
          <w:tcPr>
            <w:tcW w:w="726" w:type="dxa"/>
            <w:tcMar>
              <w:left w:w="108" w:type="dxa"/>
              <w:right w:w="108" w:type="dxa"/>
            </w:tcMar>
            <w:vAlign w:val="center"/>
          </w:tcPr>
          <w:p>
            <w:pPr>
              <w:snapToGrid w:val="0"/>
              <w:spacing w:after="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w:t>
            </w:r>
          </w:p>
        </w:tc>
      </w:tr>
    </w:tbl>
    <w:p>
      <w:pPr>
        <w:pStyle w:val="78"/>
        <w:ind w:firstLine="480"/>
        <w:rPr>
          <w:rFonts w:ascii="Times New Roman" w:cs="Times New Roman"/>
          <w:color w:val="auto"/>
        </w:rPr>
      </w:pPr>
      <w:r>
        <w:rPr>
          <w:rFonts w:hint="eastAsia" w:ascii="Times New Roman" w:cs="Times New Roman"/>
          <w:color w:val="auto"/>
        </w:rPr>
        <w:t>商务技术分统计：按照评审程序、评分标准以及分值分配的规定，评审委员会成员分别就各个供应商的技术、商务状况，其对磋商文件要求的响应情况进行评议和比较，评出各供应商的技术商务总分，全部评委的评分的算术平均值即为该供应商的技术商务最终得分，技术商务最终得分加上报价分为总得分。</w:t>
      </w:r>
    </w:p>
    <w:p>
      <w:pPr>
        <w:spacing w:after="0" w:line="460" w:lineRule="exact"/>
        <w:jc w:val="both"/>
        <w:rPr>
          <w:rFonts w:ascii="Times New Roman" w:hAnsi="Times New Roman" w:cs="Times New Roman"/>
          <w:b/>
          <w:color w:val="auto"/>
          <w:sz w:val="28"/>
          <w:szCs w:val="28"/>
        </w:rPr>
      </w:pPr>
      <w:r>
        <w:rPr>
          <w:rFonts w:hint="eastAsia"/>
          <w:color w:val="auto"/>
        </w:rPr>
        <w:br w:type="page"/>
      </w:r>
      <w:r>
        <w:rPr>
          <w:rFonts w:hint="eastAsia" w:ascii="Times New Roman" w:hAnsi="Times New Roman" w:cs="Times New Roman"/>
          <w:b/>
          <w:color w:val="auto"/>
          <w:sz w:val="28"/>
          <w:szCs w:val="28"/>
        </w:rPr>
        <w:t>一、评审原则</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hint="eastAsia" w:ascii="Times New Roman" w:hAnsi="Times New Roman" w:cs="Times New Roman"/>
          <w:color w:val="auto"/>
          <w:sz w:val="24"/>
          <w:szCs w:val="24"/>
        </w:rPr>
        <w:t>.本次评审是以磋商文件，磋商响应文件和磋商承诺文件以及投标报价为依据，按公正、科学、客观、平等竞争的要求，推荐技术先进、报价合理、经验丰富、信誉良好及综合实力强的成交供应商。</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hint="eastAsia" w:ascii="Times New Roman" w:hAnsi="Times New Roman" w:cs="Times New Roman"/>
          <w:color w:val="auto"/>
          <w:sz w:val="24"/>
          <w:szCs w:val="24"/>
        </w:rPr>
        <w:t>.参加磋商工作的所有人员应遵守《中华人民共和国政府采购法》以及国家和地方政府采购的有关规定，严格保密，确保竞争性磋商工作公平、公正，任何单位和个人不得无理干预磋商小组的正常工作。</w:t>
      </w:r>
    </w:p>
    <w:p>
      <w:pPr>
        <w:spacing w:after="0" w:line="460" w:lineRule="exact"/>
        <w:ind w:firstLine="480" w:firstLineChars="2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hint="eastAsia" w:ascii="Times New Roman" w:hAnsi="Times New Roman" w:cs="Times New Roman"/>
          <w:color w:val="auto"/>
          <w:sz w:val="24"/>
          <w:szCs w:val="24"/>
        </w:rPr>
        <w:t>.本次磋商采用综合评分法，是指响应文件满足磋商文件全部实质性要求且按评审因素的量化指标评审得分最高的供应商为成交候选供应商的评审方法。</w:t>
      </w:r>
    </w:p>
    <w:p>
      <w:pPr>
        <w:spacing w:after="0" w:line="460" w:lineRule="exact"/>
        <w:jc w:val="both"/>
        <w:rPr>
          <w:rFonts w:ascii="Times New Roman" w:hAnsi="Times New Roman" w:cs="Times New Roman"/>
          <w:b/>
          <w:color w:val="auto"/>
          <w:sz w:val="28"/>
          <w:szCs w:val="28"/>
        </w:rPr>
      </w:pPr>
      <w:r>
        <w:rPr>
          <w:rFonts w:hint="eastAsia" w:ascii="Times New Roman" w:hAnsi="Times New Roman" w:cs="Times New Roman"/>
          <w:b/>
          <w:color w:val="auto"/>
          <w:sz w:val="28"/>
          <w:szCs w:val="28"/>
        </w:rPr>
        <w:t>二、评审程序和评审方法</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评审流程如下：</w:t>
      </w:r>
    </w:p>
    <w:p>
      <w:pPr>
        <w:spacing w:after="0" w:line="460" w:lineRule="exact"/>
        <w:ind w:firstLine="482" w:firstLineChars="200"/>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1. </w:t>
      </w:r>
      <w:r>
        <w:rPr>
          <w:rFonts w:hint="eastAsia" w:ascii="Times New Roman" w:hAnsi="Times New Roman" w:cs="Times New Roman"/>
          <w:b/>
          <w:color w:val="auto"/>
          <w:sz w:val="24"/>
          <w:szCs w:val="24"/>
        </w:rPr>
        <w:t>评审准备</w:t>
      </w:r>
    </w:p>
    <w:p>
      <w:pPr>
        <w:spacing w:after="0" w:line="460" w:lineRule="exact"/>
        <w:ind w:firstLine="480" w:firstLineChars="200"/>
        <w:jc w:val="both"/>
        <w:rPr>
          <w:rFonts w:ascii="Times New Roman" w:hAnsi="Times New Roman" w:cs="Times New Roman"/>
          <w:color w:val="auto"/>
          <w:sz w:val="24"/>
          <w:szCs w:val="24"/>
        </w:rPr>
      </w:pPr>
      <w:r>
        <w:rPr>
          <w:rFonts w:hint="eastAsia" w:ascii="Times New Roman" w:hAnsi="Times New Roman" w:cs="Times New Roman"/>
          <w:color w:val="auto"/>
          <w:sz w:val="24"/>
          <w:szCs w:val="24"/>
        </w:rPr>
        <w:t>评审委员会成员阅读竞争性磋商文件，了解本次采购的范围和需求，熟悉评审方法；</w:t>
      </w:r>
    </w:p>
    <w:p>
      <w:pPr>
        <w:spacing w:after="0" w:line="460" w:lineRule="exact"/>
        <w:ind w:firstLine="482" w:firstLineChars="200"/>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2. </w:t>
      </w:r>
      <w:r>
        <w:rPr>
          <w:rFonts w:hint="eastAsia" w:ascii="Times New Roman" w:hAnsi="Times New Roman" w:cs="Times New Roman"/>
          <w:b/>
          <w:color w:val="auto"/>
          <w:sz w:val="24"/>
          <w:szCs w:val="24"/>
        </w:rPr>
        <w:t>磋商响应文件初步评审</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进入评审程序后，磋商小组先对供应商的磋商响应文件进行初步评审。磋商小组将根据评审办法的规定和附表</w:t>
      </w:r>
      <w:r>
        <w:rPr>
          <w:rFonts w:ascii="Times New Roman" w:hAnsi="Times New Roman" w:cs="Times New Roman"/>
          <w:color w:val="auto"/>
          <w:sz w:val="24"/>
          <w:szCs w:val="24"/>
        </w:rPr>
        <w:t>1</w:t>
      </w:r>
      <w:r>
        <w:rPr>
          <w:rFonts w:hint="eastAsia" w:ascii="Times New Roman" w:hAnsi="Times New Roman" w:cs="Times New Roman"/>
          <w:color w:val="auto"/>
          <w:sz w:val="24"/>
          <w:szCs w:val="24"/>
        </w:rPr>
        <w:t>的内容，对磋商响应文件进行初步评审。</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若出现以下情况，则磋商响应文件将被认定为不满足用户需求书而不能通过初步审查：</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①磋商响应文件无法定代表人或负责人签字，或签字人未经法定代表人或负责人授权的；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②磋商有效期不足的；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③磋商小组根据磋商文件检查磋商响应文件提供的资格证明材料不齐全、不满足磋商文件的要求，并在磋商小组规定的时间未能补充齐全的；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④磋商小组根据磋商文件对磋商响应文件的商务和技术部分进行初步审查，检查磋商响应文件提交的内容不齐全、不能证明有能力承担本项目的任务、未按磋商文件的要求作出相应的承诺的；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⑤报价过低，明显不合理，采购人认为无法保障质量而供应商不能合理说明的；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⑥主要技术规格和参数不满足技术参数的要求以及商务有重大负偏离的；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⑦磋商小组认为报价未实质性响应磋商文件的要求的；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⑧没有按时作最终报价或最终报价超过采购预算且采购人无法接受的；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⑨违反国家和地方政府采购法律法规的；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⑩不满足磋商文件规定的其它条件的。</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初步评审采用“一项否决”的原则，只有全部符合要求的才能通过初步评审。</w:t>
      </w:r>
    </w:p>
    <w:p>
      <w:pPr>
        <w:spacing w:after="0" w:line="460" w:lineRule="exact"/>
        <w:ind w:firstLine="482" w:firstLineChars="200"/>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3. </w:t>
      </w:r>
      <w:r>
        <w:rPr>
          <w:rFonts w:hint="eastAsia" w:ascii="Times New Roman" w:hAnsi="Times New Roman" w:cs="Times New Roman"/>
          <w:b/>
          <w:color w:val="auto"/>
          <w:sz w:val="24"/>
          <w:szCs w:val="24"/>
        </w:rPr>
        <w:t>磋商</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磋商小组所有成员应当集中与单一供应商分别进行磋商，并给予所有参加磋商的供应商平等的磋商机会。在磋商过程中，磋商小组可以根据磋商文件和磋商情况实质性变动用户需求书中的技术、服务要求以及合同草案条款，但不得变动磋商文件中的其他内容。实质性变动的内容，须经采购人代表确认。</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对磋商文件作出的实质性变动是磋商文件的有效组成部分，磋商小组应当及时以书面形式同时通知所有参加磋商的供应商。</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pPr>
        <w:spacing w:after="0" w:line="460" w:lineRule="exact"/>
        <w:ind w:firstLine="482" w:firstLineChars="200"/>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4. </w:t>
      </w:r>
      <w:r>
        <w:rPr>
          <w:rFonts w:hint="eastAsia" w:ascii="Times New Roman" w:hAnsi="Times New Roman" w:cs="Times New Roman"/>
          <w:b/>
          <w:color w:val="auto"/>
          <w:sz w:val="24"/>
          <w:szCs w:val="24"/>
        </w:rPr>
        <w:t>最后报价</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磋商结束后，磋商小组应当要求所有实质性响应的供应商在规定时间内提交最后报价。已提交响应文件的供应商，在提交最后报价之前，可以根据磋商情况退出磋商。采购人、采购代理机构应当退还退出磋商的供应商的磋商保证金。（最终报价表格式见附表</w:t>
      </w:r>
      <w:r>
        <w:rPr>
          <w:rFonts w:ascii="Times New Roman" w:hAnsi="Times New Roman" w:cs="Times New Roman"/>
          <w:color w:val="auto"/>
          <w:sz w:val="24"/>
          <w:szCs w:val="24"/>
        </w:rPr>
        <w:t>2</w:t>
      </w:r>
      <w:r>
        <w:rPr>
          <w:rFonts w:hint="eastAsia" w:ascii="Times New Roman" w:hAnsi="Times New Roman" w:cs="Times New Roman"/>
          <w:color w:val="auto"/>
          <w:sz w:val="24"/>
          <w:szCs w:val="24"/>
        </w:rPr>
        <w:t>）</w:t>
      </w:r>
    </w:p>
    <w:p>
      <w:pPr>
        <w:spacing w:after="0" w:line="460" w:lineRule="exact"/>
        <w:ind w:firstLine="482" w:firstLineChars="200"/>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5. </w:t>
      </w:r>
      <w:r>
        <w:rPr>
          <w:rFonts w:hint="eastAsia" w:ascii="Times New Roman" w:hAnsi="Times New Roman" w:cs="Times New Roman"/>
          <w:b/>
          <w:color w:val="auto"/>
          <w:sz w:val="24"/>
          <w:szCs w:val="24"/>
        </w:rPr>
        <w:t>综合评审</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经磋商确定最终用户需求书，由磋商小组采用综合评分法对供应商的响应文件进行综合评分。</w:t>
      </w:r>
    </w:p>
    <w:p>
      <w:pPr>
        <w:spacing w:after="0" w:line="460" w:lineRule="exact"/>
        <w:ind w:firstLine="482" w:firstLineChars="200"/>
        <w:jc w:val="both"/>
        <w:rPr>
          <w:rFonts w:ascii="Times New Roman" w:hAnsi="Times New Roman" w:cs="Times New Roman"/>
          <w:b/>
          <w:color w:val="auto"/>
          <w:sz w:val="28"/>
          <w:szCs w:val="28"/>
        </w:rPr>
      </w:pPr>
      <w:r>
        <w:rPr>
          <w:rFonts w:ascii="Times New Roman" w:hAnsi="Times New Roman" w:cs="Times New Roman"/>
          <w:b/>
          <w:color w:val="auto"/>
          <w:sz w:val="24"/>
          <w:szCs w:val="24"/>
        </w:rPr>
        <w:t xml:space="preserve">6. </w:t>
      </w:r>
      <w:r>
        <w:rPr>
          <w:rFonts w:hint="eastAsia" w:ascii="Times New Roman" w:hAnsi="Times New Roman" w:cs="Times New Roman"/>
          <w:b/>
          <w:color w:val="auto"/>
          <w:sz w:val="24"/>
          <w:szCs w:val="24"/>
        </w:rPr>
        <w:t>推荐成交供应商</w:t>
      </w:r>
    </w:p>
    <w:p>
      <w:pPr>
        <w:spacing w:after="0" w:line="460" w:lineRule="exact"/>
        <w:ind w:firstLine="480" w:firstLineChars="200"/>
        <w:jc w:val="both"/>
        <w:rPr>
          <w:rFonts w:ascii="Times New Roman" w:hAnsi="Times New Roman" w:cs="Times New Roman"/>
          <w:b/>
          <w:color w:val="auto"/>
          <w:sz w:val="28"/>
          <w:szCs w:val="28"/>
        </w:rPr>
      </w:pPr>
      <w:r>
        <w:rPr>
          <w:rFonts w:hint="eastAsia" w:ascii="Times New Roman" w:hAnsi="Times New Roman" w:cs="Times New Roman"/>
          <w:color w:val="auto"/>
          <w:sz w:val="24"/>
          <w:szCs w:val="24"/>
        </w:rPr>
        <w:t>磋商小组应当根据综合评分情况，按照评审得分由高到低顺序推荐</w:t>
      </w:r>
      <w:r>
        <w:rPr>
          <w:rFonts w:ascii="Times New Roman" w:hAnsi="Times New Roman" w:cs="Times New Roman"/>
          <w:color w:val="auto"/>
          <w:sz w:val="24"/>
          <w:szCs w:val="24"/>
        </w:rPr>
        <w:t>3</w:t>
      </w:r>
      <w:r>
        <w:rPr>
          <w:rFonts w:hint="eastAsia" w:ascii="Times New Roman" w:hAnsi="Times New Roman" w:cs="Times New Roman"/>
          <w:color w:val="auto"/>
          <w:sz w:val="24"/>
          <w:szCs w:val="24"/>
        </w:rPr>
        <w:t>名成交候选供应商，并编写评审报告。评审得分相同的，按照技术指标优劣顺序推荐。</w:t>
      </w:r>
    </w:p>
    <w:p>
      <w:pPr>
        <w:spacing w:after="0" w:line="460" w:lineRule="exact"/>
        <w:jc w:val="both"/>
        <w:rPr>
          <w:rFonts w:ascii="Times New Roman" w:hAnsi="Times New Roman" w:cs="Times New Roman"/>
          <w:b/>
          <w:color w:val="auto"/>
          <w:sz w:val="28"/>
          <w:szCs w:val="28"/>
        </w:rPr>
      </w:pPr>
      <w:bookmarkStart w:id="143" w:name="_Toc7490"/>
      <w:bookmarkStart w:id="144" w:name="_Toc16422131"/>
      <w:bookmarkStart w:id="145" w:name="_Toc20327"/>
      <w:r>
        <w:rPr>
          <w:rFonts w:hint="eastAsia" w:ascii="Times New Roman" w:hAnsi="Times New Roman" w:cs="Times New Roman"/>
          <w:b/>
          <w:color w:val="auto"/>
          <w:sz w:val="28"/>
          <w:szCs w:val="28"/>
        </w:rPr>
        <w:t>三、磋商、评审过程的保密性</w:t>
      </w:r>
      <w:bookmarkEnd w:id="143"/>
      <w:bookmarkEnd w:id="144"/>
      <w:bookmarkEnd w:id="145"/>
    </w:p>
    <w:p>
      <w:pPr>
        <w:spacing w:after="0" w:line="460" w:lineRule="exact"/>
        <w:ind w:firstLine="480" w:firstLineChars="200"/>
        <w:jc w:val="both"/>
        <w:rPr>
          <w:rFonts w:ascii="Times New Roman" w:hAnsi="Times New Roman" w:cs="Times New Roman"/>
          <w:color w:val="auto"/>
          <w:sz w:val="24"/>
          <w:szCs w:val="24"/>
          <w:lang w:val="zh-TW" w:eastAsia="zh-TW"/>
        </w:rPr>
      </w:pPr>
      <w:r>
        <w:rPr>
          <w:rFonts w:ascii="Times New Roman" w:hAnsi="Times New Roman" w:cs="Times New Roman"/>
          <w:color w:val="auto"/>
          <w:sz w:val="24"/>
          <w:szCs w:val="24"/>
          <w:lang w:val="zh-TW" w:eastAsia="zh-TW"/>
        </w:rPr>
        <w:t>1</w:t>
      </w:r>
      <w:r>
        <w:rPr>
          <w:rFonts w:hint="eastAsia" w:ascii="Times New Roman" w:hAnsi="Times New Roman" w:cs="Times New Roman"/>
          <w:color w:val="auto"/>
          <w:sz w:val="24"/>
          <w:szCs w:val="24"/>
          <w:lang w:val="zh-TW"/>
        </w:rPr>
        <w:t>.</w:t>
      </w:r>
      <w:r>
        <w:rPr>
          <w:rFonts w:hint="eastAsia" w:ascii="Times New Roman" w:hAnsi="Times New Roman" w:cs="Times New Roman"/>
          <w:color w:val="auto"/>
          <w:sz w:val="24"/>
          <w:szCs w:val="24"/>
          <w:lang w:val="zh-TW" w:eastAsia="zh-TW"/>
        </w:rPr>
        <w:t>接受报价后，直至成交供应商与买方签订合同后止，凡与磋商、审查、澄清、评价、比较、确定成交人意见有关的内容，任何人均不得向供应商及与磋商评审无关的其他人透露。</w:t>
      </w:r>
    </w:p>
    <w:p>
      <w:pPr>
        <w:spacing w:after="0" w:line="460" w:lineRule="exact"/>
        <w:ind w:firstLine="480" w:firstLineChars="200"/>
        <w:jc w:val="both"/>
        <w:rPr>
          <w:rFonts w:ascii="Times New Roman" w:hAnsi="Times New Roman" w:cs="Times New Roman"/>
          <w:color w:val="auto"/>
          <w:sz w:val="24"/>
          <w:szCs w:val="24"/>
          <w:lang w:val="zh-TW" w:eastAsia="zh-TW"/>
        </w:rPr>
      </w:pPr>
      <w:r>
        <w:rPr>
          <w:rFonts w:ascii="Times New Roman" w:hAnsi="Times New Roman" w:cs="Times New Roman"/>
          <w:color w:val="auto"/>
          <w:sz w:val="24"/>
          <w:szCs w:val="24"/>
          <w:lang w:val="zh-TW" w:eastAsia="zh-TW"/>
        </w:rPr>
        <w:t>2</w:t>
      </w:r>
      <w:r>
        <w:rPr>
          <w:rFonts w:hint="eastAsia" w:ascii="Times New Roman" w:hAnsi="Times New Roman" w:cs="Times New Roman"/>
          <w:color w:val="auto"/>
          <w:sz w:val="24"/>
          <w:szCs w:val="24"/>
          <w:lang w:val="zh-TW"/>
        </w:rPr>
        <w:t>.</w:t>
      </w:r>
      <w:r>
        <w:rPr>
          <w:rFonts w:hint="eastAsia" w:ascii="Times New Roman" w:hAnsi="Times New Roman" w:cs="Times New Roman"/>
          <w:color w:val="auto"/>
          <w:sz w:val="24"/>
          <w:szCs w:val="24"/>
          <w:lang w:val="zh-TW" w:eastAsia="zh-TW"/>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after="0" w:line="460" w:lineRule="exact"/>
        <w:jc w:val="both"/>
        <w:rPr>
          <w:rFonts w:ascii="Times New Roman" w:hAnsi="Times New Roman" w:cs="Times New Roman"/>
          <w:b/>
          <w:color w:val="auto"/>
          <w:sz w:val="28"/>
          <w:szCs w:val="28"/>
        </w:rPr>
      </w:pPr>
      <w:bookmarkStart w:id="146" w:name="_Toc18020"/>
      <w:bookmarkStart w:id="147" w:name="_Toc14666"/>
      <w:bookmarkStart w:id="148" w:name="_Toc16422132"/>
      <w:r>
        <w:rPr>
          <w:rFonts w:hint="eastAsia" w:ascii="Times New Roman" w:hAnsi="Times New Roman" w:cs="Times New Roman"/>
          <w:b/>
          <w:color w:val="auto"/>
          <w:sz w:val="28"/>
          <w:szCs w:val="28"/>
        </w:rPr>
        <w:t>四、接受和拒绝任何或所有报价的权利</w:t>
      </w:r>
      <w:bookmarkEnd w:id="146"/>
      <w:bookmarkEnd w:id="147"/>
      <w:bookmarkEnd w:id="148"/>
    </w:p>
    <w:p>
      <w:pPr>
        <w:spacing w:after="0" w:line="460" w:lineRule="exact"/>
        <w:ind w:firstLine="480" w:firstLineChars="200"/>
        <w:jc w:val="both"/>
        <w:rPr>
          <w:rFonts w:ascii="Times New Roman" w:hAnsi="Times New Roman" w:cs="Times New Roman"/>
          <w:color w:val="auto"/>
          <w:sz w:val="24"/>
          <w:szCs w:val="24"/>
          <w:lang w:val="zh-TW" w:eastAsia="zh-TW"/>
        </w:rPr>
      </w:pPr>
      <w:r>
        <w:rPr>
          <w:rFonts w:hint="eastAsia" w:ascii="Times New Roman" w:hAnsi="Times New Roman" w:cs="Times New Roman"/>
          <w:color w:val="auto"/>
          <w:sz w:val="24"/>
          <w:szCs w:val="24"/>
          <w:lang w:val="zh-TW"/>
        </w:rPr>
        <w:t>采购人保留在成交之前任何时候接受或拒绝任何报价，以及宣布竞争性磋商无效或拒绝所有磋商响应文件的权力，对受影响的供应商不承担任何责任。</w:t>
      </w:r>
    </w:p>
    <w:p>
      <w:pPr>
        <w:spacing w:after="0" w:line="460" w:lineRule="exact"/>
        <w:jc w:val="both"/>
        <w:rPr>
          <w:rFonts w:ascii="Times New Roman" w:hAnsi="Times New Roman" w:cs="Times New Roman"/>
          <w:b/>
          <w:color w:val="auto"/>
          <w:sz w:val="28"/>
          <w:szCs w:val="28"/>
        </w:rPr>
      </w:pPr>
      <w:bookmarkStart w:id="149" w:name="_Toc10412"/>
      <w:bookmarkStart w:id="150" w:name="_Toc16422133"/>
      <w:bookmarkStart w:id="151" w:name="_Toc13056"/>
      <w:r>
        <w:rPr>
          <w:rFonts w:hint="eastAsia" w:ascii="Times New Roman" w:hAnsi="Times New Roman" w:cs="Times New Roman"/>
          <w:b/>
          <w:color w:val="auto"/>
          <w:sz w:val="28"/>
          <w:szCs w:val="28"/>
        </w:rPr>
        <w:t>五、变更技术方案的权利</w:t>
      </w:r>
      <w:bookmarkEnd w:id="149"/>
      <w:bookmarkEnd w:id="150"/>
      <w:bookmarkEnd w:id="151"/>
    </w:p>
    <w:p>
      <w:pPr>
        <w:spacing w:after="0" w:line="460" w:lineRule="exact"/>
        <w:ind w:firstLine="480" w:firstLineChars="200"/>
        <w:jc w:val="both"/>
        <w:rPr>
          <w:rFonts w:ascii="Times New Roman" w:hAnsi="Times New Roman" w:cs="Times New Roman"/>
          <w:color w:val="auto"/>
        </w:rPr>
      </w:pPr>
      <w:r>
        <w:rPr>
          <w:rFonts w:hint="eastAsia" w:ascii="Times New Roman" w:hAnsi="Times New Roman" w:cs="Times New Roman"/>
          <w:color w:val="auto"/>
          <w:sz w:val="24"/>
          <w:szCs w:val="24"/>
          <w:lang w:val="zh-TW"/>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rPr>
          <w:rFonts w:ascii="Times New Roman" w:hAnsi="Times New Roman" w:cs="Times New Roman"/>
          <w:color w:val="auto"/>
        </w:rPr>
      </w:pPr>
    </w:p>
    <w:p>
      <w:pPr>
        <w:ind w:firstLine="440" w:firstLineChars="200"/>
        <w:jc w:val="center"/>
        <w:outlineLvl w:val="0"/>
        <w:rPr>
          <w:rFonts w:ascii="Times New Roman" w:hAnsi="Times New Roman" w:cs="Times New Roman"/>
          <w:b/>
          <w:color w:val="auto"/>
          <w:sz w:val="36"/>
          <w:szCs w:val="36"/>
        </w:rPr>
      </w:pPr>
      <w:r>
        <w:rPr>
          <w:rFonts w:hint="eastAsia"/>
          <w:color w:val="auto"/>
        </w:rPr>
        <w:br w:type="page"/>
      </w:r>
      <w:bookmarkStart w:id="152" w:name="_Toc13753"/>
      <w:bookmarkStart w:id="153" w:name="_Toc56605087"/>
      <w:r>
        <w:rPr>
          <w:rFonts w:hint="eastAsia" w:ascii="Times New Roman" w:hAnsi="Times New Roman" w:cs="Times New Roman"/>
          <w:b/>
          <w:color w:val="auto"/>
          <w:sz w:val="36"/>
          <w:szCs w:val="36"/>
        </w:rPr>
        <w:t>第七章磋商响应文件格式</w:t>
      </w:r>
      <w:bookmarkEnd w:id="152"/>
      <w:bookmarkEnd w:id="153"/>
    </w:p>
    <w:p>
      <w:pPr>
        <w:snapToGrid w:val="0"/>
        <w:spacing w:after="0" w:line="460" w:lineRule="exact"/>
        <w:ind w:firstLine="480" w:firstLineChars="200"/>
        <w:rPr>
          <w:rFonts w:ascii="Times New Roman" w:hAnsi="Times New Roman" w:cs="Times New Roman"/>
          <w:color w:val="auto"/>
          <w:sz w:val="24"/>
          <w:szCs w:val="24"/>
        </w:rPr>
      </w:pPr>
      <w:bookmarkStart w:id="154" w:name="_Ref467988698"/>
      <w:r>
        <w:rPr>
          <w:rFonts w:hint="eastAsia" w:ascii="Times New Roman" w:hAnsi="Times New Roman" w:cs="Times New Roman"/>
          <w:color w:val="auto"/>
          <w:sz w:val="24"/>
          <w:szCs w:val="24"/>
        </w:rPr>
        <w:t>注：请供应商按照以下文件的要求格式、内容，顺序制作响应文件，并请编制目录及页码，否则可能将影响对响应文件的评价。</w:t>
      </w:r>
    </w:p>
    <w:p>
      <w:pPr>
        <w:pStyle w:val="4"/>
        <w:rPr>
          <w:color w:val="auto"/>
        </w:rPr>
      </w:pPr>
      <w:r>
        <w:rPr>
          <w:color w:val="auto"/>
        </w:rPr>
        <w:br w:type="page"/>
      </w:r>
    </w:p>
    <w:p>
      <w:pPr>
        <w:jc w:val="center"/>
        <w:rPr>
          <w:b/>
          <w:color w:val="auto"/>
          <w:sz w:val="72"/>
          <w:szCs w:val="72"/>
        </w:rPr>
      </w:pPr>
      <w:r>
        <w:rPr>
          <w:rFonts w:hint="eastAsia"/>
          <w:color w:val="auto"/>
          <w:sz w:val="52"/>
          <w:lang w:eastAsia="zh-CN"/>
        </w:rPr>
        <w:t>琼中县菜篮子冷链车、皮卡车、面包车采购项目</w:t>
      </w:r>
      <w:r>
        <w:rPr>
          <w:rFonts w:hint="eastAsia"/>
          <w:b/>
          <w:color w:val="auto"/>
          <w:sz w:val="72"/>
          <w:szCs w:val="72"/>
        </w:rPr>
        <w:t>响</w:t>
      </w:r>
    </w:p>
    <w:p>
      <w:pPr>
        <w:jc w:val="center"/>
        <w:rPr>
          <w:b/>
          <w:color w:val="auto"/>
          <w:sz w:val="72"/>
          <w:szCs w:val="72"/>
        </w:rPr>
      </w:pPr>
      <w:r>
        <w:rPr>
          <w:rFonts w:hint="eastAsia"/>
          <w:b/>
          <w:color w:val="auto"/>
          <w:sz w:val="72"/>
          <w:szCs w:val="72"/>
        </w:rPr>
        <w:t>应</w:t>
      </w:r>
    </w:p>
    <w:p>
      <w:pPr>
        <w:jc w:val="center"/>
        <w:rPr>
          <w:b/>
          <w:color w:val="auto"/>
          <w:sz w:val="72"/>
          <w:szCs w:val="72"/>
        </w:rPr>
      </w:pPr>
      <w:r>
        <w:rPr>
          <w:rFonts w:hint="eastAsia"/>
          <w:b/>
          <w:color w:val="auto"/>
          <w:sz w:val="72"/>
          <w:szCs w:val="72"/>
        </w:rPr>
        <w:t>文</w:t>
      </w:r>
    </w:p>
    <w:p>
      <w:pPr>
        <w:jc w:val="center"/>
        <w:rPr>
          <w:color w:val="auto"/>
          <w:sz w:val="72"/>
          <w:szCs w:val="72"/>
        </w:rPr>
      </w:pPr>
      <w:r>
        <w:rPr>
          <w:rFonts w:hint="eastAsia"/>
          <w:b/>
          <w:color w:val="auto"/>
          <w:sz w:val="72"/>
          <w:szCs w:val="72"/>
        </w:rPr>
        <w:t>件</w:t>
      </w:r>
    </w:p>
    <w:p>
      <w:pPr>
        <w:rPr>
          <w:rFonts w:ascii="Cambria" w:hAnsi="Cambria" w:cs="宋体"/>
          <w:b/>
          <w:color w:val="auto"/>
          <w:sz w:val="32"/>
          <w:szCs w:val="32"/>
        </w:rPr>
      </w:pPr>
    </w:p>
    <w:p>
      <w:pPr>
        <w:rPr>
          <w:rFonts w:ascii="Cambria" w:hAnsi="Cambria" w:cs="宋体"/>
          <w:b/>
          <w:color w:val="auto"/>
          <w:sz w:val="32"/>
          <w:szCs w:val="32"/>
        </w:rPr>
      </w:pPr>
    </w:p>
    <w:p>
      <w:pPr>
        <w:rPr>
          <w:rFonts w:hint="eastAsia" w:ascii="Cambria" w:hAnsi="Cambria" w:eastAsia="宋体" w:cs="宋体"/>
          <w:b/>
          <w:color w:val="auto"/>
          <w:sz w:val="32"/>
          <w:szCs w:val="32"/>
          <w:lang w:eastAsia="zh-CN"/>
        </w:rPr>
      </w:pPr>
      <w:r>
        <w:rPr>
          <w:rFonts w:hint="eastAsia" w:ascii="Cambria" w:hAnsi="Cambria" w:cs="宋体"/>
          <w:b/>
          <w:color w:val="auto"/>
          <w:sz w:val="32"/>
          <w:szCs w:val="32"/>
        </w:rPr>
        <w:t>项目编号：</w:t>
      </w:r>
      <w:r>
        <w:rPr>
          <w:rFonts w:hint="eastAsia" w:ascii="Cambria" w:hAnsi="Cambria" w:cs="宋体"/>
          <w:b/>
          <w:color w:val="auto"/>
          <w:sz w:val="32"/>
          <w:szCs w:val="32"/>
          <w:lang w:eastAsia="zh-CN"/>
        </w:rPr>
        <w:t>sdzb2022-056</w:t>
      </w:r>
    </w:p>
    <w:p>
      <w:pPr>
        <w:rPr>
          <w:rFonts w:hint="eastAsia" w:ascii="Cambria" w:hAnsi="Cambria" w:eastAsia="宋体" w:cs="宋体"/>
          <w:b/>
          <w:color w:val="auto"/>
          <w:sz w:val="32"/>
          <w:szCs w:val="32"/>
          <w:lang w:eastAsia="zh-CN"/>
        </w:rPr>
      </w:pPr>
      <w:r>
        <w:rPr>
          <w:rFonts w:hint="eastAsia" w:ascii="Cambria" w:hAnsi="Cambria" w:cs="宋体"/>
          <w:b/>
          <w:color w:val="auto"/>
          <w:sz w:val="32"/>
          <w:szCs w:val="32"/>
        </w:rPr>
        <w:t>采购单位名称：</w:t>
      </w:r>
      <w:r>
        <w:rPr>
          <w:rFonts w:hint="eastAsia" w:ascii="Cambria" w:hAnsi="Cambria" w:cs="宋体"/>
          <w:b/>
          <w:color w:val="auto"/>
          <w:sz w:val="32"/>
          <w:szCs w:val="32"/>
          <w:lang w:eastAsia="zh-CN"/>
        </w:rPr>
        <w:t>琼中黎族苗族自治县农业农村局</w:t>
      </w:r>
    </w:p>
    <w:p>
      <w:pPr>
        <w:rPr>
          <w:rFonts w:ascii="Cambria" w:hAnsi="Cambria" w:cs="宋体"/>
          <w:b/>
          <w:color w:val="auto"/>
          <w:sz w:val="32"/>
          <w:szCs w:val="32"/>
        </w:rPr>
      </w:pPr>
      <w:r>
        <w:rPr>
          <w:rFonts w:hint="eastAsia" w:ascii="Cambria" w:hAnsi="Cambria" w:cs="宋体"/>
          <w:b/>
          <w:color w:val="auto"/>
          <w:sz w:val="32"/>
          <w:szCs w:val="32"/>
        </w:rPr>
        <w:t>代理机构名称：海南双达项目管理有限公司</w:t>
      </w:r>
    </w:p>
    <w:p>
      <w:pPr>
        <w:pStyle w:val="4"/>
        <w:rPr>
          <w:color w:val="auto"/>
        </w:rPr>
      </w:pPr>
      <w:r>
        <w:rPr>
          <w:rFonts w:hint="eastAsia"/>
          <w:color w:val="auto"/>
        </w:rPr>
        <w:t>供应商名称：</w:t>
      </w:r>
      <w:r>
        <w:rPr>
          <w:color w:val="auto"/>
        </w:rPr>
        <w:t>（公章）</w:t>
      </w:r>
    </w:p>
    <w:p>
      <w:pPr>
        <w:pStyle w:val="4"/>
        <w:rPr>
          <w:color w:val="auto"/>
        </w:rPr>
      </w:pPr>
      <w:r>
        <w:rPr>
          <w:rFonts w:hint="eastAsia"/>
          <w:color w:val="auto"/>
        </w:rPr>
        <w:t>供应商授权代表签字：（签字或盖章）</w:t>
      </w:r>
    </w:p>
    <w:p>
      <w:pPr>
        <w:rPr>
          <w:rFonts w:ascii="Cambria" w:hAnsi="Cambria" w:cs="宋体"/>
          <w:b/>
          <w:color w:val="auto"/>
          <w:sz w:val="32"/>
          <w:szCs w:val="32"/>
        </w:rPr>
      </w:pPr>
      <w:r>
        <w:rPr>
          <w:rFonts w:hint="eastAsia" w:ascii="Cambria" w:hAnsi="Cambria" w:cs="宋体"/>
          <w:b/>
          <w:color w:val="auto"/>
          <w:sz w:val="32"/>
          <w:szCs w:val="32"/>
        </w:rPr>
        <w:t>日</w:t>
      </w:r>
      <w:r>
        <w:rPr>
          <w:rFonts w:ascii="Cambria" w:hAnsi="Cambria" w:cs="宋体"/>
          <w:b/>
          <w:color w:val="auto"/>
          <w:sz w:val="32"/>
          <w:szCs w:val="32"/>
        </w:rPr>
        <w:t>期：</w:t>
      </w:r>
      <w:r>
        <w:rPr>
          <w:rFonts w:hint="eastAsia" w:ascii="Cambria" w:hAnsi="Cambria" w:cs="宋体"/>
          <w:b/>
          <w:color w:val="auto"/>
          <w:sz w:val="32"/>
          <w:szCs w:val="32"/>
        </w:rPr>
        <w:t>年月日</w:t>
      </w:r>
    </w:p>
    <w:p>
      <w:pPr>
        <w:shd w:val="solid" w:color="FFFFFF" w:fill="auto"/>
        <w:autoSpaceDN w:val="0"/>
        <w:ind w:right="482" w:firstLine="420"/>
        <w:jc w:val="center"/>
        <w:rPr>
          <w:rFonts w:hAnsi="宋体"/>
          <w:b/>
          <w:color w:val="auto"/>
          <w:sz w:val="32"/>
          <w:szCs w:val="32"/>
          <w:shd w:val="clear" w:color="000000" w:fill="FFFFFF"/>
        </w:rPr>
      </w:pPr>
      <w:r>
        <w:rPr>
          <w:rFonts w:hint="eastAsia"/>
          <w:color w:val="auto"/>
        </w:rPr>
        <w:br w:type="page"/>
      </w:r>
      <w:r>
        <w:rPr>
          <w:rFonts w:hint="eastAsia" w:hAnsi="宋体"/>
          <w:b/>
          <w:color w:val="auto"/>
          <w:sz w:val="32"/>
          <w:szCs w:val="32"/>
          <w:shd w:val="clear" w:color="000000" w:fill="FFFFFF"/>
        </w:rPr>
        <w:t>初步评审表各评审项页码索引表</w:t>
      </w:r>
    </w:p>
    <w:tbl>
      <w:tblPr>
        <w:tblStyle w:val="51"/>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序号</w:t>
            </w:r>
          </w:p>
        </w:tc>
        <w:tc>
          <w:tcPr>
            <w:tcW w:w="2987"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评审项</w:t>
            </w:r>
          </w:p>
        </w:tc>
        <w:tc>
          <w:tcPr>
            <w:tcW w:w="2551"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响应情况</w:t>
            </w:r>
          </w:p>
        </w:tc>
        <w:tc>
          <w:tcPr>
            <w:tcW w:w="2297"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材料所在页码</w:t>
            </w:r>
          </w:p>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1</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2</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3</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bl>
    <w:p>
      <w:pPr>
        <w:shd w:val="solid" w:color="FFFFFF" w:fill="auto"/>
        <w:autoSpaceDN w:val="0"/>
        <w:ind w:right="482" w:firstLine="420"/>
        <w:jc w:val="center"/>
        <w:rPr>
          <w:rFonts w:hAnsi="宋体"/>
          <w:color w:val="auto"/>
          <w:shd w:val="clear" w:color="000000" w:fill="FFFFFF"/>
        </w:rPr>
      </w:pPr>
    </w:p>
    <w:p>
      <w:pPr>
        <w:shd w:val="solid" w:color="FFFFFF" w:fill="auto"/>
        <w:autoSpaceDN w:val="0"/>
        <w:ind w:right="482"/>
        <w:rPr>
          <w:rFonts w:hAnsi="宋体"/>
          <w:color w:val="auto"/>
          <w:shd w:val="clear" w:color="000000" w:fill="FFFFFF"/>
        </w:rPr>
      </w:pPr>
    </w:p>
    <w:p>
      <w:pPr>
        <w:shd w:val="solid" w:color="FFFFFF" w:fill="auto"/>
        <w:autoSpaceDN w:val="0"/>
        <w:ind w:right="482" w:firstLine="420"/>
        <w:jc w:val="center"/>
        <w:rPr>
          <w:rFonts w:hAnsi="宋体"/>
          <w:b/>
          <w:color w:val="auto"/>
          <w:sz w:val="30"/>
          <w:szCs w:val="30"/>
          <w:shd w:val="clear" w:color="000000" w:fill="FFFFFF"/>
        </w:rPr>
      </w:pPr>
      <w:r>
        <w:rPr>
          <w:rFonts w:hint="eastAsia" w:hAnsi="宋体"/>
          <w:b/>
          <w:color w:val="auto"/>
          <w:sz w:val="30"/>
          <w:szCs w:val="30"/>
          <w:shd w:val="clear" w:color="000000" w:fill="FFFFFF"/>
        </w:rPr>
        <w:t>详细综合评分表各评审项页码索引表</w:t>
      </w:r>
    </w:p>
    <w:tbl>
      <w:tblPr>
        <w:tblStyle w:val="51"/>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序号</w:t>
            </w:r>
          </w:p>
        </w:tc>
        <w:tc>
          <w:tcPr>
            <w:tcW w:w="2987"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评审项</w:t>
            </w:r>
          </w:p>
        </w:tc>
        <w:tc>
          <w:tcPr>
            <w:tcW w:w="2551"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响应情况</w:t>
            </w:r>
          </w:p>
        </w:tc>
        <w:tc>
          <w:tcPr>
            <w:tcW w:w="2297"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材料所在页码</w:t>
            </w:r>
          </w:p>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1</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2</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3</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hAnsi="宋体"/>
                <w:color w:val="auto"/>
                <w:sz w:val="24"/>
                <w:szCs w:val="24"/>
                <w:shd w:val="clear" w:color="000000" w:fill="FFFFFF"/>
              </w:rPr>
            </w:pPr>
            <w:r>
              <w:rPr>
                <w:rFonts w:hint="eastAsia" w:hAnsi="宋体"/>
                <w:color w:val="auto"/>
                <w:sz w:val="24"/>
                <w:szCs w:val="24"/>
                <w:shd w:val="clear" w:color="000000" w:fill="FFFFFF"/>
              </w:rPr>
              <w:t>……</w:t>
            </w:r>
          </w:p>
        </w:tc>
        <w:tc>
          <w:tcPr>
            <w:tcW w:w="2987" w:type="dxa"/>
            <w:vAlign w:val="center"/>
          </w:tcPr>
          <w:p>
            <w:pPr>
              <w:autoSpaceDN w:val="0"/>
              <w:ind w:right="482"/>
              <w:jc w:val="center"/>
              <w:rPr>
                <w:rFonts w:hAnsi="宋体"/>
                <w:color w:val="auto"/>
                <w:sz w:val="24"/>
                <w:szCs w:val="24"/>
                <w:shd w:val="clear" w:color="000000" w:fill="FFFFFF"/>
              </w:rPr>
            </w:pPr>
          </w:p>
        </w:tc>
        <w:tc>
          <w:tcPr>
            <w:tcW w:w="2551" w:type="dxa"/>
            <w:vAlign w:val="center"/>
          </w:tcPr>
          <w:p>
            <w:pPr>
              <w:autoSpaceDN w:val="0"/>
              <w:ind w:right="482"/>
              <w:jc w:val="center"/>
              <w:rPr>
                <w:rFonts w:hAnsi="宋体"/>
                <w:color w:val="auto"/>
                <w:sz w:val="24"/>
                <w:szCs w:val="24"/>
                <w:shd w:val="clear" w:color="000000" w:fill="FFFFFF"/>
              </w:rPr>
            </w:pPr>
          </w:p>
        </w:tc>
        <w:tc>
          <w:tcPr>
            <w:tcW w:w="2297" w:type="dxa"/>
            <w:vAlign w:val="center"/>
          </w:tcPr>
          <w:p>
            <w:pPr>
              <w:autoSpaceDN w:val="0"/>
              <w:ind w:right="482"/>
              <w:jc w:val="center"/>
              <w:rPr>
                <w:rFonts w:hAnsi="宋体"/>
                <w:color w:val="auto"/>
                <w:sz w:val="24"/>
                <w:szCs w:val="24"/>
                <w:shd w:val="clear" w:color="000000" w:fill="FFFFFF"/>
              </w:rPr>
            </w:pPr>
          </w:p>
        </w:tc>
      </w:tr>
    </w:tbl>
    <w:p>
      <w:pPr>
        <w:snapToGrid w:val="0"/>
        <w:spacing w:after="0" w:line="460" w:lineRule="exact"/>
        <w:ind w:firstLine="200"/>
        <w:jc w:val="center"/>
        <w:rPr>
          <w:rFonts w:ascii="Times New Roman" w:hAnsi="Times New Roman" w:cs="Times New Roman"/>
          <w:b/>
          <w:color w:val="auto"/>
          <w:sz w:val="28"/>
          <w:szCs w:val="28"/>
        </w:rPr>
      </w:pPr>
      <w:r>
        <w:rPr>
          <w:rFonts w:hint="eastAsia"/>
          <w:color w:val="auto"/>
        </w:rPr>
        <w:br w:type="page"/>
      </w:r>
      <w:r>
        <w:rPr>
          <w:rFonts w:hint="eastAsia" w:ascii="Times New Roman" w:hAnsi="Times New Roman" w:cs="Times New Roman"/>
          <w:b/>
          <w:color w:val="auto"/>
          <w:sz w:val="28"/>
          <w:szCs w:val="28"/>
        </w:rPr>
        <w:t>一、商务部分</w:t>
      </w:r>
    </w:p>
    <w:p>
      <w:pPr>
        <w:snapToGrid w:val="0"/>
        <w:spacing w:after="0" w:line="460" w:lineRule="exact"/>
        <w:rPr>
          <w:rFonts w:ascii="Times New Roman" w:hAnsi="Times New Roman" w:cs="Times New Roman"/>
          <w:b/>
          <w:color w:val="auto"/>
          <w:sz w:val="24"/>
          <w:szCs w:val="24"/>
        </w:rPr>
      </w:pPr>
      <w:r>
        <w:rPr>
          <w:rFonts w:ascii="Times New Roman" w:hAnsi="Times New Roman" w:cs="Times New Roman"/>
          <w:b/>
          <w:color w:val="auto"/>
          <w:sz w:val="24"/>
          <w:szCs w:val="24"/>
        </w:rPr>
        <w:t>1</w:t>
      </w:r>
      <w:bookmarkEnd w:id="154"/>
      <w:r>
        <w:rPr>
          <w:rFonts w:hint="eastAsia" w:ascii="Times New Roman" w:hAnsi="Times New Roman" w:cs="Times New Roman"/>
          <w:b/>
          <w:color w:val="auto"/>
          <w:sz w:val="24"/>
          <w:szCs w:val="24"/>
        </w:rPr>
        <w:t>.报价函</w:t>
      </w:r>
    </w:p>
    <w:p>
      <w:pPr>
        <w:snapToGrid w:val="0"/>
        <w:spacing w:after="0" w:line="460" w:lineRule="exact"/>
        <w:ind w:firstLine="200"/>
        <w:jc w:val="center"/>
        <w:rPr>
          <w:rFonts w:ascii="Times New Roman" w:hAnsi="Times New Roman" w:cs="Times New Roman"/>
          <w:b/>
          <w:color w:val="auto"/>
          <w:sz w:val="24"/>
          <w:szCs w:val="24"/>
        </w:rPr>
      </w:pPr>
      <w:r>
        <w:rPr>
          <w:rFonts w:hint="eastAsia" w:ascii="Times New Roman" w:hAnsi="Times New Roman" w:cs="Times New Roman"/>
          <w:b/>
          <w:color w:val="auto"/>
          <w:sz w:val="24"/>
          <w:szCs w:val="24"/>
        </w:rPr>
        <w:t>报价函</w:t>
      </w:r>
    </w:p>
    <w:p>
      <w:pPr>
        <w:snapToGrid w:val="0"/>
        <w:spacing w:after="0" w:line="46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致：海南双达项目管理有限公司</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贵公司</w:t>
      </w:r>
      <w:r>
        <w:rPr>
          <w:rFonts w:hint="eastAsia" w:ascii="Times New Roman" w:hAnsi="Times New Roman" w:cs="Times New Roman"/>
          <w:color w:val="auto"/>
          <w:sz w:val="24"/>
          <w:szCs w:val="24"/>
          <w:u w:val="single"/>
          <w:lang w:eastAsia="zh-CN"/>
        </w:rPr>
        <w:t>琼中县菜篮子冷链车、皮卡车、面包车采购项目</w:t>
      </w:r>
      <w:r>
        <w:rPr>
          <w:rFonts w:hint="eastAsia" w:ascii="Times New Roman" w:hAnsi="Times New Roman" w:cs="Times New Roman"/>
          <w:color w:val="auto"/>
          <w:sz w:val="24"/>
          <w:szCs w:val="24"/>
        </w:rPr>
        <w:t>磋商文件（包括更正公告，如果有的话）收悉，我们经详细审阅和研究，现决定参加本项目。</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①我们郑重承诺：我们是符合《政府采购法》第</w:t>
      </w:r>
      <w:r>
        <w:rPr>
          <w:rFonts w:ascii="Times New Roman" w:hAnsi="Times New Roman" w:cs="Times New Roman"/>
          <w:color w:val="auto"/>
          <w:sz w:val="24"/>
          <w:szCs w:val="24"/>
        </w:rPr>
        <w:t>22</w:t>
      </w:r>
      <w:r>
        <w:rPr>
          <w:rFonts w:hint="eastAsia" w:ascii="Times New Roman" w:hAnsi="Times New Roman" w:cs="Times New Roman"/>
          <w:color w:val="auto"/>
          <w:sz w:val="24"/>
          <w:szCs w:val="24"/>
        </w:rPr>
        <w:t>条规定的供应商，并严格遵守《政府采购法》第</w:t>
      </w:r>
      <w:r>
        <w:rPr>
          <w:rFonts w:ascii="Times New Roman" w:hAnsi="Times New Roman" w:cs="Times New Roman"/>
          <w:color w:val="auto"/>
          <w:sz w:val="24"/>
          <w:szCs w:val="24"/>
        </w:rPr>
        <w:t>77</w:t>
      </w:r>
      <w:r>
        <w:rPr>
          <w:rFonts w:hint="eastAsia" w:ascii="Times New Roman" w:hAnsi="Times New Roman" w:cs="Times New Roman"/>
          <w:color w:val="auto"/>
          <w:sz w:val="24"/>
          <w:szCs w:val="24"/>
        </w:rPr>
        <w:t>条的规定。</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②我们接受磋商文件的所有的条款和规定。</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③我们同意按照磋商文件第二章“供应商须知前附表”第</w:t>
      </w:r>
      <w:r>
        <w:rPr>
          <w:rFonts w:ascii="Times New Roman" w:hAnsi="Times New Roman" w:cs="Times New Roman"/>
          <w:color w:val="auto"/>
          <w:sz w:val="24"/>
          <w:szCs w:val="24"/>
        </w:rPr>
        <w:t>10</w:t>
      </w:r>
      <w:r>
        <w:rPr>
          <w:rFonts w:hint="eastAsia" w:ascii="Times New Roman" w:hAnsi="Times New Roman" w:cs="Times New Roman"/>
          <w:color w:val="auto"/>
          <w:sz w:val="24"/>
          <w:szCs w:val="24"/>
        </w:rPr>
        <w:t>款的规定，本磋商文件的有效期为自响应文件提交截止之日起日历天，在此期间，本磋商文件将始终对我们具有约束力，并可随时被接受。如果我们成交，本磋商文件在此期间之后将继续保持有效。</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④我们同意提供采购人要求的有关本次采购的所有资料。</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⑤我们理解，你们无义务必须接受投标价最低的投标，并有权拒绝所有的投标，同时也理解你们不承担我们本次投标的费用。</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⑥如果我们成交，为执行合同，我们将按采购有关要求提供必要的履约保证金。</w:t>
      </w:r>
    </w:p>
    <w:p>
      <w:pPr>
        <w:spacing w:after="0" w:line="46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⑦如果我们成交，我们将按磋商</w:t>
      </w:r>
      <w:r>
        <w:rPr>
          <w:rFonts w:ascii="Times New Roman" w:hAnsi="Times New Roman" w:cs="Times New Roman"/>
          <w:color w:val="auto"/>
          <w:sz w:val="24"/>
          <w:szCs w:val="24"/>
        </w:rPr>
        <w:t>文件规定的</w:t>
      </w:r>
      <w:r>
        <w:rPr>
          <w:rFonts w:hint="eastAsia" w:ascii="Times New Roman" w:hAnsi="Times New Roman" w:cs="Times New Roman"/>
          <w:color w:val="auto"/>
          <w:sz w:val="24"/>
          <w:szCs w:val="24"/>
        </w:rPr>
        <w:t>时间内足额</w:t>
      </w:r>
      <w:r>
        <w:rPr>
          <w:rFonts w:ascii="Times New Roman" w:hAnsi="Times New Roman" w:cs="Times New Roman"/>
          <w:color w:val="auto"/>
          <w:sz w:val="24"/>
          <w:szCs w:val="24"/>
        </w:rPr>
        <w:t>一次性支付</w:t>
      </w:r>
      <w:r>
        <w:rPr>
          <w:rFonts w:hint="eastAsia" w:ascii="Times New Roman" w:hAnsi="Times New Roman" w:cs="Times New Roman"/>
          <w:color w:val="auto"/>
          <w:sz w:val="24"/>
          <w:szCs w:val="24"/>
        </w:rPr>
        <w:t>本项目</w:t>
      </w:r>
      <w:r>
        <w:rPr>
          <w:rFonts w:ascii="Times New Roman" w:hAnsi="Times New Roman" w:cs="Times New Roman"/>
          <w:color w:val="auto"/>
          <w:sz w:val="24"/>
          <w:szCs w:val="24"/>
        </w:rPr>
        <w:t>的代理服务费</w:t>
      </w:r>
      <w:r>
        <w:rPr>
          <w:rFonts w:hint="eastAsia" w:ascii="Times New Roman" w:hAnsi="Times New Roman" w:cs="Times New Roman"/>
          <w:color w:val="auto"/>
          <w:sz w:val="24"/>
          <w:szCs w:val="24"/>
        </w:rPr>
        <w:t>。</w:t>
      </w:r>
    </w:p>
    <w:p>
      <w:pPr>
        <w:snapToGrid w:val="0"/>
        <w:spacing w:after="0" w:line="460" w:lineRule="exact"/>
        <w:ind w:firstLine="200"/>
        <w:rPr>
          <w:rFonts w:ascii="Times New Roman" w:hAnsi="Times New Roman" w:cs="Times New Roman"/>
          <w:color w:val="auto"/>
          <w:sz w:val="24"/>
          <w:szCs w:val="24"/>
        </w:rPr>
      </w:pPr>
    </w:p>
    <w:p>
      <w:pPr>
        <w:snapToGrid w:val="0"/>
        <w:spacing w:after="0" w:line="460" w:lineRule="exact"/>
        <w:ind w:firstLine="200"/>
        <w:rPr>
          <w:rFonts w:ascii="Times New Roman" w:hAnsi="Times New Roman" w:cs="Times New Roman"/>
          <w:color w:val="auto"/>
          <w:sz w:val="24"/>
          <w:szCs w:val="24"/>
        </w:rPr>
      </w:pPr>
    </w:p>
    <w:p>
      <w:pPr>
        <w:snapToGrid w:val="0"/>
        <w:spacing w:after="0" w:line="520" w:lineRule="exact"/>
        <w:ind w:firstLine="850"/>
        <w:rPr>
          <w:rFonts w:ascii="Times New Roman" w:hAnsi="Times New Roman" w:cs="Times New Roman"/>
          <w:color w:val="auto"/>
          <w:sz w:val="24"/>
          <w:szCs w:val="24"/>
        </w:rPr>
      </w:pPr>
      <w:r>
        <w:rPr>
          <w:rFonts w:hint="eastAsia" w:ascii="Times New Roman" w:hAnsi="Times New Roman" w:cs="Times New Roman"/>
          <w:color w:val="auto"/>
          <w:sz w:val="24"/>
          <w:szCs w:val="24"/>
        </w:rPr>
        <w:t>供应商名称：（公章）</w:t>
      </w:r>
    </w:p>
    <w:p>
      <w:pPr>
        <w:snapToGrid w:val="0"/>
        <w:spacing w:after="0" w:line="520" w:lineRule="exact"/>
        <w:ind w:firstLine="850"/>
        <w:rPr>
          <w:rFonts w:ascii="Times New Roman" w:hAnsi="Times New Roman" w:cs="Times New Roman"/>
          <w:color w:val="auto"/>
          <w:sz w:val="24"/>
          <w:szCs w:val="24"/>
        </w:rPr>
      </w:pPr>
      <w:r>
        <w:rPr>
          <w:rFonts w:hint="eastAsia" w:ascii="Times New Roman" w:hAnsi="Times New Roman" w:cs="Times New Roman"/>
          <w:color w:val="auto"/>
          <w:sz w:val="24"/>
          <w:szCs w:val="24"/>
        </w:rPr>
        <w:t>供应商授权代表签字：（签字或盖章）</w:t>
      </w:r>
    </w:p>
    <w:p>
      <w:pPr>
        <w:snapToGrid w:val="0"/>
        <w:spacing w:after="0" w:line="520" w:lineRule="exact"/>
        <w:ind w:firstLine="850"/>
        <w:rPr>
          <w:rFonts w:ascii="Times New Roman" w:hAnsi="Times New Roman" w:cs="Times New Roman"/>
          <w:color w:val="auto"/>
          <w:sz w:val="24"/>
          <w:szCs w:val="24"/>
        </w:rPr>
      </w:pPr>
      <w:r>
        <w:rPr>
          <w:rFonts w:hint="eastAsia" w:ascii="Times New Roman" w:hAnsi="Times New Roman" w:cs="Times New Roman"/>
          <w:color w:val="auto"/>
          <w:sz w:val="24"/>
          <w:szCs w:val="24"/>
        </w:rPr>
        <w:t>日期：</w:t>
      </w:r>
      <w:r>
        <w:rPr>
          <w:rFonts w:hint="eastAsia"/>
          <w:color w:val="auto"/>
          <w:sz w:val="24"/>
          <w:lang w:val="zh-CN"/>
        </w:rPr>
        <w:t>年月日</w:t>
      </w:r>
    </w:p>
    <w:p>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spacing w:line="520" w:lineRule="exact"/>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2</w:t>
      </w:r>
      <w:r>
        <w:rPr>
          <w:rFonts w:hint="eastAsia" w:ascii="Times New Roman" w:hAnsi="Times New Roman" w:cs="Times New Roman"/>
          <w:b/>
          <w:color w:val="auto"/>
          <w:sz w:val="24"/>
          <w:szCs w:val="24"/>
          <w:highlight w:val="none"/>
        </w:rPr>
        <w:t>.报价一览表</w:t>
      </w:r>
    </w:p>
    <w:p>
      <w:pPr>
        <w:jc w:val="center"/>
        <w:rPr>
          <w:rFonts w:ascii="Times New Roman" w:hAnsi="Times New Roman" w:cs="Times New Roman"/>
          <w:b/>
          <w:color w:val="auto"/>
          <w:sz w:val="24"/>
          <w:szCs w:val="24"/>
        </w:rPr>
      </w:pPr>
      <w:r>
        <w:rPr>
          <w:rFonts w:hint="eastAsia" w:ascii="Times New Roman" w:hAnsi="Times New Roman" w:cs="Times New Roman"/>
          <w:b/>
          <w:color w:val="auto"/>
          <w:sz w:val="24"/>
          <w:szCs w:val="24"/>
        </w:rPr>
        <w:t>报价一览表</w:t>
      </w:r>
    </w:p>
    <w:tbl>
      <w:tblPr>
        <w:tblStyle w:val="51"/>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2"/>
        <w:gridCol w:w="6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jc w:val="center"/>
        </w:trPr>
        <w:tc>
          <w:tcPr>
            <w:tcW w:w="2122" w:type="dxa"/>
            <w:vAlign w:val="center"/>
          </w:tcPr>
          <w:p>
            <w:pPr>
              <w:spacing w:after="0"/>
              <w:ind w:left="147" w:leftChars="67" w:right="108" w:rightChars="49"/>
              <w:jc w:val="center"/>
              <w:rPr>
                <w:rFonts w:ascii="仿宋_GB2312" w:hAnsi="宋体" w:eastAsia="仿宋_GB2312"/>
                <w:b/>
                <w:color w:val="auto"/>
                <w:sz w:val="24"/>
              </w:rPr>
            </w:pPr>
            <w:r>
              <w:rPr>
                <w:rFonts w:hint="eastAsia" w:ascii="仿宋_GB2312" w:hAnsi="宋体" w:eastAsia="仿宋_GB2312"/>
                <w:b/>
                <w:color w:val="auto"/>
                <w:sz w:val="24"/>
              </w:rPr>
              <w:t>项目编号</w:t>
            </w:r>
          </w:p>
        </w:tc>
        <w:tc>
          <w:tcPr>
            <w:tcW w:w="6153" w:type="dxa"/>
            <w:vAlign w:val="center"/>
          </w:tcPr>
          <w:p>
            <w:pPr>
              <w:spacing w:after="0"/>
              <w:ind w:left="198" w:leftChars="90" w:firstLine="1"/>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jc w:val="center"/>
        </w:trPr>
        <w:tc>
          <w:tcPr>
            <w:tcW w:w="2122" w:type="dxa"/>
            <w:vAlign w:val="center"/>
          </w:tcPr>
          <w:p>
            <w:pPr>
              <w:spacing w:after="0"/>
              <w:ind w:left="147" w:leftChars="67" w:right="108" w:rightChars="49"/>
              <w:jc w:val="center"/>
              <w:rPr>
                <w:rFonts w:ascii="仿宋_GB2312" w:hAnsi="宋体" w:eastAsia="仿宋_GB2312"/>
                <w:b/>
                <w:color w:val="auto"/>
                <w:sz w:val="24"/>
              </w:rPr>
            </w:pPr>
            <w:r>
              <w:rPr>
                <w:rFonts w:hint="eastAsia" w:ascii="仿宋_GB2312" w:hAnsi="宋体" w:eastAsia="仿宋_GB2312"/>
                <w:b/>
                <w:color w:val="auto"/>
                <w:sz w:val="24"/>
              </w:rPr>
              <w:t>项目名称</w:t>
            </w:r>
          </w:p>
        </w:tc>
        <w:tc>
          <w:tcPr>
            <w:tcW w:w="6153" w:type="dxa"/>
            <w:vAlign w:val="center"/>
          </w:tcPr>
          <w:p>
            <w:pPr>
              <w:spacing w:after="0"/>
              <w:ind w:left="198" w:leftChars="90" w:firstLine="1"/>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2122" w:type="dxa"/>
            <w:vAlign w:val="center"/>
          </w:tcPr>
          <w:p>
            <w:pPr>
              <w:spacing w:after="0"/>
              <w:ind w:left="-13" w:leftChars="-6"/>
              <w:jc w:val="center"/>
              <w:rPr>
                <w:rFonts w:hint="eastAsia" w:ascii="仿宋_GB2312" w:hAnsi="宋体" w:eastAsia="仿宋_GB2312"/>
                <w:b/>
                <w:color w:val="auto"/>
                <w:sz w:val="24"/>
                <w:lang w:eastAsia="zh-CN"/>
              </w:rPr>
            </w:pPr>
            <w:r>
              <w:rPr>
                <w:rFonts w:hint="eastAsia" w:ascii="仿宋_GB2312" w:hAnsi="宋体" w:eastAsia="仿宋_GB2312"/>
                <w:b/>
                <w:color w:val="auto"/>
                <w:sz w:val="24"/>
              </w:rPr>
              <w:t>报价金额</w:t>
            </w:r>
            <w:r>
              <w:rPr>
                <w:rFonts w:hint="eastAsia" w:ascii="仿宋_GB2312" w:hAnsi="宋体" w:eastAsia="仿宋_GB2312"/>
                <w:b/>
                <w:color w:val="auto"/>
                <w:sz w:val="24"/>
                <w:lang w:eastAsia="zh-CN"/>
              </w:rPr>
              <w:t>（</w:t>
            </w:r>
            <w:r>
              <w:rPr>
                <w:rFonts w:hint="eastAsia" w:ascii="仿宋_GB2312" w:hAnsi="宋体" w:eastAsia="仿宋_GB2312"/>
                <w:b/>
                <w:color w:val="auto"/>
                <w:sz w:val="24"/>
                <w:lang w:val="en-US" w:eastAsia="zh-CN"/>
              </w:rPr>
              <w:t>元</w:t>
            </w:r>
            <w:r>
              <w:rPr>
                <w:rFonts w:hint="eastAsia" w:ascii="仿宋_GB2312" w:hAnsi="宋体" w:eastAsia="仿宋_GB2312"/>
                <w:b/>
                <w:color w:val="auto"/>
                <w:sz w:val="24"/>
                <w:lang w:eastAsia="zh-CN"/>
              </w:rPr>
              <w:t>）</w:t>
            </w:r>
          </w:p>
        </w:tc>
        <w:tc>
          <w:tcPr>
            <w:tcW w:w="6153" w:type="dxa"/>
            <w:vAlign w:val="center"/>
          </w:tcPr>
          <w:p>
            <w:pPr>
              <w:widowControl/>
              <w:jc w:val="left"/>
              <w:rPr>
                <w:rFonts w:hAnsi="宋体" w:cs="宋体"/>
                <w:b/>
                <w:bCs/>
                <w:color w:val="auto"/>
                <w:sz w:val="22"/>
                <w:szCs w:val="22"/>
              </w:rPr>
            </w:pPr>
            <w:r>
              <w:rPr>
                <w:rFonts w:hint="eastAsia" w:hAnsi="宋体" w:cs="宋体"/>
                <w:b/>
                <w:bCs/>
                <w:color w:val="auto"/>
                <w:sz w:val="22"/>
                <w:szCs w:val="22"/>
              </w:rPr>
              <w:t>大写：</w:t>
            </w:r>
          </w:p>
          <w:p>
            <w:pPr>
              <w:widowControl/>
              <w:ind w:firstLine="1546" w:firstLineChars="700"/>
              <w:jc w:val="left"/>
              <w:rPr>
                <w:rFonts w:hAnsi="宋体" w:cs="宋体"/>
                <w:b/>
                <w:bCs/>
                <w:color w:val="auto"/>
                <w:sz w:val="22"/>
                <w:szCs w:val="22"/>
              </w:rPr>
            </w:pPr>
          </w:p>
          <w:p>
            <w:pPr>
              <w:widowControl/>
              <w:jc w:val="left"/>
              <w:rPr>
                <w:rFonts w:hAnsi="宋体" w:cs="宋体"/>
                <w:b/>
                <w:bCs/>
                <w:color w:val="auto"/>
                <w:sz w:val="22"/>
                <w:szCs w:val="22"/>
              </w:rPr>
            </w:pPr>
            <w:r>
              <w:rPr>
                <w:rFonts w:hint="eastAsia" w:hAnsi="宋体" w:cs="宋体"/>
                <w:b/>
                <w:bCs/>
                <w:color w:val="auto"/>
                <w:sz w:val="22"/>
                <w:szCs w:val="22"/>
              </w:rPr>
              <w:t>小写：</w:t>
            </w:r>
          </w:p>
          <w:p>
            <w:pPr>
              <w:spacing w:after="0"/>
              <w:ind w:left="198" w:leftChars="90" w:firstLine="720" w:firstLineChars="300"/>
              <w:jc w:val="righ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2122" w:type="dxa"/>
            <w:vAlign w:val="center"/>
          </w:tcPr>
          <w:p>
            <w:pPr>
              <w:spacing w:after="0"/>
              <w:ind w:left="-13" w:leftChars="-6"/>
              <w:jc w:val="center"/>
              <w:rPr>
                <w:rFonts w:ascii="仿宋_GB2312" w:hAnsi="宋体" w:eastAsia="仿宋_GB2312"/>
                <w:b/>
                <w:color w:val="auto"/>
                <w:sz w:val="24"/>
              </w:rPr>
            </w:pPr>
            <w:r>
              <w:rPr>
                <w:rFonts w:hint="eastAsia" w:ascii="仿宋_GB2312" w:hAnsi="宋体" w:eastAsia="仿宋_GB2312"/>
                <w:b/>
                <w:color w:val="auto"/>
                <w:sz w:val="24"/>
              </w:rPr>
              <w:t>合同履行期限</w:t>
            </w:r>
          </w:p>
        </w:tc>
        <w:tc>
          <w:tcPr>
            <w:tcW w:w="6153" w:type="dxa"/>
            <w:vAlign w:val="center"/>
          </w:tcPr>
          <w:p>
            <w:pPr>
              <w:spacing w:after="0"/>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2122" w:type="dxa"/>
            <w:vAlign w:val="center"/>
          </w:tcPr>
          <w:p>
            <w:pPr>
              <w:spacing w:after="0"/>
              <w:ind w:left="-13" w:leftChars="-6"/>
              <w:jc w:val="center"/>
              <w:rPr>
                <w:rFonts w:hint="eastAsia" w:ascii="仿宋_GB2312" w:hAnsi="宋体" w:eastAsia="仿宋_GB2312"/>
                <w:b/>
                <w:color w:val="auto"/>
                <w:sz w:val="24"/>
                <w:lang w:eastAsia="zh-CN"/>
              </w:rPr>
            </w:pPr>
            <w:r>
              <w:rPr>
                <w:rFonts w:hint="eastAsia" w:ascii="仿宋_GB2312" w:hAnsi="宋体" w:eastAsia="仿宋_GB2312"/>
                <w:b/>
                <w:color w:val="auto"/>
                <w:sz w:val="24"/>
                <w:lang w:eastAsia="zh-CN"/>
              </w:rPr>
              <w:t>交货地点</w:t>
            </w:r>
          </w:p>
        </w:tc>
        <w:tc>
          <w:tcPr>
            <w:tcW w:w="6153" w:type="dxa"/>
            <w:vAlign w:val="center"/>
          </w:tcPr>
          <w:p>
            <w:pP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2122" w:type="dxa"/>
            <w:vAlign w:val="center"/>
          </w:tcPr>
          <w:p>
            <w:pPr>
              <w:spacing w:after="0"/>
              <w:jc w:val="center"/>
              <w:rPr>
                <w:rFonts w:ascii="仿宋_GB2312" w:hAnsi="宋体" w:eastAsia="仿宋_GB2312"/>
                <w:b/>
                <w:color w:val="auto"/>
                <w:sz w:val="24"/>
              </w:rPr>
            </w:pPr>
            <w:r>
              <w:rPr>
                <w:rFonts w:hint="eastAsia" w:ascii="仿宋_GB2312" w:hAnsi="宋体" w:eastAsia="仿宋_GB2312"/>
                <w:b/>
                <w:color w:val="auto"/>
                <w:sz w:val="24"/>
              </w:rPr>
              <w:t>其他声明（如有）</w:t>
            </w:r>
          </w:p>
        </w:tc>
        <w:tc>
          <w:tcPr>
            <w:tcW w:w="6153" w:type="dxa"/>
            <w:vAlign w:val="center"/>
          </w:tcPr>
          <w:p>
            <w:pPr>
              <w:rPr>
                <w:rFonts w:ascii="仿宋_GB2312" w:hAnsi="宋体" w:eastAsia="仿宋_GB2312"/>
                <w:color w:val="auto"/>
                <w:sz w:val="24"/>
              </w:rPr>
            </w:pPr>
          </w:p>
        </w:tc>
      </w:tr>
    </w:tbl>
    <w:p>
      <w:pPr>
        <w:snapToGrid w:val="0"/>
        <w:spacing w:after="0" w:line="360" w:lineRule="auto"/>
        <w:ind w:firstLine="1"/>
        <w:rPr>
          <w:rFonts w:ascii="宋体" w:hAnsi="宋体"/>
          <w:b/>
          <w:color w:val="auto"/>
          <w:sz w:val="28"/>
          <w:szCs w:val="28"/>
        </w:rPr>
      </w:pPr>
    </w:p>
    <w:p>
      <w:pPr>
        <w:spacing w:after="35" w:line="360" w:lineRule="auto"/>
        <w:rPr>
          <w:rFonts w:hAnsi="宋体" w:cs="宋体"/>
          <w:color w:val="auto"/>
          <w:sz w:val="24"/>
          <w:szCs w:val="24"/>
        </w:rPr>
      </w:pPr>
      <w:r>
        <w:rPr>
          <w:rFonts w:hint="eastAsia" w:hAnsi="宋体" w:cs="宋体"/>
          <w:color w:val="auto"/>
          <w:sz w:val="24"/>
          <w:szCs w:val="24"/>
        </w:rPr>
        <w:t>供应商名称：</w:t>
      </w:r>
      <w:r>
        <w:rPr>
          <w:rFonts w:hAnsi="宋体" w:cs="宋体"/>
          <w:color w:val="auto"/>
          <w:sz w:val="24"/>
          <w:szCs w:val="24"/>
        </w:rPr>
        <w:t xml:space="preserve">            </w:t>
      </w:r>
      <w:r>
        <w:rPr>
          <w:rFonts w:hint="eastAsia" w:hAnsi="宋体" w:cs="宋体"/>
          <w:color w:val="auto"/>
          <w:sz w:val="24"/>
          <w:szCs w:val="24"/>
        </w:rPr>
        <w:t>（公章）</w:t>
      </w:r>
      <w:r>
        <w:rPr>
          <w:rFonts w:hAnsi="宋体" w:cs="宋体"/>
          <w:color w:val="auto"/>
          <w:sz w:val="24"/>
          <w:szCs w:val="24"/>
        </w:rPr>
        <w:t xml:space="preserve"> </w:t>
      </w:r>
    </w:p>
    <w:p>
      <w:pPr>
        <w:spacing w:after="37" w:line="360" w:lineRule="auto"/>
        <w:rPr>
          <w:rFonts w:hAnsi="宋体" w:cs="宋体"/>
          <w:color w:val="auto"/>
          <w:sz w:val="24"/>
          <w:szCs w:val="24"/>
        </w:rPr>
      </w:pPr>
      <w:r>
        <w:rPr>
          <w:rFonts w:hint="eastAsia" w:hAnsi="宋体" w:cs="宋体"/>
          <w:color w:val="auto"/>
          <w:sz w:val="24"/>
          <w:szCs w:val="24"/>
        </w:rPr>
        <w:t>法定代表人或其委托代理人（签字）：</w:t>
      </w:r>
    </w:p>
    <w:p>
      <w:pPr>
        <w:spacing w:after="83" w:line="360" w:lineRule="auto"/>
        <w:rPr>
          <w:rFonts w:hAnsi="宋体" w:cs="宋体"/>
          <w:color w:val="auto"/>
          <w:sz w:val="24"/>
          <w:szCs w:val="24"/>
        </w:rPr>
      </w:pPr>
      <w:r>
        <w:rPr>
          <w:rFonts w:hint="eastAsia" w:hAnsi="宋体" w:cs="宋体"/>
          <w:color w:val="auto"/>
          <w:sz w:val="24"/>
          <w:szCs w:val="24"/>
        </w:rPr>
        <w:t>日期：</w:t>
      </w:r>
      <w:r>
        <w:rPr>
          <w:rFonts w:hAnsi="宋体" w:cs="宋体"/>
          <w:color w:val="auto"/>
          <w:sz w:val="24"/>
          <w:szCs w:val="24"/>
        </w:rPr>
        <w:t xml:space="preserve">  </w:t>
      </w:r>
      <w:r>
        <w:rPr>
          <w:rFonts w:hint="eastAsia" w:hAnsi="宋体" w:cs="宋体"/>
          <w:color w:val="auto"/>
          <w:sz w:val="24"/>
          <w:szCs w:val="24"/>
        </w:rPr>
        <w:t>年</w:t>
      </w:r>
      <w:r>
        <w:rPr>
          <w:rFonts w:hAnsi="宋体" w:cs="宋体"/>
          <w:color w:val="auto"/>
          <w:sz w:val="24"/>
          <w:szCs w:val="24"/>
        </w:rPr>
        <w:t xml:space="preserve">  </w:t>
      </w:r>
      <w:r>
        <w:rPr>
          <w:rFonts w:hint="eastAsia" w:hAnsi="宋体" w:cs="宋体"/>
          <w:color w:val="auto"/>
          <w:sz w:val="24"/>
          <w:szCs w:val="24"/>
        </w:rPr>
        <w:t>月</w:t>
      </w:r>
      <w:r>
        <w:rPr>
          <w:rFonts w:hAnsi="宋体" w:cs="宋体"/>
          <w:color w:val="auto"/>
          <w:sz w:val="24"/>
          <w:szCs w:val="24"/>
        </w:rPr>
        <w:t xml:space="preserve">  </w:t>
      </w:r>
      <w:r>
        <w:rPr>
          <w:rFonts w:hint="eastAsia" w:hAnsi="宋体" w:cs="宋体"/>
          <w:color w:val="auto"/>
          <w:sz w:val="24"/>
          <w:szCs w:val="24"/>
        </w:rPr>
        <w:t>日</w:t>
      </w:r>
      <w:r>
        <w:rPr>
          <w:rFonts w:hAnsi="宋体" w:cs="宋体"/>
          <w:color w:val="auto"/>
          <w:sz w:val="24"/>
          <w:szCs w:val="24"/>
        </w:rPr>
        <w:t xml:space="preserve"> </w:t>
      </w:r>
    </w:p>
    <w:p>
      <w:pPr>
        <w:spacing w:after="0" w:line="460" w:lineRule="exact"/>
        <w:ind w:firstLine="200"/>
        <w:rPr>
          <w:rFonts w:ascii="Times New Roman" w:hAnsi="Times New Roman" w:cs="Times New Roman"/>
          <w:color w:val="auto"/>
          <w:sz w:val="21"/>
          <w:szCs w:val="21"/>
        </w:rPr>
      </w:pPr>
      <w:r>
        <w:rPr>
          <w:rFonts w:hint="eastAsia" w:ascii="Times New Roman" w:hAnsi="Times New Roman" w:cs="Times New Roman"/>
          <w:color w:val="auto"/>
          <w:sz w:val="21"/>
          <w:szCs w:val="21"/>
        </w:rPr>
        <w:t>注：</w:t>
      </w:r>
      <w:r>
        <w:rPr>
          <w:rFonts w:ascii="Times New Roman" w:hAnsi="Times New Roman" w:cs="Times New Roman"/>
          <w:color w:val="auto"/>
          <w:sz w:val="21"/>
          <w:szCs w:val="21"/>
        </w:rPr>
        <w:t>(1)</w:t>
      </w:r>
      <w:r>
        <w:rPr>
          <w:rFonts w:hint="eastAsia" w:ascii="Times New Roman" w:hAnsi="Times New Roman" w:cs="Times New Roman"/>
          <w:color w:val="auto"/>
          <w:sz w:val="21"/>
          <w:szCs w:val="21"/>
        </w:rPr>
        <w:t>.投标报价应包括磋商文件所规定的采购范围的全部内容；</w:t>
      </w:r>
    </w:p>
    <w:p>
      <w:pPr>
        <w:spacing w:after="0" w:line="460" w:lineRule="exact"/>
        <w:ind w:firstLine="630" w:firstLineChars="300"/>
        <w:rPr>
          <w:rFonts w:hint="eastAsia" w:ascii="Times New Roman" w:hAnsi="Times New Roman" w:cs="Times New Roman"/>
          <w:color w:val="auto"/>
          <w:sz w:val="21"/>
          <w:szCs w:val="21"/>
        </w:rPr>
      </w:pPr>
      <w:r>
        <w:rPr>
          <w:rFonts w:ascii="Times New Roman" w:hAnsi="Times New Roman" w:cs="Times New Roman"/>
          <w:color w:val="auto"/>
          <w:sz w:val="21"/>
          <w:szCs w:val="21"/>
        </w:rPr>
        <w:t>(2)</w:t>
      </w:r>
      <w:r>
        <w:rPr>
          <w:rFonts w:hint="eastAsia" w:ascii="Times New Roman" w:hAnsi="Times New Roman" w:cs="Times New Roman"/>
          <w:color w:val="auto"/>
          <w:sz w:val="21"/>
          <w:szCs w:val="21"/>
        </w:rPr>
        <w:t>.磋商小组发现供应商的报价明显低于其他响应报价，或者其响应报价可能低于其成本的，应当要求该供应商作出书面说明并提供相应的证明材料。供应商不能合理说明或者不能提供相应证明材料的，由磋商小组认定该供应商以低于成本报价竞标的，其投标作废标处理。</w:t>
      </w:r>
    </w:p>
    <w:p>
      <w:pPr>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br w:type="page"/>
      </w:r>
    </w:p>
    <w:p>
      <w:pPr>
        <w:pStyle w:val="4"/>
        <w:rPr>
          <w:color w:val="auto"/>
        </w:rPr>
      </w:pPr>
      <w:r>
        <w:rPr>
          <w:color w:val="auto"/>
        </w:rPr>
        <w:t>2.1</w:t>
      </w:r>
      <w:r>
        <w:rPr>
          <w:rFonts w:hint="eastAsia"/>
          <w:color w:val="auto"/>
        </w:rPr>
        <w:t>分项报价明细表</w:t>
      </w:r>
    </w:p>
    <w:p>
      <w:pPr>
        <w:rPr>
          <w:rFonts w:hAnsi="宋体" w:cs="宋体"/>
          <w:color w:val="auto"/>
          <w:sz w:val="28"/>
          <w:szCs w:val="28"/>
        </w:rPr>
      </w:pPr>
      <w:r>
        <w:rPr>
          <w:rFonts w:hint="eastAsia" w:hAnsi="宋体" w:cs="宋体"/>
          <w:color w:val="auto"/>
          <w:sz w:val="24"/>
          <w:szCs w:val="24"/>
        </w:rPr>
        <w:t>项目名称：</w:t>
      </w:r>
      <w:r>
        <w:rPr>
          <w:rFonts w:hAnsi="宋体" w:cs="宋体"/>
          <w:color w:val="auto"/>
          <w:sz w:val="24"/>
          <w:szCs w:val="24"/>
        </w:rPr>
        <w:t xml:space="preserve">          </w:t>
      </w:r>
      <w:r>
        <w:rPr>
          <w:rFonts w:hint="eastAsia" w:hAnsi="宋体" w:cs="宋体"/>
          <w:color w:val="auto"/>
          <w:sz w:val="24"/>
          <w:szCs w:val="24"/>
          <w:lang w:val="en-US" w:eastAsia="zh-CN"/>
        </w:rPr>
        <w:t xml:space="preserve">                                  </w:t>
      </w:r>
      <w:r>
        <w:rPr>
          <w:rFonts w:hint="eastAsia" w:hAnsi="宋体" w:cs="宋体"/>
          <w:color w:val="auto"/>
          <w:sz w:val="24"/>
          <w:szCs w:val="24"/>
        </w:rPr>
        <w:t>项目编号：</w:t>
      </w:r>
    </w:p>
    <w:tbl>
      <w:tblPr>
        <w:tblStyle w:val="51"/>
        <w:tblW w:w="9353" w:type="dxa"/>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货物名称</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品牌、规格型号</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（或服务要求）</w:t>
            </w:r>
          </w:p>
        </w:tc>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数量/单位</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单价</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（元）</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单项总价</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(元)</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总       价</w:t>
            </w: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color w:val="auto"/>
                <w:sz w:val="24"/>
                <w:szCs w:val="24"/>
              </w:rPr>
            </w:pPr>
          </w:p>
        </w:tc>
      </w:tr>
    </w:tbl>
    <w:p>
      <w:pPr>
        <w:spacing w:after="28" w:line="259" w:lineRule="auto"/>
        <w:rPr>
          <w:rFonts w:hAnsi="宋体" w:cs="宋体"/>
          <w:color w:val="auto"/>
          <w:sz w:val="28"/>
          <w:szCs w:val="28"/>
        </w:rPr>
      </w:pPr>
    </w:p>
    <w:p>
      <w:pPr>
        <w:spacing w:after="35" w:line="360" w:lineRule="auto"/>
        <w:rPr>
          <w:rFonts w:hAnsi="宋体" w:cs="宋体"/>
          <w:color w:val="auto"/>
          <w:sz w:val="24"/>
          <w:szCs w:val="24"/>
        </w:rPr>
      </w:pPr>
      <w:r>
        <w:rPr>
          <w:rFonts w:hint="eastAsia" w:hAnsi="宋体" w:cs="宋体"/>
          <w:color w:val="auto"/>
          <w:sz w:val="24"/>
          <w:szCs w:val="24"/>
        </w:rPr>
        <w:t>供应商名称：</w:t>
      </w:r>
      <w:r>
        <w:rPr>
          <w:rFonts w:hAnsi="宋体" w:cs="宋体"/>
          <w:color w:val="auto"/>
          <w:sz w:val="24"/>
          <w:szCs w:val="24"/>
        </w:rPr>
        <w:t xml:space="preserve">            </w:t>
      </w:r>
      <w:r>
        <w:rPr>
          <w:rFonts w:hint="eastAsia" w:hAnsi="宋体" w:cs="宋体"/>
          <w:color w:val="auto"/>
          <w:sz w:val="24"/>
          <w:szCs w:val="24"/>
        </w:rPr>
        <w:t>（公章）</w:t>
      </w:r>
      <w:r>
        <w:rPr>
          <w:rFonts w:hAnsi="宋体" w:cs="宋体"/>
          <w:color w:val="auto"/>
          <w:sz w:val="24"/>
          <w:szCs w:val="24"/>
        </w:rPr>
        <w:t xml:space="preserve"> </w:t>
      </w:r>
    </w:p>
    <w:p>
      <w:pPr>
        <w:spacing w:after="37" w:line="360" w:lineRule="auto"/>
        <w:rPr>
          <w:rFonts w:hAnsi="宋体" w:cs="宋体"/>
          <w:color w:val="auto"/>
          <w:sz w:val="24"/>
          <w:szCs w:val="24"/>
        </w:rPr>
      </w:pPr>
      <w:r>
        <w:rPr>
          <w:rFonts w:hint="eastAsia" w:hAnsi="宋体" w:cs="宋体"/>
          <w:color w:val="auto"/>
          <w:sz w:val="24"/>
          <w:szCs w:val="24"/>
        </w:rPr>
        <w:t>法定代表人或其委托代理人（签字）：</w:t>
      </w:r>
    </w:p>
    <w:p>
      <w:pPr>
        <w:spacing w:after="83" w:line="360" w:lineRule="auto"/>
        <w:rPr>
          <w:rFonts w:hAnsi="宋体" w:cs="宋体"/>
          <w:color w:val="auto"/>
          <w:sz w:val="24"/>
          <w:szCs w:val="24"/>
        </w:rPr>
      </w:pPr>
      <w:r>
        <w:rPr>
          <w:rFonts w:hint="eastAsia" w:hAnsi="宋体" w:cs="宋体"/>
          <w:color w:val="auto"/>
          <w:sz w:val="24"/>
          <w:szCs w:val="24"/>
        </w:rPr>
        <w:t>日期：</w:t>
      </w:r>
      <w:r>
        <w:rPr>
          <w:rFonts w:hAnsi="宋体" w:cs="宋体"/>
          <w:color w:val="auto"/>
          <w:sz w:val="24"/>
          <w:szCs w:val="24"/>
        </w:rPr>
        <w:t xml:space="preserve">  </w:t>
      </w:r>
      <w:r>
        <w:rPr>
          <w:rFonts w:hint="eastAsia" w:hAnsi="宋体" w:cs="宋体"/>
          <w:color w:val="auto"/>
          <w:sz w:val="24"/>
          <w:szCs w:val="24"/>
        </w:rPr>
        <w:t>年</w:t>
      </w:r>
      <w:r>
        <w:rPr>
          <w:rFonts w:hAnsi="宋体" w:cs="宋体"/>
          <w:color w:val="auto"/>
          <w:sz w:val="24"/>
          <w:szCs w:val="24"/>
        </w:rPr>
        <w:t xml:space="preserve">  </w:t>
      </w:r>
      <w:r>
        <w:rPr>
          <w:rFonts w:hint="eastAsia" w:hAnsi="宋体" w:cs="宋体"/>
          <w:color w:val="auto"/>
          <w:sz w:val="24"/>
          <w:szCs w:val="24"/>
        </w:rPr>
        <w:t>月</w:t>
      </w:r>
      <w:r>
        <w:rPr>
          <w:rFonts w:hAnsi="宋体" w:cs="宋体"/>
          <w:color w:val="auto"/>
          <w:sz w:val="24"/>
          <w:szCs w:val="24"/>
        </w:rPr>
        <w:t xml:space="preserve">  </w:t>
      </w:r>
      <w:r>
        <w:rPr>
          <w:rFonts w:hint="eastAsia" w:hAnsi="宋体" w:cs="宋体"/>
          <w:color w:val="auto"/>
          <w:sz w:val="24"/>
          <w:szCs w:val="24"/>
        </w:rPr>
        <w:t>日</w:t>
      </w:r>
      <w:r>
        <w:rPr>
          <w:rFonts w:hAnsi="宋体" w:cs="宋体"/>
          <w:color w:val="auto"/>
          <w:sz w:val="24"/>
          <w:szCs w:val="24"/>
        </w:rPr>
        <w:t xml:space="preserve"> </w:t>
      </w:r>
    </w:p>
    <w:p>
      <w:pPr>
        <w:spacing w:line="360" w:lineRule="auto"/>
        <w:ind w:left="-15" w:firstLine="422"/>
        <w:rPr>
          <w:rFonts w:hAnsi="宋体" w:cs="宋体"/>
          <w:color w:val="auto"/>
          <w:sz w:val="24"/>
          <w:szCs w:val="24"/>
        </w:rPr>
      </w:pPr>
      <w:bookmarkStart w:id="155" w:name="_Toc11338_WPSOffice_Level1"/>
    </w:p>
    <w:p>
      <w:pPr>
        <w:spacing w:line="360" w:lineRule="auto"/>
        <w:rPr>
          <w:rFonts w:hAnsi="宋体" w:cs="宋体"/>
          <w:color w:val="auto"/>
          <w:sz w:val="24"/>
          <w:szCs w:val="24"/>
        </w:rPr>
      </w:pPr>
      <w:r>
        <w:rPr>
          <w:rFonts w:hint="eastAsia" w:hAnsi="宋体" w:cs="宋体"/>
          <w:color w:val="auto"/>
          <w:sz w:val="24"/>
          <w:szCs w:val="24"/>
        </w:rPr>
        <w:t>注</w:t>
      </w:r>
      <w:r>
        <w:rPr>
          <w:rFonts w:hAnsi="宋体" w:cs="宋体"/>
          <w:color w:val="auto"/>
          <w:sz w:val="24"/>
          <w:szCs w:val="24"/>
        </w:rPr>
        <w:t>:</w:t>
      </w:r>
      <w:bookmarkEnd w:id="155"/>
    </w:p>
    <w:p>
      <w:pPr>
        <w:spacing w:line="360" w:lineRule="auto"/>
        <w:rPr>
          <w:rFonts w:hAnsi="宋体" w:cs="宋体"/>
          <w:color w:val="auto"/>
          <w:sz w:val="24"/>
          <w:szCs w:val="24"/>
        </w:rPr>
      </w:pPr>
      <w:r>
        <w:rPr>
          <w:rFonts w:hint="eastAsia" w:hAnsi="宋体" w:cs="宋体"/>
          <w:color w:val="auto"/>
          <w:sz w:val="24"/>
          <w:szCs w:val="24"/>
        </w:rPr>
        <w:t>①、供应商必须按“分项报价明细表”的详细报出投标总价的各个组成部分的报价，否则作无效投标处理。</w:t>
      </w:r>
      <w:r>
        <w:rPr>
          <w:rFonts w:hAnsi="宋体" w:cs="宋体"/>
          <w:color w:val="auto"/>
          <w:sz w:val="24"/>
          <w:szCs w:val="24"/>
        </w:rPr>
        <w:t xml:space="preserve"> </w:t>
      </w:r>
    </w:p>
    <w:p>
      <w:pPr>
        <w:spacing w:line="360" w:lineRule="auto"/>
        <w:rPr>
          <w:rFonts w:hAnsi="宋体" w:cs="宋体"/>
          <w:color w:val="auto"/>
          <w:sz w:val="24"/>
          <w:szCs w:val="24"/>
        </w:rPr>
      </w:pPr>
      <w:r>
        <w:rPr>
          <w:rFonts w:hint="eastAsia" w:hAnsi="宋体" w:cs="宋体"/>
          <w:color w:val="auto"/>
          <w:sz w:val="24"/>
          <w:szCs w:val="24"/>
        </w:rPr>
        <w:t>②、“分项报价明细表”各分项报价合计应当与“报价一览表”报价合计相等。</w:t>
      </w:r>
    </w:p>
    <w:p>
      <w:pPr>
        <w:spacing w:after="0" w:line="460" w:lineRule="exact"/>
        <w:ind w:firstLine="630" w:firstLineChars="300"/>
        <w:rPr>
          <w:rFonts w:ascii="Times New Roman" w:hAnsi="Times New Roman" w:cs="Times New Roman"/>
          <w:color w:val="auto"/>
          <w:sz w:val="21"/>
          <w:szCs w:val="21"/>
        </w:rPr>
      </w:pPr>
      <w:r>
        <w:rPr>
          <w:rFonts w:ascii="Times New Roman" w:hAnsi="Times New Roman" w:cs="Times New Roman"/>
          <w:color w:val="auto"/>
          <w:sz w:val="21"/>
          <w:szCs w:val="21"/>
        </w:rPr>
        <w:br w:type="page"/>
      </w:r>
    </w:p>
    <w:p>
      <w:pPr>
        <w:rPr>
          <w:rFonts w:hAnsi="宋体" w:cs="宋体"/>
          <w:b/>
          <w:color w:val="auto"/>
        </w:rPr>
      </w:pPr>
      <w:bookmarkStart w:id="156" w:name="_Toc17890100"/>
      <w:r>
        <w:rPr>
          <w:rFonts w:hint="eastAsia"/>
          <w:b/>
          <w:color w:val="auto"/>
        </w:rPr>
        <w:t>3.</w:t>
      </w:r>
      <w:r>
        <w:rPr>
          <w:rFonts w:hint="eastAsia" w:hAnsi="宋体" w:cs="宋体"/>
          <w:b/>
          <w:color w:val="auto"/>
        </w:rPr>
        <w:t>技术</w:t>
      </w:r>
      <w:r>
        <w:rPr>
          <w:rFonts w:hint="eastAsia" w:hAnsi="宋体" w:cs="宋体"/>
          <w:b/>
          <w:color w:val="auto"/>
          <w:lang w:val="en-US" w:eastAsia="zh-CN"/>
        </w:rPr>
        <w:t>商务</w:t>
      </w:r>
      <w:r>
        <w:rPr>
          <w:rFonts w:hint="eastAsia" w:hAnsi="宋体" w:cs="宋体"/>
          <w:b/>
          <w:color w:val="auto"/>
        </w:rPr>
        <w:t>要求响应表</w:t>
      </w:r>
    </w:p>
    <w:p>
      <w:pPr>
        <w:snapToGrid w:val="0"/>
        <w:spacing w:line="360" w:lineRule="auto"/>
        <w:ind w:firstLine="602"/>
        <w:jc w:val="center"/>
        <w:rPr>
          <w:rFonts w:ascii="Times New Roman" w:hAnsi="宋体" w:cs="宋体"/>
          <w:color w:val="auto"/>
          <w:sz w:val="24"/>
          <w:szCs w:val="24"/>
        </w:rPr>
      </w:pPr>
      <w:r>
        <w:rPr>
          <w:rFonts w:hint="eastAsia" w:ascii="Times New Roman" w:hAnsi="宋体" w:cs="宋体"/>
          <w:b/>
          <w:color w:val="auto"/>
          <w:sz w:val="24"/>
          <w:szCs w:val="24"/>
        </w:rPr>
        <w:t>技术要求响应表</w:t>
      </w:r>
    </w:p>
    <w:p>
      <w:pPr>
        <w:snapToGrid w:val="0"/>
        <w:spacing w:line="360" w:lineRule="auto"/>
        <w:ind w:firstLine="480" w:firstLineChars="200"/>
        <w:rPr>
          <w:rFonts w:ascii="Times New Roman" w:hAnsi="宋体" w:cs="宋体"/>
          <w:color w:val="auto"/>
          <w:sz w:val="24"/>
          <w:szCs w:val="24"/>
        </w:rPr>
      </w:pPr>
      <w:r>
        <w:rPr>
          <w:rFonts w:hint="eastAsia" w:ascii="Times New Roman" w:hAnsi="宋体" w:cs="宋体"/>
          <w:color w:val="auto"/>
          <w:sz w:val="24"/>
          <w:szCs w:val="24"/>
        </w:rPr>
        <w:t>说明：请供应商对应磋商文件的“供应商须知”、“用户需求书”中有关项目技术与服务等内容的要</w:t>
      </w:r>
      <w:r>
        <w:rPr>
          <w:rFonts w:ascii="Times New Roman" w:hAnsi="宋体" w:cs="宋体"/>
          <w:color w:val="auto"/>
          <w:sz w:val="24"/>
          <w:szCs w:val="24"/>
        </w:rPr>
        <w:t>求，如实、完整、准确的填写该表。</w:t>
      </w:r>
      <w:r>
        <w:rPr>
          <w:rFonts w:hint="eastAsia" w:ascii="Times New Roman" w:hAnsi="宋体" w:cs="宋体"/>
          <w:color w:val="auto"/>
          <w:sz w:val="24"/>
          <w:szCs w:val="24"/>
        </w:rPr>
        <w:t>响应</w:t>
      </w:r>
      <w:r>
        <w:rPr>
          <w:rFonts w:ascii="Times New Roman" w:hAnsi="宋体" w:cs="宋体"/>
          <w:color w:val="auto"/>
          <w:sz w:val="24"/>
          <w:szCs w:val="24"/>
        </w:rPr>
        <w:t>文件有正、负偏离均应在下表中列</w:t>
      </w:r>
      <w:r>
        <w:rPr>
          <w:rFonts w:hint="eastAsia" w:ascii="Times New Roman" w:hAnsi="宋体" w:cs="宋体"/>
          <w:color w:val="auto"/>
          <w:sz w:val="24"/>
          <w:szCs w:val="24"/>
        </w:rPr>
        <w:t>明。若无偏离，请标明“完全响应”</w:t>
      </w:r>
    </w:p>
    <w:tbl>
      <w:tblPr>
        <w:tblStyle w:val="51"/>
        <w:tblW w:w="8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559"/>
        <w:gridCol w:w="2282"/>
        <w:gridCol w:w="130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blHeader/>
          <w:jc w:val="center"/>
        </w:trPr>
        <w:tc>
          <w:tcPr>
            <w:tcW w:w="640" w:type="dxa"/>
            <w:shd w:val="clear" w:color="auto" w:fill="FFFFFF"/>
            <w:vAlign w:val="center"/>
          </w:tcPr>
          <w:p>
            <w:pPr>
              <w:snapToGrid w:val="0"/>
              <w:jc w:val="center"/>
              <w:rPr>
                <w:rFonts w:hAnsi="宋体"/>
                <w:color w:val="auto"/>
                <w:sz w:val="24"/>
                <w:szCs w:val="24"/>
              </w:rPr>
            </w:pPr>
            <w:r>
              <w:rPr>
                <w:rFonts w:hint="eastAsia" w:hAnsi="宋体"/>
                <w:color w:val="auto"/>
                <w:sz w:val="24"/>
                <w:szCs w:val="24"/>
              </w:rPr>
              <w:t>序号</w:t>
            </w:r>
          </w:p>
        </w:tc>
        <w:tc>
          <w:tcPr>
            <w:tcW w:w="2559" w:type="dxa"/>
            <w:shd w:val="clear" w:color="auto" w:fill="FFFFFF"/>
            <w:vAlign w:val="center"/>
          </w:tcPr>
          <w:p>
            <w:pPr>
              <w:snapToGrid w:val="0"/>
              <w:jc w:val="center"/>
              <w:rPr>
                <w:rFonts w:hAnsi="宋体"/>
                <w:color w:val="auto"/>
                <w:sz w:val="24"/>
                <w:szCs w:val="24"/>
              </w:rPr>
            </w:pPr>
            <w:r>
              <w:rPr>
                <w:rFonts w:hint="eastAsia" w:hAnsi="宋体"/>
                <w:color w:val="auto"/>
                <w:sz w:val="24"/>
                <w:szCs w:val="24"/>
              </w:rPr>
              <w:t>磋商文件所要求技术、商务规范主要条款描述</w:t>
            </w:r>
          </w:p>
        </w:tc>
        <w:tc>
          <w:tcPr>
            <w:tcW w:w="2282" w:type="dxa"/>
            <w:shd w:val="clear" w:color="auto" w:fill="FFFFFF"/>
            <w:vAlign w:val="center"/>
          </w:tcPr>
          <w:p>
            <w:pPr>
              <w:snapToGrid w:val="0"/>
              <w:jc w:val="center"/>
              <w:rPr>
                <w:rFonts w:hAnsi="宋体"/>
                <w:color w:val="auto"/>
                <w:sz w:val="24"/>
                <w:szCs w:val="24"/>
              </w:rPr>
            </w:pPr>
            <w:r>
              <w:rPr>
                <w:rFonts w:hint="eastAsia" w:hAnsi="宋体"/>
                <w:color w:val="auto"/>
                <w:sz w:val="24"/>
                <w:szCs w:val="24"/>
              </w:rPr>
              <w:t>供应商响应的技术、商务条款描述</w:t>
            </w:r>
          </w:p>
        </w:tc>
        <w:tc>
          <w:tcPr>
            <w:tcW w:w="1308" w:type="dxa"/>
            <w:shd w:val="clear" w:color="auto" w:fill="FFFFFF"/>
            <w:vAlign w:val="center"/>
          </w:tcPr>
          <w:p>
            <w:pPr>
              <w:snapToGrid w:val="0"/>
              <w:jc w:val="center"/>
              <w:rPr>
                <w:rFonts w:hAnsi="宋体"/>
                <w:color w:val="auto"/>
                <w:sz w:val="24"/>
                <w:szCs w:val="24"/>
              </w:rPr>
            </w:pPr>
            <w:r>
              <w:rPr>
                <w:rFonts w:hint="eastAsia" w:hAnsi="宋体"/>
                <w:color w:val="auto"/>
                <w:sz w:val="24"/>
                <w:szCs w:val="24"/>
              </w:rPr>
              <w:t>偏离情况说明</w:t>
            </w:r>
          </w:p>
          <w:p>
            <w:pPr>
              <w:snapToGrid w:val="0"/>
              <w:jc w:val="center"/>
              <w:rPr>
                <w:rFonts w:hAnsi="宋体"/>
                <w:color w:val="auto"/>
                <w:sz w:val="24"/>
                <w:szCs w:val="24"/>
              </w:rPr>
            </w:pPr>
            <w:r>
              <w:rPr>
                <w:rFonts w:hint="eastAsia" w:hAnsi="宋体"/>
                <w:color w:val="auto"/>
                <w:sz w:val="24"/>
                <w:szCs w:val="24"/>
              </w:rPr>
              <w:t>（＋</w:t>
            </w:r>
            <w:r>
              <w:rPr>
                <w:rFonts w:hAnsi="宋体"/>
                <w:color w:val="auto"/>
                <w:sz w:val="24"/>
                <w:szCs w:val="24"/>
              </w:rPr>
              <w:t>/-/=</w:t>
            </w:r>
            <w:r>
              <w:rPr>
                <w:rFonts w:hint="eastAsia" w:hAnsi="宋体"/>
                <w:color w:val="auto"/>
                <w:sz w:val="24"/>
                <w:szCs w:val="24"/>
              </w:rPr>
              <w:t>）</w:t>
            </w:r>
          </w:p>
        </w:tc>
        <w:tc>
          <w:tcPr>
            <w:tcW w:w="1308" w:type="dxa"/>
            <w:shd w:val="clear" w:color="auto" w:fill="FFFFFF"/>
            <w:vAlign w:val="center"/>
          </w:tcPr>
          <w:p>
            <w:pPr>
              <w:snapToGrid w:val="0"/>
              <w:jc w:val="center"/>
              <w:rPr>
                <w:rFonts w:hAnsi="宋体"/>
                <w:color w:val="auto"/>
                <w:sz w:val="24"/>
                <w:szCs w:val="24"/>
              </w:rPr>
            </w:pPr>
            <w:r>
              <w:rPr>
                <w:rFonts w:hint="eastAsia"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640" w:type="dxa"/>
            <w:vAlign w:val="center"/>
          </w:tcPr>
          <w:p>
            <w:pPr>
              <w:jc w:val="center"/>
              <w:rPr>
                <w:rFonts w:hAnsi="宋体"/>
                <w:color w:val="auto"/>
                <w:sz w:val="24"/>
                <w:szCs w:val="24"/>
              </w:rPr>
            </w:pPr>
            <w:r>
              <w:rPr>
                <w:rFonts w:hAnsi="宋体"/>
                <w:color w:val="auto"/>
                <w:sz w:val="24"/>
                <w:szCs w:val="24"/>
              </w:rPr>
              <w:t>1</w:t>
            </w:r>
          </w:p>
        </w:tc>
        <w:tc>
          <w:tcPr>
            <w:tcW w:w="2559" w:type="dxa"/>
            <w:vAlign w:val="center"/>
          </w:tcPr>
          <w:p>
            <w:pPr>
              <w:snapToGrid w:val="0"/>
              <w:jc w:val="center"/>
              <w:rPr>
                <w:rFonts w:hAnsi="宋体"/>
                <w:color w:val="auto"/>
                <w:sz w:val="24"/>
                <w:szCs w:val="24"/>
              </w:rPr>
            </w:pPr>
          </w:p>
        </w:tc>
        <w:tc>
          <w:tcPr>
            <w:tcW w:w="2282"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640" w:type="dxa"/>
            <w:vAlign w:val="center"/>
          </w:tcPr>
          <w:p>
            <w:pPr>
              <w:jc w:val="center"/>
              <w:rPr>
                <w:rFonts w:hAnsi="宋体"/>
                <w:color w:val="auto"/>
                <w:sz w:val="24"/>
                <w:szCs w:val="24"/>
              </w:rPr>
            </w:pPr>
            <w:r>
              <w:rPr>
                <w:rFonts w:hAnsi="宋体"/>
                <w:color w:val="auto"/>
                <w:sz w:val="24"/>
                <w:szCs w:val="24"/>
              </w:rPr>
              <w:t>2</w:t>
            </w:r>
          </w:p>
        </w:tc>
        <w:tc>
          <w:tcPr>
            <w:tcW w:w="2559" w:type="dxa"/>
            <w:vAlign w:val="center"/>
          </w:tcPr>
          <w:p>
            <w:pPr>
              <w:snapToGrid w:val="0"/>
              <w:jc w:val="center"/>
              <w:rPr>
                <w:rFonts w:hAnsi="宋体"/>
                <w:color w:val="auto"/>
                <w:sz w:val="24"/>
                <w:szCs w:val="24"/>
              </w:rPr>
            </w:pPr>
          </w:p>
        </w:tc>
        <w:tc>
          <w:tcPr>
            <w:tcW w:w="2282"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640" w:type="dxa"/>
            <w:vAlign w:val="center"/>
          </w:tcPr>
          <w:p>
            <w:pPr>
              <w:jc w:val="center"/>
              <w:rPr>
                <w:rFonts w:hAnsi="宋体"/>
                <w:color w:val="auto"/>
                <w:sz w:val="24"/>
                <w:szCs w:val="24"/>
              </w:rPr>
            </w:pPr>
            <w:r>
              <w:rPr>
                <w:rFonts w:hAnsi="宋体"/>
                <w:color w:val="auto"/>
                <w:sz w:val="24"/>
                <w:szCs w:val="24"/>
              </w:rPr>
              <w:t>3</w:t>
            </w:r>
          </w:p>
        </w:tc>
        <w:tc>
          <w:tcPr>
            <w:tcW w:w="2559" w:type="dxa"/>
            <w:vAlign w:val="center"/>
          </w:tcPr>
          <w:p>
            <w:pPr>
              <w:snapToGrid w:val="0"/>
              <w:jc w:val="center"/>
              <w:rPr>
                <w:rFonts w:hAnsi="宋体"/>
                <w:color w:val="auto"/>
                <w:sz w:val="24"/>
                <w:szCs w:val="24"/>
              </w:rPr>
            </w:pPr>
          </w:p>
        </w:tc>
        <w:tc>
          <w:tcPr>
            <w:tcW w:w="2282"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640" w:type="dxa"/>
            <w:vAlign w:val="center"/>
          </w:tcPr>
          <w:p>
            <w:pPr>
              <w:jc w:val="center"/>
              <w:rPr>
                <w:rFonts w:hAnsi="宋体"/>
                <w:color w:val="auto"/>
                <w:sz w:val="24"/>
                <w:szCs w:val="24"/>
              </w:rPr>
            </w:pPr>
            <w:r>
              <w:rPr>
                <w:rFonts w:hAnsi="宋体"/>
                <w:color w:val="auto"/>
                <w:sz w:val="24"/>
                <w:szCs w:val="24"/>
              </w:rPr>
              <w:t>4</w:t>
            </w:r>
          </w:p>
        </w:tc>
        <w:tc>
          <w:tcPr>
            <w:tcW w:w="2559" w:type="dxa"/>
            <w:vAlign w:val="center"/>
          </w:tcPr>
          <w:p>
            <w:pPr>
              <w:snapToGrid w:val="0"/>
              <w:jc w:val="center"/>
              <w:rPr>
                <w:rFonts w:hAnsi="宋体"/>
                <w:color w:val="auto"/>
                <w:sz w:val="24"/>
                <w:szCs w:val="24"/>
              </w:rPr>
            </w:pPr>
          </w:p>
        </w:tc>
        <w:tc>
          <w:tcPr>
            <w:tcW w:w="2282"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color w:val="auto"/>
                <w:sz w:val="24"/>
                <w:szCs w:val="24"/>
              </w:rPr>
            </w:pPr>
          </w:p>
        </w:tc>
        <w:tc>
          <w:tcPr>
            <w:tcW w:w="1308" w:type="dxa"/>
            <w:vAlign w:val="center"/>
          </w:tcPr>
          <w:p>
            <w:pPr>
              <w:snapToGrid w:val="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blHeader/>
          <w:jc w:val="center"/>
        </w:trPr>
        <w:tc>
          <w:tcPr>
            <w:tcW w:w="640" w:type="dxa"/>
            <w:vAlign w:val="center"/>
          </w:tcPr>
          <w:p>
            <w:pPr>
              <w:jc w:val="center"/>
              <w:rPr>
                <w:rFonts w:hAnsi="宋体"/>
                <w:color w:val="auto"/>
                <w:sz w:val="24"/>
                <w:szCs w:val="24"/>
              </w:rPr>
            </w:pPr>
          </w:p>
        </w:tc>
        <w:tc>
          <w:tcPr>
            <w:tcW w:w="2559" w:type="dxa"/>
            <w:vAlign w:val="center"/>
          </w:tcPr>
          <w:p>
            <w:pPr>
              <w:snapToGrid w:val="0"/>
              <w:jc w:val="center"/>
              <w:rPr>
                <w:rFonts w:hAnsi="宋体"/>
                <w:color w:val="auto"/>
                <w:sz w:val="24"/>
                <w:szCs w:val="24"/>
              </w:rPr>
            </w:pPr>
            <w:r>
              <w:rPr>
                <w:rFonts w:hint="eastAsia" w:hAnsi="宋体"/>
                <w:color w:val="auto"/>
                <w:sz w:val="24"/>
                <w:szCs w:val="24"/>
              </w:rPr>
              <w:t>...</w:t>
            </w:r>
          </w:p>
        </w:tc>
        <w:tc>
          <w:tcPr>
            <w:tcW w:w="2282" w:type="dxa"/>
            <w:vAlign w:val="center"/>
          </w:tcPr>
          <w:p>
            <w:pPr>
              <w:snapToGrid w:val="0"/>
              <w:jc w:val="center"/>
              <w:rPr>
                <w:rFonts w:hAnsi="宋体"/>
                <w:color w:val="auto"/>
                <w:sz w:val="24"/>
                <w:szCs w:val="24"/>
              </w:rPr>
            </w:pPr>
            <w:r>
              <w:rPr>
                <w:rFonts w:hint="eastAsia" w:hAnsi="宋体"/>
                <w:color w:val="auto"/>
                <w:sz w:val="24"/>
                <w:szCs w:val="24"/>
              </w:rPr>
              <w:t>...</w:t>
            </w:r>
          </w:p>
        </w:tc>
        <w:tc>
          <w:tcPr>
            <w:tcW w:w="1308" w:type="dxa"/>
            <w:vAlign w:val="center"/>
          </w:tcPr>
          <w:p>
            <w:pPr>
              <w:snapToGrid w:val="0"/>
              <w:jc w:val="center"/>
              <w:rPr>
                <w:rFonts w:hAnsi="宋体"/>
                <w:color w:val="auto"/>
                <w:sz w:val="24"/>
                <w:szCs w:val="24"/>
              </w:rPr>
            </w:pPr>
            <w:r>
              <w:rPr>
                <w:rFonts w:hint="eastAsia" w:hAnsi="宋体"/>
                <w:color w:val="auto"/>
                <w:sz w:val="24"/>
                <w:szCs w:val="24"/>
              </w:rPr>
              <w:t>...</w:t>
            </w:r>
          </w:p>
        </w:tc>
        <w:tc>
          <w:tcPr>
            <w:tcW w:w="1308" w:type="dxa"/>
            <w:vAlign w:val="center"/>
          </w:tcPr>
          <w:p>
            <w:pPr>
              <w:snapToGrid w:val="0"/>
              <w:jc w:val="center"/>
              <w:rPr>
                <w:rFonts w:hAnsi="宋体"/>
                <w:color w:val="auto"/>
                <w:sz w:val="24"/>
                <w:szCs w:val="24"/>
              </w:rPr>
            </w:pPr>
          </w:p>
        </w:tc>
      </w:tr>
    </w:tbl>
    <w:p>
      <w:pPr>
        <w:snapToGrid w:val="0"/>
        <w:spacing w:line="360" w:lineRule="auto"/>
        <w:ind w:firstLine="480"/>
        <w:rPr>
          <w:rFonts w:ascii="Times New Roman" w:hAnsi="宋体" w:cs="宋体"/>
          <w:color w:val="auto"/>
          <w:sz w:val="24"/>
          <w:szCs w:val="24"/>
        </w:rPr>
      </w:pPr>
    </w:p>
    <w:p>
      <w:pPr>
        <w:snapToGrid w:val="0"/>
        <w:rPr>
          <w:rFonts w:hAnsi="宋体"/>
          <w:bCs/>
          <w:color w:val="auto"/>
          <w:sz w:val="24"/>
          <w:szCs w:val="24"/>
        </w:rPr>
      </w:pPr>
      <w:r>
        <w:rPr>
          <w:rFonts w:hint="eastAsia" w:hAnsi="宋体"/>
          <w:bCs/>
          <w:color w:val="auto"/>
          <w:sz w:val="24"/>
          <w:szCs w:val="24"/>
        </w:rPr>
        <w:t>供应商名称（公章）：</w:t>
      </w:r>
      <w:r>
        <w:rPr>
          <w:rFonts w:hAnsi="宋体" w:cs="宋体"/>
          <w:color w:val="auto"/>
          <w:szCs w:val="24"/>
        </w:rPr>
        <w:t>_________________</w:t>
      </w:r>
    </w:p>
    <w:p>
      <w:pPr>
        <w:tabs>
          <w:tab w:val="left" w:pos="11130"/>
        </w:tabs>
        <w:snapToGrid w:val="0"/>
        <w:rPr>
          <w:rFonts w:hAnsi="宋体"/>
          <w:bCs/>
          <w:color w:val="auto"/>
          <w:sz w:val="24"/>
          <w:szCs w:val="24"/>
        </w:rPr>
      </w:pPr>
    </w:p>
    <w:p>
      <w:pPr>
        <w:tabs>
          <w:tab w:val="left" w:pos="11130"/>
        </w:tabs>
        <w:snapToGrid w:val="0"/>
        <w:spacing w:line="360" w:lineRule="auto"/>
        <w:rPr>
          <w:rFonts w:hAnsi="宋体" w:cs="宋体"/>
          <w:color w:val="auto"/>
          <w:szCs w:val="24"/>
        </w:rPr>
      </w:pPr>
      <w:r>
        <w:rPr>
          <w:rFonts w:hint="eastAsia" w:hAnsi="宋体"/>
          <w:bCs/>
          <w:color w:val="auto"/>
          <w:sz w:val="24"/>
          <w:szCs w:val="24"/>
        </w:rPr>
        <w:t>法定代表人或其委托代理人（签字）</w:t>
      </w:r>
      <w:r>
        <w:rPr>
          <w:rFonts w:hAnsi="宋体"/>
          <w:bCs/>
          <w:color w:val="auto"/>
          <w:sz w:val="24"/>
          <w:szCs w:val="24"/>
        </w:rPr>
        <w:t>:</w:t>
      </w:r>
      <w:r>
        <w:rPr>
          <w:rFonts w:hAnsi="宋体" w:cs="宋体"/>
          <w:color w:val="auto"/>
          <w:szCs w:val="24"/>
        </w:rPr>
        <w:t xml:space="preserve"> _________________</w:t>
      </w:r>
    </w:p>
    <w:p>
      <w:pPr>
        <w:tabs>
          <w:tab w:val="left" w:pos="11130"/>
        </w:tabs>
        <w:snapToGrid w:val="0"/>
        <w:spacing w:line="360" w:lineRule="auto"/>
        <w:rPr>
          <w:rFonts w:hAnsi="宋体"/>
          <w:bCs/>
          <w:color w:val="auto"/>
          <w:sz w:val="24"/>
          <w:szCs w:val="24"/>
        </w:rPr>
      </w:pPr>
      <w:r>
        <w:rPr>
          <w:rFonts w:hint="eastAsia" w:hAnsi="宋体"/>
          <w:bCs/>
          <w:color w:val="auto"/>
          <w:sz w:val="24"/>
          <w:szCs w:val="24"/>
        </w:rPr>
        <w:t>注：</w:t>
      </w:r>
      <w:r>
        <w:rPr>
          <w:rFonts w:hAnsi="宋体"/>
          <w:bCs/>
          <w:color w:val="auto"/>
          <w:sz w:val="24"/>
          <w:szCs w:val="24"/>
        </w:rPr>
        <w:t>1</w:t>
      </w:r>
      <w:r>
        <w:rPr>
          <w:rFonts w:hint="eastAsia" w:hAnsi="宋体"/>
          <w:bCs/>
          <w:color w:val="auto"/>
          <w:sz w:val="24"/>
          <w:szCs w:val="24"/>
        </w:rPr>
        <w:t>、此表为表样，行数可自行添加，但表式不变。</w:t>
      </w:r>
      <w:r>
        <w:rPr>
          <w:rFonts w:hAnsi="宋体"/>
          <w:bCs/>
          <w:color w:val="auto"/>
          <w:sz w:val="24"/>
          <w:szCs w:val="24"/>
        </w:rPr>
        <w:tab/>
      </w:r>
    </w:p>
    <w:p>
      <w:pPr>
        <w:snapToGrid w:val="0"/>
        <w:spacing w:line="360" w:lineRule="auto"/>
        <w:ind w:firstLine="480" w:firstLineChars="200"/>
        <w:rPr>
          <w:rFonts w:hAnsi="宋体"/>
          <w:bCs/>
          <w:color w:val="auto"/>
          <w:sz w:val="24"/>
          <w:szCs w:val="24"/>
        </w:rPr>
      </w:pPr>
      <w:r>
        <w:rPr>
          <w:rFonts w:hAnsi="宋体"/>
          <w:bCs/>
          <w:color w:val="auto"/>
          <w:sz w:val="24"/>
          <w:szCs w:val="24"/>
        </w:rPr>
        <w:t>2</w:t>
      </w:r>
      <w:r>
        <w:rPr>
          <w:rFonts w:hint="eastAsia" w:hAnsi="宋体"/>
          <w:bCs/>
          <w:color w:val="auto"/>
          <w:sz w:val="24"/>
          <w:szCs w:val="24"/>
        </w:rPr>
        <w:t>、供应商根据磋商文件要求执行添加的条款也请列出。</w:t>
      </w:r>
    </w:p>
    <w:p>
      <w:pPr>
        <w:snapToGrid w:val="0"/>
        <w:spacing w:line="360" w:lineRule="auto"/>
        <w:ind w:firstLine="480" w:firstLineChars="200"/>
        <w:rPr>
          <w:rFonts w:hAnsi="宋体"/>
          <w:bCs/>
          <w:color w:val="auto"/>
          <w:sz w:val="24"/>
          <w:szCs w:val="24"/>
        </w:rPr>
      </w:pPr>
      <w:r>
        <w:rPr>
          <w:rFonts w:hAnsi="宋体"/>
          <w:bCs/>
          <w:color w:val="auto"/>
          <w:sz w:val="24"/>
          <w:szCs w:val="24"/>
        </w:rPr>
        <w:t>3</w:t>
      </w:r>
      <w:r>
        <w:rPr>
          <w:rFonts w:hint="eastAsia" w:hAnsi="宋体"/>
          <w:bCs/>
          <w:color w:val="auto"/>
          <w:sz w:val="24"/>
          <w:szCs w:val="24"/>
        </w:rPr>
        <w:t>、是否偏离用符号“</w:t>
      </w:r>
      <w:r>
        <w:rPr>
          <w:rFonts w:hAnsi="宋体"/>
          <w:bCs/>
          <w:color w:val="auto"/>
          <w:sz w:val="24"/>
          <w:szCs w:val="24"/>
        </w:rPr>
        <w:t>+</w:t>
      </w:r>
      <w:r>
        <w:rPr>
          <w:rFonts w:hint="eastAsia" w:hAnsi="宋体"/>
          <w:bCs/>
          <w:color w:val="auto"/>
          <w:sz w:val="24"/>
          <w:szCs w:val="24"/>
        </w:rPr>
        <w:t>、</w:t>
      </w:r>
      <w:r>
        <w:rPr>
          <w:rFonts w:hAnsi="宋体"/>
          <w:bCs/>
          <w:color w:val="auto"/>
          <w:sz w:val="24"/>
          <w:szCs w:val="24"/>
        </w:rPr>
        <w:t>=</w:t>
      </w:r>
      <w:r>
        <w:rPr>
          <w:rFonts w:hint="eastAsia" w:hAnsi="宋体"/>
          <w:bCs/>
          <w:color w:val="auto"/>
          <w:sz w:val="24"/>
          <w:szCs w:val="24"/>
        </w:rPr>
        <w:t>、</w:t>
      </w:r>
      <w:r>
        <w:rPr>
          <w:rFonts w:hAnsi="宋体"/>
          <w:bCs/>
          <w:color w:val="auto"/>
          <w:sz w:val="24"/>
          <w:szCs w:val="24"/>
        </w:rPr>
        <w:t>-</w:t>
      </w:r>
      <w:r>
        <w:rPr>
          <w:rFonts w:hint="eastAsia" w:hAnsi="宋体"/>
          <w:bCs/>
          <w:color w:val="auto"/>
          <w:sz w:val="24"/>
          <w:szCs w:val="24"/>
        </w:rPr>
        <w:t>”分别表示正偏离、完全响应、负偏离。</w:t>
      </w:r>
    </w:p>
    <w:p>
      <w:pPr>
        <w:snapToGrid w:val="0"/>
        <w:ind w:firstLine="440"/>
        <w:rPr>
          <w:rFonts w:ascii="Times New Roman" w:hAnsi="宋体" w:cs="宋体"/>
          <w:color w:val="auto"/>
        </w:rPr>
      </w:pPr>
    </w:p>
    <w:p>
      <w:pPr>
        <w:snapToGrid w:val="0"/>
        <w:spacing w:line="240" w:lineRule="atLeast"/>
        <w:ind w:firstLine="440"/>
        <w:rPr>
          <w:rFonts w:ascii="Times New Roman" w:hAnsi="宋体" w:cs="宋体"/>
          <w:color w:val="auto"/>
        </w:rPr>
      </w:pPr>
    </w:p>
    <w:p>
      <w:pPr>
        <w:snapToGrid w:val="0"/>
        <w:spacing w:line="420" w:lineRule="exact"/>
        <w:ind w:right="-506" w:firstLine="3907"/>
        <w:rPr>
          <w:rFonts w:ascii="Times New Roman" w:hAnsi="宋体" w:cs="宋体"/>
          <w:b/>
          <w:color w:val="auto"/>
          <w:sz w:val="28"/>
          <w:szCs w:val="28"/>
        </w:rPr>
      </w:pPr>
    </w:p>
    <w:p>
      <w:pPr>
        <w:spacing w:before="120" w:after="0" w:line="460" w:lineRule="exact"/>
        <w:rPr>
          <w:rFonts w:ascii="Times New Roman" w:hAnsi="Times New Roman" w:cs="Times New Roman"/>
          <w:b/>
          <w:color w:val="auto"/>
          <w:sz w:val="24"/>
          <w:szCs w:val="24"/>
        </w:rPr>
      </w:pPr>
      <w:r>
        <w:rPr>
          <w:rFonts w:hint="eastAsia"/>
          <w:color w:val="auto"/>
        </w:rPr>
        <w:br w:type="page"/>
      </w:r>
      <w:bookmarkEnd w:id="156"/>
      <w:r>
        <w:rPr>
          <w:rFonts w:ascii="Times New Roman" w:hAnsi="Times New Roman" w:cs="Times New Roman"/>
          <w:b/>
          <w:color w:val="auto"/>
          <w:sz w:val="24"/>
          <w:szCs w:val="24"/>
        </w:rPr>
        <w:t>4</w:t>
      </w:r>
      <w:r>
        <w:rPr>
          <w:rFonts w:hint="eastAsia" w:ascii="Times New Roman" w:hAnsi="Times New Roman" w:cs="Times New Roman"/>
          <w:b/>
          <w:color w:val="auto"/>
          <w:sz w:val="24"/>
          <w:szCs w:val="24"/>
        </w:rPr>
        <w:t>.授权委托书</w:t>
      </w:r>
    </w:p>
    <w:p>
      <w:pPr>
        <w:pStyle w:val="73"/>
        <w:spacing w:line="360" w:lineRule="auto"/>
        <w:jc w:val="center"/>
        <w:rPr>
          <w:rFonts w:ascii="Times New Roman" w:hAnsi="Times New Roman"/>
          <w:color w:val="auto"/>
          <w:sz w:val="24"/>
          <w:szCs w:val="24"/>
        </w:rPr>
      </w:pPr>
      <w:r>
        <w:rPr>
          <w:rFonts w:hint="eastAsia" w:ascii="Times New Roman" w:hAnsi="Times New Roman"/>
          <w:b/>
          <w:color w:val="auto"/>
          <w:sz w:val="24"/>
          <w:szCs w:val="24"/>
          <w:lang w:val="zh-TW" w:eastAsia="zh-TW"/>
        </w:rPr>
        <w:t>法定代表人授权书</w:t>
      </w:r>
    </w:p>
    <w:p>
      <w:pPr>
        <w:pStyle w:val="73"/>
        <w:spacing w:line="460" w:lineRule="exact"/>
        <w:ind w:firstLine="200"/>
        <w:rPr>
          <w:rFonts w:ascii="Times New Roman" w:hAnsi="Times New Roman"/>
          <w:color w:val="auto"/>
          <w:sz w:val="24"/>
          <w:szCs w:val="24"/>
        </w:rPr>
      </w:pPr>
      <w:r>
        <w:rPr>
          <w:rFonts w:hint="eastAsia" w:ascii="Times New Roman" w:hAnsi="Times New Roman"/>
          <w:color w:val="auto"/>
          <w:sz w:val="24"/>
          <w:szCs w:val="24"/>
          <w:lang w:val="zh-TW" w:eastAsia="zh-TW"/>
        </w:rPr>
        <w:t>本授权书声明：注册于</w:t>
      </w:r>
      <w:r>
        <w:rPr>
          <w:rFonts w:hint="eastAsia" w:ascii="Times New Roman" w:hAnsi="Times New Roman"/>
          <w:color w:val="auto"/>
          <w:sz w:val="24"/>
          <w:szCs w:val="24"/>
          <w:u w:val="single"/>
          <w:lang w:val="zh-TW"/>
        </w:rPr>
        <w:t>（注册地）</w:t>
      </w:r>
      <w:r>
        <w:rPr>
          <w:rFonts w:hint="eastAsia" w:ascii="Times New Roman" w:hAnsi="Times New Roman"/>
          <w:color w:val="auto"/>
          <w:sz w:val="24"/>
          <w:szCs w:val="24"/>
          <w:lang w:val="zh-TW" w:eastAsia="zh-TW"/>
        </w:rPr>
        <w:t>的</w:t>
      </w:r>
      <w:r>
        <w:rPr>
          <w:rFonts w:hint="eastAsia" w:ascii="Times New Roman" w:hAnsi="Times New Roman"/>
          <w:color w:val="auto"/>
          <w:sz w:val="24"/>
          <w:szCs w:val="24"/>
          <w:u w:val="single"/>
          <w:lang w:val="zh-TW"/>
        </w:rPr>
        <w:t>（供应商名称）</w:t>
      </w:r>
      <w:r>
        <w:rPr>
          <w:rFonts w:hint="eastAsia" w:ascii="Times New Roman" w:hAnsi="Times New Roman"/>
          <w:color w:val="auto"/>
          <w:sz w:val="24"/>
          <w:szCs w:val="24"/>
          <w:lang w:val="zh-TW" w:eastAsia="zh-TW"/>
        </w:rPr>
        <w:t>的在下面签字的</w:t>
      </w:r>
      <w:r>
        <w:rPr>
          <w:rFonts w:hint="eastAsia" w:ascii="Times New Roman" w:hAnsi="Times New Roman"/>
          <w:color w:val="auto"/>
          <w:sz w:val="24"/>
          <w:szCs w:val="24"/>
          <w:u w:val="single"/>
          <w:lang w:val="zh-TW"/>
        </w:rPr>
        <w:t>（法定代表人）</w:t>
      </w:r>
      <w:r>
        <w:rPr>
          <w:rFonts w:hint="eastAsia" w:ascii="Times New Roman" w:hAnsi="Times New Roman"/>
          <w:color w:val="auto"/>
          <w:sz w:val="24"/>
          <w:szCs w:val="24"/>
          <w:lang w:val="zh-TW" w:eastAsia="zh-TW"/>
        </w:rPr>
        <w:t>代表本公司授权</w:t>
      </w:r>
      <w:r>
        <w:rPr>
          <w:rFonts w:hint="eastAsia" w:ascii="Times New Roman" w:hAnsi="Times New Roman"/>
          <w:color w:val="auto"/>
          <w:sz w:val="24"/>
          <w:szCs w:val="24"/>
          <w:u w:val="single"/>
          <w:lang w:val="zh-TW"/>
        </w:rPr>
        <w:t>（授权委托人）</w:t>
      </w:r>
      <w:r>
        <w:rPr>
          <w:rFonts w:hint="eastAsia" w:ascii="Times New Roman" w:hAnsi="Times New Roman"/>
          <w:color w:val="auto"/>
          <w:sz w:val="24"/>
          <w:szCs w:val="24"/>
          <w:lang w:val="zh-TW" w:eastAsia="zh-TW"/>
        </w:rPr>
        <w:t>在下面签字的为本公司的合法代理人，就</w:t>
      </w:r>
      <w:r>
        <w:rPr>
          <w:rFonts w:hint="eastAsia" w:ascii="Times New Roman" w:hAnsi="Times New Roman"/>
          <w:color w:val="auto"/>
          <w:sz w:val="24"/>
          <w:szCs w:val="24"/>
          <w:u w:val="single"/>
          <w:lang w:val="zh-TW" w:eastAsia="zh-CN"/>
        </w:rPr>
        <w:t>琼中县菜篮子冷链车、皮卡车、面包车采购项目</w:t>
      </w:r>
      <w:r>
        <w:rPr>
          <w:rFonts w:hint="eastAsia" w:ascii="Times New Roman" w:hAnsi="Times New Roman"/>
          <w:color w:val="auto"/>
          <w:sz w:val="24"/>
          <w:szCs w:val="24"/>
          <w:lang w:val="zh-TW" w:eastAsia="zh-TW"/>
        </w:rPr>
        <w:t>投标，以本公司名义处理一切与之有关的事务。　　</w:t>
      </w:r>
    </w:p>
    <w:p>
      <w:pPr>
        <w:pStyle w:val="73"/>
        <w:tabs>
          <w:tab w:val="left" w:pos="5580"/>
        </w:tabs>
        <w:spacing w:line="460" w:lineRule="exact"/>
        <w:ind w:firstLine="133"/>
        <w:rPr>
          <w:rFonts w:ascii="Times New Roman" w:hAnsi="Times New Roman"/>
          <w:color w:val="auto"/>
          <w:sz w:val="24"/>
          <w:szCs w:val="24"/>
        </w:rPr>
      </w:pPr>
      <w:r>
        <w:rPr>
          <w:rFonts w:hint="eastAsia" w:ascii="Times New Roman" w:hAnsi="Times New Roman"/>
          <w:color w:val="auto"/>
          <w:sz w:val="24"/>
          <w:szCs w:val="24"/>
          <w:lang w:val="zh-TW" w:eastAsia="zh-TW"/>
        </w:rPr>
        <w:t>本授权书于</w:t>
      </w:r>
      <w:r>
        <w:rPr>
          <w:rFonts w:ascii="Times New Roman" w:hAnsi="Times New Roman"/>
          <w:color w:val="auto"/>
          <w:sz w:val="24"/>
          <w:szCs w:val="24"/>
        </w:rPr>
        <w:t>__________</w:t>
      </w:r>
      <w:r>
        <w:rPr>
          <w:rFonts w:hint="eastAsia" w:ascii="Times New Roman" w:hAnsi="Times New Roman"/>
          <w:color w:val="auto"/>
          <w:sz w:val="24"/>
          <w:szCs w:val="24"/>
          <w:lang w:val="zh-TW" w:eastAsia="zh-TW"/>
        </w:rPr>
        <w:t>年</w:t>
      </w:r>
      <w:r>
        <w:rPr>
          <w:rFonts w:ascii="Times New Roman" w:hAnsi="Times New Roman"/>
          <w:color w:val="auto"/>
          <w:sz w:val="24"/>
          <w:szCs w:val="24"/>
        </w:rPr>
        <w:t>_____</w:t>
      </w:r>
      <w:r>
        <w:rPr>
          <w:rFonts w:hint="eastAsia" w:ascii="Times New Roman" w:hAnsi="Times New Roman"/>
          <w:color w:val="auto"/>
          <w:sz w:val="24"/>
          <w:szCs w:val="24"/>
          <w:lang w:val="zh-TW" w:eastAsia="zh-TW"/>
        </w:rPr>
        <w:t>月</w:t>
      </w:r>
      <w:r>
        <w:rPr>
          <w:rFonts w:ascii="Times New Roman" w:hAnsi="Times New Roman"/>
          <w:color w:val="auto"/>
          <w:sz w:val="24"/>
          <w:szCs w:val="24"/>
        </w:rPr>
        <w:t>______</w:t>
      </w:r>
      <w:r>
        <w:rPr>
          <w:rFonts w:hint="eastAsia" w:ascii="Times New Roman" w:hAnsi="Times New Roman"/>
          <w:color w:val="auto"/>
          <w:sz w:val="24"/>
          <w:szCs w:val="24"/>
          <w:lang w:val="zh-TW" w:eastAsia="zh-TW"/>
        </w:rPr>
        <w:t>日签字生效</w:t>
      </w:r>
      <w:r>
        <w:rPr>
          <w:rFonts w:hint="eastAsia" w:ascii="Times New Roman" w:hAnsi="Times New Roman"/>
          <w:color w:val="auto"/>
          <w:sz w:val="24"/>
          <w:szCs w:val="24"/>
        </w:rPr>
        <w:t>，</w:t>
      </w:r>
      <w:r>
        <w:rPr>
          <w:rFonts w:hint="eastAsia" w:ascii="Times New Roman" w:hAnsi="Times New Roman"/>
          <w:color w:val="auto"/>
          <w:sz w:val="24"/>
          <w:szCs w:val="24"/>
          <w:lang w:val="zh-TW" w:eastAsia="zh-TW"/>
        </w:rPr>
        <w:t>特此声明。</w:t>
      </w:r>
    </w:p>
    <w:p>
      <w:pPr>
        <w:pStyle w:val="73"/>
        <w:tabs>
          <w:tab w:val="left" w:pos="5580"/>
        </w:tabs>
        <w:spacing w:line="460" w:lineRule="exact"/>
        <w:ind w:firstLine="133"/>
        <w:rPr>
          <w:rFonts w:ascii="Times New Roman" w:hAnsi="Times New Roman" w:eastAsia="PMingLiU"/>
          <w:color w:val="auto"/>
          <w:sz w:val="24"/>
          <w:szCs w:val="24"/>
          <w:lang w:val="zh-TW"/>
        </w:rPr>
      </w:pPr>
      <w:r>
        <w:rPr>
          <w:rFonts w:hint="eastAsia" w:ascii="Times New Roman" w:hAnsi="Times New Roman"/>
          <w:color w:val="auto"/>
          <w:sz w:val="24"/>
          <w:szCs w:val="24"/>
          <w:lang w:val="zh-TW" w:eastAsia="zh-TW"/>
        </w:rPr>
        <w:t>授权书有效期：</w:t>
      </w:r>
      <w:r>
        <w:rPr>
          <w:rFonts w:hint="eastAsia" w:ascii="Times New Roman" w:hAnsi="Times New Roman"/>
          <w:color w:val="auto"/>
          <w:sz w:val="24"/>
          <w:szCs w:val="24"/>
          <w:lang w:val="zh-TW"/>
        </w:rPr>
        <w:t>自</w:t>
      </w:r>
      <w:r>
        <w:rPr>
          <w:rFonts w:hint="eastAsia" w:ascii="Times New Roman" w:hAnsi="Times New Roman"/>
          <w:color w:val="auto"/>
          <w:sz w:val="24"/>
          <w:szCs w:val="24"/>
        </w:rPr>
        <w:t>响应文件提交</w:t>
      </w:r>
      <w:r>
        <w:rPr>
          <w:rFonts w:hint="eastAsia" w:ascii="Times New Roman" w:hAnsi="Times New Roman"/>
          <w:color w:val="auto"/>
          <w:sz w:val="24"/>
          <w:szCs w:val="24"/>
          <w:lang w:val="zh-TW"/>
        </w:rPr>
        <w:t>截止之日起</w:t>
      </w:r>
      <w:r>
        <w:rPr>
          <w:rFonts w:ascii="Times New Roman" w:hAnsi="Times New Roman" w:eastAsia="PMingLiU"/>
          <w:color w:val="auto"/>
          <w:sz w:val="24"/>
          <w:szCs w:val="24"/>
          <w:lang w:val="zh-TW" w:eastAsia="zh-TW"/>
        </w:rPr>
        <w:t>9</w:t>
      </w:r>
      <w:r>
        <w:rPr>
          <w:rFonts w:ascii="Times New Roman" w:hAnsi="Times New Roman"/>
          <w:color w:val="auto"/>
          <w:sz w:val="24"/>
          <w:szCs w:val="24"/>
          <w:lang w:val="zh-TW" w:eastAsia="zh-TW"/>
        </w:rPr>
        <w:t>0</w:t>
      </w:r>
      <w:r>
        <w:rPr>
          <w:rFonts w:hint="eastAsia" w:ascii="Times New Roman" w:hAnsi="Times New Roman"/>
          <w:color w:val="auto"/>
          <w:sz w:val="24"/>
          <w:szCs w:val="24"/>
          <w:lang w:val="zh-TW"/>
        </w:rPr>
        <w:t>日历天</w:t>
      </w:r>
      <w:r>
        <w:rPr>
          <w:rFonts w:hint="eastAsia" w:ascii="Times New Roman" w:hAnsi="Times New Roman"/>
          <w:color w:val="auto"/>
          <w:sz w:val="24"/>
          <w:szCs w:val="24"/>
          <w:lang w:val="zh-TW" w:eastAsia="zh-TW"/>
        </w:rPr>
        <w:t>有效</w:t>
      </w:r>
      <w:r>
        <w:rPr>
          <w:rFonts w:hint="eastAsia" w:ascii="Times New Roman" w:hAnsi="Times New Roman"/>
          <w:color w:val="auto"/>
          <w:sz w:val="24"/>
          <w:szCs w:val="24"/>
          <w:lang w:val="zh-TW"/>
        </w:rPr>
        <w:t>。</w:t>
      </w:r>
    </w:p>
    <w:p>
      <w:pPr>
        <w:pStyle w:val="73"/>
        <w:tabs>
          <w:tab w:val="left" w:pos="5580"/>
        </w:tabs>
        <w:spacing w:line="460" w:lineRule="exact"/>
        <w:ind w:firstLine="133"/>
        <w:rPr>
          <w:rFonts w:ascii="Times New Roman" w:hAnsi="Times New Roman" w:eastAsiaTheme="minorEastAsia"/>
          <w:color w:val="auto"/>
          <w:sz w:val="24"/>
          <w:szCs w:val="24"/>
        </w:rPr>
      </w:pPr>
      <w:r>
        <w:rPr>
          <w:rFonts w:hint="eastAsia" w:ascii="Times New Roman" w:hAnsi="Times New Roman" w:eastAsiaTheme="minorEastAsia"/>
          <w:color w:val="auto"/>
          <w:sz w:val="24"/>
          <w:szCs w:val="24"/>
          <w:lang w:val="zh-TW"/>
        </w:rPr>
        <w:t>附</w:t>
      </w:r>
      <w:r>
        <w:rPr>
          <w:rFonts w:ascii="Times New Roman" w:hAnsi="Times New Roman" w:eastAsiaTheme="minorEastAsia"/>
          <w:color w:val="auto"/>
          <w:sz w:val="24"/>
          <w:szCs w:val="24"/>
          <w:lang w:val="zh-TW"/>
        </w:rPr>
        <w:t>法定代表人身份证及被授权人身份</w:t>
      </w:r>
      <w:r>
        <w:rPr>
          <w:rFonts w:hint="eastAsia" w:ascii="Times New Roman" w:hAnsi="Times New Roman" w:eastAsiaTheme="minorEastAsia"/>
          <w:color w:val="auto"/>
          <w:sz w:val="24"/>
          <w:szCs w:val="24"/>
          <w:lang w:val="zh-TW"/>
        </w:rPr>
        <w:t>证</w:t>
      </w:r>
      <w:r>
        <w:rPr>
          <w:rFonts w:ascii="Times New Roman" w:hAnsi="Times New Roman" w:eastAsiaTheme="minorEastAsia"/>
          <w:color w:val="auto"/>
          <w:sz w:val="24"/>
          <w:szCs w:val="24"/>
          <w:lang w:val="zh-TW"/>
        </w:rPr>
        <w:t>。</w:t>
      </w:r>
    </w:p>
    <w:p>
      <w:pPr>
        <w:pStyle w:val="73"/>
        <w:tabs>
          <w:tab w:val="left" w:pos="5580"/>
        </w:tabs>
        <w:spacing w:line="460" w:lineRule="exact"/>
        <w:ind w:firstLine="200"/>
        <w:rPr>
          <w:rFonts w:ascii="Times New Roman" w:hAnsi="Times New Roman"/>
          <w:color w:val="auto"/>
          <w:sz w:val="24"/>
          <w:szCs w:val="24"/>
        </w:rPr>
      </w:pPr>
    </w:p>
    <w:p>
      <w:pPr>
        <w:pStyle w:val="73"/>
        <w:tabs>
          <w:tab w:val="left" w:pos="5580"/>
        </w:tabs>
        <w:spacing w:after="120" w:line="360" w:lineRule="auto"/>
        <w:ind w:firstLine="1150"/>
        <w:rPr>
          <w:rFonts w:ascii="Times New Roman" w:hAnsi="Times New Roman"/>
          <w:color w:val="auto"/>
          <w:sz w:val="24"/>
          <w:szCs w:val="24"/>
        </w:rPr>
      </w:pPr>
      <w:r>
        <w:rPr>
          <w:rFonts w:hint="eastAsia" w:ascii="Times New Roman" w:hAnsi="Times New Roman"/>
          <w:color w:val="auto"/>
          <w:sz w:val="24"/>
          <w:szCs w:val="24"/>
          <w:lang w:val="zh-TW"/>
        </w:rPr>
        <w:t>供应商</w:t>
      </w:r>
      <w:r>
        <w:rPr>
          <w:rFonts w:hint="eastAsia" w:ascii="Times New Roman" w:hAnsi="Times New Roman"/>
          <w:color w:val="auto"/>
          <w:sz w:val="24"/>
          <w:szCs w:val="24"/>
          <w:lang w:val="zh-TW" w:eastAsia="zh-TW"/>
        </w:rPr>
        <w:t>：（盖章）</w:t>
      </w:r>
    </w:p>
    <w:p>
      <w:pPr>
        <w:pStyle w:val="73"/>
        <w:tabs>
          <w:tab w:val="left" w:pos="5580"/>
        </w:tabs>
        <w:spacing w:after="120" w:line="360" w:lineRule="auto"/>
        <w:ind w:firstLine="1150"/>
        <w:rPr>
          <w:rFonts w:ascii="Times New Roman" w:hAnsi="Times New Roman"/>
          <w:color w:val="auto"/>
          <w:sz w:val="24"/>
          <w:szCs w:val="24"/>
          <w:lang w:val="zh-TW" w:eastAsia="zh-TW"/>
        </w:rPr>
      </w:pPr>
      <w:r>
        <w:rPr>
          <w:rFonts w:hint="eastAsia" w:ascii="Times New Roman" w:hAnsi="Times New Roman"/>
          <w:color w:val="auto"/>
          <w:sz w:val="24"/>
          <w:szCs w:val="24"/>
          <w:lang w:val="zh-TW" w:eastAsia="zh-TW"/>
        </w:rPr>
        <w:t>法定代表人</w:t>
      </w:r>
      <w:r>
        <w:rPr>
          <w:rFonts w:hint="eastAsia" w:ascii="Times New Roman" w:hAnsi="Times New Roman"/>
          <w:color w:val="auto"/>
          <w:sz w:val="24"/>
          <w:szCs w:val="24"/>
          <w:lang w:val="en-US" w:eastAsia="zh-CN"/>
        </w:rPr>
        <w:t>或</w:t>
      </w:r>
      <w:r>
        <w:rPr>
          <w:rFonts w:hint="eastAsia" w:ascii="Times New Roman" w:hAnsi="Times New Roman"/>
          <w:color w:val="auto"/>
          <w:sz w:val="24"/>
          <w:szCs w:val="24"/>
          <w:lang w:val="zh-TW"/>
        </w:rPr>
        <w:t>授权委托人：（签字或盖章）</w:t>
      </w:r>
    </w:p>
    <w:p>
      <w:pPr>
        <w:pStyle w:val="73"/>
        <w:tabs>
          <w:tab w:val="left" w:pos="5580"/>
        </w:tabs>
        <w:spacing w:line="360" w:lineRule="auto"/>
        <w:rPr>
          <w:rFonts w:ascii="Times New Roman" w:hAnsi="Times New Roman"/>
          <w:color w:val="auto"/>
          <w:sz w:val="24"/>
          <w:szCs w:val="24"/>
        </w:rPr>
      </w:pPr>
      <w:r>
        <w:rPr>
          <w:rFonts w:hint="eastAsia" w:ascii="Times New Roman" w:hAnsi="Times New Roman"/>
          <w:color w:val="auto"/>
          <w:sz w:val="24"/>
          <w:szCs w:val="24"/>
        </w:rPr>
        <w:t>日期：</w:t>
      </w:r>
      <w:r>
        <w:rPr>
          <w:rFonts w:hint="eastAsia" w:ascii="Times New Roman" w:hAnsi="Times New Roman"/>
          <w:color w:val="auto"/>
          <w:sz w:val="24"/>
          <w:szCs w:val="24"/>
          <w:lang w:val="en-US" w:eastAsia="zh-CN"/>
        </w:rPr>
        <w:t xml:space="preserve">  </w:t>
      </w:r>
      <w:r>
        <w:rPr>
          <w:rFonts w:hint="eastAsia"/>
          <w:color w:val="auto"/>
          <w:sz w:val="24"/>
          <w:lang w:val="zh-CN"/>
        </w:rPr>
        <w:t>年</w:t>
      </w:r>
      <w:r>
        <w:rPr>
          <w:rFonts w:hint="eastAsia"/>
          <w:color w:val="auto"/>
          <w:sz w:val="24"/>
          <w:lang w:val="en-US" w:eastAsia="zh-CN"/>
        </w:rPr>
        <w:t xml:space="preserve">  </w:t>
      </w:r>
      <w:r>
        <w:rPr>
          <w:rFonts w:hint="eastAsia"/>
          <w:color w:val="auto"/>
          <w:sz w:val="24"/>
          <w:lang w:val="zh-CN"/>
        </w:rPr>
        <w:t>月</w:t>
      </w:r>
      <w:r>
        <w:rPr>
          <w:rFonts w:hint="eastAsia"/>
          <w:color w:val="auto"/>
          <w:sz w:val="24"/>
          <w:lang w:val="en-US" w:eastAsia="zh-CN"/>
        </w:rPr>
        <w:t xml:space="preserve">  </w:t>
      </w:r>
      <w:r>
        <w:rPr>
          <w:rFonts w:hint="eastAsia"/>
          <w:color w:val="auto"/>
          <w:sz w:val="24"/>
          <w:lang w:val="zh-CN"/>
        </w:rPr>
        <w:t>日</w:t>
      </w:r>
    </w:p>
    <w:p>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snapToGrid w:val="0"/>
        <w:spacing w:after="0" w:line="460" w:lineRule="exact"/>
        <w:rPr>
          <w:rFonts w:hint="default" w:ascii="Times New Roman" w:hAnsi="Times New Roman" w:eastAsia="宋体" w:cs="Times New Roman"/>
          <w:b/>
          <w:color w:val="auto"/>
          <w:sz w:val="24"/>
          <w:szCs w:val="24"/>
          <w:lang w:val="en-US" w:eastAsia="zh-CN"/>
        </w:rPr>
      </w:pPr>
      <w:r>
        <w:rPr>
          <w:rFonts w:hint="eastAsia" w:ascii="Times New Roman" w:hAnsi="Times New Roman" w:cs="Times New Roman"/>
          <w:b/>
          <w:color w:val="auto"/>
          <w:sz w:val="24"/>
          <w:szCs w:val="24"/>
        </w:rPr>
        <w:t>5.</w:t>
      </w:r>
      <w:r>
        <w:rPr>
          <w:rFonts w:hint="eastAsia" w:ascii="Times New Roman" w:hAnsi="Times New Roman" w:cs="Times New Roman"/>
          <w:b/>
          <w:color w:val="auto"/>
          <w:sz w:val="24"/>
          <w:szCs w:val="24"/>
          <w:lang w:val="en-US" w:eastAsia="zh-CN"/>
        </w:rPr>
        <w:t>资格项资料（供应商应按第一章竞争性磋商公告中的申请人的资格要求项按顺序填放）</w:t>
      </w:r>
    </w:p>
    <w:p>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snapToGrid w:val="0"/>
        <w:spacing w:after="0" w:line="460" w:lineRule="exact"/>
        <w:jc w:val="center"/>
        <w:rPr>
          <w:rFonts w:ascii="Times New Roman" w:hAnsi="Times New Roman" w:cs="Times New Roman"/>
          <w:b/>
          <w:color w:val="auto"/>
          <w:sz w:val="28"/>
          <w:szCs w:val="28"/>
        </w:rPr>
      </w:pPr>
      <w:r>
        <w:rPr>
          <w:rFonts w:hint="eastAsia" w:ascii="Times New Roman" w:hAnsi="Times New Roman" w:cs="Times New Roman"/>
          <w:b/>
          <w:color w:val="auto"/>
          <w:sz w:val="28"/>
          <w:szCs w:val="28"/>
        </w:rPr>
        <w:t>二、服务技术部分</w:t>
      </w:r>
    </w:p>
    <w:p>
      <w:pPr>
        <w:snapToGrid w:val="0"/>
        <w:spacing w:after="0" w:line="460" w:lineRule="exact"/>
        <w:ind w:firstLine="480" w:firstLineChars="200"/>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文件格式自定</w:t>
      </w:r>
    </w:p>
    <w:p>
      <w:pPr>
        <w:spacing w:after="0" w:line="440" w:lineRule="exact"/>
        <w:jc w:val="both"/>
        <w:rPr>
          <w:rFonts w:ascii="Times New Roman" w:hAnsi="Times New Roman" w:cs="Times New Roman"/>
          <w:color w:val="auto"/>
          <w:sz w:val="24"/>
          <w:szCs w:val="24"/>
        </w:rPr>
      </w:pPr>
    </w:p>
    <w:p>
      <w:pPr>
        <w:spacing w:after="0" w:line="440" w:lineRule="exact"/>
        <w:jc w:val="both"/>
        <w:rPr>
          <w:rFonts w:ascii="Times New Roman" w:hAnsi="Times New Roman" w:cs="Times New Roman"/>
          <w:color w:val="auto"/>
          <w:sz w:val="24"/>
          <w:szCs w:val="24"/>
        </w:rPr>
      </w:pPr>
    </w:p>
    <w:p>
      <w:pPr>
        <w:spacing w:after="0" w:line="440" w:lineRule="exact"/>
        <w:jc w:val="both"/>
        <w:rPr>
          <w:rFonts w:ascii="Times New Roman" w:hAnsi="Times New Roman" w:cs="Times New Roman"/>
          <w:color w:val="auto"/>
          <w:sz w:val="24"/>
          <w:szCs w:val="24"/>
        </w:rPr>
      </w:pPr>
    </w:p>
    <w:p>
      <w:pPr>
        <w:spacing w:after="0" w:line="440" w:lineRule="exact"/>
        <w:jc w:val="both"/>
        <w:rPr>
          <w:rFonts w:ascii="Times New Roman" w:hAnsi="Times New Roman" w:cs="Times New Roman"/>
          <w:color w:val="auto"/>
          <w:sz w:val="24"/>
          <w:szCs w:val="24"/>
        </w:rPr>
      </w:pPr>
    </w:p>
    <w:p>
      <w:pPr>
        <w:tabs>
          <w:tab w:val="left" w:pos="4680"/>
        </w:tabs>
        <w:autoSpaceDE w:val="0"/>
        <w:autoSpaceDN w:val="0"/>
        <w:spacing w:line="360" w:lineRule="auto"/>
        <w:jc w:val="center"/>
        <w:rPr>
          <w:rFonts w:ascii="Times New Roman" w:hAnsi="Times New Roman" w:cs="Times New Roman"/>
          <w:b/>
          <w:color w:val="auto"/>
          <w:sz w:val="28"/>
          <w:szCs w:val="28"/>
          <w:lang w:val="zh-CN"/>
        </w:rPr>
      </w:pPr>
    </w:p>
    <w:p>
      <w:pPr>
        <w:tabs>
          <w:tab w:val="left" w:pos="4680"/>
        </w:tabs>
        <w:autoSpaceDE w:val="0"/>
        <w:autoSpaceDN w:val="0"/>
        <w:spacing w:line="360" w:lineRule="auto"/>
        <w:jc w:val="center"/>
        <w:rPr>
          <w:rFonts w:ascii="Times New Roman" w:hAnsi="Times New Roman" w:cs="Times New Roman"/>
          <w:b/>
          <w:color w:val="auto"/>
          <w:sz w:val="28"/>
          <w:szCs w:val="28"/>
          <w:lang w:val="zh-CN"/>
        </w:rPr>
      </w:pPr>
    </w:p>
    <w:p>
      <w:pPr>
        <w:rPr>
          <w:rFonts w:ascii="Times New Roman" w:hAnsi="Times New Roman" w:cs="Times New Roman"/>
          <w:b/>
          <w:color w:val="auto"/>
          <w:sz w:val="24"/>
          <w:szCs w:val="24"/>
        </w:rPr>
      </w:pPr>
      <w:r>
        <w:rPr>
          <w:rFonts w:hint="eastAsia"/>
          <w:color w:val="auto"/>
        </w:rPr>
        <w:br w:type="page"/>
      </w:r>
      <w:r>
        <w:rPr>
          <w:rFonts w:hint="eastAsia" w:ascii="Times New Roman" w:hAnsi="Times New Roman" w:cs="Times New Roman"/>
          <w:b/>
          <w:color w:val="auto"/>
          <w:sz w:val="24"/>
          <w:szCs w:val="24"/>
        </w:rPr>
        <w:t>附表</w:t>
      </w:r>
      <w:r>
        <w:rPr>
          <w:rFonts w:ascii="Times New Roman" w:hAnsi="Times New Roman" w:cs="Times New Roman"/>
          <w:b/>
          <w:color w:val="auto"/>
          <w:sz w:val="24"/>
          <w:szCs w:val="24"/>
        </w:rPr>
        <w:t xml:space="preserve">1 </w:t>
      </w:r>
    </w:p>
    <w:p>
      <w:pPr>
        <w:ind w:firstLine="200"/>
        <w:jc w:val="center"/>
        <w:rPr>
          <w:rFonts w:ascii="Times New Roman" w:hAnsi="Times New Roman" w:cs="Times New Roman"/>
          <w:b/>
          <w:color w:val="auto"/>
          <w:sz w:val="44"/>
          <w:szCs w:val="44"/>
        </w:rPr>
      </w:pPr>
      <w:r>
        <w:rPr>
          <w:rFonts w:hint="eastAsia" w:ascii="Times New Roman" w:hAnsi="Times New Roman" w:cs="Times New Roman"/>
          <w:b/>
          <w:color w:val="auto"/>
          <w:sz w:val="36"/>
          <w:szCs w:val="36"/>
          <w:lang w:val="zh-TW" w:eastAsia="zh-TW"/>
        </w:rPr>
        <w:t>初步评审表</w:t>
      </w:r>
    </w:p>
    <w:p>
      <w:pPr>
        <w:pStyle w:val="73"/>
        <w:tabs>
          <w:tab w:val="left" w:pos="5580"/>
        </w:tabs>
        <w:spacing w:line="22" w:lineRule="atLeast"/>
        <w:ind w:firstLine="120"/>
        <w:rPr>
          <w:rFonts w:ascii="Times New Roman" w:hAnsi="Times New Roman"/>
          <w:color w:val="auto"/>
          <w:sz w:val="21"/>
          <w:szCs w:val="21"/>
        </w:rPr>
      </w:pPr>
      <w:r>
        <w:rPr>
          <w:rFonts w:hint="eastAsia" w:ascii="Times New Roman" w:hAnsi="Times New Roman"/>
          <w:color w:val="auto"/>
          <w:sz w:val="21"/>
          <w:szCs w:val="21"/>
          <w:lang w:val="zh-TW" w:eastAsia="zh-TW"/>
        </w:rPr>
        <w:t>评委：</w:t>
      </w:r>
    </w:p>
    <w:p>
      <w:pPr>
        <w:pStyle w:val="73"/>
        <w:tabs>
          <w:tab w:val="left" w:pos="5580"/>
        </w:tabs>
        <w:spacing w:line="22" w:lineRule="atLeast"/>
        <w:rPr>
          <w:rFonts w:ascii="Times New Roman" w:hAnsi="Times New Roman"/>
          <w:color w:val="auto"/>
          <w:sz w:val="21"/>
          <w:szCs w:val="21"/>
        </w:rPr>
      </w:pPr>
      <w:r>
        <w:rPr>
          <w:rFonts w:hint="eastAsia" w:ascii="Times New Roman" w:hAnsi="Times New Roman"/>
          <w:color w:val="auto"/>
          <w:sz w:val="21"/>
          <w:szCs w:val="21"/>
          <w:lang w:val="zh-TW" w:eastAsia="zh-TW"/>
        </w:rPr>
        <w:t>日期：</w:t>
      </w:r>
    </w:p>
    <w:tbl>
      <w:tblPr>
        <w:tblStyle w:val="51"/>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068"/>
        <w:gridCol w:w="2896"/>
        <w:gridCol w:w="3278"/>
        <w:gridCol w:w="105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00" w:hRule="atLeast"/>
          <w:jc w:val="center"/>
        </w:trPr>
        <w:tc>
          <w:tcPr>
            <w:tcW w:w="10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lang w:val="zh-TW" w:eastAsia="zh-TW"/>
              </w:rPr>
              <w:t>序号</w:t>
            </w:r>
          </w:p>
        </w:tc>
        <w:tc>
          <w:tcPr>
            <w:tcW w:w="28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lang w:val="zh-TW" w:eastAsia="zh-TW"/>
              </w:rPr>
              <w:t>审查项目</w:t>
            </w:r>
          </w:p>
        </w:tc>
        <w:tc>
          <w:tcPr>
            <w:tcW w:w="32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lang w:val="zh-TW" w:eastAsia="zh-TW"/>
              </w:rPr>
              <w:t>评议内容</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after="0" w:line="360" w:lineRule="exact"/>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lang w:val="zh-TW" w:eastAsia="zh-TW"/>
              </w:rPr>
              <w:t>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0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Ansi="宋体" w:cs="宋体"/>
                <w:color w:val="auto"/>
                <w:sz w:val="24"/>
                <w:szCs w:val="24"/>
              </w:rPr>
              <w:t>1</w:t>
            </w:r>
          </w:p>
        </w:tc>
        <w:tc>
          <w:tcPr>
            <w:tcW w:w="28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int="eastAsia" w:hAnsi="宋体" w:cs="宋体"/>
                <w:color w:val="auto"/>
                <w:sz w:val="24"/>
                <w:szCs w:val="24"/>
              </w:rPr>
              <w:t>供应商的资格</w:t>
            </w:r>
          </w:p>
        </w:tc>
        <w:tc>
          <w:tcPr>
            <w:tcW w:w="32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int="eastAsia" w:hAnsi="宋体" w:cs="宋体"/>
                <w:color w:val="auto"/>
                <w:sz w:val="24"/>
                <w:szCs w:val="24"/>
              </w:rPr>
              <w:t>是否符合供应商资格要求</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04" w:hRule="exact"/>
          <w:jc w:val="center"/>
        </w:trPr>
        <w:tc>
          <w:tcPr>
            <w:tcW w:w="10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Ansi="宋体" w:cs="宋体"/>
                <w:color w:val="auto"/>
                <w:sz w:val="24"/>
                <w:szCs w:val="24"/>
              </w:rPr>
              <w:t>2</w:t>
            </w:r>
          </w:p>
        </w:tc>
        <w:tc>
          <w:tcPr>
            <w:tcW w:w="28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int="eastAsia" w:hAnsi="宋体" w:cs="宋体"/>
                <w:color w:val="auto"/>
                <w:sz w:val="24"/>
                <w:szCs w:val="24"/>
              </w:rPr>
              <w:t>磋商响应文件的响应性</w:t>
            </w:r>
          </w:p>
        </w:tc>
        <w:tc>
          <w:tcPr>
            <w:tcW w:w="32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int="eastAsia" w:hAnsi="宋体" w:cs="宋体"/>
                <w:color w:val="auto"/>
                <w:sz w:val="24"/>
                <w:szCs w:val="24"/>
              </w:rPr>
              <w:t>是否符合磋商响应文件的式样和签署要求，且内容完整无缺漏</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0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Ansi="宋体" w:cs="宋体"/>
                <w:color w:val="auto"/>
                <w:sz w:val="24"/>
                <w:szCs w:val="24"/>
              </w:rPr>
              <w:t>3</w:t>
            </w:r>
          </w:p>
        </w:tc>
        <w:tc>
          <w:tcPr>
            <w:tcW w:w="28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int="eastAsia" w:hAnsi="宋体" w:cs="宋体"/>
                <w:color w:val="auto"/>
                <w:sz w:val="24"/>
                <w:szCs w:val="24"/>
              </w:rPr>
              <w:t>投标有效期</w:t>
            </w:r>
          </w:p>
        </w:tc>
        <w:tc>
          <w:tcPr>
            <w:tcW w:w="32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int="eastAsia" w:hAnsi="宋体" w:cs="宋体"/>
                <w:color w:val="auto"/>
                <w:sz w:val="24"/>
                <w:szCs w:val="24"/>
              </w:rPr>
              <w:t>是否满足磋商文件要求</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cantSplit/>
          <w:trHeight w:val="567" w:hRule="exact"/>
          <w:jc w:val="center"/>
        </w:trPr>
        <w:tc>
          <w:tcPr>
            <w:tcW w:w="10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Ansi="宋体" w:cs="宋体"/>
                <w:color w:val="auto"/>
                <w:sz w:val="24"/>
                <w:szCs w:val="24"/>
              </w:rPr>
              <w:t>4</w:t>
            </w:r>
          </w:p>
        </w:tc>
        <w:tc>
          <w:tcPr>
            <w:tcW w:w="28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lang w:val="zh-TW" w:eastAsia="zh-TW"/>
              </w:rPr>
            </w:pPr>
            <w:r>
              <w:rPr>
                <w:rFonts w:hint="eastAsia" w:ascii="Times New Roman" w:hAnsi="Times New Roman" w:cs="Times New Roman"/>
                <w:color w:val="auto"/>
                <w:sz w:val="21"/>
                <w:szCs w:val="21"/>
                <w:lang w:val="zh-TW" w:eastAsia="zh-TW"/>
              </w:rPr>
              <w:t>合同履行期限</w:t>
            </w:r>
          </w:p>
        </w:tc>
        <w:tc>
          <w:tcPr>
            <w:tcW w:w="32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lang w:val="zh-TW" w:eastAsia="zh-TW"/>
              </w:rPr>
            </w:pPr>
            <w:r>
              <w:rPr>
                <w:rFonts w:hint="eastAsia" w:hAnsi="宋体" w:cs="宋体"/>
                <w:color w:val="auto"/>
                <w:sz w:val="24"/>
                <w:szCs w:val="24"/>
              </w:rPr>
              <w:t>是否满足磋商文件要求</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exact"/>
          <w:jc w:val="center"/>
        </w:trPr>
        <w:tc>
          <w:tcPr>
            <w:tcW w:w="10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Ansi="宋体" w:cs="宋体"/>
                <w:color w:val="auto"/>
                <w:sz w:val="24"/>
                <w:szCs w:val="24"/>
              </w:rPr>
              <w:t>5</w:t>
            </w:r>
          </w:p>
        </w:tc>
        <w:tc>
          <w:tcPr>
            <w:tcW w:w="28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hint="eastAsia" w:ascii="Times New Roman" w:hAnsi="Times New Roman" w:eastAsia="宋体" w:cs="Times New Roman"/>
                <w:color w:val="auto"/>
                <w:sz w:val="21"/>
                <w:szCs w:val="21"/>
                <w:lang w:eastAsia="zh-CN"/>
              </w:rPr>
            </w:pPr>
            <w:r>
              <w:rPr>
                <w:rFonts w:hint="eastAsia" w:hAnsi="宋体" w:cs="宋体"/>
                <w:color w:val="auto"/>
                <w:sz w:val="24"/>
                <w:szCs w:val="24"/>
                <w:lang w:eastAsia="zh-CN"/>
              </w:rPr>
              <w:t>交货地点</w:t>
            </w:r>
          </w:p>
        </w:tc>
        <w:tc>
          <w:tcPr>
            <w:tcW w:w="32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ascii="Times New Roman" w:hAnsi="Times New Roman" w:cs="Times New Roman"/>
                <w:color w:val="auto"/>
                <w:sz w:val="21"/>
                <w:szCs w:val="21"/>
              </w:rPr>
            </w:pPr>
            <w:r>
              <w:rPr>
                <w:rFonts w:hint="eastAsia" w:hAnsi="宋体" w:cs="宋体"/>
                <w:color w:val="auto"/>
                <w:sz w:val="24"/>
                <w:szCs w:val="24"/>
              </w:rPr>
              <w:t>是否满足磋商文件要求</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52" w:hRule="exact"/>
          <w:jc w:val="center"/>
        </w:trPr>
        <w:tc>
          <w:tcPr>
            <w:tcW w:w="10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hint="eastAsia" w:ascii="Times New Roman" w:hAnsi="Times New Roman" w:cs="Times New Roman"/>
                <w:color w:val="auto"/>
                <w:sz w:val="21"/>
                <w:szCs w:val="21"/>
              </w:rPr>
            </w:pPr>
            <w:r>
              <w:rPr>
                <w:rFonts w:hAnsi="宋体" w:cs="宋体"/>
                <w:color w:val="auto"/>
                <w:sz w:val="24"/>
                <w:szCs w:val="24"/>
              </w:rPr>
              <w:t>6</w:t>
            </w:r>
          </w:p>
        </w:tc>
        <w:tc>
          <w:tcPr>
            <w:tcW w:w="289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hint="eastAsia" w:ascii="Times New Roman" w:hAnsi="Times New Roman" w:cs="Times New Roman"/>
                <w:color w:val="auto"/>
                <w:sz w:val="21"/>
                <w:szCs w:val="21"/>
                <w:lang w:val="zh-TW"/>
              </w:rPr>
            </w:pPr>
            <w:r>
              <w:rPr>
                <w:rFonts w:hint="eastAsia" w:hAnsi="宋体" w:cs="宋体"/>
                <w:color w:val="auto"/>
                <w:sz w:val="24"/>
                <w:szCs w:val="24"/>
              </w:rPr>
              <w:t>其它</w:t>
            </w:r>
          </w:p>
        </w:tc>
        <w:tc>
          <w:tcPr>
            <w:tcW w:w="327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before="100" w:beforeAutospacing="1" w:after="100" w:afterAutospacing="1"/>
              <w:jc w:val="center"/>
              <w:rPr>
                <w:rFonts w:hint="eastAsia" w:ascii="Times New Roman" w:hAnsi="Times New Roman" w:cs="Times New Roman"/>
                <w:color w:val="auto"/>
                <w:sz w:val="21"/>
                <w:szCs w:val="21"/>
                <w:lang w:val="zh-TW" w:eastAsia="zh-TW"/>
              </w:rPr>
            </w:pPr>
            <w:r>
              <w:rPr>
                <w:rFonts w:hint="eastAsia" w:hAnsi="宋体" w:cs="宋体"/>
                <w:color w:val="auto"/>
                <w:sz w:val="24"/>
                <w:szCs w:val="24"/>
              </w:rPr>
              <w:t>是否无其它无效磋商响应文件认定条件</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Times New Roman" w:hAnsi="Times New Roman" w:cs="Times New Roman"/>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4" w:hRule="atLeast"/>
          <w:jc w:val="center"/>
        </w:trPr>
        <w:tc>
          <w:tcPr>
            <w:tcW w:w="7242"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imes New Roman" w:hAnsi="Times New Roman" w:cs="Times New Roman"/>
                <w:b/>
                <w:color w:val="auto"/>
              </w:rPr>
            </w:pPr>
            <w:r>
              <w:rPr>
                <w:rFonts w:hint="eastAsia" w:ascii="Times New Roman" w:hAnsi="Times New Roman" w:cs="Times New Roman"/>
                <w:b/>
                <w:color w:val="auto"/>
                <w:sz w:val="24"/>
                <w:szCs w:val="24"/>
                <w:lang w:val="zh-TW" w:eastAsia="zh-TW"/>
              </w:rPr>
              <w:t>结论</w:t>
            </w:r>
          </w:p>
        </w:tc>
        <w:tc>
          <w:tcPr>
            <w:tcW w:w="10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Times New Roman" w:hAnsi="Times New Roman" w:cs="Times New Roman"/>
                <w:color w:val="auto"/>
              </w:rPr>
            </w:pPr>
          </w:p>
        </w:tc>
      </w:tr>
    </w:tbl>
    <w:p>
      <w:pPr>
        <w:pStyle w:val="73"/>
        <w:tabs>
          <w:tab w:val="left" w:pos="5580"/>
        </w:tabs>
        <w:ind w:left="108" w:hanging="108"/>
        <w:jc w:val="center"/>
        <w:rPr>
          <w:rFonts w:ascii="Times New Roman" w:hAnsi="Times New Roman"/>
          <w:color w:val="auto"/>
        </w:rPr>
      </w:pPr>
    </w:p>
    <w:p>
      <w:pPr>
        <w:pStyle w:val="73"/>
        <w:tabs>
          <w:tab w:val="left" w:pos="5580"/>
        </w:tabs>
        <w:jc w:val="center"/>
        <w:rPr>
          <w:rFonts w:ascii="Times New Roman" w:hAnsi="Times New Roman"/>
          <w:color w:val="auto"/>
        </w:rPr>
      </w:pPr>
    </w:p>
    <w:p>
      <w:pPr>
        <w:spacing w:after="0" w:line="360" w:lineRule="exact"/>
        <w:rPr>
          <w:rFonts w:ascii="Times New Roman" w:hAnsi="Times New Roman" w:cs="Times New Roman"/>
          <w:color w:val="auto"/>
          <w:sz w:val="21"/>
          <w:szCs w:val="21"/>
        </w:rPr>
      </w:pPr>
      <w:r>
        <w:rPr>
          <w:rFonts w:ascii="Times New Roman" w:hAnsi="Times New Roman" w:cs="Times New Roman"/>
          <w:color w:val="auto"/>
          <w:sz w:val="21"/>
          <w:szCs w:val="21"/>
        </w:rPr>
        <w:t>1</w:t>
      </w:r>
      <w:r>
        <w:rPr>
          <w:rStyle w:val="84"/>
          <w:rFonts w:hint="default" w:ascii="Times New Roman" w:hAnsi="Times New Roman" w:cs="Times New Roman"/>
          <w:color w:val="auto"/>
          <w:sz w:val="21"/>
          <w:szCs w:val="21"/>
        </w:rPr>
        <w:t>、表中只需填写</w:t>
      </w:r>
      <w:r>
        <w:rPr>
          <w:rFonts w:hint="eastAsia" w:ascii="Times New Roman" w:hAnsi="Times New Roman" w:eastAsia="微软雅黑" w:cs="Times New Roman"/>
          <w:color w:val="auto"/>
          <w:sz w:val="21"/>
          <w:szCs w:val="21"/>
        </w:rPr>
        <w:t>“</w:t>
      </w:r>
      <w:r>
        <w:rPr>
          <w:rFonts w:ascii="Times New Roman" w:hAnsi="Times New Roman" w:cs="Times New Roman"/>
          <w:color w:val="auto"/>
          <w:sz w:val="21"/>
          <w:szCs w:val="21"/>
        </w:rPr>
        <w:t>√/</w:t>
      </w:r>
      <w:r>
        <w:rPr>
          <w:rStyle w:val="84"/>
          <w:rFonts w:hint="default" w:ascii="Times New Roman" w:hAnsi="Times New Roman" w:cs="Times New Roman"/>
          <w:color w:val="auto"/>
          <w:sz w:val="21"/>
          <w:szCs w:val="21"/>
        </w:rPr>
        <w:t>通过</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或</w:t>
      </w:r>
      <w:r>
        <w:rPr>
          <w:rFonts w:hint="eastAsia" w:ascii="Times New Roman" w:hAnsi="Times New Roman" w:eastAsia="微软雅黑" w:cs="Times New Roman"/>
          <w:color w:val="auto"/>
          <w:sz w:val="21"/>
          <w:szCs w:val="21"/>
        </w:rPr>
        <w:t>“</w:t>
      </w:r>
      <w:r>
        <w:rPr>
          <w:rFonts w:ascii="Times New Roman" w:hAnsi="Times New Roman" w:cs="Times New Roman"/>
          <w:color w:val="auto"/>
          <w:sz w:val="21"/>
          <w:szCs w:val="21"/>
        </w:rPr>
        <w:t>×/</w:t>
      </w:r>
      <w:r>
        <w:rPr>
          <w:rStyle w:val="84"/>
          <w:rFonts w:hint="default" w:ascii="Times New Roman" w:hAnsi="Times New Roman" w:cs="Times New Roman"/>
          <w:color w:val="auto"/>
          <w:sz w:val="21"/>
          <w:szCs w:val="21"/>
        </w:rPr>
        <w:t>不通过</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w:t>
      </w:r>
    </w:p>
    <w:p>
      <w:pPr>
        <w:spacing w:after="0" w:line="360" w:lineRule="exact"/>
        <w:rPr>
          <w:rFonts w:ascii="Times New Roman" w:hAnsi="Times New Roman" w:cs="Times New Roman"/>
          <w:color w:val="auto"/>
          <w:sz w:val="21"/>
          <w:szCs w:val="21"/>
        </w:rPr>
      </w:pPr>
      <w:r>
        <w:rPr>
          <w:rFonts w:ascii="Times New Roman" w:hAnsi="Times New Roman" w:cs="Times New Roman"/>
          <w:color w:val="auto"/>
          <w:sz w:val="21"/>
          <w:szCs w:val="21"/>
        </w:rPr>
        <w:t>2</w:t>
      </w:r>
      <w:r>
        <w:rPr>
          <w:rStyle w:val="84"/>
          <w:rFonts w:hint="default" w:ascii="Times New Roman" w:hAnsi="Times New Roman" w:cs="Times New Roman"/>
          <w:color w:val="auto"/>
          <w:sz w:val="21"/>
          <w:szCs w:val="21"/>
        </w:rPr>
        <w:t>、在结论中按</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一项否决</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的原则，只有全部是</w:t>
      </w:r>
      <w:r>
        <w:rPr>
          <w:rFonts w:ascii="Times New Roman" w:hAnsi="Times New Roman" w:cs="Times New Roman"/>
          <w:color w:val="auto"/>
          <w:sz w:val="21"/>
          <w:szCs w:val="21"/>
        </w:rPr>
        <w:t>√/</w:t>
      </w:r>
      <w:r>
        <w:rPr>
          <w:rStyle w:val="84"/>
          <w:rFonts w:hint="default" w:ascii="Times New Roman" w:hAnsi="Times New Roman" w:cs="Times New Roman"/>
          <w:color w:val="auto"/>
          <w:sz w:val="21"/>
          <w:szCs w:val="21"/>
        </w:rPr>
        <w:t>通过的，填写</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合格</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；只要其中有一项是</w:t>
      </w:r>
      <w:r>
        <w:rPr>
          <w:rFonts w:ascii="Times New Roman" w:hAnsi="Times New Roman" w:cs="Times New Roman"/>
          <w:color w:val="auto"/>
          <w:sz w:val="21"/>
          <w:szCs w:val="21"/>
        </w:rPr>
        <w:t>×/</w:t>
      </w:r>
      <w:r>
        <w:rPr>
          <w:rStyle w:val="84"/>
          <w:rFonts w:hint="default" w:ascii="Times New Roman" w:hAnsi="Times New Roman" w:cs="Times New Roman"/>
          <w:color w:val="auto"/>
          <w:sz w:val="21"/>
          <w:szCs w:val="21"/>
        </w:rPr>
        <w:t>不通过的，填写</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不合格</w:t>
      </w:r>
      <w:r>
        <w:rPr>
          <w:rFonts w:hint="eastAsia" w:ascii="Times New Roman" w:hAnsi="Times New Roman" w:eastAsia="微软雅黑" w:cs="Times New Roman"/>
          <w:color w:val="auto"/>
          <w:sz w:val="21"/>
          <w:szCs w:val="21"/>
        </w:rPr>
        <w:t>”</w:t>
      </w:r>
      <w:r>
        <w:rPr>
          <w:rStyle w:val="84"/>
          <w:rFonts w:hint="default" w:ascii="Times New Roman" w:hAnsi="Times New Roman" w:cs="Times New Roman"/>
          <w:color w:val="auto"/>
          <w:sz w:val="21"/>
          <w:szCs w:val="21"/>
        </w:rPr>
        <w:t>。</w:t>
      </w:r>
    </w:p>
    <w:p>
      <w:pPr>
        <w:spacing w:after="0" w:line="360" w:lineRule="exact"/>
        <w:rPr>
          <w:rFonts w:ascii="Times New Roman" w:hAnsi="Times New Roman" w:cs="Times New Roman"/>
          <w:color w:val="auto"/>
          <w:sz w:val="21"/>
          <w:szCs w:val="21"/>
        </w:rPr>
      </w:pPr>
      <w:r>
        <w:rPr>
          <w:rFonts w:ascii="Times New Roman" w:hAnsi="Times New Roman" w:cs="Times New Roman"/>
          <w:color w:val="auto"/>
          <w:sz w:val="21"/>
          <w:szCs w:val="21"/>
        </w:rPr>
        <w:t>3</w:t>
      </w:r>
      <w:r>
        <w:rPr>
          <w:rStyle w:val="84"/>
          <w:rFonts w:hint="default" w:ascii="Times New Roman" w:hAnsi="Times New Roman" w:cs="Times New Roman"/>
          <w:color w:val="auto"/>
          <w:sz w:val="21"/>
          <w:szCs w:val="21"/>
        </w:rPr>
        <w:t>、结论是合格的，才能通过初步评审。</w:t>
      </w: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pStyle w:val="78"/>
        <w:ind w:firstLine="480"/>
        <w:rPr>
          <w:rFonts w:ascii="Times New Roman" w:cs="Times New Roman"/>
          <w:color w:val="auto"/>
        </w:rPr>
      </w:pPr>
    </w:p>
    <w:p>
      <w:pPr>
        <w:pStyle w:val="78"/>
        <w:ind w:firstLine="480"/>
        <w:rPr>
          <w:rFonts w:ascii="Times New Roman" w:cs="Times New Roman"/>
          <w:color w:val="auto"/>
        </w:rPr>
      </w:pPr>
    </w:p>
    <w:p>
      <w:pPr>
        <w:rPr>
          <w:rFonts w:ascii="Times New Roman" w:hAnsi="Times New Roman" w:cs="Times New Roman"/>
          <w:b/>
          <w:color w:val="auto"/>
          <w:sz w:val="24"/>
          <w:szCs w:val="24"/>
        </w:rPr>
      </w:pPr>
    </w:p>
    <w:p>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pPr>
        <w:rPr>
          <w:rFonts w:ascii="Times New Roman" w:hAnsi="Times New Roman" w:cs="Times New Roman"/>
          <w:b/>
          <w:color w:val="auto"/>
          <w:sz w:val="24"/>
          <w:szCs w:val="24"/>
        </w:rPr>
      </w:pPr>
      <w:r>
        <w:rPr>
          <w:rFonts w:hint="eastAsia" w:ascii="Times New Roman" w:hAnsi="Times New Roman" w:cs="Times New Roman"/>
          <w:b/>
          <w:color w:val="auto"/>
          <w:sz w:val="24"/>
          <w:szCs w:val="24"/>
        </w:rPr>
        <w:t>附表</w:t>
      </w:r>
      <w:r>
        <w:rPr>
          <w:rFonts w:ascii="Times New Roman" w:hAnsi="Times New Roman" w:cs="Times New Roman"/>
          <w:b/>
          <w:color w:val="auto"/>
          <w:sz w:val="24"/>
          <w:szCs w:val="24"/>
        </w:rPr>
        <w:t>2</w:t>
      </w:r>
      <w:bookmarkStart w:id="157" w:name="_Toc459188266"/>
    </w:p>
    <w:p>
      <w:pPr>
        <w:spacing w:line="360" w:lineRule="auto"/>
        <w:ind w:firstLine="3347"/>
        <w:rPr>
          <w:rFonts w:ascii="Times New Roman" w:hAnsi="Times New Roman" w:cs="Times New Roman"/>
          <w:color w:val="auto"/>
        </w:rPr>
      </w:pPr>
      <w:r>
        <w:rPr>
          <w:rFonts w:hint="eastAsia" w:ascii="Times New Roman" w:hAnsi="Times New Roman" w:cs="Times New Roman"/>
          <w:b/>
          <w:color w:val="auto"/>
          <w:sz w:val="32"/>
          <w:szCs w:val="32"/>
          <w:lang w:val="zh-TW" w:eastAsia="zh-TW"/>
        </w:rPr>
        <w:t>最终报价表</w:t>
      </w:r>
    </w:p>
    <w:p>
      <w:pPr>
        <w:spacing w:line="360" w:lineRule="auto"/>
        <w:ind w:firstLine="3347"/>
        <w:rPr>
          <w:rFonts w:ascii="Times New Roman" w:hAnsi="Times New Roman" w:cs="Times New Roman"/>
          <w:color w:val="auto"/>
        </w:rPr>
      </w:pPr>
    </w:p>
    <w:tbl>
      <w:tblPr>
        <w:tblStyle w:val="51"/>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2"/>
        <w:gridCol w:w="6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jc w:val="center"/>
        </w:trPr>
        <w:tc>
          <w:tcPr>
            <w:tcW w:w="2122" w:type="dxa"/>
            <w:vAlign w:val="center"/>
          </w:tcPr>
          <w:p>
            <w:pPr>
              <w:spacing w:after="0"/>
              <w:ind w:left="147" w:leftChars="67" w:right="108" w:rightChars="49"/>
              <w:jc w:val="center"/>
              <w:rPr>
                <w:rFonts w:ascii="仿宋_GB2312" w:hAnsi="宋体" w:eastAsia="仿宋_GB2312"/>
                <w:b/>
                <w:color w:val="auto"/>
                <w:sz w:val="24"/>
              </w:rPr>
            </w:pPr>
            <w:r>
              <w:rPr>
                <w:rFonts w:hint="eastAsia" w:ascii="仿宋_GB2312" w:hAnsi="宋体" w:eastAsia="仿宋_GB2312"/>
                <w:b/>
                <w:color w:val="auto"/>
                <w:sz w:val="24"/>
              </w:rPr>
              <w:t>项目编号</w:t>
            </w:r>
          </w:p>
        </w:tc>
        <w:tc>
          <w:tcPr>
            <w:tcW w:w="6153" w:type="dxa"/>
            <w:vAlign w:val="center"/>
          </w:tcPr>
          <w:p>
            <w:pPr>
              <w:spacing w:after="0"/>
              <w:ind w:left="198" w:leftChars="90" w:firstLine="1"/>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jc w:val="center"/>
        </w:trPr>
        <w:tc>
          <w:tcPr>
            <w:tcW w:w="2122" w:type="dxa"/>
            <w:vAlign w:val="center"/>
          </w:tcPr>
          <w:p>
            <w:pPr>
              <w:spacing w:after="0"/>
              <w:ind w:left="147" w:leftChars="67" w:right="108" w:rightChars="49"/>
              <w:jc w:val="center"/>
              <w:rPr>
                <w:rFonts w:ascii="仿宋_GB2312" w:hAnsi="宋体" w:eastAsia="仿宋_GB2312"/>
                <w:b/>
                <w:color w:val="auto"/>
                <w:sz w:val="24"/>
              </w:rPr>
            </w:pPr>
            <w:r>
              <w:rPr>
                <w:rFonts w:hint="eastAsia" w:ascii="仿宋_GB2312" w:hAnsi="宋体" w:eastAsia="仿宋_GB2312"/>
                <w:b/>
                <w:color w:val="auto"/>
                <w:sz w:val="24"/>
              </w:rPr>
              <w:t>项目名称</w:t>
            </w:r>
          </w:p>
        </w:tc>
        <w:tc>
          <w:tcPr>
            <w:tcW w:w="6153" w:type="dxa"/>
            <w:vAlign w:val="center"/>
          </w:tcPr>
          <w:p>
            <w:pPr>
              <w:spacing w:after="0"/>
              <w:ind w:left="198" w:leftChars="90" w:firstLine="1"/>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2122" w:type="dxa"/>
            <w:vAlign w:val="center"/>
          </w:tcPr>
          <w:p>
            <w:pPr>
              <w:spacing w:after="0"/>
              <w:ind w:left="-13" w:leftChars="-6"/>
              <w:jc w:val="center"/>
              <w:rPr>
                <w:rFonts w:hint="eastAsia" w:ascii="仿宋_GB2312" w:hAnsi="宋体" w:eastAsia="仿宋_GB2312"/>
                <w:b/>
                <w:color w:val="auto"/>
                <w:sz w:val="24"/>
                <w:lang w:eastAsia="zh-CN"/>
              </w:rPr>
            </w:pPr>
            <w:r>
              <w:rPr>
                <w:rFonts w:hint="eastAsia" w:ascii="仿宋_GB2312" w:hAnsi="宋体" w:eastAsia="仿宋_GB2312"/>
                <w:b/>
                <w:color w:val="auto"/>
                <w:sz w:val="24"/>
              </w:rPr>
              <w:t>报价金额</w:t>
            </w:r>
            <w:r>
              <w:rPr>
                <w:rFonts w:hint="eastAsia" w:ascii="仿宋_GB2312" w:hAnsi="宋体" w:eastAsia="仿宋_GB2312"/>
                <w:b/>
                <w:color w:val="auto"/>
                <w:sz w:val="24"/>
                <w:lang w:eastAsia="zh-CN"/>
              </w:rPr>
              <w:t>（</w:t>
            </w:r>
            <w:r>
              <w:rPr>
                <w:rFonts w:hint="eastAsia" w:ascii="仿宋_GB2312" w:hAnsi="宋体" w:eastAsia="仿宋_GB2312"/>
                <w:b/>
                <w:color w:val="auto"/>
                <w:sz w:val="24"/>
                <w:lang w:val="en-US" w:eastAsia="zh-CN"/>
              </w:rPr>
              <w:t>元</w:t>
            </w:r>
            <w:r>
              <w:rPr>
                <w:rFonts w:hint="eastAsia" w:ascii="仿宋_GB2312" w:hAnsi="宋体" w:eastAsia="仿宋_GB2312"/>
                <w:b/>
                <w:color w:val="auto"/>
                <w:sz w:val="24"/>
                <w:lang w:eastAsia="zh-CN"/>
              </w:rPr>
              <w:t>）</w:t>
            </w:r>
          </w:p>
        </w:tc>
        <w:tc>
          <w:tcPr>
            <w:tcW w:w="6153" w:type="dxa"/>
            <w:vAlign w:val="center"/>
          </w:tcPr>
          <w:p>
            <w:pPr>
              <w:widowControl/>
              <w:jc w:val="left"/>
              <w:rPr>
                <w:rFonts w:hAnsi="宋体" w:cs="宋体"/>
                <w:b/>
                <w:bCs/>
                <w:color w:val="auto"/>
                <w:sz w:val="22"/>
                <w:szCs w:val="22"/>
              </w:rPr>
            </w:pPr>
            <w:r>
              <w:rPr>
                <w:rFonts w:hint="eastAsia" w:hAnsi="宋体" w:cs="宋体"/>
                <w:b/>
                <w:bCs/>
                <w:color w:val="auto"/>
                <w:sz w:val="22"/>
                <w:szCs w:val="22"/>
              </w:rPr>
              <w:t>大写：</w:t>
            </w:r>
          </w:p>
          <w:p>
            <w:pPr>
              <w:widowControl/>
              <w:ind w:firstLine="1546" w:firstLineChars="700"/>
              <w:jc w:val="left"/>
              <w:rPr>
                <w:rFonts w:hAnsi="宋体" w:cs="宋体"/>
                <w:b/>
                <w:bCs/>
                <w:color w:val="auto"/>
                <w:sz w:val="22"/>
                <w:szCs w:val="22"/>
              </w:rPr>
            </w:pPr>
          </w:p>
          <w:p>
            <w:pPr>
              <w:widowControl/>
              <w:jc w:val="left"/>
              <w:rPr>
                <w:rFonts w:hAnsi="宋体" w:cs="宋体"/>
                <w:b/>
                <w:bCs/>
                <w:color w:val="auto"/>
                <w:sz w:val="22"/>
                <w:szCs w:val="22"/>
              </w:rPr>
            </w:pPr>
            <w:r>
              <w:rPr>
                <w:rFonts w:hint="eastAsia" w:hAnsi="宋体" w:cs="宋体"/>
                <w:b/>
                <w:bCs/>
                <w:color w:val="auto"/>
                <w:sz w:val="22"/>
                <w:szCs w:val="22"/>
              </w:rPr>
              <w:t>小写：</w:t>
            </w:r>
          </w:p>
          <w:p>
            <w:pPr>
              <w:spacing w:after="0"/>
              <w:ind w:left="198" w:leftChars="90" w:firstLine="720" w:firstLineChars="300"/>
              <w:jc w:val="righ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2122" w:type="dxa"/>
            <w:vAlign w:val="center"/>
          </w:tcPr>
          <w:p>
            <w:pPr>
              <w:spacing w:after="0"/>
              <w:ind w:left="-13" w:leftChars="-6"/>
              <w:jc w:val="center"/>
              <w:rPr>
                <w:rFonts w:ascii="仿宋_GB2312" w:hAnsi="宋体" w:eastAsia="仿宋_GB2312"/>
                <w:b/>
                <w:color w:val="auto"/>
                <w:sz w:val="24"/>
              </w:rPr>
            </w:pPr>
            <w:r>
              <w:rPr>
                <w:rFonts w:hint="eastAsia" w:ascii="仿宋_GB2312" w:hAnsi="宋体" w:eastAsia="仿宋_GB2312"/>
                <w:b/>
                <w:color w:val="auto"/>
                <w:sz w:val="24"/>
              </w:rPr>
              <w:t>合同履行期限</w:t>
            </w:r>
          </w:p>
        </w:tc>
        <w:tc>
          <w:tcPr>
            <w:tcW w:w="6153" w:type="dxa"/>
            <w:vAlign w:val="center"/>
          </w:tcPr>
          <w:p>
            <w:pPr>
              <w:spacing w:after="0"/>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2122" w:type="dxa"/>
            <w:vAlign w:val="center"/>
          </w:tcPr>
          <w:p>
            <w:pPr>
              <w:spacing w:after="0"/>
              <w:ind w:left="-13" w:leftChars="-6"/>
              <w:jc w:val="center"/>
              <w:rPr>
                <w:rFonts w:hint="eastAsia" w:ascii="仿宋_GB2312" w:hAnsi="宋体" w:eastAsia="仿宋_GB2312"/>
                <w:b/>
                <w:color w:val="auto"/>
                <w:sz w:val="24"/>
                <w:lang w:eastAsia="zh-CN"/>
              </w:rPr>
            </w:pPr>
            <w:r>
              <w:rPr>
                <w:rFonts w:hint="eastAsia" w:ascii="仿宋_GB2312" w:hAnsi="宋体" w:eastAsia="仿宋_GB2312"/>
                <w:b/>
                <w:color w:val="auto"/>
                <w:sz w:val="24"/>
                <w:lang w:eastAsia="zh-CN"/>
              </w:rPr>
              <w:t>交货地点</w:t>
            </w:r>
          </w:p>
        </w:tc>
        <w:tc>
          <w:tcPr>
            <w:tcW w:w="6153" w:type="dxa"/>
            <w:vAlign w:val="center"/>
          </w:tcPr>
          <w:p>
            <w:pP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2122" w:type="dxa"/>
            <w:vAlign w:val="center"/>
          </w:tcPr>
          <w:p>
            <w:pPr>
              <w:spacing w:after="0"/>
              <w:jc w:val="center"/>
              <w:rPr>
                <w:rFonts w:ascii="仿宋_GB2312" w:hAnsi="宋体" w:eastAsia="仿宋_GB2312"/>
                <w:b/>
                <w:color w:val="auto"/>
                <w:sz w:val="24"/>
              </w:rPr>
            </w:pPr>
            <w:r>
              <w:rPr>
                <w:rFonts w:hint="eastAsia" w:ascii="仿宋_GB2312" w:hAnsi="宋体" w:eastAsia="仿宋_GB2312"/>
                <w:b/>
                <w:color w:val="auto"/>
                <w:sz w:val="24"/>
              </w:rPr>
              <w:t>其他声明（如有）</w:t>
            </w:r>
          </w:p>
        </w:tc>
        <w:tc>
          <w:tcPr>
            <w:tcW w:w="6153" w:type="dxa"/>
            <w:vAlign w:val="center"/>
          </w:tcPr>
          <w:p>
            <w:pPr>
              <w:rPr>
                <w:rFonts w:ascii="仿宋_GB2312" w:hAnsi="宋体" w:eastAsia="仿宋_GB2312"/>
                <w:color w:val="auto"/>
                <w:sz w:val="24"/>
              </w:rPr>
            </w:pPr>
          </w:p>
        </w:tc>
      </w:tr>
    </w:tbl>
    <w:p>
      <w:pPr>
        <w:rPr>
          <w:rFonts w:ascii="Times New Roman" w:hAnsi="Times New Roman" w:cs="Times New Roman"/>
          <w:color w:val="auto"/>
          <w:sz w:val="21"/>
          <w:szCs w:val="21"/>
        </w:rPr>
      </w:pPr>
    </w:p>
    <w:p>
      <w:pPr>
        <w:pStyle w:val="73"/>
        <w:tabs>
          <w:tab w:val="left" w:pos="5580"/>
        </w:tabs>
        <w:spacing w:after="120" w:line="360" w:lineRule="auto"/>
        <w:rPr>
          <w:rFonts w:ascii="Times New Roman" w:hAnsi="Times New Roman"/>
          <w:color w:val="auto"/>
          <w:sz w:val="24"/>
          <w:szCs w:val="24"/>
        </w:rPr>
      </w:pPr>
      <w:r>
        <w:rPr>
          <w:rFonts w:hint="eastAsia" w:ascii="Times New Roman" w:hAnsi="Times New Roman"/>
          <w:color w:val="auto"/>
          <w:sz w:val="24"/>
          <w:szCs w:val="24"/>
          <w:lang w:val="zh-TW"/>
        </w:rPr>
        <w:t>供应商</w:t>
      </w:r>
      <w:r>
        <w:rPr>
          <w:rFonts w:hint="eastAsia" w:ascii="Times New Roman" w:hAnsi="Times New Roman"/>
          <w:color w:val="auto"/>
          <w:sz w:val="24"/>
          <w:szCs w:val="24"/>
          <w:lang w:val="zh-TW" w:eastAsia="zh-TW"/>
        </w:rPr>
        <w:t>：（盖章）</w:t>
      </w:r>
    </w:p>
    <w:p>
      <w:pPr>
        <w:pStyle w:val="73"/>
        <w:tabs>
          <w:tab w:val="left" w:pos="5580"/>
        </w:tabs>
        <w:spacing w:after="120" w:line="360" w:lineRule="auto"/>
        <w:rPr>
          <w:rFonts w:ascii="Times New Roman" w:hAnsi="Times New Roman"/>
          <w:color w:val="auto"/>
          <w:sz w:val="24"/>
          <w:szCs w:val="24"/>
          <w:lang w:val="zh-TW" w:eastAsia="zh-TW"/>
        </w:rPr>
      </w:pPr>
      <w:r>
        <w:rPr>
          <w:rFonts w:hint="eastAsia" w:ascii="Times New Roman" w:hAnsi="Times New Roman"/>
          <w:color w:val="auto"/>
          <w:sz w:val="24"/>
          <w:szCs w:val="24"/>
          <w:lang w:val="zh-TW"/>
        </w:rPr>
        <w:t>法定代表人（或授权委托人）</w:t>
      </w:r>
      <w:r>
        <w:rPr>
          <w:rFonts w:hint="eastAsia" w:ascii="Times New Roman" w:hAnsi="Times New Roman"/>
          <w:color w:val="auto"/>
          <w:sz w:val="24"/>
          <w:szCs w:val="24"/>
        </w:rPr>
        <w:t>：（签字或盖章）</w:t>
      </w:r>
    </w:p>
    <w:p>
      <w:pPr>
        <w:pStyle w:val="73"/>
        <w:tabs>
          <w:tab w:val="left" w:pos="5580"/>
        </w:tabs>
        <w:spacing w:line="360" w:lineRule="auto"/>
        <w:rPr>
          <w:rFonts w:ascii="Times New Roman" w:hAnsi="Times New Roman"/>
          <w:color w:val="auto"/>
          <w:sz w:val="24"/>
          <w:szCs w:val="24"/>
        </w:rPr>
      </w:pPr>
      <w:r>
        <w:rPr>
          <w:rFonts w:hint="eastAsia" w:ascii="Times New Roman" w:hAnsi="Times New Roman"/>
          <w:color w:val="auto"/>
          <w:sz w:val="24"/>
          <w:szCs w:val="24"/>
        </w:rPr>
        <w:t>日期：</w:t>
      </w:r>
      <w:r>
        <w:rPr>
          <w:rFonts w:hint="eastAsia" w:ascii="Times New Roman" w:hAnsi="Times New Roman"/>
          <w:color w:val="auto"/>
          <w:sz w:val="24"/>
          <w:szCs w:val="24"/>
          <w:lang w:val="en-US" w:eastAsia="zh-CN"/>
        </w:rPr>
        <w:t xml:space="preserve">  </w:t>
      </w:r>
      <w:r>
        <w:rPr>
          <w:rFonts w:hint="eastAsia"/>
          <w:color w:val="auto"/>
          <w:sz w:val="24"/>
          <w:lang w:val="zh-CN"/>
        </w:rPr>
        <w:t>年</w:t>
      </w:r>
      <w:r>
        <w:rPr>
          <w:rFonts w:hint="eastAsia"/>
          <w:color w:val="auto"/>
          <w:sz w:val="24"/>
          <w:lang w:val="en-US" w:eastAsia="zh-CN"/>
        </w:rPr>
        <w:t xml:space="preserve">  </w:t>
      </w:r>
      <w:r>
        <w:rPr>
          <w:rFonts w:hint="eastAsia"/>
          <w:color w:val="auto"/>
          <w:sz w:val="24"/>
          <w:lang w:val="zh-CN"/>
        </w:rPr>
        <w:t>月</w:t>
      </w:r>
      <w:r>
        <w:rPr>
          <w:rFonts w:hint="eastAsia"/>
          <w:color w:val="auto"/>
          <w:sz w:val="24"/>
          <w:lang w:val="en-US" w:eastAsia="zh-CN"/>
        </w:rPr>
        <w:t xml:space="preserve">  </w:t>
      </w:r>
      <w:r>
        <w:rPr>
          <w:rFonts w:hint="eastAsia"/>
          <w:color w:val="auto"/>
          <w:sz w:val="24"/>
          <w:lang w:val="zh-CN"/>
        </w:rPr>
        <w:t>日</w:t>
      </w:r>
    </w:p>
    <w:p>
      <w:pPr>
        <w:rPr>
          <w:rFonts w:ascii="Times New Roman" w:hAnsi="Times New Roman" w:cs="Times New Roman"/>
          <w:color w:val="auto"/>
          <w:sz w:val="21"/>
          <w:szCs w:val="21"/>
        </w:rPr>
      </w:pPr>
    </w:p>
    <w:p>
      <w:pPr>
        <w:rPr>
          <w:rFonts w:ascii="Times New Roman" w:hAnsi="Times New Roman" w:cs="Times New Roman"/>
          <w:color w:val="auto"/>
          <w:sz w:val="21"/>
          <w:szCs w:val="21"/>
        </w:rPr>
      </w:pPr>
    </w:p>
    <w:p>
      <w:pPr>
        <w:rPr>
          <w:rFonts w:ascii="Times New Roman" w:hAnsi="Times New Roman" w:cs="Times New Roman"/>
          <w:color w:val="auto"/>
          <w:sz w:val="21"/>
          <w:szCs w:val="21"/>
        </w:rPr>
      </w:pPr>
    </w:p>
    <w:p>
      <w:pPr>
        <w:rPr>
          <w:rFonts w:cs="Times New Roman"/>
          <w:b/>
          <w:color w:val="auto"/>
          <w:sz w:val="24"/>
          <w:szCs w:val="24"/>
        </w:rPr>
      </w:pPr>
      <w:r>
        <w:rPr>
          <w:rFonts w:hint="eastAsia"/>
          <w:b/>
          <w:color w:val="auto"/>
        </w:rPr>
        <w:t>注：此表须由供应商单独打印盖章带于开标现场，通过初步审查的供应商可进行第二轮报价，表格可自行添加。</w:t>
      </w:r>
    </w:p>
    <w:p>
      <w:pPr>
        <w:rPr>
          <w:rFonts w:ascii="Times New Roman" w:hAnsi="Times New Roman" w:cs="Times New Roman"/>
          <w:b/>
          <w:color w:val="auto"/>
          <w:sz w:val="24"/>
          <w:szCs w:val="24"/>
        </w:rPr>
      </w:pPr>
      <w:r>
        <w:rPr>
          <w:rFonts w:hint="eastAsia"/>
          <w:color w:val="auto"/>
        </w:rPr>
        <w:br w:type="page"/>
      </w:r>
      <w:r>
        <w:rPr>
          <w:rFonts w:hint="eastAsia" w:ascii="Times New Roman" w:hAnsi="Times New Roman" w:cs="Times New Roman"/>
          <w:b/>
          <w:color w:val="auto"/>
          <w:sz w:val="24"/>
          <w:szCs w:val="24"/>
        </w:rPr>
        <w:t>附表</w:t>
      </w:r>
      <w:r>
        <w:rPr>
          <w:rFonts w:ascii="Times New Roman" w:hAnsi="Times New Roman" w:cs="Times New Roman"/>
          <w:b/>
          <w:color w:val="auto"/>
          <w:sz w:val="24"/>
          <w:szCs w:val="24"/>
        </w:rPr>
        <w:t>3</w:t>
      </w:r>
      <w:bookmarkEnd w:id="157"/>
    </w:p>
    <w:p>
      <w:pPr>
        <w:spacing w:line="440" w:lineRule="exact"/>
        <w:ind w:firstLine="200"/>
        <w:jc w:val="center"/>
        <w:rPr>
          <w:rFonts w:ascii="Times New Roman" w:hAnsi="Times New Roman" w:cs="Times New Roman"/>
          <w:b/>
          <w:color w:val="auto"/>
          <w:sz w:val="28"/>
          <w:szCs w:val="28"/>
          <w:lang w:val="zh-TW" w:eastAsia="zh-TW"/>
        </w:rPr>
      </w:pPr>
      <w:r>
        <w:rPr>
          <w:rFonts w:hint="eastAsia" w:ascii="Times New Roman" w:hAnsi="Times New Roman" w:cs="Times New Roman"/>
          <w:b/>
          <w:color w:val="auto"/>
          <w:sz w:val="28"/>
          <w:szCs w:val="28"/>
          <w:lang w:val="zh-TW" w:eastAsia="zh-TW"/>
        </w:rPr>
        <w:t>中小企业声明函（服务）</w:t>
      </w:r>
    </w:p>
    <w:p>
      <w:pPr>
        <w:spacing w:line="44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本公司（联合体）郑重声明，根据《政府采购促进中小企业发展管理办法》（财库﹝</w:t>
      </w:r>
      <w:r>
        <w:rPr>
          <w:rFonts w:ascii="Times New Roman" w:hAnsi="Times New Roman" w:cs="Times New Roman"/>
          <w:color w:val="auto"/>
          <w:sz w:val="24"/>
          <w:szCs w:val="24"/>
        </w:rPr>
        <w:t>2020﹞46 号）的规定，本公司</w:t>
      </w:r>
      <w:r>
        <w:rPr>
          <w:rFonts w:hint="eastAsia" w:ascii="Times New Roman" w:hAnsi="Times New Roman" w:cs="Times New Roman"/>
          <w:color w:val="auto"/>
          <w:sz w:val="24"/>
          <w:szCs w:val="24"/>
        </w:rPr>
        <w:t>参加</w:t>
      </w:r>
      <w:r>
        <w:rPr>
          <w:rFonts w:ascii="Times New Roman" w:hAnsi="Times New Roman" w:cs="Times New Roman"/>
          <w:color w:val="auto"/>
          <w:sz w:val="24"/>
          <w:szCs w:val="24"/>
          <w:u w:val="single"/>
        </w:rPr>
        <w:t>（单位名称）</w:t>
      </w:r>
      <w:r>
        <w:rPr>
          <w:rFonts w:ascii="Times New Roman" w:hAnsi="Times New Roman" w:cs="Times New Roman"/>
          <w:color w:val="auto"/>
          <w:sz w:val="24"/>
          <w:szCs w:val="24"/>
        </w:rPr>
        <w:t>的</w:t>
      </w:r>
      <w:r>
        <w:rPr>
          <w:rFonts w:ascii="Times New Roman" w:hAnsi="Times New Roman" w:cs="Times New Roman"/>
          <w:color w:val="auto"/>
          <w:sz w:val="24"/>
          <w:szCs w:val="24"/>
          <w:u w:val="single"/>
        </w:rPr>
        <w:t>（项目名称）</w:t>
      </w:r>
      <w:r>
        <w:rPr>
          <w:rFonts w:ascii="Times New Roman" w:hAnsi="Times New Roman" w:cs="Times New Roman"/>
          <w:color w:val="auto"/>
          <w:sz w:val="24"/>
          <w:szCs w:val="24"/>
        </w:rPr>
        <w:t>采购活动，</w:t>
      </w:r>
      <w:r>
        <w:rPr>
          <w:rFonts w:hint="eastAsia" w:ascii="Times New Roman" w:hAnsi="Times New Roman" w:cs="Times New Roman"/>
          <w:color w:val="auto"/>
          <w:sz w:val="24"/>
          <w:szCs w:val="24"/>
        </w:rPr>
        <w:t>服务全部由符合政策要求的中小企业承接。相关企业（含联合体中的中小企业、签订分包意向协议的中小企业）的具体情况如下：</w:t>
      </w:r>
    </w:p>
    <w:p>
      <w:pPr>
        <w:spacing w:line="44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u w:val="single"/>
        </w:rPr>
        <w:t>（标的名称）</w:t>
      </w:r>
      <w:r>
        <w:rPr>
          <w:rFonts w:ascii="Times New Roman" w:hAnsi="Times New Roman" w:cs="Times New Roman"/>
          <w:color w:val="auto"/>
          <w:sz w:val="24"/>
          <w:szCs w:val="24"/>
        </w:rPr>
        <w:t>，属于</w:t>
      </w:r>
      <w:r>
        <w:rPr>
          <w:rFonts w:ascii="Times New Roman" w:hAnsi="Times New Roman" w:cs="Times New Roman"/>
          <w:color w:val="auto"/>
          <w:sz w:val="24"/>
          <w:szCs w:val="24"/>
          <w:u w:val="single"/>
        </w:rPr>
        <w:t>（采购文件中明确的所属行业）</w:t>
      </w:r>
      <w:r>
        <w:rPr>
          <w:rFonts w:ascii="Times New Roman" w:hAnsi="Times New Roman" w:cs="Times New Roman"/>
          <w:color w:val="auto"/>
          <w:sz w:val="24"/>
          <w:szCs w:val="24"/>
        </w:rPr>
        <w:t>；</w:t>
      </w:r>
      <w:r>
        <w:rPr>
          <w:rFonts w:hint="eastAsia" w:ascii="Times New Roman" w:hAnsi="Times New Roman" w:cs="Times New Roman"/>
          <w:color w:val="auto"/>
          <w:sz w:val="24"/>
          <w:szCs w:val="24"/>
        </w:rPr>
        <w:t>承接企业为</w:t>
      </w:r>
      <w:r>
        <w:rPr>
          <w:rFonts w:ascii="Times New Roman" w:hAnsi="Times New Roman" w:cs="Times New Roman"/>
          <w:color w:val="auto"/>
          <w:sz w:val="24"/>
          <w:szCs w:val="24"/>
          <w:u w:val="single"/>
        </w:rPr>
        <w:t>（企业名称）</w:t>
      </w:r>
      <w:r>
        <w:rPr>
          <w:rFonts w:ascii="Times New Roman" w:hAnsi="Times New Roman" w:cs="Times New Roman"/>
          <w:color w:val="auto"/>
          <w:sz w:val="24"/>
          <w:szCs w:val="24"/>
        </w:rPr>
        <w:t>，从业人员人，营业</w:t>
      </w:r>
      <w:r>
        <w:rPr>
          <w:rFonts w:hint="eastAsia" w:ascii="Times New Roman" w:hAnsi="Times New Roman" w:cs="Times New Roman"/>
          <w:color w:val="auto"/>
          <w:sz w:val="24"/>
          <w:szCs w:val="24"/>
        </w:rPr>
        <w:t>收入为</w:t>
      </w:r>
      <w:r>
        <w:rPr>
          <w:rFonts w:ascii="Times New Roman" w:hAnsi="Times New Roman" w:cs="Times New Roman"/>
          <w:color w:val="auto"/>
          <w:sz w:val="24"/>
          <w:szCs w:val="24"/>
        </w:rPr>
        <w:t>万元，资产总额为万元，属于</w:t>
      </w:r>
      <w:r>
        <w:rPr>
          <w:rFonts w:ascii="Times New Roman" w:hAnsi="Times New Roman" w:cs="Times New Roman"/>
          <w:color w:val="auto"/>
          <w:sz w:val="24"/>
          <w:szCs w:val="24"/>
          <w:u w:val="single"/>
        </w:rPr>
        <w:t>（中型企业、</w:t>
      </w:r>
      <w:r>
        <w:rPr>
          <w:rFonts w:hint="eastAsia" w:ascii="Times New Roman" w:hAnsi="Times New Roman" w:cs="Times New Roman"/>
          <w:color w:val="auto"/>
          <w:sz w:val="24"/>
          <w:szCs w:val="24"/>
          <w:u w:val="single"/>
        </w:rPr>
        <w:t>小型企业、微型企业）</w:t>
      </w:r>
      <w:r>
        <w:rPr>
          <w:rFonts w:ascii="Times New Roman" w:hAnsi="Times New Roman" w:cs="Times New Roman"/>
          <w:color w:val="auto"/>
          <w:sz w:val="24"/>
          <w:szCs w:val="24"/>
        </w:rPr>
        <w:t>；</w:t>
      </w:r>
    </w:p>
    <w:p>
      <w:pPr>
        <w:spacing w:line="44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以上企业，不属于大企业的分支机构，不存在控股股东为大企业的情形，也不存在与大企业的负责人为同一人的情形。</w:t>
      </w:r>
    </w:p>
    <w:p>
      <w:pPr>
        <w:spacing w:line="44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本企业对上述声明内容的真实性负责。如有虚假，将依法承担相应责任。</w:t>
      </w:r>
    </w:p>
    <w:p>
      <w:pPr>
        <w:spacing w:line="44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企业名称（盖章）：</w:t>
      </w:r>
    </w:p>
    <w:p>
      <w:pPr>
        <w:spacing w:line="440" w:lineRule="exact"/>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rPr>
        <w:t>日</w:t>
      </w:r>
      <w:r>
        <w:rPr>
          <w:rFonts w:ascii="Times New Roman" w:hAnsi="Times New Roman" w:cs="Times New Roman"/>
          <w:color w:val="auto"/>
          <w:sz w:val="24"/>
          <w:szCs w:val="24"/>
        </w:rPr>
        <w:t>期：</w:t>
      </w:r>
    </w:p>
    <w:p>
      <w:pPr>
        <w:spacing w:line="440" w:lineRule="exact"/>
        <w:ind w:firstLine="480" w:firstLineChars="200"/>
        <w:rPr>
          <w:rFonts w:ascii="Times New Roman" w:hAnsi="Times New Roman" w:cs="Times New Roman"/>
          <w:color w:val="auto"/>
          <w:sz w:val="24"/>
          <w:szCs w:val="24"/>
        </w:rPr>
      </w:pPr>
    </w:p>
    <w:p>
      <w:pPr>
        <w:spacing w:line="440" w:lineRule="exact"/>
        <w:ind w:firstLine="480" w:firstLineChars="200"/>
        <w:rPr>
          <w:rFonts w:ascii="Times New Roman" w:hAnsi="Times New Roman" w:cs="Times New Roman"/>
          <w:color w:val="auto"/>
          <w:sz w:val="24"/>
          <w:szCs w:val="24"/>
        </w:rPr>
      </w:pPr>
    </w:p>
    <w:p>
      <w:pPr>
        <w:spacing w:line="440" w:lineRule="exact"/>
        <w:ind w:firstLine="482" w:firstLineChars="200"/>
        <w:rPr>
          <w:rFonts w:ascii="Times New Roman" w:hAnsi="Times New Roman" w:cs="Times New Roman"/>
          <w:b/>
          <w:color w:val="auto"/>
          <w:sz w:val="24"/>
          <w:szCs w:val="24"/>
        </w:rPr>
      </w:pPr>
      <w:r>
        <w:rPr>
          <w:rFonts w:hint="eastAsia" w:ascii="Times New Roman" w:hAnsi="Times New Roman" w:cs="Times New Roman"/>
          <w:b/>
          <w:color w:val="auto"/>
          <w:sz w:val="24"/>
          <w:szCs w:val="24"/>
        </w:rPr>
        <w:t>注：从业人员、营业收入、资产总额填报上一年度数据，无上一年度数据的新成立企业可不填报，</w:t>
      </w:r>
      <w:r>
        <w:rPr>
          <w:rFonts w:ascii="Times New Roman" w:hAnsi="Times New Roman" w:cs="Times New Roman"/>
          <w:b/>
          <w:color w:val="auto"/>
          <w:sz w:val="24"/>
          <w:szCs w:val="24"/>
        </w:rPr>
        <w:t>非小型</w:t>
      </w:r>
      <w:r>
        <w:rPr>
          <w:rFonts w:hint="eastAsia" w:ascii="Times New Roman" w:hAnsi="Times New Roman" w:cs="Times New Roman"/>
          <w:b/>
          <w:color w:val="auto"/>
          <w:sz w:val="24"/>
          <w:szCs w:val="24"/>
        </w:rPr>
        <w:t>企业、微型企业可</w:t>
      </w:r>
      <w:r>
        <w:rPr>
          <w:rFonts w:ascii="Times New Roman" w:hAnsi="Times New Roman" w:cs="Times New Roman"/>
          <w:b/>
          <w:color w:val="auto"/>
          <w:sz w:val="24"/>
          <w:szCs w:val="24"/>
        </w:rPr>
        <w:t>不</w:t>
      </w:r>
      <w:r>
        <w:rPr>
          <w:rFonts w:hint="eastAsia" w:ascii="Times New Roman" w:hAnsi="Times New Roman" w:cs="Times New Roman"/>
          <w:b/>
          <w:color w:val="auto"/>
          <w:sz w:val="24"/>
          <w:szCs w:val="24"/>
        </w:rPr>
        <w:t>填报。</w:t>
      </w:r>
    </w:p>
    <w:p>
      <w:pPr>
        <w:rPr>
          <w:rFonts w:ascii="Times New Roman" w:hAnsi="Times New Roman" w:cs="Times New Roman"/>
          <w:b/>
          <w:color w:val="auto"/>
          <w:sz w:val="24"/>
          <w:szCs w:val="24"/>
        </w:rPr>
      </w:pPr>
      <w:r>
        <w:rPr>
          <w:rFonts w:hint="eastAsia" w:ascii="Times New Roman" w:hAnsi="Times New Roman" w:cs="Times New Roman"/>
          <w:b/>
          <w:color w:val="auto"/>
          <w:sz w:val="24"/>
          <w:szCs w:val="24"/>
        </w:rPr>
        <w:br w:type="page"/>
      </w:r>
    </w:p>
    <w:p>
      <w:pPr>
        <w:spacing w:line="440" w:lineRule="exact"/>
        <w:ind w:firstLine="482" w:firstLineChars="200"/>
        <w:rPr>
          <w:rFonts w:ascii="Times New Roman" w:hAnsi="Times New Roman" w:cs="Times New Roman"/>
          <w:b/>
          <w:color w:val="auto"/>
          <w:sz w:val="24"/>
          <w:szCs w:val="24"/>
        </w:rPr>
      </w:pPr>
    </w:p>
    <w:p>
      <w:pPr>
        <w:tabs>
          <w:tab w:val="left" w:pos="4680"/>
        </w:tabs>
        <w:autoSpaceDE w:val="0"/>
        <w:autoSpaceDN w:val="0"/>
        <w:adjustRightInd w:val="0"/>
        <w:spacing w:line="360" w:lineRule="auto"/>
        <w:jc w:val="center"/>
        <w:rPr>
          <w:b/>
          <w:bCs/>
          <w:color w:val="auto"/>
          <w:sz w:val="28"/>
          <w:szCs w:val="28"/>
        </w:rPr>
      </w:pPr>
      <w:r>
        <w:rPr>
          <w:rFonts w:hint="eastAsia"/>
          <w:b/>
          <w:bCs/>
          <w:color w:val="auto"/>
          <w:sz w:val="28"/>
          <w:szCs w:val="28"/>
          <w:lang w:val="zh-CN"/>
        </w:rPr>
        <w:t>保证金退还申请书</w:t>
      </w:r>
    </w:p>
    <w:p>
      <w:pPr>
        <w:autoSpaceDE w:val="0"/>
        <w:autoSpaceDN w:val="0"/>
        <w:adjustRightInd w:val="0"/>
        <w:spacing w:line="360" w:lineRule="auto"/>
        <w:rPr>
          <w:b/>
          <w:bCs/>
          <w:color w:val="auto"/>
          <w:sz w:val="24"/>
        </w:rPr>
      </w:pPr>
      <w:r>
        <w:rPr>
          <w:rFonts w:hint="eastAsia"/>
          <w:b/>
          <w:bCs/>
          <w:color w:val="auto"/>
          <w:sz w:val="24"/>
          <w:lang w:val="zh-CN"/>
        </w:rPr>
        <w:t>致</w:t>
      </w:r>
      <w:r>
        <w:rPr>
          <w:rFonts w:hint="eastAsia"/>
          <w:color w:val="auto"/>
          <w:sz w:val="24"/>
          <w:lang w:val="zh-CN"/>
        </w:rPr>
        <w:t>：</w:t>
      </w:r>
    </w:p>
    <w:p>
      <w:pPr>
        <w:autoSpaceDE w:val="0"/>
        <w:autoSpaceDN w:val="0"/>
        <w:adjustRightInd w:val="0"/>
        <w:spacing w:line="360" w:lineRule="auto"/>
        <w:ind w:firstLine="420"/>
        <w:rPr>
          <w:color w:val="auto"/>
          <w:sz w:val="24"/>
        </w:rPr>
      </w:pPr>
      <w:r>
        <w:rPr>
          <w:rFonts w:hint="eastAsia"/>
          <w:color w:val="auto"/>
          <w:sz w:val="24"/>
          <w:lang w:val="zh-CN"/>
        </w:rPr>
        <w:t>我司于年月日为</w:t>
      </w:r>
      <w:r>
        <w:rPr>
          <w:rFonts w:hint="eastAsia"/>
          <w:b/>
          <w:bCs/>
          <w:color w:val="auto"/>
          <w:sz w:val="24"/>
          <w:u w:val="single"/>
          <w:lang w:val="zh-CN"/>
        </w:rPr>
        <w:t>项目（项目编号：）</w:t>
      </w:r>
      <w:r>
        <w:rPr>
          <w:rFonts w:hint="eastAsia"/>
          <w:color w:val="auto"/>
          <w:sz w:val="24"/>
          <w:lang w:val="zh-CN"/>
        </w:rPr>
        <w:t>投标所提交的保证金人民币</w:t>
      </w:r>
      <w:r>
        <w:rPr>
          <w:rFonts w:hint="eastAsia"/>
          <w:b/>
          <w:bCs/>
          <w:color w:val="auto"/>
          <w:sz w:val="24"/>
          <w:u w:val="single"/>
          <w:lang w:val="zh-CN"/>
        </w:rPr>
        <w:t>￥：元</w:t>
      </w:r>
      <w:r>
        <w:rPr>
          <w:b/>
          <w:bCs/>
          <w:color w:val="auto"/>
          <w:sz w:val="24"/>
          <w:u w:val="single"/>
          <w:lang w:val="zh-CN"/>
        </w:rPr>
        <w:t>(</w:t>
      </w:r>
      <w:r>
        <w:rPr>
          <w:rFonts w:hint="eastAsia"/>
          <w:b/>
          <w:bCs/>
          <w:color w:val="auto"/>
          <w:sz w:val="24"/>
          <w:u w:val="single"/>
          <w:lang w:val="zh-CN"/>
        </w:rPr>
        <w:t>大写</w:t>
      </w:r>
      <w:r>
        <w:rPr>
          <w:b/>
          <w:bCs/>
          <w:color w:val="auto"/>
          <w:sz w:val="24"/>
          <w:u w:val="single"/>
          <w:lang w:val="zh-CN"/>
        </w:rPr>
        <w:t>:        )</w:t>
      </w:r>
      <w:r>
        <w:rPr>
          <w:rFonts w:hint="eastAsia"/>
          <w:color w:val="auto"/>
          <w:sz w:val="24"/>
          <w:lang w:val="zh-CN"/>
        </w:rPr>
        <w:t>，请贵公司退还时划到以下账户：</w:t>
      </w:r>
    </w:p>
    <w:tbl>
      <w:tblPr>
        <w:tblStyle w:val="51"/>
        <w:tblW w:w="0" w:type="auto"/>
        <w:jc w:val="center"/>
        <w:tblLayout w:type="fixed"/>
        <w:tblCellMar>
          <w:top w:w="0" w:type="dxa"/>
          <w:left w:w="108" w:type="dxa"/>
          <w:bottom w:w="0" w:type="dxa"/>
          <w:right w:w="108" w:type="dxa"/>
        </w:tblCellMar>
      </w:tblPr>
      <w:tblGrid>
        <w:gridCol w:w="1951"/>
        <w:gridCol w:w="2268"/>
        <w:gridCol w:w="1843"/>
        <w:gridCol w:w="2460"/>
      </w:tblGrid>
      <w:tr>
        <w:tblPrEx>
          <w:tblCellMar>
            <w:top w:w="0" w:type="dxa"/>
            <w:left w:w="108" w:type="dxa"/>
            <w:bottom w:w="0" w:type="dxa"/>
            <w:right w:w="108" w:type="dxa"/>
          </w:tblCellMar>
        </w:tblPrEx>
        <w:trPr>
          <w:trHeight w:val="56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r>
              <w:rPr>
                <w:rFonts w:hint="eastAsia"/>
                <w:color w:val="auto"/>
                <w:szCs w:val="21"/>
                <w:lang w:val="zh-CN"/>
              </w:rPr>
              <w:t>开户名称</w:t>
            </w:r>
          </w:p>
        </w:tc>
        <w:tc>
          <w:tcPr>
            <w:tcW w:w="6571"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p>
        </w:tc>
      </w:tr>
      <w:tr>
        <w:tblPrEx>
          <w:tblCellMar>
            <w:top w:w="0" w:type="dxa"/>
            <w:left w:w="108" w:type="dxa"/>
            <w:bottom w:w="0" w:type="dxa"/>
            <w:right w:w="108" w:type="dxa"/>
          </w:tblCellMar>
        </w:tblPrEx>
        <w:trPr>
          <w:trHeight w:val="613"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r>
              <w:rPr>
                <w:rFonts w:hint="eastAsia"/>
                <w:color w:val="auto"/>
                <w:szCs w:val="21"/>
                <w:lang w:val="zh-CN"/>
              </w:rPr>
              <w:t>开户银行全称</w:t>
            </w:r>
          </w:p>
        </w:tc>
        <w:tc>
          <w:tcPr>
            <w:tcW w:w="22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r>
              <w:rPr>
                <w:rFonts w:hint="eastAsia"/>
                <w:color w:val="auto"/>
                <w:szCs w:val="21"/>
                <w:lang w:val="zh-CN"/>
              </w:rPr>
              <w:t>联系人</w:t>
            </w:r>
          </w:p>
        </w:tc>
        <w:tc>
          <w:tcPr>
            <w:tcW w:w="24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p>
        </w:tc>
      </w:tr>
      <w:tr>
        <w:tblPrEx>
          <w:tblCellMar>
            <w:top w:w="0" w:type="dxa"/>
            <w:left w:w="108" w:type="dxa"/>
            <w:bottom w:w="0" w:type="dxa"/>
            <w:right w:w="108" w:type="dxa"/>
          </w:tblCellMar>
        </w:tblPrEx>
        <w:trPr>
          <w:trHeight w:val="622" w:hRule="atLeast"/>
          <w:jc w:val="center"/>
        </w:trPr>
        <w:tc>
          <w:tcPr>
            <w:tcW w:w="19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r>
              <w:rPr>
                <w:rFonts w:hint="eastAsia"/>
                <w:color w:val="auto"/>
                <w:szCs w:val="21"/>
                <w:lang w:val="zh-CN"/>
              </w:rPr>
              <w:t>银行账户</w:t>
            </w:r>
          </w:p>
        </w:tc>
        <w:tc>
          <w:tcPr>
            <w:tcW w:w="22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p>
        </w:tc>
        <w:tc>
          <w:tcPr>
            <w:tcW w:w="184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r>
              <w:rPr>
                <w:rFonts w:hint="eastAsia"/>
                <w:color w:val="auto"/>
                <w:szCs w:val="21"/>
                <w:lang w:val="zh-CN"/>
              </w:rPr>
              <w:t>联系电话</w:t>
            </w:r>
          </w:p>
        </w:tc>
        <w:tc>
          <w:tcPr>
            <w:tcW w:w="24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60" w:lineRule="exact"/>
              <w:jc w:val="center"/>
              <w:rPr>
                <w:color w:val="auto"/>
                <w:lang w:val="zh-CN"/>
              </w:rPr>
            </w:pPr>
          </w:p>
        </w:tc>
      </w:tr>
    </w:tbl>
    <w:p>
      <w:pPr>
        <w:autoSpaceDE w:val="0"/>
        <w:autoSpaceDN w:val="0"/>
        <w:adjustRightInd w:val="0"/>
        <w:rPr>
          <w:color w:val="auto"/>
          <w:sz w:val="28"/>
          <w:szCs w:val="28"/>
          <w:lang w:val="zh-CN"/>
        </w:rPr>
      </w:pPr>
    </w:p>
    <w:p>
      <w:pPr>
        <w:snapToGrid w:val="0"/>
        <w:spacing w:line="520" w:lineRule="exact"/>
        <w:ind w:firstLine="2760" w:firstLineChars="1150"/>
        <w:rPr>
          <w:color w:val="auto"/>
          <w:sz w:val="24"/>
        </w:rPr>
      </w:pPr>
      <w:r>
        <w:rPr>
          <w:rFonts w:hint="eastAsia"/>
          <w:color w:val="auto"/>
          <w:sz w:val="24"/>
        </w:rPr>
        <w:t>供应商名称：（公章）</w:t>
      </w:r>
    </w:p>
    <w:p>
      <w:pPr>
        <w:spacing w:afterLines="50" w:line="520" w:lineRule="exact"/>
        <w:ind w:firstLine="2760" w:firstLineChars="1150"/>
        <w:rPr>
          <w:color w:val="auto"/>
          <w:sz w:val="24"/>
        </w:rPr>
      </w:pPr>
      <w:r>
        <w:rPr>
          <w:rFonts w:hint="eastAsia"/>
          <w:color w:val="auto"/>
          <w:sz w:val="24"/>
        </w:rPr>
        <w:t>法定代表人或被授权人：（签字或盖章）</w:t>
      </w:r>
    </w:p>
    <w:p>
      <w:pPr>
        <w:spacing w:afterLines="50" w:line="520" w:lineRule="exact"/>
        <w:ind w:firstLine="2760" w:firstLineChars="1150"/>
        <w:rPr>
          <w:color w:val="auto"/>
          <w:sz w:val="24"/>
          <w:u w:val="single"/>
        </w:rPr>
      </w:pPr>
      <w:r>
        <w:rPr>
          <w:rFonts w:hint="eastAsia"/>
          <w:color w:val="auto"/>
          <w:sz w:val="24"/>
        </w:rPr>
        <w:t>日期：</w:t>
      </w:r>
      <w:r>
        <w:rPr>
          <w:rFonts w:hint="eastAsia"/>
          <w:color w:val="auto"/>
          <w:sz w:val="24"/>
          <w:lang w:val="zh-CN"/>
        </w:rPr>
        <w:t>年</w:t>
      </w:r>
      <w:r>
        <w:rPr>
          <w:rFonts w:hint="eastAsia"/>
          <w:color w:val="auto"/>
          <w:sz w:val="24"/>
          <w:lang w:val="en-US" w:eastAsia="zh-CN"/>
        </w:rPr>
        <w:t xml:space="preserve">  </w:t>
      </w:r>
      <w:r>
        <w:rPr>
          <w:rFonts w:hint="eastAsia"/>
          <w:color w:val="auto"/>
          <w:sz w:val="24"/>
          <w:lang w:val="zh-CN"/>
        </w:rPr>
        <w:t>月</w:t>
      </w:r>
      <w:r>
        <w:rPr>
          <w:rFonts w:hint="eastAsia"/>
          <w:color w:val="auto"/>
          <w:sz w:val="24"/>
          <w:lang w:val="en-US" w:eastAsia="zh-CN"/>
        </w:rPr>
        <w:t xml:space="preserve">  </w:t>
      </w:r>
      <w:r>
        <w:rPr>
          <w:rFonts w:hint="eastAsia"/>
          <w:color w:val="auto"/>
          <w:sz w:val="24"/>
          <w:lang w:val="zh-CN"/>
        </w:rPr>
        <w:t>日</w:t>
      </w:r>
    </w:p>
    <w:p>
      <w:pPr>
        <w:autoSpaceDE w:val="0"/>
        <w:autoSpaceDN w:val="0"/>
        <w:adjustRightInd w:val="0"/>
        <w:jc w:val="center"/>
        <w:rPr>
          <w:b/>
          <w:bCs/>
          <w:color w:val="auto"/>
          <w:sz w:val="32"/>
          <w:szCs w:val="32"/>
          <w:lang w:val="zh-CN"/>
        </w:rPr>
      </w:pPr>
    </w:p>
    <w:p>
      <w:pPr>
        <w:tabs>
          <w:tab w:val="left" w:pos="4680"/>
        </w:tabs>
        <w:snapToGrid w:val="0"/>
        <w:spacing w:line="360" w:lineRule="auto"/>
        <w:ind w:firstLine="440" w:firstLineChars="200"/>
        <w:outlineLvl w:val="0"/>
        <w:rPr>
          <w:b/>
          <w:bCs/>
          <w:color w:val="auto"/>
          <w:sz w:val="24"/>
        </w:rPr>
      </w:pPr>
      <w:bookmarkStart w:id="158" w:name="_Toc16422128"/>
      <w:bookmarkStart w:id="159" w:name="_Toc532163372"/>
      <w:r>
        <w:rPr>
          <w:rFonts w:hint="eastAsia"/>
          <w:color w:val="auto"/>
        </w:rPr>
        <w:t>后附：</w:t>
      </w:r>
      <w:r>
        <w:rPr>
          <w:rFonts w:hint="eastAsia" w:hAnsi="宋体"/>
          <w:color w:val="auto"/>
        </w:rPr>
        <w:t>银行转账单或电子回单</w:t>
      </w:r>
    </w:p>
    <w:p>
      <w:pPr>
        <w:tabs>
          <w:tab w:val="left" w:pos="4680"/>
        </w:tabs>
        <w:snapToGrid w:val="0"/>
        <w:spacing w:line="360" w:lineRule="auto"/>
        <w:ind w:firstLine="482" w:firstLineChars="200"/>
        <w:outlineLvl w:val="0"/>
        <w:rPr>
          <w:b/>
          <w:bCs/>
          <w:color w:val="auto"/>
          <w:sz w:val="24"/>
        </w:rPr>
      </w:pPr>
    </w:p>
    <w:p>
      <w:pPr>
        <w:tabs>
          <w:tab w:val="left" w:pos="4680"/>
        </w:tabs>
        <w:snapToGrid w:val="0"/>
        <w:spacing w:line="360" w:lineRule="auto"/>
        <w:ind w:firstLine="482" w:firstLineChars="200"/>
        <w:outlineLvl w:val="0"/>
        <w:rPr>
          <w:b/>
          <w:bCs/>
          <w:color w:val="auto"/>
          <w:sz w:val="24"/>
        </w:rPr>
      </w:pPr>
    </w:p>
    <w:p>
      <w:pPr>
        <w:tabs>
          <w:tab w:val="left" w:pos="4680"/>
        </w:tabs>
        <w:snapToGrid w:val="0"/>
        <w:spacing w:line="360" w:lineRule="auto"/>
        <w:ind w:firstLine="482" w:firstLineChars="200"/>
        <w:outlineLvl w:val="0"/>
        <w:rPr>
          <w:b/>
          <w:bCs/>
          <w:color w:val="auto"/>
          <w:sz w:val="24"/>
        </w:rPr>
      </w:pPr>
    </w:p>
    <w:p>
      <w:pPr>
        <w:tabs>
          <w:tab w:val="left" w:pos="4680"/>
        </w:tabs>
        <w:snapToGrid w:val="0"/>
        <w:spacing w:line="360" w:lineRule="auto"/>
        <w:ind w:firstLine="482" w:firstLineChars="200"/>
        <w:outlineLvl w:val="0"/>
        <w:rPr>
          <w:rFonts w:hint="eastAsia" w:eastAsia="宋体"/>
          <w:b/>
          <w:bCs/>
          <w:color w:val="auto"/>
          <w:sz w:val="24"/>
          <w:lang w:eastAsia="zh-CN"/>
        </w:rPr>
      </w:pPr>
      <w:r>
        <w:rPr>
          <w:rFonts w:hint="eastAsia"/>
          <w:b/>
          <w:bCs/>
          <w:color w:val="auto"/>
          <w:sz w:val="24"/>
        </w:rPr>
        <w:t>注：此申请书仅用于退还项目保证金，无须作为响应文件的组成部分装订在响应文件中，请将此保证金退还申请书于开标现场单独递交</w:t>
      </w:r>
      <w:bookmarkEnd w:id="158"/>
      <w:bookmarkEnd w:id="159"/>
      <w:r>
        <w:rPr>
          <w:rFonts w:hint="eastAsia"/>
          <w:b/>
          <w:bCs/>
          <w:color w:val="auto"/>
          <w:sz w:val="24"/>
          <w:lang w:eastAsia="zh-CN"/>
        </w:rPr>
        <w:t>。</w:t>
      </w:r>
    </w:p>
    <w:sectPr>
      <w:pgSz w:w="11906" w:h="16838"/>
      <w:pgMar w:top="1440" w:right="1800" w:bottom="1440" w:left="1800" w:header="0" w:footer="283"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Andalus">
    <w:altName w:val="Segoe Print"/>
    <w:panose1 w:val="00000000000000000000"/>
    <w:charset w:val="00"/>
    <w:family w:val="roman"/>
    <w:pitch w:val="default"/>
    <w:sig w:usb0="00000000" w:usb1="00000000" w:usb2="00000008" w:usb3="00000000" w:csb0="0000004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10" w:usb3="00000000" w:csb0="0004009F" w:csb1="00000000"/>
  </w:font>
  <w:font w:name="幼圆">
    <w:altName w:val="宋体"/>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85374"/>
    <w:multiLevelType w:val="singleLevel"/>
    <w:tmpl w:val="93E85374"/>
    <w:lvl w:ilvl="0" w:tentative="0">
      <w:start w:val="1"/>
      <w:numFmt w:val="decimal"/>
      <w:suff w:val="nothing"/>
      <w:lvlText w:val="（%1）"/>
      <w:lvlJc w:val="left"/>
    </w:lvl>
  </w:abstractNum>
  <w:abstractNum w:abstractNumId="1">
    <w:nsid w:val="BB47E9D7"/>
    <w:multiLevelType w:val="singleLevel"/>
    <w:tmpl w:val="BB47E9D7"/>
    <w:lvl w:ilvl="0" w:tentative="0">
      <w:start w:val="1"/>
      <w:numFmt w:val="decimal"/>
      <w:suff w:val="nothing"/>
      <w:lvlText w:val="（%1）"/>
      <w:lvlJc w:val="left"/>
    </w:lvl>
  </w:abstractNum>
  <w:abstractNum w:abstractNumId="2">
    <w:nsid w:val="2F000003"/>
    <w:multiLevelType w:val="multilevel"/>
    <w:tmpl w:val="2F000003"/>
    <w:lvl w:ilvl="0" w:tentative="0">
      <w:start w:val="1"/>
      <w:numFmt w:val="decimal"/>
      <w:pStyle w:val="14"/>
      <w:lvlText w:val="（%1）"/>
      <w:lvlJc w:val="left"/>
      <w:pPr>
        <w:tabs>
          <w:tab w:val="left" w:pos="420"/>
        </w:tabs>
        <w:ind w:left="420" w:hanging="420"/>
      </w:pPr>
      <w:rPr>
        <w:rFonts w:ascii="Times New Roman" w:hAnsi="Times New Roman" w:eastAsia="Times New Roman" w:cs="Times New Roman"/>
        <w:lang w:val="en-US"/>
      </w:rPr>
    </w:lvl>
    <w:lvl w:ilvl="1" w:tentative="0">
      <w:start w:val="1"/>
      <w:numFmt w:val="lowerLetter"/>
      <w:lvlText w:val="%2"/>
      <w:lvlJc w:val="left"/>
      <w:pPr>
        <w:tabs>
          <w:tab w:val="left" w:pos="780"/>
        </w:tabs>
        <w:ind w:left="780" w:hanging="36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F000004"/>
    <w:multiLevelType w:val="multilevel"/>
    <w:tmpl w:val="2F000004"/>
    <w:lvl w:ilvl="0" w:tentative="0">
      <w:start w:val="1"/>
      <w:numFmt w:val="decimal"/>
      <w:pStyle w:val="24"/>
      <w:lvlText w:val="%1"/>
      <w:lvlJc w:val="left"/>
      <w:pPr>
        <w:tabs>
          <w:tab w:val="left" w:pos="420"/>
        </w:tabs>
        <w:ind w:left="420" w:hanging="420"/>
      </w:pPr>
      <w:rPr>
        <w:rFonts w:hint="default"/>
        <w:color w:val="auto"/>
      </w:rPr>
    </w:lvl>
    <w:lvl w:ilvl="1" w:tentative="0">
      <w:start w:val="1"/>
      <w:numFmt w:val="decimal"/>
      <w:lvlText w:val="%2．"/>
      <w:lvlJc w:val="left"/>
      <w:pPr>
        <w:tabs>
          <w:tab w:val="left" w:pos="420"/>
        </w:tabs>
        <w:ind w:left="420" w:hanging="420"/>
      </w:pPr>
      <w:rPr>
        <w:rFonts w:ascii="Times New Roman" w:hAnsi="Times New Roman" w:eastAsia="Times New Roman" w:cs="Times New Roman"/>
        <w:color w:val="auto"/>
      </w:rPr>
    </w:lvl>
    <w:lvl w:ilvl="2" w:tentative="0">
      <w:start w:val="1"/>
      <w:numFmt w:val="decimal"/>
      <w:lvlText w:val="%1.%2.%3"/>
      <w:lvlJc w:val="left"/>
      <w:pPr>
        <w:tabs>
          <w:tab w:val="left" w:pos="720"/>
        </w:tabs>
        <w:ind w:left="720" w:hanging="720"/>
      </w:pPr>
      <w:rPr>
        <w:rFonts w:hint="default"/>
        <w:color w:val="auto"/>
      </w:rPr>
    </w:lvl>
    <w:lvl w:ilvl="3" w:tentative="0">
      <w:start w:val="1"/>
      <w:numFmt w:val="decimal"/>
      <w:lvlText w:val="%1.%2.%3.%4"/>
      <w:lvlJc w:val="left"/>
      <w:pPr>
        <w:tabs>
          <w:tab w:val="left" w:pos="1080"/>
        </w:tabs>
        <w:ind w:left="1080" w:hanging="1080"/>
      </w:pPr>
      <w:rPr>
        <w:rFonts w:hint="default"/>
        <w:color w:val="auto"/>
      </w:rPr>
    </w:lvl>
    <w:lvl w:ilvl="4" w:tentative="0">
      <w:start w:val="1"/>
      <w:numFmt w:val="decimal"/>
      <w:lvlText w:val="%1.%2.%3.%4.%5"/>
      <w:lvlJc w:val="left"/>
      <w:pPr>
        <w:tabs>
          <w:tab w:val="left" w:pos="1080"/>
        </w:tabs>
        <w:ind w:left="1080" w:hanging="1080"/>
      </w:pPr>
      <w:rPr>
        <w:rFonts w:hint="default"/>
        <w:color w:val="auto"/>
      </w:rPr>
    </w:lvl>
    <w:lvl w:ilvl="5" w:tentative="0">
      <w:start w:val="1"/>
      <w:numFmt w:val="decimal"/>
      <w:lvlText w:val="%1.%2.%3.%4.%5.%6"/>
      <w:lvlJc w:val="left"/>
      <w:pPr>
        <w:tabs>
          <w:tab w:val="left" w:pos="1440"/>
        </w:tabs>
        <w:ind w:left="1440" w:hanging="1440"/>
      </w:pPr>
      <w:rPr>
        <w:rFonts w:hint="default"/>
        <w:color w:val="auto"/>
      </w:rPr>
    </w:lvl>
    <w:lvl w:ilvl="6" w:tentative="0">
      <w:start w:val="1"/>
      <w:numFmt w:val="decimal"/>
      <w:lvlText w:val="%1.%2.%3.%4.%5.%6.%7"/>
      <w:lvlJc w:val="left"/>
      <w:pPr>
        <w:tabs>
          <w:tab w:val="left" w:pos="1440"/>
        </w:tabs>
        <w:ind w:left="1440" w:hanging="1440"/>
      </w:pPr>
      <w:rPr>
        <w:rFonts w:hint="default"/>
        <w:color w:val="auto"/>
      </w:rPr>
    </w:lvl>
    <w:lvl w:ilvl="7" w:tentative="0">
      <w:start w:val="1"/>
      <w:numFmt w:val="decimal"/>
      <w:lvlText w:val="%1.%2.%3.%4.%5.%6.%7.%8"/>
      <w:lvlJc w:val="left"/>
      <w:pPr>
        <w:tabs>
          <w:tab w:val="left" w:pos="1800"/>
        </w:tabs>
        <w:ind w:left="1800" w:hanging="1800"/>
      </w:pPr>
      <w:rPr>
        <w:rFonts w:hint="default"/>
        <w:color w:val="auto"/>
      </w:rPr>
    </w:lvl>
    <w:lvl w:ilvl="8" w:tentative="0">
      <w:start w:val="1"/>
      <w:numFmt w:val="decimal"/>
      <w:lvlText w:val="%1.%2.%3.%4.%5.%6.%7.%8.%9"/>
      <w:lvlJc w:val="left"/>
      <w:pPr>
        <w:tabs>
          <w:tab w:val="left" w:pos="1800"/>
        </w:tabs>
        <w:ind w:left="1800" w:hanging="1800"/>
      </w:pPr>
      <w:rPr>
        <w:rFonts w:hint="default"/>
        <w:color w:val="auto"/>
      </w:rPr>
    </w:lvl>
  </w:abstractNum>
  <w:abstractNum w:abstractNumId="4">
    <w:nsid w:val="2F000005"/>
    <w:multiLevelType w:val="multilevel"/>
    <w:tmpl w:val="2F000005"/>
    <w:lvl w:ilvl="0" w:tentative="0">
      <w:start w:val="1"/>
      <w:numFmt w:val="decimal"/>
      <w:lvlText w:val="%1)"/>
      <w:lvlJc w:val="left"/>
      <w:pPr>
        <w:tabs>
          <w:tab w:val="left" w:pos="900"/>
        </w:tabs>
        <w:ind w:left="900" w:hanging="420"/>
      </w:pPr>
      <w:rPr>
        <w:rFonts w:hint="default"/>
      </w:rPr>
    </w:lvl>
    <w:lvl w:ilvl="1" w:tentative="0">
      <w:start w:val="1"/>
      <w:numFmt w:val="decimal"/>
      <w:lvlText w:val="%2）"/>
      <w:lvlJc w:val="left"/>
      <w:pPr>
        <w:tabs>
          <w:tab w:val="left" w:pos="1260"/>
        </w:tabs>
        <w:ind w:left="1260" w:hanging="360"/>
      </w:pPr>
      <w:rPr>
        <w:rFonts w:hint="default"/>
      </w:rPr>
    </w:lvl>
    <w:lvl w:ilvl="2" w:tentative="0">
      <w:start w:val="1"/>
      <w:numFmt w:val="bullet"/>
      <w:pStyle w:val="148"/>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5">
    <w:nsid w:val="2F000006"/>
    <w:multiLevelType w:val="multilevel"/>
    <w:tmpl w:val="2F000006"/>
    <w:lvl w:ilvl="0" w:tentative="0">
      <w:start w:val="1"/>
      <w:numFmt w:val="bullet"/>
      <w:pStyle w:val="280"/>
      <w:lvlText w:val="²"/>
      <w:lvlJc w:val="left"/>
      <w:pPr>
        <w:ind w:left="902" w:hanging="420"/>
      </w:pPr>
      <w:rPr>
        <w:rFonts w:hint="default" w:ascii="Wingdings" w:hAnsi="Wingdings"/>
        <w:b/>
        <w:i w:val="0"/>
      </w:rPr>
    </w:lvl>
    <w:lvl w:ilvl="1" w:tentative="0">
      <w:start w:val="0"/>
      <w:numFmt w:val="bullet"/>
      <w:lvlText w:val="•"/>
      <w:lvlJc w:val="left"/>
      <w:pPr>
        <w:ind w:left="840" w:hanging="420"/>
      </w:pPr>
      <w:rPr>
        <w:rFonts w:hint="eastAsia" w:ascii="宋体" w:hAnsi="宋体" w:eastAsia="宋体" w:cs="宋体"/>
      </w:rPr>
    </w:lvl>
    <w:lvl w:ilvl="2" w:tentative="0">
      <w:start w:val="1"/>
      <w:numFmt w:val="bullet"/>
      <w:lvlText w:val="u"/>
      <w:lvlJc w:val="left"/>
      <w:pPr>
        <w:ind w:left="1260" w:hanging="420"/>
      </w:pPr>
      <w:rPr>
        <w:rFonts w:hint="default" w:ascii="Wingdings" w:hAnsi="Wingdings"/>
      </w:rPr>
    </w:lvl>
    <w:lvl w:ilvl="3" w:tentative="0">
      <w:start w:val="1"/>
      <w:numFmt w:val="bullet"/>
      <w:lvlText w:val="l"/>
      <w:lvlJc w:val="left"/>
      <w:pPr>
        <w:ind w:left="1680" w:hanging="420"/>
      </w:pPr>
      <w:rPr>
        <w:rFonts w:hint="default" w:ascii="Wingdings" w:hAnsi="Wingdings"/>
      </w:rPr>
    </w:lvl>
    <w:lvl w:ilvl="4" w:tentative="0">
      <w:start w:val="1"/>
      <w:numFmt w:val="bullet"/>
      <w:lvlText w:val="n"/>
      <w:lvlJc w:val="left"/>
      <w:pPr>
        <w:ind w:left="2100" w:hanging="420"/>
      </w:pPr>
      <w:rPr>
        <w:rFonts w:hint="default" w:ascii="Wingdings" w:hAnsi="Wingdings"/>
      </w:rPr>
    </w:lvl>
    <w:lvl w:ilvl="5" w:tentative="0">
      <w:start w:val="1"/>
      <w:numFmt w:val="bullet"/>
      <w:lvlText w:val="u"/>
      <w:lvlJc w:val="left"/>
      <w:pPr>
        <w:ind w:left="2520" w:hanging="420"/>
      </w:pPr>
      <w:rPr>
        <w:rFonts w:hint="default" w:ascii="Wingdings" w:hAnsi="Wingdings"/>
      </w:rPr>
    </w:lvl>
    <w:lvl w:ilvl="6" w:tentative="0">
      <w:start w:val="1"/>
      <w:numFmt w:val="bullet"/>
      <w:lvlText w:val="l"/>
      <w:lvlJc w:val="left"/>
      <w:pPr>
        <w:ind w:left="2940" w:hanging="420"/>
      </w:pPr>
      <w:rPr>
        <w:rFonts w:hint="default" w:ascii="Wingdings" w:hAnsi="Wingdings"/>
      </w:rPr>
    </w:lvl>
    <w:lvl w:ilvl="7" w:tentative="0">
      <w:start w:val="1"/>
      <w:numFmt w:val="bullet"/>
      <w:lvlText w:val="n"/>
      <w:lvlJc w:val="left"/>
      <w:pPr>
        <w:ind w:left="3360" w:hanging="420"/>
      </w:pPr>
      <w:rPr>
        <w:rFonts w:hint="default" w:ascii="Wingdings" w:hAnsi="Wingdings"/>
      </w:rPr>
    </w:lvl>
    <w:lvl w:ilvl="8" w:tentative="0">
      <w:start w:val="1"/>
      <w:numFmt w:val="bullet"/>
      <w:lvlText w:val="u"/>
      <w:lvlJc w:val="left"/>
      <w:pPr>
        <w:ind w:left="3780" w:hanging="420"/>
      </w:pPr>
      <w:rPr>
        <w:rFonts w:hint="default" w:ascii="Wingdings" w:hAnsi="Wingdings"/>
      </w:rPr>
    </w:lvl>
  </w:abstractNum>
  <w:abstractNum w:abstractNumId="6">
    <w:nsid w:val="2F000007"/>
    <w:multiLevelType w:val="multilevel"/>
    <w:tmpl w:val="2F000007"/>
    <w:lvl w:ilvl="0" w:tentative="0">
      <w:start w:val="1"/>
      <w:numFmt w:val="japaneseCounting"/>
      <w:pStyle w:val="12"/>
      <w:lvlText w:val="%1、"/>
      <w:lvlJc w:val="left"/>
      <w:pPr>
        <w:tabs>
          <w:tab w:val="left" w:pos="885"/>
        </w:tabs>
        <w:ind w:left="885" w:hanging="88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F000008"/>
    <w:multiLevelType w:val="multilevel"/>
    <w:tmpl w:val="2F000008"/>
    <w:lvl w:ilvl="0" w:tentative="0">
      <w:start w:val="1"/>
      <w:numFmt w:val="decimal"/>
      <w:pStyle w:val="19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F000009"/>
    <w:multiLevelType w:val="multilevel"/>
    <w:tmpl w:val="2F000009"/>
    <w:lvl w:ilvl="0" w:tentative="0">
      <w:start w:val="1"/>
      <w:numFmt w:val="decimal"/>
      <w:pStyle w:val="292"/>
      <w:lvlText w:val="（%1）"/>
      <w:lvlJc w:val="left"/>
      <w:pPr>
        <w:tabs>
          <w:tab w:val="left" w:pos="902"/>
        </w:tabs>
        <w:ind w:left="902" w:hanging="720"/>
      </w:pPr>
      <w:rPr>
        <w:rFonts w:hint="default"/>
      </w:rPr>
    </w:lvl>
    <w:lvl w:ilvl="1" w:tentative="0">
      <w:start w:val="2"/>
      <w:numFmt w:val="decimal"/>
      <w:lvlText w:val="%2．"/>
      <w:lvlJc w:val="left"/>
      <w:pPr>
        <w:tabs>
          <w:tab w:val="left" w:pos="360"/>
        </w:tabs>
        <w:ind w:left="360" w:hanging="360"/>
      </w:pPr>
      <w:rPr>
        <w:rFonts w:hint="default" w:ascii="Times New Roman"/>
      </w:rPr>
    </w:lvl>
    <w:lvl w:ilvl="2" w:tentative="0">
      <w:start w:val="3"/>
      <w:numFmt w:val="japaneseCounting"/>
      <w:pStyle w:val="126"/>
      <w:lvlText w:val="%3、"/>
      <w:lvlJc w:val="left"/>
      <w:pPr>
        <w:tabs>
          <w:tab w:val="left" w:pos="1502"/>
        </w:tabs>
        <w:ind w:left="1502" w:hanging="480"/>
      </w:pPr>
      <w:rPr>
        <w:rFonts w:hint="default"/>
      </w:rPr>
    </w:lvl>
    <w:lvl w:ilvl="3" w:tentative="0">
      <w:start w:val="1"/>
      <w:numFmt w:val="decimal"/>
      <w:lvlText w:val="%4."/>
      <w:lvlJc w:val="left"/>
      <w:pPr>
        <w:tabs>
          <w:tab w:val="left" w:pos="1862"/>
        </w:tabs>
        <w:ind w:left="1862" w:hanging="420"/>
      </w:pPr>
    </w:lvl>
    <w:lvl w:ilvl="4" w:tentative="0">
      <w:start w:val="1"/>
      <w:numFmt w:val="lowerLetter"/>
      <w:lvlText w:val="%5)"/>
      <w:lvlJc w:val="left"/>
      <w:pPr>
        <w:tabs>
          <w:tab w:val="left" w:pos="2282"/>
        </w:tabs>
        <w:ind w:left="2282" w:hanging="420"/>
      </w:pPr>
    </w:lvl>
    <w:lvl w:ilvl="5" w:tentative="0">
      <w:start w:val="1"/>
      <w:numFmt w:val="lowerRoman"/>
      <w:lvlText w:val="%6."/>
      <w:lvlJc w:val="right"/>
      <w:pPr>
        <w:tabs>
          <w:tab w:val="left" w:pos="2702"/>
        </w:tabs>
        <w:ind w:left="2702" w:hanging="420"/>
      </w:pPr>
    </w:lvl>
    <w:lvl w:ilvl="6" w:tentative="0">
      <w:start w:val="1"/>
      <w:numFmt w:val="decimal"/>
      <w:lvlText w:val="%7."/>
      <w:lvlJc w:val="left"/>
      <w:pPr>
        <w:tabs>
          <w:tab w:val="left" w:pos="3122"/>
        </w:tabs>
        <w:ind w:left="3122" w:hanging="420"/>
      </w:pPr>
    </w:lvl>
    <w:lvl w:ilvl="7" w:tentative="0">
      <w:start w:val="1"/>
      <w:numFmt w:val="lowerLetter"/>
      <w:lvlText w:val="%8)"/>
      <w:lvlJc w:val="left"/>
      <w:pPr>
        <w:tabs>
          <w:tab w:val="left" w:pos="3542"/>
        </w:tabs>
        <w:ind w:left="3542" w:hanging="420"/>
      </w:pPr>
    </w:lvl>
    <w:lvl w:ilvl="8" w:tentative="0">
      <w:start w:val="1"/>
      <w:numFmt w:val="lowerRoman"/>
      <w:lvlText w:val="%9."/>
      <w:lvlJc w:val="right"/>
      <w:pPr>
        <w:tabs>
          <w:tab w:val="left" w:pos="3962"/>
        </w:tabs>
        <w:ind w:left="3962" w:hanging="420"/>
      </w:pPr>
    </w:lvl>
  </w:abstractNum>
  <w:abstractNum w:abstractNumId="9">
    <w:nsid w:val="2F00000B"/>
    <w:multiLevelType w:val="multilevel"/>
    <w:tmpl w:val="2F00000B"/>
    <w:lvl w:ilvl="0" w:tentative="0">
      <w:start w:val="1"/>
      <w:numFmt w:val="decimal"/>
      <w:pStyle w:val="288"/>
      <w:lvlText w:val="第%1章"/>
      <w:lvlJc w:val="center"/>
      <w:pPr>
        <w:tabs>
          <w:tab w:val="left" w:pos="4167"/>
        </w:tabs>
        <w:ind w:left="4167" w:hanging="1542"/>
      </w:pPr>
      <w:rPr>
        <w:rFonts w:hint="eastAsia" w:ascii="幼圆" w:eastAsia="幼圆"/>
        <w:b/>
        <w:i w:val="0"/>
        <w:sz w:val="44"/>
        <w:szCs w:val="44"/>
      </w:rPr>
    </w:lvl>
    <w:lvl w:ilvl="1" w:tentative="0">
      <w:start w:val="1"/>
      <w:numFmt w:val="decimal"/>
      <w:pStyle w:val="249"/>
      <w:lvlText w:val="%1.%2"/>
      <w:lvlJc w:val="center"/>
      <w:pPr>
        <w:tabs>
          <w:tab w:val="left" w:pos="794"/>
        </w:tabs>
        <w:ind w:left="289" w:firstLine="0"/>
      </w:pPr>
      <w:rPr>
        <w:rFonts w:hint="eastAsia" w:eastAsia="黑体"/>
        <w:b w:val="0"/>
        <w:i w:val="0"/>
        <w:sz w:val="36"/>
        <w:szCs w:val="36"/>
      </w:rPr>
    </w:lvl>
    <w:lvl w:ilvl="2" w:tentative="0">
      <w:start w:val="1"/>
      <w:numFmt w:val="decimal"/>
      <w:lvlRestart w:val="1"/>
      <w:pStyle w:val="256"/>
      <w:lvlText w:val="%1.%2.%3"/>
      <w:lvlJc w:val="left"/>
      <w:pPr>
        <w:tabs>
          <w:tab w:val="left" w:pos="1260"/>
        </w:tabs>
        <w:ind w:left="900" w:firstLine="0"/>
      </w:pPr>
      <w:rPr>
        <w:rFonts w:cs="Times New Roman"/>
        <w:i w:val="0"/>
        <w:caps/>
        <w:smallCaps w:val="0"/>
        <w:spacing w:val="0"/>
        <w:position w:val="0"/>
        <w:u w:val="none"/>
      </w:rPr>
    </w:lvl>
    <w:lvl w:ilvl="3" w:tentative="0">
      <w:start w:val="1"/>
      <w:numFmt w:val="decimal"/>
      <w:lvlRestart w:val="1"/>
      <w:pStyle w:val="240"/>
      <w:lvlText w:val="%1.%2.%3.%4"/>
      <w:lvlJc w:val="left"/>
      <w:pPr>
        <w:tabs>
          <w:tab w:val="left" w:pos="649"/>
        </w:tabs>
        <w:ind w:left="289" w:firstLine="0"/>
      </w:pPr>
      <w:rPr>
        <w:rFonts w:cs="Times New Roman"/>
        <w:i w:val="0"/>
        <w:caps/>
        <w:smallCaps w:val="0"/>
        <w:spacing w:val="0"/>
        <w:position w:val="0"/>
        <w:u w:val="none"/>
      </w:rPr>
    </w:lvl>
    <w:lvl w:ilvl="4" w:tentative="0">
      <w:start w:val="0"/>
      <w:numFmt w:val="decimal"/>
      <w:lvlText w:val=""/>
      <w:lvlJc w:val="left"/>
      <w:pPr>
        <w:tabs>
          <w:tab w:val="left" w:pos="649"/>
        </w:tabs>
        <w:ind w:left="289" w:firstLine="0"/>
      </w:pPr>
      <w:rPr>
        <w:rFonts w:hint="eastAsia"/>
      </w:rPr>
    </w:lvl>
    <w:lvl w:ilvl="5" w:tentative="0">
      <w:start w:val="0"/>
      <w:numFmt w:val="decimal"/>
      <w:lvlText w:val=""/>
      <w:lvlJc w:val="left"/>
      <w:pPr>
        <w:tabs>
          <w:tab w:val="left" w:pos="649"/>
        </w:tabs>
        <w:ind w:left="289" w:firstLine="0"/>
      </w:pPr>
      <w:rPr>
        <w:rFonts w:hint="eastAsia"/>
      </w:rPr>
    </w:lvl>
    <w:lvl w:ilvl="6" w:tentative="0">
      <w:start w:val="0"/>
      <w:numFmt w:val="decimal"/>
      <w:lvlText w:val=""/>
      <w:lvlJc w:val="left"/>
      <w:pPr>
        <w:tabs>
          <w:tab w:val="left" w:pos="649"/>
        </w:tabs>
        <w:ind w:left="289" w:firstLine="0"/>
      </w:pPr>
      <w:rPr>
        <w:rFonts w:hint="eastAsia"/>
      </w:rPr>
    </w:lvl>
    <w:lvl w:ilvl="7" w:tentative="0">
      <w:start w:val="0"/>
      <w:numFmt w:val="decimal"/>
      <w:lvlText w:val=""/>
      <w:lvlJc w:val="left"/>
      <w:pPr>
        <w:tabs>
          <w:tab w:val="left" w:pos="649"/>
        </w:tabs>
        <w:ind w:left="289" w:firstLine="0"/>
      </w:pPr>
      <w:rPr>
        <w:rFonts w:hint="eastAsia"/>
      </w:rPr>
    </w:lvl>
    <w:lvl w:ilvl="8" w:tentative="0">
      <w:start w:val="0"/>
      <w:numFmt w:val="decimal"/>
      <w:lvlText w:val=""/>
      <w:lvlJc w:val="left"/>
      <w:pPr>
        <w:tabs>
          <w:tab w:val="left" w:pos="649"/>
        </w:tabs>
        <w:ind w:left="289" w:firstLine="0"/>
      </w:pPr>
      <w:rPr>
        <w:rFonts w:hint="eastAsia"/>
      </w:rPr>
    </w:lvl>
  </w:abstractNum>
  <w:abstractNum w:abstractNumId="10">
    <w:nsid w:val="2F00000C"/>
    <w:multiLevelType w:val="multilevel"/>
    <w:tmpl w:val="2F00000C"/>
    <w:lvl w:ilvl="0" w:tentative="0">
      <w:start w:val="1"/>
      <w:numFmt w:val="decimal"/>
      <w:pStyle w:val="233"/>
      <w:suff w:val="space"/>
      <w:lvlText w:val="第%1章"/>
      <w:lvlJc w:val="left"/>
      <w:pPr>
        <w:ind w:left="0" w:firstLine="0"/>
      </w:pPr>
      <w:rPr>
        <w:rFonts w:hint="eastAsia" w:ascii="黑体" w:eastAsia="黑体"/>
        <w:b w:val="0"/>
        <w:i w:val="0"/>
      </w:rPr>
    </w:lvl>
    <w:lvl w:ilvl="1" w:tentative="0">
      <w:start w:val="1"/>
      <w:numFmt w:val="decimal"/>
      <w:pStyle w:val="319"/>
      <w:suff w:val="space"/>
      <w:lvlText w:val="%1.%2"/>
      <w:lvlJc w:val="left"/>
      <w:pPr>
        <w:ind w:left="0" w:firstLine="0"/>
      </w:pPr>
      <w:rPr>
        <w:rFonts w:hint="eastAsia" w:ascii="黑体" w:eastAsia="黑体"/>
        <w:b w:val="0"/>
        <w:i w:val="0"/>
      </w:rPr>
    </w:lvl>
    <w:lvl w:ilvl="2" w:tentative="0">
      <w:start w:val="1"/>
      <w:numFmt w:val="decimal"/>
      <w:pStyle w:val="300"/>
      <w:suff w:val="space"/>
      <w:lvlText w:val="%1.%2.%3"/>
      <w:lvlJc w:val="left"/>
      <w:pPr>
        <w:ind w:left="0" w:firstLine="0"/>
      </w:pPr>
      <w:rPr>
        <w:rFonts w:hint="eastAsia" w:ascii="黑体" w:eastAsia="黑体"/>
        <w:b w:val="0"/>
        <w:i w:val="0"/>
      </w:rPr>
    </w:lvl>
    <w:lvl w:ilvl="3" w:tentative="0">
      <w:start w:val="1"/>
      <w:numFmt w:val="decimal"/>
      <w:pStyle w:val="294"/>
      <w:suff w:val="space"/>
      <w:lvlText w:val="%1.%2.%3.%4"/>
      <w:lvlJc w:val="left"/>
      <w:pPr>
        <w:ind w:left="0" w:firstLine="0"/>
      </w:pPr>
      <w:rPr>
        <w:rFonts w:hint="eastAsia" w:ascii="黑体" w:eastAsia="黑体"/>
        <w:b w:val="0"/>
        <w:i w:val="0"/>
      </w:rPr>
    </w:lvl>
    <w:lvl w:ilvl="4" w:tentative="0">
      <w:start w:val="1"/>
      <w:numFmt w:val="decimal"/>
      <w:pStyle w:val="223"/>
      <w:suff w:val="space"/>
      <w:lvlText w:val="%1.%2.%3.%4.%5"/>
      <w:lvlJc w:val="left"/>
      <w:pPr>
        <w:ind w:left="0" w:firstLine="0"/>
      </w:pPr>
      <w:rPr>
        <w:rFonts w:hint="eastAsia" w:ascii="黑体" w:eastAsia="黑体"/>
        <w:b w:val="0"/>
        <w:i w:val="0"/>
      </w:rPr>
    </w:lvl>
    <w:lvl w:ilvl="5" w:tentative="0">
      <w:start w:val="1"/>
      <w:numFmt w:val="bullet"/>
      <w:suff w:val="nothing"/>
      <w:lvlText w:val=""/>
      <w:lvlJc w:val="left"/>
      <w:pPr>
        <w:ind w:left="0" w:firstLine="0"/>
      </w:pPr>
      <w:rPr>
        <w:rFonts w:hint="eastAsia"/>
      </w:rPr>
    </w:lvl>
    <w:lvl w:ilvl="6" w:tentative="0">
      <w:start w:val="1"/>
      <w:numFmt w:val="bullet"/>
      <w:suff w:val="nothing"/>
      <w:lvlText w:val=""/>
      <w:lvlJc w:val="left"/>
      <w:pPr>
        <w:ind w:left="0" w:firstLine="0"/>
      </w:pPr>
      <w:rPr>
        <w:rFonts w:hint="eastAsia"/>
      </w:rPr>
    </w:lvl>
    <w:lvl w:ilvl="7" w:tentative="0">
      <w:start w:val="1"/>
      <w:numFmt w:val="bullet"/>
      <w:suff w:val="nothing"/>
      <w:lvlText w:val=""/>
      <w:lvlJc w:val="left"/>
      <w:pPr>
        <w:ind w:left="0" w:firstLine="0"/>
      </w:pPr>
      <w:rPr>
        <w:rFonts w:hint="eastAsia"/>
      </w:rPr>
    </w:lvl>
    <w:lvl w:ilvl="8" w:tentative="0">
      <w:start w:val="1"/>
      <w:numFmt w:val="bullet"/>
      <w:suff w:val="nothing"/>
      <w:lvlText w:val=""/>
      <w:lvlJc w:val="left"/>
      <w:pPr>
        <w:ind w:left="0" w:firstLine="0"/>
      </w:pPr>
      <w:rPr>
        <w:rFonts w:hint="eastAsia"/>
      </w:rPr>
    </w:lvl>
  </w:abstractNum>
  <w:abstractNum w:abstractNumId="11">
    <w:nsid w:val="2F00000D"/>
    <w:multiLevelType w:val="multilevel"/>
    <w:tmpl w:val="2F00000D"/>
    <w:lvl w:ilvl="0" w:tentative="0">
      <w:start w:val="1"/>
      <w:numFmt w:val="japaneseCounting"/>
      <w:pStyle w:val="135"/>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F00000E"/>
    <w:multiLevelType w:val="multilevel"/>
    <w:tmpl w:val="2F00000E"/>
    <w:lvl w:ilvl="0" w:tentative="0">
      <w:start w:val="1"/>
      <w:numFmt w:val="bullet"/>
      <w:pStyle w:val="320"/>
      <w:lvlText w:val="l"/>
      <w:lvlJc w:val="left"/>
      <w:pPr>
        <w:ind w:left="920" w:hanging="360"/>
      </w:pPr>
      <w:rPr>
        <w:rFonts w:hint="default" w:ascii="Wingdings" w:hAnsi="Wingdings"/>
      </w:rPr>
    </w:lvl>
    <w:lvl w:ilvl="1" w:tentative="0">
      <w:start w:val="1"/>
      <w:numFmt w:val="bullet"/>
      <w:lvlText w:val="n"/>
      <w:lvlJc w:val="left"/>
      <w:pPr>
        <w:ind w:left="1400" w:hanging="420"/>
      </w:pPr>
      <w:rPr>
        <w:rFonts w:hint="default" w:ascii="Wingdings" w:hAnsi="Wingdings"/>
      </w:rPr>
    </w:lvl>
    <w:lvl w:ilvl="2" w:tentative="0">
      <w:start w:val="1"/>
      <w:numFmt w:val="bullet"/>
      <w:lvlText w:val="u"/>
      <w:lvlJc w:val="left"/>
      <w:pPr>
        <w:ind w:left="1820" w:hanging="420"/>
      </w:pPr>
      <w:rPr>
        <w:rFonts w:hint="default" w:ascii="Wingdings" w:hAnsi="Wingdings"/>
      </w:rPr>
    </w:lvl>
    <w:lvl w:ilvl="3" w:tentative="0">
      <w:start w:val="1"/>
      <w:numFmt w:val="bullet"/>
      <w:lvlText w:val="l"/>
      <w:lvlJc w:val="left"/>
      <w:pPr>
        <w:ind w:left="2240" w:hanging="420"/>
      </w:pPr>
      <w:rPr>
        <w:rFonts w:hint="default" w:ascii="Wingdings" w:hAnsi="Wingdings"/>
      </w:rPr>
    </w:lvl>
    <w:lvl w:ilvl="4" w:tentative="0">
      <w:start w:val="1"/>
      <w:numFmt w:val="bullet"/>
      <w:lvlText w:val="n"/>
      <w:lvlJc w:val="left"/>
      <w:pPr>
        <w:ind w:left="2660" w:hanging="420"/>
      </w:pPr>
      <w:rPr>
        <w:rFonts w:hint="default" w:ascii="Wingdings" w:hAnsi="Wingdings"/>
      </w:rPr>
    </w:lvl>
    <w:lvl w:ilvl="5" w:tentative="0">
      <w:start w:val="1"/>
      <w:numFmt w:val="bullet"/>
      <w:lvlText w:val="u"/>
      <w:lvlJc w:val="left"/>
      <w:pPr>
        <w:ind w:left="3080" w:hanging="420"/>
      </w:pPr>
      <w:rPr>
        <w:rFonts w:hint="default" w:ascii="Wingdings" w:hAnsi="Wingdings"/>
      </w:rPr>
    </w:lvl>
    <w:lvl w:ilvl="6" w:tentative="0">
      <w:start w:val="1"/>
      <w:numFmt w:val="bullet"/>
      <w:lvlText w:val="l"/>
      <w:lvlJc w:val="left"/>
      <w:pPr>
        <w:ind w:left="3500" w:hanging="420"/>
      </w:pPr>
      <w:rPr>
        <w:rFonts w:hint="default" w:ascii="Wingdings" w:hAnsi="Wingdings"/>
      </w:rPr>
    </w:lvl>
    <w:lvl w:ilvl="7" w:tentative="0">
      <w:start w:val="1"/>
      <w:numFmt w:val="bullet"/>
      <w:lvlText w:val="n"/>
      <w:lvlJc w:val="left"/>
      <w:pPr>
        <w:ind w:left="3920" w:hanging="420"/>
      </w:pPr>
      <w:rPr>
        <w:rFonts w:hint="default" w:ascii="Wingdings" w:hAnsi="Wingdings"/>
      </w:rPr>
    </w:lvl>
    <w:lvl w:ilvl="8" w:tentative="0">
      <w:start w:val="1"/>
      <w:numFmt w:val="bullet"/>
      <w:lvlText w:val="u"/>
      <w:lvlJc w:val="left"/>
      <w:pPr>
        <w:ind w:left="4340" w:hanging="420"/>
      </w:pPr>
      <w:rPr>
        <w:rFonts w:hint="default" w:ascii="Wingdings" w:hAnsi="Wingdings"/>
      </w:rPr>
    </w:lvl>
  </w:abstractNum>
  <w:abstractNum w:abstractNumId="13">
    <w:nsid w:val="54A268E6"/>
    <w:multiLevelType w:val="singleLevel"/>
    <w:tmpl w:val="54A268E6"/>
    <w:lvl w:ilvl="0" w:tentative="0">
      <w:start w:val="7"/>
      <w:numFmt w:val="chineseCounting"/>
      <w:suff w:val="nothing"/>
      <w:lvlText w:val="%1、"/>
      <w:lvlJc w:val="left"/>
      <w:rPr>
        <w:rFonts w:hint="eastAsia"/>
      </w:rPr>
    </w:lvl>
  </w:abstractNum>
  <w:num w:numId="1">
    <w:abstractNumId w:val="6"/>
  </w:num>
  <w:num w:numId="2">
    <w:abstractNumId w:val="2"/>
  </w:num>
  <w:num w:numId="3">
    <w:abstractNumId w:val="3"/>
  </w:num>
  <w:num w:numId="4">
    <w:abstractNumId w:val="8"/>
  </w:num>
  <w:num w:numId="5">
    <w:abstractNumId w:val="11"/>
  </w:num>
  <w:num w:numId="6">
    <w:abstractNumId w:val="4"/>
  </w:num>
  <w:num w:numId="7">
    <w:abstractNumId w:val="7"/>
  </w:num>
  <w:num w:numId="8">
    <w:abstractNumId w:val="10"/>
  </w:num>
  <w:num w:numId="9">
    <w:abstractNumId w:val="9"/>
  </w:num>
  <w:num w:numId="10">
    <w:abstractNumId w:val="5"/>
  </w:num>
  <w:num w:numId="11">
    <w:abstractNumId w:val="1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hdrShapeDefaults>
    <o:shapelayout v:ext="edit">
      <o:idmap v:ext="edit" data="3"/>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jNDA4YTk1NDkzNjc2ZGYwMTZhMmYwZTBiNjg2MTgifQ=="/>
  </w:docVars>
  <w:rsids>
    <w:rsidRoot w:val="00ED08B7"/>
    <w:rsid w:val="000006C2"/>
    <w:rsid w:val="00006335"/>
    <w:rsid w:val="00022961"/>
    <w:rsid w:val="00024C39"/>
    <w:rsid w:val="00026BAB"/>
    <w:rsid w:val="000343CE"/>
    <w:rsid w:val="00045429"/>
    <w:rsid w:val="00054C10"/>
    <w:rsid w:val="00065149"/>
    <w:rsid w:val="00070146"/>
    <w:rsid w:val="00080356"/>
    <w:rsid w:val="00081EBA"/>
    <w:rsid w:val="000927FC"/>
    <w:rsid w:val="000A3804"/>
    <w:rsid w:val="000A4C03"/>
    <w:rsid w:val="000B1911"/>
    <w:rsid w:val="000C611F"/>
    <w:rsid w:val="000D09FC"/>
    <w:rsid w:val="000F7E20"/>
    <w:rsid w:val="00114D3E"/>
    <w:rsid w:val="00130EB7"/>
    <w:rsid w:val="001344FF"/>
    <w:rsid w:val="00151251"/>
    <w:rsid w:val="00156256"/>
    <w:rsid w:val="00174EC4"/>
    <w:rsid w:val="00177EA3"/>
    <w:rsid w:val="00180F72"/>
    <w:rsid w:val="0018180C"/>
    <w:rsid w:val="0018449C"/>
    <w:rsid w:val="00193D95"/>
    <w:rsid w:val="001C7FE4"/>
    <w:rsid w:val="001D0CCC"/>
    <w:rsid w:val="001D63A2"/>
    <w:rsid w:val="001D6E8E"/>
    <w:rsid w:val="001E524F"/>
    <w:rsid w:val="001E7DB0"/>
    <w:rsid w:val="001F55E7"/>
    <w:rsid w:val="00215B77"/>
    <w:rsid w:val="0021618C"/>
    <w:rsid w:val="0022004B"/>
    <w:rsid w:val="002255CD"/>
    <w:rsid w:val="00230652"/>
    <w:rsid w:val="00232D1C"/>
    <w:rsid w:val="00234300"/>
    <w:rsid w:val="00275FEE"/>
    <w:rsid w:val="0029631F"/>
    <w:rsid w:val="00296EAC"/>
    <w:rsid w:val="002974CD"/>
    <w:rsid w:val="002A778B"/>
    <w:rsid w:val="002C19E1"/>
    <w:rsid w:val="002C413C"/>
    <w:rsid w:val="002C73CF"/>
    <w:rsid w:val="002E4DAF"/>
    <w:rsid w:val="002F5DDF"/>
    <w:rsid w:val="002F7961"/>
    <w:rsid w:val="00307DA4"/>
    <w:rsid w:val="003177FA"/>
    <w:rsid w:val="003301F4"/>
    <w:rsid w:val="00352E06"/>
    <w:rsid w:val="00364506"/>
    <w:rsid w:val="00375932"/>
    <w:rsid w:val="003778E6"/>
    <w:rsid w:val="00390506"/>
    <w:rsid w:val="003951B6"/>
    <w:rsid w:val="003A0B4F"/>
    <w:rsid w:val="003C5DBB"/>
    <w:rsid w:val="003E33B3"/>
    <w:rsid w:val="003E399F"/>
    <w:rsid w:val="003E4706"/>
    <w:rsid w:val="003F6105"/>
    <w:rsid w:val="0041215A"/>
    <w:rsid w:val="00424ED9"/>
    <w:rsid w:val="0043405F"/>
    <w:rsid w:val="00444C94"/>
    <w:rsid w:val="0045392F"/>
    <w:rsid w:val="004541AF"/>
    <w:rsid w:val="0045739A"/>
    <w:rsid w:val="00463C60"/>
    <w:rsid w:val="00474B87"/>
    <w:rsid w:val="004857CD"/>
    <w:rsid w:val="00494848"/>
    <w:rsid w:val="004B11EA"/>
    <w:rsid w:val="004E26CB"/>
    <w:rsid w:val="00501980"/>
    <w:rsid w:val="00503079"/>
    <w:rsid w:val="00514F37"/>
    <w:rsid w:val="005160E6"/>
    <w:rsid w:val="0052121A"/>
    <w:rsid w:val="00527FC0"/>
    <w:rsid w:val="00546301"/>
    <w:rsid w:val="005656D5"/>
    <w:rsid w:val="00573A97"/>
    <w:rsid w:val="005756AE"/>
    <w:rsid w:val="00576A8C"/>
    <w:rsid w:val="005977B7"/>
    <w:rsid w:val="005A4284"/>
    <w:rsid w:val="005A611E"/>
    <w:rsid w:val="005D01DE"/>
    <w:rsid w:val="005E01C0"/>
    <w:rsid w:val="005F370D"/>
    <w:rsid w:val="005F3720"/>
    <w:rsid w:val="0060662E"/>
    <w:rsid w:val="00606CC1"/>
    <w:rsid w:val="00614B17"/>
    <w:rsid w:val="006243E2"/>
    <w:rsid w:val="0064505D"/>
    <w:rsid w:val="00650C49"/>
    <w:rsid w:val="00660C9F"/>
    <w:rsid w:val="006620CC"/>
    <w:rsid w:val="00683DEB"/>
    <w:rsid w:val="006A1169"/>
    <w:rsid w:val="006B5765"/>
    <w:rsid w:val="006D79D6"/>
    <w:rsid w:val="006E110B"/>
    <w:rsid w:val="00737C85"/>
    <w:rsid w:val="00742462"/>
    <w:rsid w:val="00790D4F"/>
    <w:rsid w:val="007A4346"/>
    <w:rsid w:val="007B0D94"/>
    <w:rsid w:val="007B0E3A"/>
    <w:rsid w:val="007B1654"/>
    <w:rsid w:val="007B189D"/>
    <w:rsid w:val="007B2079"/>
    <w:rsid w:val="007C4FA2"/>
    <w:rsid w:val="007E062A"/>
    <w:rsid w:val="008024A4"/>
    <w:rsid w:val="00813586"/>
    <w:rsid w:val="00824723"/>
    <w:rsid w:val="0082793D"/>
    <w:rsid w:val="0083720C"/>
    <w:rsid w:val="00871178"/>
    <w:rsid w:val="00882BF0"/>
    <w:rsid w:val="0088590A"/>
    <w:rsid w:val="00891866"/>
    <w:rsid w:val="0091230F"/>
    <w:rsid w:val="00926C95"/>
    <w:rsid w:val="00930F9F"/>
    <w:rsid w:val="00932435"/>
    <w:rsid w:val="00965660"/>
    <w:rsid w:val="00965FE4"/>
    <w:rsid w:val="0096614A"/>
    <w:rsid w:val="009745E9"/>
    <w:rsid w:val="00994C9F"/>
    <w:rsid w:val="009A1BF7"/>
    <w:rsid w:val="009D2B4C"/>
    <w:rsid w:val="009E1024"/>
    <w:rsid w:val="009F0BBC"/>
    <w:rsid w:val="00A019B1"/>
    <w:rsid w:val="00A12882"/>
    <w:rsid w:val="00A13051"/>
    <w:rsid w:val="00A24520"/>
    <w:rsid w:val="00A44C8F"/>
    <w:rsid w:val="00A5005E"/>
    <w:rsid w:val="00A6249F"/>
    <w:rsid w:val="00A65535"/>
    <w:rsid w:val="00A70942"/>
    <w:rsid w:val="00AA06E0"/>
    <w:rsid w:val="00AE7924"/>
    <w:rsid w:val="00AF2B80"/>
    <w:rsid w:val="00B01588"/>
    <w:rsid w:val="00B27B2B"/>
    <w:rsid w:val="00B27E9B"/>
    <w:rsid w:val="00B32AAC"/>
    <w:rsid w:val="00B36B8F"/>
    <w:rsid w:val="00B46C6D"/>
    <w:rsid w:val="00B547B1"/>
    <w:rsid w:val="00B569EC"/>
    <w:rsid w:val="00B72697"/>
    <w:rsid w:val="00B7635F"/>
    <w:rsid w:val="00B93076"/>
    <w:rsid w:val="00BC272C"/>
    <w:rsid w:val="00BC538D"/>
    <w:rsid w:val="00BD0A48"/>
    <w:rsid w:val="00BE1A7D"/>
    <w:rsid w:val="00BE3645"/>
    <w:rsid w:val="00C1665E"/>
    <w:rsid w:val="00C22F20"/>
    <w:rsid w:val="00C67D0C"/>
    <w:rsid w:val="00C8519C"/>
    <w:rsid w:val="00C8531D"/>
    <w:rsid w:val="00CA3B49"/>
    <w:rsid w:val="00CA7C9B"/>
    <w:rsid w:val="00CC2E79"/>
    <w:rsid w:val="00CF333D"/>
    <w:rsid w:val="00CF70F6"/>
    <w:rsid w:val="00D32F24"/>
    <w:rsid w:val="00D55F0B"/>
    <w:rsid w:val="00D848F4"/>
    <w:rsid w:val="00D877EE"/>
    <w:rsid w:val="00D91AE3"/>
    <w:rsid w:val="00DA0151"/>
    <w:rsid w:val="00DA7C59"/>
    <w:rsid w:val="00DB4030"/>
    <w:rsid w:val="00DB6FD1"/>
    <w:rsid w:val="00DD6766"/>
    <w:rsid w:val="00DD6792"/>
    <w:rsid w:val="00DE028C"/>
    <w:rsid w:val="00DE3914"/>
    <w:rsid w:val="00DE4438"/>
    <w:rsid w:val="00DF71D4"/>
    <w:rsid w:val="00E17B49"/>
    <w:rsid w:val="00E26C98"/>
    <w:rsid w:val="00E46FAC"/>
    <w:rsid w:val="00E5126D"/>
    <w:rsid w:val="00E54ADB"/>
    <w:rsid w:val="00E80759"/>
    <w:rsid w:val="00E9321B"/>
    <w:rsid w:val="00E96B60"/>
    <w:rsid w:val="00EA1F13"/>
    <w:rsid w:val="00EB0D6D"/>
    <w:rsid w:val="00ED08B7"/>
    <w:rsid w:val="00ED0EFF"/>
    <w:rsid w:val="00EF0959"/>
    <w:rsid w:val="00F007C3"/>
    <w:rsid w:val="00F02FB4"/>
    <w:rsid w:val="00F0661D"/>
    <w:rsid w:val="00F07D13"/>
    <w:rsid w:val="00F265BD"/>
    <w:rsid w:val="00F27949"/>
    <w:rsid w:val="00F51E93"/>
    <w:rsid w:val="00F65C76"/>
    <w:rsid w:val="00F82C0F"/>
    <w:rsid w:val="00FA7D33"/>
    <w:rsid w:val="00FB6639"/>
    <w:rsid w:val="00FC658D"/>
    <w:rsid w:val="00FC7579"/>
    <w:rsid w:val="00FD06A7"/>
    <w:rsid w:val="00FD3EA6"/>
    <w:rsid w:val="00FD5DFB"/>
    <w:rsid w:val="00FE06A2"/>
    <w:rsid w:val="036B3527"/>
    <w:rsid w:val="04A712BE"/>
    <w:rsid w:val="06F35935"/>
    <w:rsid w:val="09883645"/>
    <w:rsid w:val="099D75D7"/>
    <w:rsid w:val="0F4871EC"/>
    <w:rsid w:val="16AC3005"/>
    <w:rsid w:val="1A7152CE"/>
    <w:rsid w:val="1B0B6A10"/>
    <w:rsid w:val="208041CE"/>
    <w:rsid w:val="25230AD7"/>
    <w:rsid w:val="255441D0"/>
    <w:rsid w:val="256B6F40"/>
    <w:rsid w:val="25AC0BC2"/>
    <w:rsid w:val="27590FA2"/>
    <w:rsid w:val="28F65F0E"/>
    <w:rsid w:val="2A9E7AAB"/>
    <w:rsid w:val="33E974F1"/>
    <w:rsid w:val="343508BF"/>
    <w:rsid w:val="3A5C0372"/>
    <w:rsid w:val="3A621D8F"/>
    <w:rsid w:val="3BA9D14B"/>
    <w:rsid w:val="3BEF16B0"/>
    <w:rsid w:val="3D1F2CB8"/>
    <w:rsid w:val="3D6FF69F"/>
    <w:rsid w:val="3F6F2E09"/>
    <w:rsid w:val="3FBE0DF5"/>
    <w:rsid w:val="3FF1CFD2"/>
    <w:rsid w:val="485953C7"/>
    <w:rsid w:val="48A26285"/>
    <w:rsid w:val="4A852069"/>
    <w:rsid w:val="4B37A6A1"/>
    <w:rsid w:val="4BA85477"/>
    <w:rsid w:val="4DD03F54"/>
    <w:rsid w:val="4E74729C"/>
    <w:rsid w:val="513862CA"/>
    <w:rsid w:val="527ECB15"/>
    <w:rsid w:val="54E97638"/>
    <w:rsid w:val="58594CED"/>
    <w:rsid w:val="5ABC59DC"/>
    <w:rsid w:val="5B5FE300"/>
    <w:rsid w:val="5BDF0D99"/>
    <w:rsid w:val="5BF14BDE"/>
    <w:rsid w:val="5C215B1E"/>
    <w:rsid w:val="5FF77EA3"/>
    <w:rsid w:val="609F5A1B"/>
    <w:rsid w:val="624F6DAA"/>
    <w:rsid w:val="63941E17"/>
    <w:rsid w:val="63E33937"/>
    <w:rsid w:val="64AD2180"/>
    <w:rsid w:val="6D127199"/>
    <w:rsid w:val="70F864DF"/>
    <w:rsid w:val="7169344D"/>
    <w:rsid w:val="71E75EC2"/>
    <w:rsid w:val="735A2319"/>
    <w:rsid w:val="73F6649C"/>
    <w:rsid w:val="75151242"/>
    <w:rsid w:val="76830713"/>
    <w:rsid w:val="79C22FD9"/>
    <w:rsid w:val="79DF8C74"/>
    <w:rsid w:val="7AA814FF"/>
    <w:rsid w:val="7BD279E9"/>
    <w:rsid w:val="7F4E34B4"/>
    <w:rsid w:val="7F7EA7EC"/>
    <w:rsid w:val="7FFA8DAD"/>
    <w:rsid w:val="AD7D7F76"/>
    <w:rsid w:val="B6FD7AA1"/>
    <w:rsid w:val="BE7D9B02"/>
    <w:rsid w:val="BEFEF0AB"/>
    <w:rsid w:val="BFBD981D"/>
    <w:rsid w:val="D9FBCB2E"/>
    <w:rsid w:val="DDDFB17C"/>
    <w:rsid w:val="DDEB4B17"/>
    <w:rsid w:val="DF7E7A96"/>
    <w:rsid w:val="DFB9B8B0"/>
    <w:rsid w:val="DFFEF180"/>
    <w:rsid w:val="E93F500F"/>
    <w:rsid w:val="EABBEF10"/>
    <w:rsid w:val="F5FAC3F5"/>
    <w:rsid w:val="FDF4AABA"/>
    <w:rsid w:val="FE569E7B"/>
    <w:rsid w:val="FE5B82A5"/>
    <w:rsid w:val="FEDB38F2"/>
    <w:rsid w:val="FF73574D"/>
    <w:rsid w:val="FF7B4CAB"/>
    <w:rsid w:val="FFBF875A"/>
    <w:rsid w:val="FFCE80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9" w:semiHidden="0" w:name="heading 3"/>
    <w:lsdException w:qFormat="1" w:uiPriority="10" w:name="heading 4"/>
    <w:lsdException w:qFormat="1" w:uiPriority="11" w:name="heading 5"/>
    <w:lsdException w:qFormat="1" w:uiPriority="12"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0"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7"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after="200"/>
    </w:pPr>
    <w:rPr>
      <w:rFonts w:ascii="Arial Unicode MS" w:hAnsi="Arial Unicode MS" w:eastAsia="宋体" w:cs="Arial Unicode MS"/>
      <w:color w:val="000000"/>
      <w:sz w:val="22"/>
      <w:szCs w:val="22"/>
      <w:lang w:val="en-US" w:eastAsia="zh-CN" w:bidi="ar-SA"/>
    </w:rPr>
  </w:style>
  <w:style w:type="paragraph" w:styleId="3">
    <w:name w:val="heading 1"/>
    <w:basedOn w:val="1"/>
    <w:next w:val="1"/>
    <w:link w:val="59"/>
    <w:qFormat/>
    <w:uiPriority w:val="7"/>
    <w:pPr>
      <w:spacing w:before="240" w:after="120" w:line="300" w:lineRule="auto"/>
      <w:jc w:val="center"/>
      <w:outlineLvl w:val="0"/>
    </w:pPr>
    <w:rPr>
      <w:rFonts w:cs="Times New Roman"/>
      <w:b/>
      <w:sz w:val="44"/>
      <w:szCs w:val="44"/>
    </w:rPr>
  </w:style>
  <w:style w:type="paragraph" w:styleId="4">
    <w:name w:val="heading 2"/>
    <w:basedOn w:val="1"/>
    <w:next w:val="1"/>
    <w:link w:val="60"/>
    <w:unhideWhenUsed/>
    <w:qFormat/>
    <w:uiPriority w:val="8"/>
    <w:pPr>
      <w:spacing w:before="260" w:after="260" w:line="410" w:lineRule="auto"/>
      <w:outlineLvl w:val="1"/>
    </w:pPr>
    <w:rPr>
      <w:rFonts w:ascii="Cambria" w:hAnsi="Cambria" w:cs="宋体"/>
      <w:b/>
      <w:sz w:val="32"/>
      <w:szCs w:val="32"/>
    </w:rPr>
  </w:style>
  <w:style w:type="paragraph" w:styleId="5">
    <w:name w:val="heading 3"/>
    <w:basedOn w:val="1"/>
    <w:next w:val="1"/>
    <w:link w:val="61"/>
    <w:unhideWhenUsed/>
    <w:qFormat/>
    <w:uiPriority w:val="9"/>
    <w:pPr>
      <w:spacing w:before="260" w:after="260" w:line="410" w:lineRule="auto"/>
      <w:outlineLvl w:val="2"/>
    </w:pPr>
    <w:rPr>
      <w:rFonts w:cs="Times New Roman"/>
      <w:b/>
      <w:sz w:val="32"/>
      <w:szCs w:val="32"/>
    </w:rPr>
  </w:style>
  <w:style w:type="paragraph" w:styleId="6">
    <w:name w:val="heading 4"/>
    <w:basedOn w:val="1"/>
    <w:next w:val="1"/>
    <w:link w:val="87"/>
    <w:semiHidden/>
    <w:unhideWhenUsed/>
    <w:qFormat/>
    <w:uiPriority w:val="10"/>
    <w:pPr>
      <w:spacing w:before="280" w:after="290" w:line="376" w:lineRule="auto"/>
      <w:jc w:val="both"/>
      <w:outlineLvl w:val="3"/>
    </w:pPr>
    <w:rPr>
      <w:rFonts w:ascii="Arial" w:hAnsi="Arial" w:eastAsia="黑体" w:cs="Times New Roman"/>
      <w:b/>
      <w:color w:val="auto"/>
      <w:sz w:val="28"/>
      <w:szCs w:val="28"/>
      <w:lang w:eastAsia="en-US"/>
    </w:rPr>
  </w:style>
  <w:style w:type="paragraph" w:styleId="7">
    <w:name w:val="heading 5"/>
    <w:basedOn w:val="1"/>
    <w:next w:val="1"/>
    <w:link w:val="88"/>
    <w:semiHidden/>
    <w:unhideWhenUsed/>
    <w:qFormat/>
    <w:uiPriority w:val="11"/>
    <w:pPr>
      <w:spacing w:before="280" w:after="290" w:line="376" w:lineRule="auto"/>
      <w:jc w:val="both"/>
      <w:outlineLvl w:val="4"/>
    </w:pPr>
    <w:rPr>
      <w:rFonts w:ascii="Verdana" w:hAnsi="Verdana" w:cs="Times New Roman"/>
      <w:b/>
      <w:color w:val="auto"/>
      <w:sz w:val="28"/>
      <w:szCs w:val="28"/>
      <w:lang w:eastAsia="en-US"/>
    </w:rPr>
  </w:style>
  <w:style w:type="paragraph" w:styleId="8">
    <w:name w:val="heading 6"/>
    <w:basedOn w:val="1"/>
    <w:next w:val="1"/>
    <w:link w:val="89"/>
    <w:semiHidden/>
    <w:unhideWhenUsed/>
    <w:qFormat/>
    <w:uiPriority w:val="12"/>
    <w:pPr>
      <w:tabs>
        <w:tab w:val="left" w:pos="1294"/>
      </w:tabs>
      <w:autoSpaceDE w:val="0"/>
      <w:autoSpaceDN w:val="0"/>
      <w:spacing w:before="240" w:after="64" w:line="320" w:lineRule="atLeast"/>
      <w:ind w:left="1294" w:hanging="1152"/>
      <w:outlineLvl w:val="5"/>
    </w:pPr>
    <w:rPr>
      <w:rFonts w:ascii="黑体" w:hAnsi="Tms Rmn" w:eastAsia="黑体" w:cs="Times New Roman"/>
      <w:b/>
      <w:color w:val="auto"/>
      <w:sz w:val="24"/>
      <w:szCs w:val="24"/>
      <w:lang w:eastAsia="en-US"/>
    </w:rPr>
  </w:style>
  <w:style w:type="paragraph" w:styleId="9">
    <w:name w:val="heading 7"/>
    <w:basedOn w:val="1"/>
    <w:next w:val="1"/>
    <w:link w:val="90"/>
    <w:qFormat/>
    <w:uiPriority w:val="13"/>
    <w:pPr>
      <w:tabs>
        <w:tab w:val="left" w:pos="1438"/>
      </w:tabs>
      <w:autoSpaceDE w:val="0"/>
      <w:autoSpaceDN w:val="0"/>
      <w:spacing w:before="240" w:after="64" w:line="320" w:lineRule="atLeast"/>
      <w:ind w:left="1438" w:hanging="1296"/>
      <w:outlineLvl w:val="6"/>
    </w:pPr>
    <w:rPr>
      <w:rFonts w:ascii="宋体" w:hAnsi="Tms Rmn" w:cs="Times New Roman"/>
      <w:b/>
      <w:color w:val="auto"/>
      <w:sz w:val="24"/>
      <w:szCs w:val="24"/>
      <w:lang w:eastAsia="en-US"/>
    </w:rPr>
  </w:style>
  <w:style w:type="paragraph" w:styleId="10">
    <w:name w:val="heading 8"/>
    <w:basedOn w:val="1"/>
    <w:next w:val="1"/>
    <w:link w:val="91"/>
    <w:qFormat/>
    <w:uiPriority w:val="14"/>
    <w:pPr>
      <w:tabs>
        <w:tab w:val="left" w:pos="1582"/>
      </w:tabs>
      <w:spacing w:before="240" w:after="64" w:line="319" w:lineRule="auto"/>
      <w:ind w:left="1582" w:hanging="1440"/>
      <w:jc w:val="both"/>
      <w:outlineLvl w:val="7"/>
    </w:pPr>
    <w:rPr>
      <w:rFonts w:ascii="Arial" w:hAnsi="Arial" w:eastAsia="黑体" w:cs="Times New Roman"/>
      <w:color w:val="auto"/>
      <w:sz w:val="24"/>
      <w:szCs w:val="24"/>
      <w:lang w:eastAsia="en-US"/>
    </w:rPr>
  </w:style>
  <w:style w:type="paragraph" w:styleId="11">
    <w:name w:val="heading 9"/>
    <w:basedOn w:val="1"/>
    <w:next w:val="1"/>
    <w:link w:val="92"/>
    <w:qFormat/>
    <w:uiPriority w:val="15"/>
    <w:pPr>
      <w:tabs>
        <w:tab w:val="left" w:pos="1726"/>
      </w:tabs>
      <w:spacing w:before="240" w:after="64" w:line="319" w:lineRule="auto"/>
      <w:ind w:left="1726" w:hanging="1584"/>
      <w:jc w:val="both"/>
      <w:outlineLvl w:val="8"/>
    </w:pPr>
    <w:rPr>
      <w:rFonts w:ascii="Arial" w:hAnsi="Arial" w:eastAsia="黑体" w:cs="Times New Roman"/>
      <w:color w:val="auto"/>
      <w:sz w:val="21"/>
      <w:szCs w:val="21"/>
      <w:lang w:eastAsia="en-US"/>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12">
    <w:name w:val="List 3"/>
    <w:qFormat/>
    <w:uiPriority w:val="0"/>
    <w:pPr>
      <w:numPr>
        <w:ilvl w:val="0"/>
        <w:numId w:val="1"/>
      </w:numPr>
      <w:tabs>
        <w:tab w:val="left" w:pos="1470"/>
      </w:tabs>
    </w:pPr>
    <w:rPr>
      <w:rFonts w:ascii="Calibri" w:hAnsi="Calibri" w:eastAsia="宋体" w:cs="Times New Roman"/>
      <w:lang w:val="en-US" w:eastAsia="zh-CN" w:bidi="ar-SA"/>
    </w:rPr>
  </w:style>
  <w:style w:type="paragraph" w:styleId="13">
    <w:name w:val="toc 7"/>
    <w:basedOn w:val="1"/>
    <w:next w:val="1"/>
    <w:unhideWhenUsed/>
    <w:qFormat/>
    <w:uiPriority w:val="34"/>
    <w:pPr>
      <w:spacing w:after="0"/>
      <w:ind w:left="1260"/>
    </w:pPr>
    <w:rPr>
      <w:rFonts w:ascii="Calibri" w:hAnsi="Calibri" w:cs="Times New Roman"/>
      <w:color w:val="auto"/>
      <w:sz w:val="18"/>
      <w:szCs w:val="18"/>
    </w:rPr>
  </w:style>
  <w:style w:type="paragraph" w:styleId="14">
    <w:name w:val="List Number"/>
    <w:basedOn w:val="1"/>
    <w:qFormat/>
    <w:uiPriority w:val="0"/>
    <w:pPr>
      <w:numPr>
        <w:ilvl w:val="0"/>
        <w:numId w:val="2"/>
      </w:numPr>
      <w:tabs>
        <w:tab w:val="left" w:pos="360"/>
        <w:tab w:val="clear" w:pos="420"/>
      </w:tabs>
      <w:spacing w:after="0" w:line="500" w:lineRule="exact"/>
      <w:jc w:val="both"/>
    </w:pPr>
    <w:rPr>
      <w:rFonts w:ascii="Calibri" w:hAnsi="Calibri" w:cs="Times New Roman"/>
      <w:color w:val="auto"/>
      <w:sz w:val="24"/>
      <w:szCs w:val="24"/>
    </w:rPr>
  </w:style>
  <w:style w:type="paragraph" w:styleId="15">
    <w:name w:val="Normal Indent"/>
    <w:basedOn w:val="1"/>
    <w:link w:val="150"/>
    <w:unhideWhenUsed/>
    <w:qFormat/>
    <w:uiPriority w:val="0"/>
    <w:pPr>
      <w:spacing w:before="60" w:after="0"/>
      <w:ind w:firstLine="200"/>
      <w:jc w:val="both"/>
    </w:pPr>
    <w:rPr>
      <w:rFonts w:ascii="Times New Roman" w:hAnsi="Times New Roman" w:cs="Times New Roman"/>
      <w:color w:val="auto"/>
      <w:sz w:val="21"/>
      <w:szCs w:val="21"/>
    </w:rPr>
  </w:style>
  <w:style w:type="paragraph" w:styleId="16">
    <w:name w:val="caption"/>
    <w:basedOn w:val="1"/>
    <w:next w:val="1"/>
    <w:link w:val="127"/>
    <w:unhideWhenUsed/>
    <w:qFormat/>
    <w:uiPriority w:val="0"/>
    <w:rPr>
      <w:rFonts w:ascii="Arial" w:hAnsi="Arial" w:eastAsia="黑体"/>
      <w:sz w:val="20"/>
      <w:szCs w:val="20"/>
    </w:rPr>
  </w:style>
  <w:style w:type="paragraph" w:styleId="17">
    <w:name w:val="Document Map"/>
    <w:basedOn w:val="1"/>
    <w:link w:val="101"/>
    <w:qFormat/>
    <w:uiPriority w:val="0"/>
    <w:pPr>
      <w:shd w:val="clear" w:color="000000" w:fill="000080"/>
      <w:spacing w:after="0"/>
      <w:jc w:val="both"/>
    </w:pPr>
    <w:rPr>
      <w:rFonts w:ascii="Verdana" w:hAnsi="Verdana" w:cs="Verdana" w:eastAsiaTheme="minorEastAsia"/>
      <w:color w:val="auto"/>
      <w:sz w:val="21"/>
      <w:szCs w:val="21"/>
      <w:lang w:eastAsia="en-US"/>
    </w:rPr>
  </w:style>
  <w:style w:type="paragraph" w:styleId="18">
    <w:name w:val="annotation text"/>
    <w:basedOn w:val="1"/>
    <w:link w:val="62"/>
    <w:unhideWhenUsed/>
    <w:qFormat/>
    <w:uiPriority w:val="0"/>
    <w:pPr>
      <w:spacing w:after="0"/>
    </w:pPr>
    <w:rPr>
      <w:rFonts w:ascii="Calibri" w:hAnsi="Calibri" w:cs="Times New Roman"/>
      <w:color w:val="auto"/>
      <w:sz w:val="21"/>
      <w:szCs w:val="21"/>
    </w:rPr>
  </w:style>
  <w:style w:type="paragraph" w:styleId="19">
    <w:name w:val="Body Text 3"/>
    <w:basedOn w:val="1"/>
    <w:link w:val="102"/>
    <w:qFormat/>
    <w:uiPriority w:val="0"/>
    <w:pPr>
      <w:spacing w:after="120"/>
      <w:jc w:val="both"/>
    </w:pPr>
    <w:rPr>
      <w:rFonts w:asciiTheme="minorHAnsi" w:hAnsiTheme="minorHAnsi" w:eastAsiaTheme="minorEastAsia" w:cstheme="minorBidi"/>
      <w:color w:val="auto"/>
      <w:sz w:val="16"/>
      <w:szCs w:val="16"/>
    </w:rPr>
  </w:style>
  <w:style w:type="paragraph" w:styleId="20">
    <w:name w:val="Body Text"/>
    <w:basedOn w:val="1"/>
    <w:next w:val="1"/>
    <w:link w:val="65"/>
    <w:unhideWhenUsed/>
    <w:qFormat/>
    <w:uiPriority w:val="0"/>
    <w:pPr>
      <w:spacing w:after="120"/>
      <w:jc w:val="both"/>
    </w:pPr>
    <w:rPr>
      <w:rFonts w:ascii="Calibri" w:hAnsi="Calibri" w:eastAsia="等线" w:cs="Times New Roman"/>
      <w:color w:val="auto"/>
      <w:sz w:val="21"/>
      <w:szCs w:val="21"/>
    </w:rPr>
  </w:style>
  <w:style w:type="paragraph" w:styleId="21">
    <w:name w:val="Body Text Indent"/>
    <w:basedOn w:val="1"/>
    <w:next w:val="22"/>
    <w:link w:val="171"/>
    <w:unhideWhenUsed/>
    <w:qFormat/>
    <w:uiPriority w:val="0"/>
    <w:pPr>
      <w:spacing w:after="120"/>
      <w:ind w:left="420" w:leftChars="420"/>
      <w:jc w:val="both"/>
    </w:pPr>
    <w:rPr>
      <w:rFonts w:ascii="Calibri" w:hAnsi="Calibri" w:cs="Times New Roman"/>
      <w:color w:val="auto"/>
      <w:sz w:val="21"/>
      <w:szCs w:val="21"/>
    </w:rPr>
  </w:style>
  <w:style w:type="paragraph" w:styleId="22">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23">
    <w:name w:val="List Number 3"/>
    <w:basedOn w:val="1"/>
    <w:link w:val="113"/>
    <w:qFormat/>
    <w:uiPriority w:val="0"/>
    <w:pPr>
      <w:tabs>
        <w:tab w:val="left" w:pos="420"/>
      </w:tabs>
      <w:spacing w:after="0"/>
      <w:ind w:left="420" w:hanging="420"/>
      <w:jc w:val="both"/>
    </w:pPr>
    <w:rPr>
      <w:rFonts w:asciiTheme="minorHAnsi" w:hAnsiTheme="minorHAnsi" w:eastAsiaTheme="minorEastAsia" w:cstheme="minorBidi"/>
      <w:color w:val="auto"/>
      <w:sz w:val="21"/>
      <w:szCs w:val="21"/>
    </w:rPr>
  </w:style>
  <w:style w:type="paragraph" w:styleId="24">
    <w:name w:val="List 2"/>
    <w:basedOn w:val="1"/>
    <w:link w:val="145"/>
    <w:qFormat/>
    <w:uiPriority w:val="0"/>
    <w:pPr>
      <w:numPr>
        <w:ilvl w:val="0"/>
        <w:numId w:val="3"/>
      </w:numPr>
      <w:tabs>
        <w:tab w:val="left" w:pos="735"/>
        <w:tab w:val="clear" w:pos="420"/>
      </w:tabs>
      <w:spacing w:after="0"/>
    </w:pPr>
    <w:rPr>
      <w:rFonts w:asciiTheme="minorHAnsi" w:hAnsiTheme="minorHAnsi" w:eastAsiaTheme="minorEastAsia" w:cstheme="minorBidi"/>
      <w:color w:val="auto"/>
      <w:sz w:val="21"/>
      <w:szCs w:val="21"/>
    </w:rPr>
  </w:style>
  <w:style w:type="paragraph" w:styleId="25">
    <w:name w:val="List Bullet 2"/>
    <w:basedOn w:val="1"/>
    <w:qFormat/>
    <w:uiPriority w:val="0"/>
    <w:pPr>
      <w:tabs>
        <w:tab w:val="left" w:pos="1110"/>
      </w:tabs>
      <w:spacing w:after="0"/>
      <w:ind w:left="1004" w:leftChars="584" w:hanging="420"/>
      <w:jc w:val="both"/>
    </w:pPr>
    <w:rPr>
      <w:rFonts w:ascii="Calibri" w:hAnsi="Calibri" w:cs="Times New Roman"/>
      <w:color w:val="auto"/>
      <w:sz w:val="21"/>
      <w:szCs w:val="21"/>
    </w:rPr>
  </w:style>
  <w:style w:type="paragraph" w:styleId="26">
    <w:name w:val="toc 5"/>
    <w:basedOn w:val="1"/>
    <w:next w:val="1"/>
    <w:unhideWhenUsed/>
    <w:qFormat/>
    <w:uiPriority w:val="32"/>
    <w:pPr>
      <w:spacing w:after="0"/>
      <w:ind w:left="840"/>
    </w:pPr>
    <w:rPr>
      <w:rFonts w:ascii="Calibri" w:hAnsi="Calibri" w:cs="Times New Roman"/>
      <w:color w:val="auto"/>
      <w:sz w:val="18"/>
      <w:szCs w:val="18"/>
    </w:rPr>
  </w:style>
  <w:style w:type="paragraph" w:styleId="27">
    <w:name w:val="toc 3"/>
    <w:basedOn w:val="1"/>
    <w:next w:val="1"/>
    <w:unhideWhenUsed/>
    <w:qFormat/>
    <w:uiPriority w:val="39"/>
    <w:pPr>
      <w:ind w:left="840" w:leftChars="840"/>
    </w:pPr>
  </w:style>
  <w:style w:type="paragraph" w:styleId="28">
    <w:name w:val="Plain Text"/>
    <w:basedOn w:val="1"/>
    <w:link w:val="66"/>
    <w:unhideWhenUsed/>
    <w:qFormat/>
    <w:uiPriority w:val="0"/>
    <w:pPr>
      <w:spacing w:after="0"/>
      <w:jc w:val="both"/>
    </w:pPr>
    <w:rPr>
      <w:rFonts w:ascii="宋体" w:hAnsi="Courier New" w:cs="Times New Roman"/>
      <w:color w:val="auto"/>
      <w:sz w:val="21"/>
      <w:szCs w:val="21"/>
    </w:rPr>
  </w:style>
  <w:style w:type="paragraph" w:styleId="29">
    <w:name w:val="toc 8"/>
    <w:basedOn w:val="1"/>
    <w:next w:val="1"/>
    <w:unhideWhenUsed/>
    <w:qFormat/>
    <w:uiPriority w:val="35"/>
    <w:pPr>
      <w:spacing w:after="0"/>
      <w:ind w:left="1470"/>
    </w:pPr>
    <w:rPr>
      <w:rFonts w:ascii="Calibri" w:hAnsi="Calibri" w:cs="Times New Roman"/>
      <w:color w:val="auto"/>
      <w:sz w:val="18"/>
      <w:szCs w:val="18"/>
    </w:rPr>
  </w:style>
  <w:style w:type="paragraph" w:styleId="30">
    <w:name w:val="Date"/>
    <w:basedOn w:val="1"/>
    <w:next w:val="1"/>
    <w:link w:val="104"/>
    <w:qFormat/>
    <w:uiPriority w:val="0"/>
    <w:pPr>
      <w:spacing w:after="0"/>
      <w:ind w:left="100" w:leftChars="100"/>
      <w:jc w:val="both"/>
    </w:pPr>
    <w:rPr>
      <w:rFonts w:asciiTheme="minorHAnsi" w:hAnsiTheme="minorHAnsi" w:eastAsiaTheme="minorEastAsia" w:cstheme="minorBidi"/>
      <w:color w:val="auto"/>
      <w:sz w:val="21"/>
      <w:szCs w:val="21"/>
    </w:rPr>
  </w:style>
  <w:style w:type="paragraph" w:styleId="31">
    <w:name w:val="Body Text Indent 2"/>
    <w:basedOn w:val="1"/>
    <w:link w:val="105"/>
    <w:unhideWhenUsed/>
    <w:qFormat/>
    <w:uiPriority w:val="0"/>
    <w:pPr>
      <w:spacing w:after="120" w:line="480" w:lineRule="auto"/>
      <w:ind w:left="420" w:leftChars="420"/>
      <w:jc w:val="both"/>
    </w:pPr>
    <w:rPr>
      <w:rFonts w:ascii="Calibri" w:hAnsi="Calibri" w:cs="Verdana" w:eastAsiaTheme="minorEastAsia"/>
      <w:color w:val="auto"/>
      <w:sz w:val="21"/>
      <w:szCs w:val="21"/>
      <w:lang w:eastAsia="en-US"/>
    </w:rPr>
  </w:style>
  <w:style w:type="paragraph" w:styleId="32">
    <w:name w:val="Balloon Text"/>
    <w:basedOn w:val="1"/>
    <w:link w:val="67"/>
    <w:unhideWhenUsed/>
    <w:qFormat/>
    <w:uiPriority w:val="0"/>
    <w:pPr>
      <w:spacing w:after="0"/>
    </w:pPr>
    <w:rPr>
      <w:rFonts w:cs="Times New Roman"/>
      <w:sz w:val="18"/>
      <w:szCs w:val="18"/>
    </w:rPr>
  </w:style>
  <w:style w:type="paragraph" w:styleId="33">
    <w:name w:val="footer"/>
    <w:basedOn w:val="1"/>
    <w:link w:val="64"/>
    <w:unhideWhenUsed/>
    <w:qFormat/>
    <w:uiPriority w:val="99"/>
    <w:pPr>
      <w:tabs>
        <w:tab w:val="center" w:pos="4153"/>
        <w:tab w:val="right" w:pos="8306"/>
      </w:tabs>
      <w:snapToGrid w:val="0"/>
    </w:pPr>
    <w:rPr>
      <w:rFonts w:cs="Times New Roman"/>
      <w:sz w:val="18"/>
      <w:szCs w:val="18"/>
    </w:rPr>
  </w:style>
  <w:style w:type="paragraph" w:styleId="34">
    <w:name w:val="header"/>
    <w:basedOn w:val="1"/>
    <w:next w:val="1"/>
    <w:link w:val="63"/>
    <w:unhideWhenUsed/>
    <w:qFormat/>
    <w:uiPriority w:val="0"/>
    <w:pPr>
      <w:pBdr>
        <w:bottom w:val="single" w:color="000000" w:sz="6" w:space="1"/>
      </w:pBdr>
      <w:tabs>
        <w:tab w:val="center" w:pos="4153"/>
        <w:tab w:val="right" w:pos="8306"/>
      </w:tabs>
      <w:snapToGrid w:val="0"/>
      <w:jc w:val="center"/>
    </w:pPr>
    <w:rPr>
      <w:rFonts w:ascii="Arial Unicode MS" w:hAnsi="Arial Unicode MS" w:eastAsia="宋体" w:cs="Times New Roman"/>
      <w:sz w:val="18"/>
      <w:szCs w:val="18"/>
    </w:rPr>
  </w:style>
  <w:style w:type="paragraph" w:styleId="35">
    <w:name w:val="toc 1"/>
    <w:basedOn w:val="1"/>
    <w:next w:val="1"/>
    <w:unhideWhenUsed/>
    <w:qFormat/>
    <w:uiPriority w:val="39"/>
  </w:style>
  <w:style w:type="paragraph" w:styleId="36">
    <w:name w:val="toc 4"/>
    <w:basedOn w:val="1"/>
    <w:next w:val="1"/>
    <w:unhideWhenUsed/>
    <w:qFormat/>
    <w:uiPriority w:val="31"/>
    <w:pPr>
      <w:spacing w:after="0"/>
      <w:ind w:left="630"/>
    </w:pPr>
    <w:rPr>
      <w:rFonts w:ascii="Calibri" w:hAnsi="Calibri" w:cs="Times New Roman"/>
      <w:color w:val="auto"/>
      <w:sz w:val="18"/>
      <w:szCs w:val="18"/>
    </w:rPr>
  </w:style>
  <w:style w:type="paragraph" w:styleId="37">
    <w:name w:val="Subtitle"/>
    <w:basedOn w:val="1"/>
    <w:next w:val="1"/>
    <w:link w:val="95"/>
    <w:qFormat/>
    <w:uiPriority w:val="16"/>
    <w:pPr>
      <w:spacing w:before="240" w:after="60" w:line="312" w:lineRule="auto"/>
      <w:jc w:val="center"/>
      <w:outlineLvl w:val="1"/>
    </w:pPr>
    <w:rPr>
      <w:rFonts w:ascii="Cambria" w:hAnsi="Cambria" w:eastAsiaTheme="minorEastAsia" w:cstheme="minorBidi"/>
      <w:b/>
      <w:color w:val="auto"/>
      <w:sz w:val="32"/>
      <w:szCs w:val="32"/>
    </w:rPr>
  </w:style>
  <w:style w:type="paragraph" w:styleId="38">
    <w:name w:val="List"/>
    <w:basedOn w:val="1"/>
    <w:link w:val="151"/>
    <w:qFormat/>
    <w:uiPriority w:val="0"/>
    <w:pPr>
      <w:tabs>
        <w:tab w:val="left" w:pos="735"/>
      </w:tabs>
      <w:spacing w:after="0"/>
      <w:ind w:left="720" w:hanging="720"/>
    </w:pPr>
    <w:rPr>
      <w:rFonts w:asciiTheme="minorHAnsi" w:hAnsiTheme="minorHAnsi" w:eastAsiaTheme="minorEastAsia" w:cstheme="minorBidi"/>
      <w:b/>
      <w:color w:val="auto"/>
      <w:sz w:val="21"/>
      <w:szCs w:val="21"/>
    </w:rPr>
  </w:style>
  <w:style w:type="paragraph" w:styleId="39">
    <w:name w:val="toc 6"/>
    <w:basedOn w:val="1"/>
    <w:next w:val="1"/>
    <w:unhideWhenUsed/>
    <w:qFormat/>
    <w:uiPriority w:val="33"/>
    <w:pPr>
      <w:spacing w:after="0"/>
      <w:ind w:left="1050"/>
    </w:pPr>
    <w:rPr>
      <w:rFonts w:ascii="Calibri" w:hAnsi="Calibri" w:cs="Times New Roman"/>
      <w:color w:val="auto"/>
      <w:sz w:val="18"/>
      <w:szCs w:val="18"/>
    </w:rPr>
  </w:style>
  <w:style w:type="paragraph" w:styleId="40">
    <w:name w:val="Body Text Indent 3"/>
    <w:basedOn w:val="1"/>
    <w:unhideWhenUsed/>
    <w:qFormat/>
    <w:uiPriority w:val="0"/>
    <w:pPr>
      <w:spacing w:after="120"/>
      <w:ind w:left="420" w:leftChars="420"/>
      <w:jc w:val="both"/>
    </w:pPr>
    <w:rPr>
      <w:rFonts w:ascii="Calibri" w:hAnsi="Calibri" w:cs="Verdana" w:eastAsiaTheme="minorEastAsia"/>
      <w:color w:val="auto"/>
      <w:sz w:val="16"/>
      <w:szCs w:val="16"/>
      <w:lang w:eastAsia="en-US"/>
    </w:rPr>
  </w:style>
  <w:style w:type="paragraph" w:styleId="41">
    <w:name w:val="toc 2"/>
    <w:basedOn w:val="1"/>
    <w:next w:val="1"/>
    <w:unhideWhenUsed/>
    <w:qFormat/>
    <w:uiPriority w:val="39"/>
    <w:pPr>
      <w:ind w:left="420" w:leftChars="420"/>
    </w:pPr>
  </w:style>
  <w:style w:type="paragraph" w:styleId="42">
    <w:name w:val="toc 9"/>
    <w:basedOn w:val="1"/>
    <w:next w:val="1"/>
    <w:unhideWhenUsed/>
    <w:qFormat/>
    <w:uiPriority w:val="36"/>
    <w:pPr>
      <w:spacing w:after="0"/>
      <w:ind w:left="1680"/>
    </w:pPr>
    <w:rPr>
      <w:rFonts w:ascii="Calibri" w:hAnsi="Calibri" w:cs="Times New Roman"/>
      <w:color w:val="auto"/>
      <w:sz w:val="18"/>
      <w:szCs w:val="18"/>
    </w:rPr>
  </w:style>
  <w:style w:type="paragraph" w:styleId="43">
    <w:name w:val="Body Text 2"/>
    <w:basedOn w:val="1"/>
    <w:link w:val="107"/>
    <w:qFormat/>
    <w:uiPriority w:val="0"/>
    <w:pPr>
      <w:spacing w:after="120" w:line="480" w:lineRule="auto"/>
    </w:pPr>
    <w:rPr>
      <w:rFonts w:ascii="Verdana" w:hAnsi="Verdana" w:cs="Verdana" w:eastAsiaTheme="minorEastAsia"/>
      <w:color w:val="auto"/>
      <w:sz w:val="21"/>
      <w:szCs w:val="21"/>
      <w:lang w:eastAsia="en-US"/>
    </w:rPr>
  </w:style>
  <w:style w:type="paragraph" w:styleId="44">
    <w:name w:val="List Continue 2"/>
    <w:basedOn w:val="1"/>
    <w:qFormat/>
    <w:uiPriority w:val="0"/>
    <w:pPr>
      <w:spacing w:after="120"/>
      <w:ind w:left="840" w:leftChars="840"/>
      <w:jc w:val="both"/>
    </w:pPr>
    <w:rPr>
      <w:rFonts w:ascii="Calibri" w:hAnsi="Calibri" w:cs="Times New Roman"/>
      <w:color w:val="auto"/>
      <w:sz w:val="21"/>
      <w:szCs w:val="21"/>
    </w:rPr>
  </w:style>
  <w:style w:type="paragraph" w:styleId="45">
    <w:name w:val="HTML Preformatted"/>
    <w:basedOn w:val="1"/>
    <w:link w:val="10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eastAsiaTheme="minorEastAsia"/>
      <w:color w:val="auto"/>
      <w:sz w:val="24"/>
      <w:szCs w:val="24"/>
      <w:lang w:eastAsia="en-US"/>
    </w:rPr>
  </w:style>
  <w:style w:type="paragraph" w:styleId="46">
    <w:name w:val="Normal (Web)"/>
    <w:basedOn w:val="1"/>
    <w:qFormat/>
    <w:uiPriority w:val="0"/>
    <w:pPr>
      <w:spacing w:before="100" w:beforeAutospacing="1" w:after="100" w:afterAutospacing="1"/>
    </w:pPr>
    <w:rPr>
      <w:rFonts w:ascii="宋体" w:hAnsi="宋体" w:cs="宋体"/>
      <w:color w:val="auto"/>
      <w:sz w:val="24"/>
      <w:szCs w:val="24"/>
    </w:rPr>
  </w:style>
  <w:style w:type="paragraph" w:styleId="47">
    <w:name w:val="Title"/>
    <w:basedOn w:val="1"/>
    <w:next w:val="1"/>
    <w:link w:val="94"/>
    <w:qFormat/>
    <w:uiPriority w:val="6"/>
    <w:pPr>
      <w:spacing w:before="240" w:after="60"/>
      <w:jc w:val="center"/>
      <w:outlineLvl w:val="0"/>
    </w:pPr>
    <w:rPr>
      <w:rFonts w:ascii="Cambria" w:hAnsi="Cambria" w:eastAsiaTheme="minorEastAsia" w:cstheme="minorBidi"/>
      <w:b/>
      <w:color w:val="auto"/>
      <w:sz w:val="32"/>
      <w:szCs w:val="32"/>
    </w:rPr>
  </w:style>
  <w:style w:type="paragraph" w:styleId="48">
    <w:name w:val="annotation subject"/>
    <w:basedOn w:val="18"/>
    <w:next w:val="18"/>
    <w:link w:val="109"/>
    <w:qFormat/>
    <w:uiPriority w:val="0"/>
    <w:rPr>
      <w:rFonts w:asciiTheme="minorHAnsi" w:hAnsiTheme="minorHAnsi" w:eastAsiaTheme="minorEastAsia" w:cstheme="minorBidi"/>
      <w:b/>
    </w:rPr>
  </w:style>
  <w:style w:type="paragraph" w:styleId="49">
    <w:name w:val="Body Text First Indent"/>
    <w:basedOn w:val="20"/>
    <w:link w:val="110"/>
    <w:unhideWhenUsed/>
    <w:qFormat/>
    <w:uiPriority w:val="0"/>
    <w:pPr>
      <w:ind w:firstLine="420"/>
    </w:pPr>
    <w:rPr>
      <w:rFonts w:cs="Verdana" w:eastAsiaTheme="minorEastAsia"/>
      <w:lang w:eastAsia="en-US"/>
    </w:rPr>
  </w:style>
  <w:style w:type="paragraph" w:styleId="50">
    <w:name w:val="Body Text First Indent 2"/>
    <w:basedOn w:val="21"/>
    <w:next w:val="20"/>
    <w:link w:val="111"/>
    <w:qFormat/>
    <w:uiPriority w:val="0"/>
    <w:pPr>
      <w:spacing w:after="0" w:line="360" w:lineRule="auto"/>
      <w:ind w:firstLine="560"/>
      <w:jc w:val="both"/>
      <w:outlineLvl w:val="0"/>
    </w:pPr>
    <w:rPr>
      <w:rFonts w:ascii="仿宋_GB2312" w:hAnsi="华文仿宋" w:eastAsia="仿宋_GB2312" w:cstheme="minorBidi"/>
      <w:color w:val="0000FF"/>
      <w:sz w:val="28"/>
      <w:szCs w:val="28"/>
      <w:u w:val="single"/>
    </w:rPr>
  </w:style>
  <w:style w:type="table" w:styleId="52">
    <w:name w:val="Table Grid"/>
    <w:basedOn w:val="51"/>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0"/>
    <w:rPr>
      <w:rFonts w:ascii="Verdana" w:hAnsi="Verdana" w:cs="Verdana"/>
      <w:b/>
      <w:lang w:eastAsia="en-US"/>
    </w:rPr>
  </w:style>
  <w:style w:type="character" w:styleId="55">
    <w:name w:val="page number"/>
    <w:basedOn w:val="53"/>
    <w:qFormat/>
    <w:uiPriority w:val="0"/>
    <w:rPr>
      <w:rFonts w:ascii="Verdana" w:hAnsi="Verdana" w:cs="Verdana"/>
      <w:lang w:eastAsia="en-US"/>
    </w:rPr>
  </w:style>
  <w:style w:type="character" w:styleId="56">
    <w:name w:val="FollowedHyperlink"/>
    <w:basedOn w:val="53"/>
    <w:unhideWhenUsed/>
    <w:qFormat/>
    <w:uiPriority w:val="0"/>
    <w:rPr>
      <w:color w:val="954F72" w:themeColor="followedHyperlink"/>
      <w:u w:val="single"/>
    </w:rPr>
  </w:style>
  <w:style w:type="character" w:styleId="57">
    <w:name w:val="Hyperlink"/>
    <w:unhideWhenUsed/>
    <w:qFormat/>
    <w:uiPriority w:val="99"/>
    <w:rPr>
      <w:rFonts w:hint="default" w:ascii="Times New Roman" w:hAnsi="Times New Roman" w:cs="Times New Roman"/>
      <w:u w:val="single"/>
    </w:rPr>
  </w:style>
  <w:style w:type="character" w:styleId="58">
    <w:name w:val="annotation reference"/>
    <w:basedOn w:val="53"/>
    <w:semiHidden/>
    <w:unhideWhenUsed/>
    <w:qFormat/>
    <w:uiPriority w:val="0"/>
    <w:rPr>
      <w:sz w:val="21"/>
      <w:szCs w:val="21"/>
    </w:rPr>
  </w:style>
  <w:style w:type="character" w:customStyle="1" w:styleId="59">
    <w:name w:val="标题 1 Char"/>
    <w:basedOn w:val="53"/>
    <w:link w:val="3"/>
    <w:qFormat/>
    <w:uiPriority w:val="7"/>
    <w:rPr>
      <w:rFonts w:ascii="Arial Unicode MS" w:hAnsi="Arial Unicode MS" w:eastAsia="宋体" w:cs="Times New Roman"/>
      <w:b/>
      <w:color w:val="000000"/>
      <w:kern w:val="0"/>
      <w:sz w:val="44"/>
      <w:szCs w:val="44"/>
    </w:rPr>
  </w:style>
  <w:style w:type="character" w:customStyle="1" w:styleId="60">
    <w:name w:val="标题 2 Char"/>
    <w:basedOn w:val="53"/>
    <w:link w:val="4"/>
    <w:qFormat/>
    <w:uiPriority w:val="8"/>
    <w:rPr>
      <w:rFonts w:ascii="Cambria" w:hAnsi="Cambria" w:eastAsia="宋体" w:cs="宋体"/>
      <w:b/>
      <w:color w:val="000000"/>
      <w:kern w:val="0"/>
      <w:sz w:val="32"/>
      <w:szCs w:val="32"/>
    </w:rPr>
  </w:style>
  <w:style w:type="character" w:customStyle="1" w:styleId="61">
    <w:name w:val="标题 3 Char"/>
    <w:basedOn w:val="53"/>
    <w:link w:val="5"/>
    <w:qFormat/>
    <w:uiPriority w:val="9"/>
    <w:rPr>
      <w:rFonts w:ascii="Arial Unicode MS" w:hAnsi="Arial Unicode MS" w:eastAsia="宋体" w:cs="Times New Roman"/>
      <w:b/>
      <w:color w:val="000000"/>
      <w:kern w:val="0"/>
      <w:sz w:val="32"/>
      <w:szCs w:val="32"/>
    </w:rPr>
  </w:style>
  <w:style w:type="character" w:customStyle="1" w:styleId="62">
    <w:name w:val="批注文字 Char"/>
    <w:basedOn w:val="53"/>
    <w:link w:val="18"/>
    <w:qFormat/>
    <w:uiPriority w:val="0"/>
    <w:rPr>
      <w:rFonts w:ascii="Calibri" w:hAnsi="Calibri" w:eastAsia="宋体" w:cs="Times New Roman"/>
      <w:kern w:val="0"/>
      <w:szCs w:val="21"/>
    </w:rPr>
  </w:style>
  <w:style w:type="character" w:customStyle="1" w:styleId="63">
    <w:name w:val="页眉 Char"/>
    <w:basedOn w:val="53"/>
    <w:link w:val="34"/>
    <w:qFormat/>
    <w:uiPriority w:val="0"/>
    <w:rPr>
      <w:rFonts w:ascii="Arial Unicode MS" w:hAnsi="Arial Unicode MS" w:eastAsia="宋体" w:cs="Times New Roman"/>
      <w:color w:val="000000"/>
      <w:kern w:val="0"/>
      <w:sz w:val="18"/>
      <w:szCs w:val="18"/>
    </w:rPr>
  </w:style>
  <w:style w:type="character" w:customStyle="1" w:styleId="64">
    <w:name w:val="页脚 Char"/>
    <w:basedOn w:val="53"/>
    <w:link w:val="33"/>
    <w:qFormat/>
    <w:uiPriority w:val="99"/>
    <w:rPr>
      <w:rFonts w:ascii="Arial Unicode MS" w:hAnsi="Arial Unicode MS" w:eastAsia="宋体" w:cs="Times New Roman"/>
      <w:color w:val="000000"/>
      <w:kern w:val="0"/>
      <w:sz w:val="18"/>
      <w:szCs w:val="18"/>
    </w:rPr>
  </w:style>
  <w:style w:type="character" w:customStyle="1" w:styleId="65">
    <w:name w:val="正文文本 Char"/>
    <w:basedOn w:val="53"/>
    <w:link w:val="20"/>
    <w:qFormat/>
    <w:uiPriority w:val="0"/>
    <w:rPr>
      <w:rFonts w:ascii="Calibri" w:hAnsi="Calibri" w:eastAsia="等线" w:cs="Times New Roman"/>
      <w:kern w:val="0"/>
      <w:szCs w:val="21"/>
    </w:rPr>
  </w:style>
  <w:style w:type="character" w:customStyle="1" w:styleId="66">
    <w:name w:val="纯文本 Char"/>
    <w:basedOn w:val="53"/>
    <w:link w:val="28"/>
    <w:qFormat/>
    <w:uiPriority w:val="0"/>
    <w:rPr>
      <w:rFonts w:ascii="宋体" w:hAnsi="Courier New" w:eastAsia="宋体" w:cs="Times New Roman"/>
      <w:kern w:val="0"/>
      <w:szCs w:val="21"/>
    </w:rPr>
  </w:style>
  <w:style w:type="character" w:customStyle="1" w:styleId="67">
    <w:name w:val="批注框文本 Char"/>
    <w:basedOn w:val="53"/>
    <w:link w:val="32"/>
    <w:qFormat/>
    <w:uiPriority w:val="0"/>
    <w:rPr>
      <w:rFonts w:ascii="Arial Unicode MS" w:hAnsi="Arial Unicode MS" w:eastAsia="宋体" w:cs="Times New Roman"/>
      <w:color w:val="000000"/>
      <w:kern w:val="0"/>
      <w:sz w:val="18"/>
      <w:szCs w:val="18"/>
    </w:rPr>
  </w:style>
  <w:style w:type="character" w:customStyle="1" w:styleId="68">
    <w:name w:val="列出段落 Char"/>
    <w:link w:val="69"/>
    <w:qFormat/>
    <w:locked/>
    <w:uiPriority w:val="26"/>
    <w:rPr>
      <w:rFonts w:ascii="等线" w:hAnsi="等线" w:eastAsia="等线"/>
      <w:szCs w:val="21"/>
    </w:rPr>
  </w:style>
  <w:style w:type="paragraph" w:styleId="69">
    <w:name w:val="List Paragraph"/>
    <w:basedOn w:val="1"/>
    <w:link w:val="68"/>
    <w:qFormat/>
    <w:uiPriority w:val="26"/>
    <w:pPr>
      <w:spacing w:after="0"/>
      <w:ind w:firstLine="200"/>
      <w:jc w:val="both"/>
    </w:pPr>
    <w:rPr>
      <w:rFonts w:ascii="等线" w:hAnsi="等线" w:eastAsia="等线" w:cstheme="minorBidi"/>
      <w:color w:val="auto"/>
      <w:kern w:val="2"/>
      <w:sz w:val="21"/>
      <w:szCs w:val="21"/>
    </w:rPr>
  </w:style>
  <w:style w:type="paragraph" w:customStyle="1" w:styleId="70">
    <w:name w:val="表格文字"/>
    <w:basedOn w:val="1"/>
    <w:next w:val="20"/>
    <w:link w:val="120"/>
    <w:qFormat/>
    <w:uiPriority w:val="0"/>
    <w:pPr>
      <w:spacing w:before="25" w:after="25"/>
    </w:pPr>
    <w:rPr>
      <w:rFonts w:ascii="等线" w:hAnsi="等线" w:eastAsia="等线" w:cs="Times New Roman"/>
      <w:color w:val="auto"/>
      <w:spacing w:val="10"/>
      <w:sz w:val="24"/>
      <w:szCs w:val="24"/>
    </w:rPr>
  </w:style>
  <w:style w:type="character" w:customStyle="1" w:styleId="71">
    <w:name w:val="正文文本缩进 3 Char"/>
    <w:link w:val="72"/>
    <w:qFormat/>
    <w:locked/>
    <w:uiPriority w:val="0"/>
    <w:rPr>
      <w:rFonts w:ascii="Arial Unicode MS" w:hAnsi="Arial Unicode MS" w:eastAsia="Arial Unicode MS" w:cs="Arial Unicode MS"/>
      <w:color w:val="000000"/>
      <w:sz w:val="16"/>
      <w:szCs w:val="16"/>
    </w:rPr>
  </w:style>
  <w:style w:type="paragraph" w:customStyle="1" w:styleId="72">
    <w:name w:val="正文文本缩进 31"/>
    <w:basedOn w:val="1"/>
    <w:link w:val="71"/>
    <w:qFormat/>
    <w:uiPriority w:val="0"/>
    <w:pPr>
      <w:spacing w:after="120"/>
      <w:ind w:left="420"/>
      <w:jc w:val="both"/>
    </w:pPr>
    <w:rPr>
      <w:rFonts w:eastAsia="Arial Unicode MS"/>
      <w:kern w:val="2"/>
      <w:sz w:val="16"/>
      <w:szCs w:val="16"/>
    </w:rPr>
  </w:style>
  <w:style w:type="paragraph" w:customStyle="1" w:styleId="73">
    <w:name w:val="纯文本1"/>
    <w:basedOn w:val="1"/>
    <w:qFormat/>
    <w:uiPriority w:val="0"/>
    <w:pPr>
      <w:spacing w:after="0"/>
      <w:jc w:val="both"/>
    </w:pPr>
    <w:rPr>
      <w:rFonts w:ascii="宋体" w:hAnsi="宋体" w:cs="Times New Roman"/>
    </w:rPr>
  </w:style>
  <w:style w:type="paragraph" w:customStyle="1" w:styleId="74">
    <w:name w:val="普通(网站)1"/>
    <w:basedOn w:val="1"/>
    <w:qFormat/>
    <w:uiPriority w:val="0"/>
    <w:pPr>
      <w:spacing w:before="100" w:after="100"/>
    </w:pPr>
    <w:rPr>
      <w:rFonts w:ascii="宋体" w:hAnsi="宋体" w:cs="宋体"/>
      <w:sz w:val="24"/>
      <w:szCs w:val="24"/>
    </w:rPr>
  </w:style>
  <w:style w:type="paragraph" w:customStyle="1" w:styleId="75">
    <w:name w:val="List Paragraph1"/>
    <w:basedOn w:val="1"/>
    <w:qFormat/>
    <w:uiPriority w:val="0"/>
    <w:pPr>
      <w:spacing w:after="0"/>
      <w:ind w:firstLine="200"/>
      <w:jc w:val="both"/>
    </w:pPr>
    <w:rPr>
      <w:rFonts w:ascii="Calibri" w:hAnsi="Calibri" w:cs="Times New Roman"/>
      <w:color w:val="auto"/>
      <w:sz w:val="21"/>
      <w:szCs w:val="21"/>
    </w:rPr>
  </w:style>
  <w:style w:type="paragraph" w:customStyle="1" w:styleId="76">
    <w:name w:val="正文缩进1"/>
    <w:basedOn w:val="1"/>
    <w:qFormat/>
    <w:uiPriority w:val="0"/>
    <w:pPr>
      <w:ind w:firstLine="420"/>
    </w:pPr>
    <w:rPr>
      <w:rFonts w:ascii="Times New Roman" w:hAnsi="Times New Roman"/>
      <w:sz w:val="24"/>
      <w:szCs w:val="24"/>
    </w:rPr>
  </w:style>
  <w:style w:type="paragraph" w:customStyle="1" w:styleId="77">
    <w:name w:val="正文缩进2"/>
    <w:basedOn w:val="1"/>
    <w:qFormat/>
    <w:uiPriority w:val="0"/>
    <w:pPr>
      <w:spacing w:after="0"/>
      <w:ind w:firstLine="420"/>
    </w:pPr>
    <w:rPr>
      <w:rFonts w:ascii="宋体" w:hAnsi="宋体" w:cs="宋体"/>
      <w:sz w:val="24"/>
      <w:szCs w:val="24"/>
    </w:rPr>
  </w:style>
  <w:style w:type="paragraph" w:customStyle="1" w:styleId="78">
    <w:name w:val="*正文"/>
    <w:basedOn w:val="1"/>
    <w:qFormat/>
    <w:uiPriority w:val="0"/>
    <w:pPr>
      <w:spacing w:line="360" w:lineRule="auto"/>
      <w:ind w:firstLine="200"/>
      <w:jc w:val="both"/>
    </w:pPr>
    <w:rPr>
      <w:rFonts w:ascii="宋体" w:hAnsi="Times New Roman"/>
      <w:sz w:val="24"/>
      <w:szCs w:val="24"/>
    </w:rPr>
  </w:style>
  <w:style w:type="paragraph" w:customStyle="1" w:styleId="79">
    <w:name w:val="列出段落1"/>
    <w:basedOn w:val="1"/>
    <w:qFormat/>
    <w:uiPriority w:val="0"/>
    <w:pPr>
      <w:spacing w:after="0" w:line="450" w:lineRule="atLeast"/>
      <w:ind w:firstLine="200"/>
      <w:jc w:val="both"/>
    </w:pPr>
    <w:rPr>
      <w:rFonts w:ascii="Times New Roman" w:hAnsi="Times New Roman" w:cs="Times New Roman"/>
      <w:color w:val="auto"/>
      <w:sz w:val="21"/>
      <w:szCs w:val="21"/>
    </w:rPr>
  </w:style>
  <w:style w:type="paragraph" w:customStyle="1" w:styleId="80">
    <w:name w:val="正文 New New New New New New New New"/>
    <w:qFormat/>
    <w:uiPriority w:val="0"/>
    <w:pPr>
      <w:jc w:val="both"/>
    </w:pPr>
    <w:rPr>
      <w:rFonts w:ascii="Times New Roman" w:hAnsi="Times New Roman" w:eastAsia="宋体" w:cs="Times New Roman"/>
      <w:sz w:val="21"/>
      <w:szCs w:val="21"/>
      <w:lang w:val="en-US" w:eastAsia="zh-CN" w:bidi="ar-SA"/>
    </w:rPr>
  </w:style>
  <w:style w:type="paragraph" w:customStyle="1" w:styleId="81">
    <w:name w:val="普通(网站) New"/>
    <w:qFormat/>
    <w:uiPriority w:val="0"/>
    <w:pPr>
      <w:spacing w:before="100" w:after="100"/>
    </w:pPr>
    <w:rPr>
      <w:rFonts w:ascii="宋体" w:hAnsi="宋体" w:eastAsia="宋体" w:cs="宋体"/>
      <w:color w:val="000000"/>
      <w:sz w:val="24"/>
      <w:szCs w:val="24"/>
      <w:lang w:val="en-US" w:eastAsia="zh-CN" w:bidi="ar-SA"/>
    </w:rPr>
  </w:style>
  <w:style w:type="paragraph" w:customStyle="1" w:styleId="82">
    <w:name w:val="正文 New New New New New New"/>
    <w:qFormat/>
    <w:uiPriority w:val="0"/>
    <w:pPr>
      <w:jc w:val="both"/>
    </w:pPr>
    <w:rPr>
      <w:rFonts w:ascii="Times New Roman" w:hAnsi="Times New Roman" w:eastAsia="宋体" w:cs="Calibri"/>
      <w:sz w:val="21"/>
      <w:szCs w:val="21"/>
      <w:lang w:val="en-US" w:eastAsia="zh-CN" w:bidi="ar-SA"/>
    </w:rPr>
  </w:style>
  <w:style w:type="paragraph" w:customStyle="1" w:styleId="83">
    <w:name w:val="正文首行缩进1"/>
    <w:basedOn w:val="1"/>
    <w:qFormat/>
    <w:uiPriority w:val="0"/>
    <w:pPr>
      <w:spacing w:line="360" w:lineRule="auto"/>
      <w:ind w:firstLine="100"/>
    </w:pPr>
  </w:style>
  <w:style w:type="character" w:customStyle="1" w:styleId="84">
    <w:name w:val="Hyperlink.0"/>
    <w:qFormat/>
    <w:uiPriority w:val="0"/>
    <w:rPr>
      <w:rFonts w:hint="eastAsia" w:ascii="微软雅黑" w:hAnsi="微软雅黑" w:eastAsia="微软雅黑"/>
      <w:sz w:val="24"/>
      <w:szCs w:val="24"/>
      <w:lang w:val="zh-TW" w:eastAsia="zh-TW"/>
    </w:rPr>
  </w:style>
  <w:style w:type="character" w:customStyle="1" w:styleId="85">
    <w:name w:val="纯文本 Char1"/>
    <w:semiHidden/>
    <w:qFormat/>
    <w:uiPriority w:val="0"/>
    <w:rPr>
      <w:rFonts w:hint="eastAsia" w:ascii="宋体" w:hAnsi="Courier New" w:eastAsia="宋体" w:cs="Courier New"/>
      <w:color w:val="000000"/>
      <w:sz w:val="21"/>
      <w:szCs w:val="21"/>
    </w:rPr>
  </w:style>
  <w:style w:type="character" w:customStyle="1" w:styleId="86">
    <w:name w:val="页码1"/>
    <w:qFormat/>
    <w:uiPriority w:val="0"/>
    <w:rPr>
      <w:rFonts w:hint="default" w:ascii="Times New Roman" w:hAnsi="Times New Roman" w:cs="Times New Roman"/>
    </w:rPr>
  </w:style>
  <w:style w:type="character" w:customStyle="1" w:styleId="87">
    <w:name w:val="标题 4 Char"/>
    <w:basedOn w:val="53"/>
    <w:link w:val="6"/>
    <w:semiHidden/>
    <w:qFormat/>
    <w:uiPriority w:val="10"/>
    <w:rPr>
      <w:rFonts w:ascii="Arial" w:hAnsi="Arial" w:eastAsia="黑体" w:cs="Times New Roman"/>
      <w:b/>
      <w:kern w:val="0"/>
      <w:sz w:val="28"/>
      <w:szCs w:val="28"/>
      <w:lang w:eastAsia="en-US"/>
    </w:rPr>
  </w:style>
  <w:style w:type="character" w:customStyle="1" w:styleId="88">
    <w:name w:val="标题 5 Char"/>
    <w:basedOn w:val="53"/>
    <w:link w:val="7"/>
    <w:semiHidden/>
    <w:qFormat/>
    <w:uiPriority w:val="11"/>
    <w:rPr>
      <w:rFonts w:ascii="Verdana" w:hAnsi="Verdana" w:eastAsia="宋体" w:cs="Times New Roman"/>
      <w:b/>
      <w:kern w:val="0"/>
      <w:sz w:val="28"/>
      <w:szCs w:val="28"/>
      <w:lang w:eastAsia="en-US"/>
    </w:rPr>
  </w:style>
  <w:style w:type="character" w:customStyle="1" w:styleId="89">
    <w:name w:val="标题 6 Char"/>
    <w:basedOn w:val="53"/>
    <w:link w:val="8"/>
    <w:semiHidden/>
    <w:qFormat/>
    <w:uiPriority w:val="12"/>
    <w:rPr>
      <w:rFonts w:ascii="黑体" w:hAnsi="Tms Rmn" w:eastAsia="黑体" w:cs="Times New Roman"/>
      <w:b/>
      <w:kern w:val="0"/>
      <w:sz w:val="24"/>
      <w:szCs w:val="24"/>
      <w:lang w:eastAsia="en-US"/>
    </w:rPr>
  </w:style>
  <w:style w:type="character" w:customStyle="1" w:styleId="90">
    <w:name w:val="标题 7 Char"/>
    <w:basedOn w:val="53"/>
    <w:link w:val="9"/>
    <w:qFormat/>
    <w:uiPriority w:val="13"/>
    <w:rPr>
      <w:rFonts w:ascii="宋体" w:hAnsi="Tms Rmn" w:eastAsia="宋体" w:cs="Times New Roman"/>
      <w:b/>
      <w:kern w:val="0"/>
      <w:sz w:val="24"/>
      <w:szCs w:val="24"/>
      <w:lang w:eastAsia="en-US"/>
    </w:rPr>
  </w:style>
  <w:style w:type="character" w:customStyle="1" w:styleId="91">
    <w:name w:val="标题 8 Char"/>
    <w:basedOn w:val="53"/>
    <w:link w:val="10"/>
    <w:qFormat/>
    <w:uiPriority w:val="14"/>
    <w:rPr>
      <w:rFonts w:ascii="Arial" w:hAnsi="Arial" w:eastAsia="黑体" w:cs="Times New Roman"/>
      <w:kern w:val="0"/>
      <w:sz w:val="24"/>
      <w:szCs w:val="24"/>
      <w:lang w:eastAsia="en-US"/>
    </w:rPr>
  </w:style>
  <w:style w:type="character" w:customStyle="1" w:styleId="92">
    <w:name w:val="标题 9 Char"/>
    <w:basedOn w:val="53"/>
    <w:link w:val="11"/>
    <w:qFormat/>
    <w:uiPriority w:val="15"/>
    <w:rPr>
      <w:rFonts w:ascii="Arial" w:hAnsi="Arial" w:eastAsia="黑体" w:cs="Times New Roman"/>
      <w:kern w:val="0"/>
      <w:szCs w:val="21"/>
      <w:lang w:eastAsia="en-US"/>
    </w:rPr>
  </w:style>
  <w:style w:type="paragraph" w:styleId="93">
    <w:name w:val="No Spacing"/>
    <w:link w:val="121"/>
    <w:qFormat/>
    <w:uiPriority w:val="5"/>
    <w:rPr>
      <w:rFonts w:eastAsia="Times New Roman" w:asciiTheme="minorHAnsi" w:hAnsiTheme="minorHAnsi" w:cstheme="minorBidi"/>
      <w:sz w:val="22"/>
      <w:szCs w:val="22"/>
      <w:lang w:val="en-US" w:eastAsia="en-US" w:bidi="en-US"/>
    </w:rPr>
  </w:style>
  <w:style w:type="character" w:customStyle="1" w:styleId="94">
    <w:name w:val="标题 Char"/>
    <w:basedOn w:val="53"/>
    <w:link w:val="47"/>
    <w:qFormat/>
    <w:uiPriority w:val="6"/>
    <w:rPr>
      <w:rFonts w:ascii="Cambria" w:hAnsi="Cambria"/>
      <w:b/>
      <w:kern w:val="0"/>
      <w:sz w:val="32"/>
      <w:szCs w:val="32"/>
    </w:rPr>
  </w:style>
  <w:style w:type="character" w:customStyle="1" w:styleId="95">
    <w:name w:val="副标题 Char"/>
    <w:basedOn w:val="53"/>
    <w:link w:val="37"/>
    <w:qFormat/>
    <w:uiPriority w:val="16"/>
    <w:rPr>
      <w:rFonts w:ascii="Cambria" w:hAnsi="Cambria"/>
      <w:b/>
      <w:kern w:val="0"/>
      <w:sz w:val="32"/>
      <w:szCs w:val="32"/>
    </w:rPr>
  </w:style>
  <w:style w:type="paragraph" w:styleId="96">
    <w:name w:val="Quote"/>
    <w:basedOn w:val="1"/>
    <w:next w:val="1"/>
    <w:link w:val="97"/>
    <w:qFormat/>
    <w:uiPriority w:val="21"/>
    <w:pPr>
      <w:spacing w:line="276" w:lineRule="auto"/>
    </w:pPr>
    <w:rPr>
      <w:rFonts w:asciiTheme="minorHAnsi" w:hAnsiTheme="minorHAnsi" w:eastAsiaTheme="minorEastAsia" w:cstheme="minorBidi"/>
      <w:i/>
      <w:lang w:eastAsia="en-US" w:bidi="en-US"/>
    </w:rPr>
  </w:style>
  <w:style w:type="character" w:customStyle="1" w:styleId="97">
    <w:name w:val="引用 Char"/>
    <w:basedOn w:val="53"/>
    <w:link w:val="96"/>
    <w:qFormat/>
    <w:uiPriority w:val="21"/>
    <w:rPr>
      <w:i/>
      <w:color w:val="000000"/>
      <w:kern w:val="0"/>
      <w:sz w:val="22"/>
      <w:lang w:eastAsia="en-US" w:bidi="en-US"/>
    </w:rPr>
  </w:style>
  <w:style w:type="paragraph" w:styleId="98">
    <w:name w:val="Intense Quote"/>
    <w:basedOn w:val="1"/>
    <w:next w:val="1"/>
    <w:link w:val="99"/>
    <w:qFormat/>
    <w:uiPriority w:val="22"/>
    <w:pPr>
      <w:pBdr>
        <w:bottom w:val="single" w:color="4F81BD" w:sz="4" w:space="4"/>
      </w:pBdr>
      <w:spacing w:before="200" w:after="280" w:line="276" w:lineRule="auto"/>
      <w:ind w:left="936" w:right="936"/>
    </w:pPr>
    <w:rPr>
      <w:rFonts w:asciiTheme="minorHAnsi" w:hAnsiTheme="minorHAnsi" w:eastAsiaTheme="minorEastAsia" w:cstheme="minorBidi"/>
      <w:b/>
      <w:i/>
      <w:color w:val="4F81BD"/>
      <w:lang w:eastAsia="en-US" w:bidi="en-US"/>
    </w:rPr>
  </w:style>
  <w:style w:type="character" w:customStyle="1" w:styleId="99">
    <w:name w:val="明显引用 Char"/>
    <w:basedOn w:val="53"/>
    <w:link w:val="98"/>
    <w:qFormat/>
    <w:uiPriority w:val="22"/>
    <w:rPr>
      <w:b/>
      <w:i/>
      <w:color w:val="4F81BD"/>
      <w:kern w:val="0"/>
      <w:sz w:val="22"/>
      <w:lang w:eastAsia="en-US" w:bidi="en-US"/>
    </w:rPr>
  </w:style>
  <w:style w:type="table" w:customStyle="1" w:styleId="100">
    <w:name w:val="网格型1"/>
    <w:basedOn w:val="51"/>
    <w:qFormat/>
    <w:uiPriority w:val="37"/>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1">
    <w:name w:val="文档结构图 Char"/>
    <w:basedOn w:val="53"/>
    <w:link w:val="17"/>
    <w:qFormat/>
    <w:uiPriority w:val="0"/>
    <w:rPr>
      <w:rFonts w:ascii="Verdana" w:hAnsi="Verdana" w:cs="Verdana"/>
      <w:kern w:val="0"/>
      <w:szCs w:val="21"/>
      <w:shd w:val="clear" w:color="000000" w:fill="000080"/>
      <w:lang w:eastAsia="en-US"/>
    </w:rPr>
  </w:style>
  <w:style w:type="character" w:customStyle="1" w:styleId="102">
    <w:name w:val="正文文本 3 Char"/>
    <w:basedOn w:val="53"/>
    <w:link w:val="19"/>
    <w:qFormat/>
    <w:uiPriority w:val="0"/>
    <w:rPr>
      <w:kern w:val="0"/>
      <w:sz w:val="16"/>
      <w:szCs w:val="16"/>
    </w:rPr>
  </w:style>
  <w:style w:type="character" w:customStyle="1" w:styleId="103">
    <w:name w:val="正文文本缩进 Char"/>
    <w:basedOn w:val="53"/>
    <w:qFormat/>
    <w:uiPriority w:val="0"/>
    <w:rPr>
      <w:rFonts w:ascii="Arial Unicode MS" w:hAnsi="Arial Unicode MS" w:eastAsia="宋体" w:cs="Arial Unicode MS"/>
      <w:color w:val="000000"/>
      <w:kern w:val="0"/>
      <w:sz w:val="22"/>
    </w:rPr>
  </w:style>
  <w:style w:type="character" w:customStyle="1" w:styleId="104">
    <w:name w:val="日期 Char"/>
    <w:basedOn w:val="53"/>
    <w:link w:val="30"/>
    <w:qFormat/>
    <w:uiPriority w:val="0"/>
    <w:rPr>
      <w:kern w:val="0"/>
      <w:szCs w:val="21"/>
    </w:rPr>
  </w:style>
  <w:style w:type="character" w:customStyle="1" w:styleId="105">
    <w:name w:val="正文文本缩进 2 Char"/>
    <w:basedOn w:val="53"/>
    <w:link w:val="31"/>
    <w:qFormat/>
    <w:uiPriority w:val="0"/>
    <w:rPr>
      <w:rFonts w:ascii="Calibri" w:hAnsi="Calibri" w:cs="Verdana"/>
      <w:kern w:val="0"/>
      <w:szCs w:val="21"/>
      <w:lang w:eastAsia="en-US"/>
    </w:rPr>
  </w:style>
  <w:style w:type="character" w:customStyle="1" w:styleId="106">
    <w:name w:val="正文文本缩进 3 Char1"/>
    <w:basedOn w:val="53"/>
    <w:semiHidden/>
    <w:qFormat/>
    <w:uiPriority w:val="0"/>
    <w:rPr>
      <w:rFonts w:ascii="Arial Unicode MS" w:hAnsi="Arial Unicode MS" w:eastAsia="宋体" w:cs="Arial Unicode MS"/>
      <w:color w:val="000000"/>
      <w:kern w:val="0"/>
      <w:sz w:val="16"/>
      <w:szCs w:val="16"/>
    </w:rPr>
  </w:style>
  <w:style w:type="character" w:customStyle="1" w:styleId="107">
    <w:name w:val="正文文本 2 Char"/>
    <w:basedOn w:val="53"/>
    <w:link w:val="43"/>
    <w:qFormat/>
    <w:uiPriority w:val="0"/>
    <w:rPr>
      <w:rFonts w:ascii="Verdana" w:hAnsi="Verdana" w:cs="Verdana"/>
      <w:kern w:val="0"/>
      <w:szCs w:val="21"/>
      <w:lang w:eastAsia="en-US"/>
    </w:rPr>
  </w:style>
  <w:style w:type="character" w:customStyle="1" w:styleId="108">
    <w:name w:val="HTML 预设格式 Char"/>
    <w:basedOn w:val="53"/>
    <w:link w:val="45"/>
    <w:qFormat/>
    <w:uiPriority w:val="0"/>
    <w:rPr>
      <w:rFonts w:ascii="宋体" w:hAnsi="宋体" w:cs="宋体"/>
      <w:kern w:val="0"/>
      <w:sz w:val="24"/>
      <w:szCs w:val="24"/>
      <w:lang w:eastAsia="en-US"/>
    </w:rPr>
  </w:style>
  <w:style w:type="character" w:customStyle="1" w:styleId="109">
    <w:name w:val="批注主题 Char"/>
    <w:basedOn w:val="62"/>
    <w:link w:val="48"/>
    <w:qFormat/>
    <w:uiPriority w:val="0"/>
    <w:rPr>
      <w:rFonts w:ascii="Calibri" w:hAnsi="Calibri" w:eastAsia="宋体" w:cs="Times New Roman"/>
      <w:b/>
      <w:kern w:val="0"/>
      <w:szCs w:val="21"/>
    </w:rPr>
  </w:style>
  <w:style w:type="character" w:customStyle="1" w:styleId="110">
    <w:name w:val="正文首行缩进 Char"/>
    <w:basedOn w:val="65"/>
    <w:link w:val="49"/>
    <w:qFormat/>
    <w:uiPriority w:val="0"/>
    <w:rPr>
      <w:rFonts w:ascii="Calibri" w:hAnsi="Calibri" w:eastAsia="等线" w:cs="Verdana"/>
      <w:kern w:val="0"/>
      <w:szCs w:val="21"/>
      <w:lang w:eastAsia="en-US"/>
    </w:rPr>
  </w:style>
  <w:style w:type="character" w:customStyle="1" w:styleId="111">
    <w:name w:val="正文首行缩进 2 Char"/>
    <w:basedOn w:val="103"/>
    <w:link w:val="50"/>
    <w:qFormat/>
    <w:uiPriority w:val="0"/>
    <w:rPr>
      <w:rFonts w:ascii="仿宋_GB2312" w:hAnsi="华文仿宋" w:eastAsia="仿宋_GB2312" w:cs="Arial Unicode MS"/>
      <w:color w:val="0000FF"/>
      <w:kern w:val="0"/>
      <w:sz w:val="28"/>
      <w:szCs w:val="28"/>
      <w:u w:val="single"/>
    </w:rPr>
  </w:style>
  <w:style w:type="character" w:customStyle="1" w:styleId="112">
    <w:name w:val="itemextrafieldsvalue"/>
    <w:qFormat/>
    <w:uiPriority w:val="0"/>
    <w:rPr>
      <w:rFonts w:ascii="Verdana" w:hAnsi="Verdana" w:eastAsia="宋体" w:cs="Verdana"/>
      <w:sz w:val="21"/>
      <w:szCs w:val="21"/>
      <w:lang w:val="en-US" w:eastAsia="en-US" w:bidi="ar-SA"/>
    </w:rPr>
  </w:style>
  <w:style w:type="character" w:customStyle="1" w:styleId="113">
    <w:name w:val="列表编号 3 Char"/>
    <w:link w:val="23"/>
    <w:qFormat/>
    <w:uiPriority w:val="0"/>
    <w:rPr>
      <w:kern w:val="0"/>
      <w:szCs w:val="21"/>
    </w:rPr>
  </w:style>
  <w:style w:type="character" w:customStyle="1" w:styleId="114">
    <w:name w:val="小标题 Char"/>
    <w:qFormat/>
    <w:uiPriority w:val="0"/>
    <w:rPr>
      <w:rFonts w:ascii="Arial" w:hAnsi="Arial" w:eastAsia="黑体"/>
      <w:b/>
      <w:sz w:val="28"/>
      <w:szCs w:val="28"/>
      <w:lang w:bidi="ar-SA"/>
    </w:rPr>
  </w:style>
  <w:style w:type="character" w:customStyle="1" w:styleId="115">
    <w:name w:val="15"/>
    <w:qFormat/>
    <w:uiPriority w:val="0"/>
    <w:rPr>
      <w:rFonts w:hint="default" w:ascii="Times New Roman" w:hAnsi="Times New Roman" w:eastAsia="宋体" w:cs="Verdana"/>
      <w:sz w:val="20"/>
      <w:szCs w:val="20"/>
      <w:lang w:val="en-US" w:eastAsia="en-US" w:bidi="ar-SA"/>
    </w:rPr>
  </w:style>
  <w:style w:type="character" w:customStyle="1" w:styleId="116">
    <w:name w:val="模板正文 Char"/>
    <w:link w:val="117"/>
    <w:qFormat/>
    <w:uiPriority w:val="0"/>
    <w:rPr>
      <w:rFonts w:ascii="Calibri" w:hAnsi="Calibri"/>
      <w:sz w:val="24"/>
      <w:szCs w:val="24"/>
      <w:lang w:bidi="en-US"/>
    </w:rPr>
  </w:style>
  <w:style w:type="paragraph" w:customStyle="1" w:styleId="117">
    <w:name w:val="模板正文"/>
    <w:basedOn w:val="40"/>
    <w:link w:val="116"/>
    <w:qFormat/>
    <w:uiPriority w:val="0"/>
    <w:pPr>
      <w:spacing w:before="200" w:after="0" w:line="360" w:lineRule="auto"/>
      <w:ind w:left="0" w:leftChars="0" w:firstLine="480"/>
      <w:jc w:val="left"/>
    </w:pPr>
    <w:rPr>
      <w:rFonts w:cstheme="minorBidi"/>
      <w:kern w:val="2"/>
      <w:sz w:val="24"/>
      <w:szCs w:val="24"/>
      <w:lang w:eastAsia="zh-CN" w:bidi="en-US"/>
    </w:rPr>
  </w:style>
  <w:style w:type="character" w:customStyle="1" w:styleId="118">
    <w:name w:val="bord"/>
    <w:qFormat/>
    <w:uiPriority w:val="0"/>
    <w:rPr>
      <w:rFonts w:ascii="Verdana" w:hAnsi="Verdana" w:eastAsia="宋体" w:cs="Verdana"/>
      <w:sz w:val="21"/>
      <w:szCs w:val="21"/>
      <w:lang w:val="en-US" w:eastAsia="en-US" w:bidi="ar-SA"/>
    </w:rPr>
  </w:style>
  <w:style w:type="character" w:customStyle="1" w:styleId="119">
    <w:name w:val="Char Char5"/>
    <w:qFormat/>
    <w:uiPriority w:val="0"/>
    <w:rPr>
      <w:rFonts w:ascii="Verdana" w:hAnsi="Verdana" w:eastAsia="宋体" w:cs="Verdana"/>
      <w:sz w:val="18"/>
      <w:szCs w:val="18"/>
      <w:lang w:val="en-US" w:eastAsia="zh-CN" w:bidi="ar-SA"/>
    </w:rPr>
  </w:style>
  <w:style w:type="character" w:customStyle="1" w:styleId="120">
    <w:name w:val="表格文字 Char"/>
    <w:link w:val="70"/>
    <w:qFormat/>
    <w:uiPriority w:val="0"/>
    <w:rPr>
      <w:rFonts w:ascii="等线" w:hAnsi="等线" w:eastAsia="等线" w:cs="Times New Roman"/>
      <w:spacing w:val="10"/>
      <w:kern w:val="0"/>
      <w:sz w:val="24"/>
      <w:szCs w:val="24"/>
    </w:rPr>
  </w:style>
  <w:style w:type="character" w:customStyle="1" w:styleId="121">
    <w:name w:val="无间隔 Char"/>
    <w:link w:val="93"/>
    <w:qFormat/>
    <w:uiPriority w:val="5"/>
    <w:rPr>
      <w:rFonts w:eastAsia="Times New Roman"/>
      <w:kern w:val="0"/>
      <w:sz w:val="22"/>
      <w:lang w:eastAsia="en-US" w:bidi="en-US"/>
    </w:rPr>
  </w:style>
  <w:style w:type="character" w:customStyle="1" w:styleId="122">
    <w:name w:val="fontarial1"/>
    <w:qFormat/>
    <w:uiPriority w:val="0"/>
    <w:rPr>
      <w:rFonts w:hint="default" w:ascii="Arial" w:hAnsi="Arial" w:cs="Arial"/>
    </w:rPr>
  </w:style>
  <w:style w:type="character" w:customStyle="1" w:styleId="123">
    <w:name w:val="副标题 Char1"/>
    <w:qFormat/>
    <w:uiPriority w:val="0"/>
    <w:rPr>
      <w:rFonts w:ascii="Cambria" w:hAnsi="Cambria" w:cs="Times New Roman"/>
      <w:b/>
      <w:sz w:val="32"/>
      <w:szCs w:val="32"/>
      <w:lang w:eastAsia="en-US"/>
    </w:rPr>
  </w:style>
  <w:style w:type="character" w:customStyle="1" w:styleId="124">
    <w:name w:val="批注文字 Char1"/>
    <w:qFormat/>
    <w:uiPriority w:val="0"/>
    <w:rPr>
      <w:rFonts w:ascii="Verdana" w:hAnsi="Verdana" w:cs="Verdana"/>
      <w:sz w:val="21"/>
      <w:szCs w:val="21"/>
      <w:lang w:eastAsia="en-US"/>
    </w:rPr>
  </w:style>
  <w:style w:type="character" w:customStyle="1" w:styleId="125">
    <w:name w:val="标题3 Char"/>
    <w:link w:val="126"/>
    <w:qFormat/>
    <w:uiPriority w:val="0"/>
    <w:rPr>
      <w:rFonts w:eastAsia="黑体"/>
      <w:sz w:val="32"/>
      <w:szCs w:val="32"/>
    </w:rPr>
  </w:style>
  <w:style w:type="paragraph" w:customStyle="1" w:styleId="126">
    <w:name w:val="标题3"/>
    <w:basedOn w:val="5"/>
    <w:link w:val="125"/>
    <w:qFormat/>
    <w:uiPriority w:val="0"/>
    <w:pPr>
      <w:numPr>
        <w:ilvl w:val="2"/>
        <w:numId w:val="4"/>
      </w:numPr>
      <w:tabs>
        <w:tab w:val="left" w:pos="0"/>
        <w:tab w:val="clear" w:pos="1502"/>
      </w:tabs>
      <w:spacing w:line="412" w:lineRule="auto"/>
      <w:jc w:val="both"/>
    </w:pPr>
    <w:rPr>
      <w:rFonts w:eastAsia="黑体" w:asciiTheme="minorHAnsi" w:hAnsiTheme="minorHAnsi" w:cstheme="minorBidi"/>
      <w:b w:val="0"/>
      <w:color w:val="auto"/>
      <w:kern w:val="2"/>
    </w:rPr>
  </w:style>
  <w:style w:type="character" w:customStyle="1" w:styleId="127">
    <w:name w:val="题注 Char"/>
    <w:link w:val="16"/>
    <w:qFormat/>
    <w:uiPriority w:val="0"/>
    <w:rPr>
      <w:rFonts w:ascii="Arial" w:hAnsi="Arial" w:eastAsia="黑体" w:cs="Arial Unicode MS"/>
      <w:color w:val="000000"/>
      <w:kern w:val="0"/>
      <w:sz w:val="20"/>
      <w:szCs w:val="20"/>
    </w:rPr>
  </w:style>
  <w:style w:type="character" w:customStyle="1" w:styleId="128">
    <w:name w:val="明显引用 Char1"/>
    <w:qFormat/>
    <w:uiPriority w:val="0"/>
    <w:rPr>
      <w:rFonts w:ascii="Verdana" w:hAnsi="Verdana" w:cs="Verdana"/>
      <w:b/>
      <w:i/>
      <w:color w:val="4F81BD"/>
      <w:sz w:val="21"/>
      <w:szCs w:val="21"/>
      <w:lang w:eastAsia="en-US"/>
    </w:rPr>
  </w:style>
  <w:style w:type="character" w:customStyle="1" w:styleId="129">
    <w:name w:val="font21"/>
    <w:qFormat/>
    <w:uiPriority w:val="0"/>
    <w:rPr>
      <w:rFonts w:hint="eastAsia" w:ascii="PMingLiU" w:hAnsi="PMingLiU" w:eastAsia="PMingLiU" w:cs="PMingLiU"/>
      <w:color w:val="000000"/>
      <w:sz w:val="21"/>
      <w:szCs w:val="21"/>
      <w:u w:val="none"/>
      <w:lang w:eastAsia="en-US"/>
    </w:rPr>
  </w:style>
  <w:style w:type="character" w:customStyle="1" w:styleId="130">
    <w:name w:val="bord3"/>
    <w:qFormat/>
    <w:uiPriority w:val="0"/>
    <w:rPr>
      <w:rFonts w:ascii="Verdana" w:hAnsi="Verdana" w:eastAsia="宋体" w:cs="Verdana"/>
      <w:sz w:val="21"/>
      <w:szCs w:val="21"/>
      <w:lang w:val="en-US" w:eastAsia="en-US" w:bidi="ar-SA"/>
    </w:rPr>
  </w:style>
  <w:style w:type="character" w:customStyle="1" w:styleId="131">
    <w:name w:val="f12"/>
    <w:qFormat/>
    <w:uiPriority w:val="0"/>
    <w:rPr>
      <w:rFonts w:eastAsia="宋体"/>
      <w:sz w:val="24"/>
      <w:szCs w:val="24"/>
      <w:lang w:val="en-US" w:eastAsia="zh-CN" w:bidi="ar-SA"/>
    </w:rPr>
  </w:style>
  <w:style w:type="character" w:customStyle="1" w:styleId="132">
    <w:name w:val="样式 标题 3 + 小四 Char Char"/>
    <w:link w:val="133"/>
    <w:qFormat/>
    <w:uiPriority w:val="0"/>
    <w:rPr>
      <w:b/>
      <w:sz w:val="24"/>
      <w:szCs w:val="24"/>
    </w:rPr>
  </w:style>
  <w:style w:type="paragraph" w:customStyle="1" w:styleId="133">
    <w:name w:val="样式 标题 3 + 小四"/>
    <w:basedOn w:val="5"/>
    <w:link w:val="132"/>
    <w:qFormat/>
    <w:uiPriority w:val="0"/>
    <w:pPr>
      <w:tabs>
        <w:tab w:val="left" w:pos="0"/>
      </w:tabs>
      <w:spacing w:line="416" w:lineRule="atLeast"/>
      <w:ind w:left="567" w:firstLine="200"/>
      <w:jc w:val="both"/>
    </w:pPr>
    <w:rPr>
      <w:rFonts w:asciiTheme="minorHAnsi" w:hAnsiTheme="minorHAnsi" w:eastAsiaTheme="minorEastAsia" w:cstheme="minorBidi"/>
      <w:color w:val="auto"/>
      <w:kern w:val="2"/>
      <w:sz w:val="24"/>
      <w:szCs w:val="24"/>
    </w:rPr>
  </w:style>
  <w:style w:type="character" w:customStyle="1" w:styleId="134">
    <w:name w:val="项目排列 Char"/>
    <w:link w:val="135"/>
    <w:qFormat/>
    <w:uiPriority w:val="0"/>
    <w:rPr>
      <w:sz w:val="24"/>
      <w:szCs w:val="24"/>
    </w:rPr>
  </w:style>
  <w:style w:type="paragraph" w:customStyle="1" w:styleId="135">
    <w:name w:val="项目排列"/>
    <w:basedOn w:val="1"/>
    <w:link w:val="134"/>
    <w:qFormat/>
    <w:uiPriority w:val="0"/>
    <w:pPr>
      <w:numPr>
        <w:ilvl w:val="0"/>
        <w:numId w:val="5"/>
      </w:numPr>
      <w:tabs>
        <w:tab w:val="left" w:pos="900"/>
        <w:tab w:val="clear" w:pos="720"/>
      </w:tabs>
      <w:spacing w:before="120" w:after="120" w:line="300" w:lineRule="auto"/>
      <w:jc w:val="both"/>
    </w:pPr>
    <w:rPr>
      <w:rFonts w:asciiTheme="minorHAnsi" w:hAnsiTheme="minorHAnsi" w:eastAsiaTheme="minorEastAsia" w:cstheme="minorBidi"/>
      <w:color w:val="auto"/>
      <w:kern w:val="2"/>
      <w:sz w:val="24"/>
      <w:szCs w:val="24"/>
    </w:rPr>
  </w:style>
  <w:style w:type="character" w:customStyle="1" w:styleId="136">
    <w:name w:val="段落 Char1"/>
    <w:link w:val="137"/>
    <w:qFormat/>
    <w:uiPriority w:val="0"/>
    <w:rPr>
      <w:rFonts w:ascii="仿宋_GB2312" w:eastAsia="仿宋_GB2312"/>
      <w:sz w:val="28"/>
      <w:szCs w:val="28"/>
    </w:rPr>
  </w:style>
  <w:style w:type="paragraph" w:customStyle="1" w:styleId="137">
    <w:name w:val="段落"/>
    <w:link w:val="136"/>
    <w:qFormat/>
    <w:uiPriority w:val="0"/>
    <w:pPr>
      <w:snapToGrid w:val="0"/>
      <w:spacing w:before="120" w:after="120" w:line="360" w:lineRule="auto"/>
      <w:ind w:firstLine="560"/>
      <w:jc w:val="both"/>
    </w:pPr>
    <w:rPr>
      <w:rFonts w:ascii="仿宋_GB2312" w:eastAsia="仿宋_GB2312" w:hAnsiTheme="minorHAnsi" w:cstheme="minorBidi"/>
      <w:kern w:val="2"/>
      <w:sz w:val="28"/>
      <w:szCs w:val="28"/>
      <w:lang w:val="en-US" w:eastAsia="zh-CN" w:bidi="ar-SA"/>
    </w:rPr>
  </w:style>
  <w:style w:type="character" w:customStyle="1" w:styleId="138">
    <w:name w:val="font31"/>
    <w:qFormat/>
    <w:uiPriority w:val="0"/>
    <w:rPr>
      <w:rFonts w:hint="eastAsia" w:ascii="宋体" w:hAnsi="宋体" w:eastAsia="宋体" w:cs="宋体"/>
      <w:color w:val="FF0000"/>
      <w:sz w:val="20"/>
      <w:szCs w:val="20"/>
      <w:u w:val="none"/>
      <w:lang w:eastAsia="en-US"/>
    </w:rPr>
  </w:style>
  <w:style w:type="character" w:customStyle="1" w:styleId="139">
    <w:name w:val="标准五号 Char Char"/>
    <w:link w:val="140"/>
    <w:qFormat/>
    <w:uiPriority w:val="0"/>
    <w:rPr>
      <w:rFonts w:ascii="Arial" w:hAnsi="Arial"/>
    </w:rPr>
  </w:style>
  <w:style w:type="paragraph" w:customStyle="1" w:styleId="140">
    <w:name w:val="标准五号 Char"/>
    <w:basedOn w:val="1"/>
    <w:link w:val="139"/>
    <w:qFormat/>
    <w:uiPriority w:val="0"/>
    <w:pPr>
      <w:spacing w:after="0" w:line="340" w:lineRule="exact"/>
      <w:ind w:firstLine="200"/>
    </w:pPr>
    <w:rPr>
      <w:rFonts w:ascii="Arial" w:hAnsi="Arial" w:eastAsiaTheme="minorEastAsia" w:cstheme="minorBidi"/>
      <w:color w:val="auto"/>
      <w:kern w:val="2"/>
      <w:sz w:val="21"/>
    </w:rPr>
  </w:style>
  <w:style w:type="character" w:customStyle="1" w:styleId="141">
    <w:name w:val="font01"/>
    <w:basedOn w:val="53"/>
    <w:qFormat/>
    <w:uiPriority w:val="0"/>
    <w:rPr>
      <w:rFonts w:hint="default" w:ascii="Times New Roman" w:hAnsi="Times New Roman" w:cs="Times New Roman"/>
      <w:b/>
      <w:color w:val="000000"/>
      <w:sz w:val="40"/>
      <w:szCs w:val="40"/>
      <w:u w:val="none"/>
      <w:lang w:eastAsia="en-US"/>
    </w:rPr>
  </w:style>
  <w:style w:type="character" w:customStyle="1" w:styleId="142">
    <w:name w:val="引用 Char1"/>
    <w:qFormat/>
    <w:uiPriority w:val="0"/>
    <w:rPr>
      <w:rFonts w:ascii="Verdana" w:hAnsi="Verdana" w:cs="Verdana"/>
      <w:i/>
      <w:color w:val="000000"/>
      <w:sz w:val="21"/>
      <w:szCs w:val="21"/>
      <w:lang w:eastAsia="en-US"/>
    </w:rPr>
  </w:style>
  <w:style w:type="character" w:customStyle="1" w:styleId="143">
    <w:name w:val="font51"/>
    <w:qFormat/>
    <w:uiPriority w:val="0"/>
    <w:rPr>
      <w:rFonts w:hint="eastAsia" w:ascii="黑体" w:hAnsi="宋体" w:eastAsia="黑体" w:cs="黑体"/>
      <w:b/>
      <w:color w:val="000000"/>
      <w:sz w:val="40"/>
      <w:szCs w:val="40"/>
      <w:u w:val="none"/>
      <w:lang w:eastAsia="en-US"/>
    </w:rPr>
  </w:style>
  <w:style w:type="character" w:customStyle="1" w:styleId="144">
    <w:name w:val="正文首行缩进 Char Char Char Char Char Char Char Char Char Char Char Char Char Char Char Char Char Char Char Char"/>
    <w:qFormat/>
    <w:uiPriority w:val="0"/>
    <w:rPr>
      <w:rFonts w:ascii="Calibri" w:hAnsi="Calibri" w:eastAsia="宋体" w:cs="Andalus"/>
      <w:sz w:val="21"/>
      <w:szCs w:val="21"/>
      <w:lang w:val="en-US" w:eastAsia="zh-CN" w:bidi="ar-SA"/>
    </w:rPr>
  </w:style>
  <w:style w:type="character" w:customStyle="1" w:styleId="145">
    <w:name w:val="列表 2 Char"/>
    <w:link w:val="24"/>
    <w:qFormat/>
    <w:uiPriority w:val="0"/>
    <w:rPr>
      <w:kern w:val="0"/>
      <w:szCs w:val="21"/>
    </w:rPr>
  </w:style>
  <w:style w:type="character" w:customStyle="1" w:styleId="146">
    <w:name w:val="样式 要点 + 宋体 四号 黑色"/>
    <w:qFormat/>
    <w:uiPriority w:val="0"/>
    <w:rPr>
      <w:rFonts w:ascii="宋体" w:hAnsi="宋体" w:eastAsia="宋体" w:cs="Verdana"/>
      <w:b/>
      <w:color w:val="000000"/>
      <w:sz w:val="32"/>
      <w:szCs w:val="32"/>
      <w:lang w:val="en-US" w:eastAsia="en-US" w:bidi="ar-SA"/>
    </w:rPr>
  </w:style>
  <w:style w:type="character" w:customStyle="1" w:styleId="147">
    <w:name w:val="样式 样式 标题 3 + 小四 + 黑体 加粗 Char Char"/>
    <w:link w:val="148"/>
    <w:qFormat/>
    <w:uiPriority w:val="0"/>
    <w:rPr>
      <w:rFonts w:ascii="黑体" w:hAnsi="黑体"/>
      <w:b/>
      <w:sz w:val="24"/>
      <w:szCs w:val="24"/>
    </w:rPr>
  </w:style>
  <w:style w:type="paragraph" w:customStyle="1" w:styleId="148">
    <w:name w:val="样式 样式 标题 3 + 小四 + 黑体 加粗"/>
    <w:basedOn w:val="133"/>
    <w:link w:val="147"/>
    <w:qFormat/>
    <w:uiPriority w:val="0"/>
    <w:pPr>
      <w:numPr>
        <w:ilvl w:val="2"/>
        <w:numId w:val="6"/>
      </w:numPr>
      <w:tabs>
        <w:tab w:val="clear" w:pos="0"/>
      </w:tabs>
      <w:ind w:firstLine="200"/>
    </w:pPr>
    <w:rPr>
      <w:rFonts w:ascii="黑体" w:hAnsi="黑体"/>
    </w:rPr>
  </w:style>
  <w:style w:type="character" w:customStyle="1" w:styleId="149">
    <w:name w:val="正文首行缩进 2 Char1"/>
    <w:qFormat/>
    <w:uiPriority w:val="0"/>
    <w:rPr>
      <w:rFonts w:ascii="仿宋_GB2312" w:hAnsi="Calibri" w:eastAsia="仿宋_GB2312" w:cs="Verdana"/>
      <w:sz w:val="21"/>
      <w:szCs w:val="21"/>
      <w:lang w:val="en-US" w:eastAsia="zh-CN" w:bidi="ar-SA"/>
    </w:rPr>
  </w:style>
  <w:style w:type="character" w:customStyle="1" w:styleId="150">
    <w:name w:val="正文缩进 Char"/>
    <w:link w:val="15"/>
    <w:qFormat/>
    <w:uiPriority w:val="0"/>
    <w:rPr>
      <w:rFonts w:ascii="Times New Roman" w:hAnsi="Times New Roman" w:eastAsia="宋体" w:cs="Times New Roman"/>
      <w:kern w:val="0"/>
      <w:szCs w:val="21"/>
    </w:rPr>
  </w:style>
  <w:style w:type="character" w:customStyle="1" w:styleId="151">
    <w:name w:val="列表 Char"/>
    <w:link w:val="38"/>
    <w:qFormat/>
    <w:uiPriority w:val="0"/>
    <w:rPr>
      <w:b/>
      <w:kern w:val="0"/>
      <w:szCs w:val="21"/>
    </w:rPr>
  </w:style>
  <w:style w:type="character" w:customStyle="1" w:styleId="152">
    <w:name w:val="文字 Char Char"/>
    <w:link w:val="153"/>
    <w:qFormat/>
    <w:uiPriority w:val="0"/>
    <w:rPr>
      <w:rFonts w:ascii="宋体"/>
      <w:sz w:val="28"/>
      <w:szCs w:val="28"/>
    </w:rPr>
  </w:style>
  <w:style w:type="paragraph" w:customStyle="1" w:styleId="153">
    <w:name w:val="文字"/>
    <w:basedOn w:val="1"/>
    <w:link w:val="152"/>
    <w:qFormat/>
    <w:uiPriority w:val="0"/>
    <w:pPr>
      <w:tabs>
        <w:tab w:val="left" w:pos="8520"/>
      </w:tabs>
      <w:spacing w:after="0" w:line="312" w:lineRule="auto"/>
      <w:ind w:right="-210" w:firstLine="556"/>
      <w:jc w:val="both"/>
    </w:pPr>
    <w:rPr>
      <w:rFonts w:ascii="宋体" w:hAnsiTheme="minorHAnsi" w:eastAsiaTheme="minorEastAsia" w:cstheme="minorBidi"/>
      <w:color w:val="auto"/>
      <w:kern w:val="2"/>
      <w:sz w:val="28"/>
      <w:szCs w:val="28"/>
    </w:rPr>
  </w:style>
  <w:style w:type="character" w:customStyle="1" w:styleId="154">
    <w:name w:val="GP正文(无首行缩进) Char"/>
    <w:link w:val="155"/>
    <w:qFormat/>
    <w:uiPriority w:val="0"/>
    <w:rPr>
      <w:sz w:val="24"/>
      <w:szCs w:val="24"/>
    </w:rPr>
  </w:style>
  <w:style w:type="paragraph" w:customStyle="1" w:styleId="155">
    <w:name w:val="GP正文(无首行缩进)"/>
    <w:link w:val="154"/>
    <w:qFormat/>
    <w:uiPriority w:val="0"/>
    <w:pPr>
      <w:spacing w:line="360" w:lineRule="auto"/>
    </w:pPr>
    <w:rPr>
      <w:rFonts w:asciiTheme="minorHAnsi" w:hAnsiTheme="minorHAnsi" w:eastAsiaTheme="minorEastAsia" w:cstheme="minorBidi"/>
      <w:kern w:val="2"/>
      <w:sz w:val="24"/>
      <w:szCs w:val="24"/>
      <w:lang w:val="en-US" w:eastAsia="zh-CN" w:bidi="ar-SA"/>
    </w:rPr>
  </w:style>
  <w:style w:type="character" w:customStyle="1" w:styleId="156">
    <w:name w:val="正文(首行缩进) Char"/>
    <w:link w:val="157"/>
    <w:qFormat/>
    <w:uiPriority w:val="0"/>
    <w:rPr>
      <w:rFonts w:ascii="宋体" w:hAnsi="宋体"/>
      <w:spacing w:val="20"/>
      <w:lang w:val="en-IE"/>
    </w:rPr>
  </w:style>
  <w:style w:type="paragraph" w:customStyle="1" w:styleId="157">
    <w:name w:val="正文(首行缩进)"/>
    <w:link w:val="156"/>
    <w:qFormat/>
    <w:uiPriority w:val="0"/>
    <w:pPr>
      <w:ind w:firstLine="500"/>
      <w:jc w:val="both"/>
    </w:pPr>
    <w:rPr>
      <w:rFonts w:ascii="宋体" w:hAnsi="宋体" w:eastAsiaTheme="minorEastAsia" w:cstheme="minorBidi"/>
      <w:spacing w:val="20"/>
      <w:kern w:val="2"/>
      <w:sz w:val="21"/>
      <w:szCs w:val="22"/>
      <w:lang w:val="en-IE" w:eastAsia="zh-CN" w:bidi="ar-SA"/>
    </w:rPr>
  </w:style>
  <w:style w:type="character" w:customStyle="1" w:styleId="158">
    <w:name w:val="10"/>
    <w:qFormat/>
    <w:uiPriority w:val="0"/>
    <w:rPr>
      <w:rFonts w:hint="default" w:ascii="Times New Roman" w:hAnsi="Times New Roman" w:eastAsia="宋体" w:cs="Verdana"/>
      <w:sz w:val="20"/>
      <w:szCs w:val="20"/>
      <w:lang w:val="en-US" w:eastAsia="en-US" w:bidi="ar-SA"/>
    </w:rPr>
  </w:style>
  <w:style w:type="character" w:customStyle="1" w:styleId="159">
    <w:name w:val="标题 Char1"/>
    <w:qFormat/>
    <w:uiPriority w:val="0"/>
    <w:rPr>
      <w:rFonts w:ascii="Cambria" w:hAnsi="Cambria" w:cs="Times New Roman"/>
      <w:b/>
      <w:sz w:val="32"/>
      <w:szCs w:val="32"/>
      <w:lang w:eastAsia="en-US"/>
    </w:rPr>
  </w:style>
  <w:style w:type="character" w:customStyle="1" w:styleId="160">
    <w:name w:val="Char Char3"/>
    <w:qFormat/>
    <w:uiPriority w:val="0"/>
    <w:rPr>
      <w:rFonts w:ascii="Verdana" w:hAnsi="Verdana" w:eastAsia="宋体" w:cs="Verdana"/>
      <w:sz w:val="18"/>
      <w:szCs w:val="18"/>
      <w:lang w:val="en-US" w:eastAsia="zh-CN" w:bidi="ar-SA"/>
    </w:rPr>
  </w:style>
  <w:style w:type="character" w:customStyle="1" w:styleId="161">
    <w:name w:val="style55"/>
    <w:qFormat/>
    <w:uiPriority w:val="0"/>
    <w:rPr>
      <w:rFonts w:eastAsia="宋体"/>
      <w:sz w:val="24"/>
      <w:szCs w:val="24"/>
      <w:lang w:val="en-US" w:eastAsia="zh-CN" w:bidi="ar-SA"/>
    </w:rPr>
  </w:style>
  <w:style w:type="character" w:customStyle="1" w:styleId="162">
    <w:name w:val="正文文本 Char1"/>
    <w:qFormat/>
    <w:uiPriority w:val="0"/>
    <w:rPr>
      <w:rFonts w:ascii="Verdana" w:hAnsi="Verdana" w:cs="Verdana"/>
      <w:sz w:val="21"/>
      <w:szCs w:val="21"/>
      <w:lang w:eastAsia="en-US"/>
    </w:rPr>
  </w:style>
  <w:style w:type="character" w:customStyle="1" w:styleId="163">
    <w:name w:val="批注主题 Char1"/>
    <w:qFormat/>
    <w:uiPriority w:val="0"/>
    <w:rPr>
      <w:rFonts w:ascii="Verdana" w:hAnsi="Verdana" w:cs="Verdana"/>
      <w:b/>
      <w:sz w:val="21"/>
      <w:szCs w:val="21"/>
      <w:lang w:eastAsia="en-US"/>
    </w:rPr>
  </w:style>
  <w:style w:type="character" w:customStyle="1" w:styleId="164">
    <w:name w:val="标题1 Char"/>
    <w:link w:val="165"/>
    <w:qFormat/>
    <w:uiPriority w:val="0"/>
    <w:rPr>
      <w:rFonts w:ascii="Arial" w:hAnsi="Arial" w:eastAsia="黑体"/>
      <w:sz w:val="44"/>
      <w:szCs w:val="44"/>
    </w:rPr>
  </w:style>
  <w:style w:type="paragraph" w:customStyle="1" w:styleId="165">
    <w:name w:val="标题1"/>
    <w:basedOn w:val="3"/>
    <w:link w:val="164"/>
    <w:qFormat/>
    <w:uiPriority w:val="0"/>
    <w:pPr>
      <w:tabs>
        <w:tab w:val="left" w:pos="567"/>
      </w:tabs>
      <w:spacing w:before="100" w:beforeAutospacing="1" w:after="100" w:afterAutospacing="1" w:line="576" w:lineRule="auto"/>
      <w:ind w:left="360" w:hanging="360"/>
    </w:pPr>
    <w:rPr>
      <w:rFonts w:ascii="Arial" w:hAnsi="Arial" w:eastAsia="黑体" w:cstheme="minorBidi"/>
      <w:b w:val="0"/>
      <w:color w:val="auto"/>
      <w:kern w:val="2"/>
    </w:rPr>
  </w:style>
  <w:style w:type="character" w:customStyle="1" w:styleId="166">
    <w:name w:val="正文文本 Char2"/>
    <w:basedOn w:val="53"/>
    <w:qFormat/>
    <w:uiPriority w:val="0"/>
    <w:rPr>
      <w:rFonts w:ascii="Calibri" w:hAnsi="Calibri" w:eastAsia="宋体" w:cs="Times New Roman"/>
      <w:kern w:val="0"/>
      <w:szCs w:val="21"/>
    </w:rPr>
  </w:style>
  <w:style w:type="character" w:customStyle="1" w:styleId="167">
    <w:name w:val="正文首行缩进 Char1"/>
    <w:basedOn w:val="166"/>
    <w:semiHidden/>
    <w:qFormat/>
    <w:uiPriority w:val="0"/>
    <w:rPr>
      <w:rFonts w:ascii="Calibri" w:hAnsi="Calibri" w:eastAsia="宋体" w:cs="Times New Roman"/>
      <w:kern w:val="0"/>
      <w:szCs w:val="21"/>
    </w:rPr>
  </w:style>
  <w:style w:type="character" w:customStyle="1" w:styleId="168">
    <w:name w:val="正文文本 3 Char1"/>
    <w:basedOn w:val="53"/>
    <w:semiHidden/>
    <w:qFormat/>
    <w:uiPriority w:val="0"/>
    <w:rPr>
      <w:rFonts w:ascii="Calibri" w:hAnsi="Calibri" w:eastAsia="宋体" w:cs="Times New Roman"/>
      <w:sz w:val="16"/>
      <w:szCs w:val="16"/>
    </w:rPr>
  </w:style>
  <w:style w:type="character" w:customStyle="1" w:styleId="169">
    <w:name w:val="批注文字 Char2"/>
    <w:basedOn w:val="53"/>
    <w:qFormat/>
    <w:uiPriority w:val="0"/>
    <w:rPr>
      <w:rFonts w:ascii="Calibri" w:hAnsi="Calibri" w:eastAsia="宋体" w:cs="Times New Roman"/>
      <w:kern w:val="0"/>
      <w:szCs w:val="21"/>
    </w:rPr>
  </w:style>
  <w:style w:type="character" w:customStyle="1" w:styleId="170">
    <w:name w:val="批注主题 Char2"/>
    <w:basedOn w:val="169"/>
    <w:semiHidden/>
    <w:qFormat/>
    <w:uiPriority w:val="0"/>
    <w:rPr>
      <w:rFonts w:ascii="Calibri" w:hAnsi="Calibri" w:eastAsia="宋体" w:cs="Times New Roman"/>
      <w:b/>
      <w:kern w:val="0"/>
      <w:szCs w:val="21"/>
    </w:rPr>
  </w:style>
  <w:style w:type="character" w:customStyle="1" w:styleId="171">
    <w:name w:val="正文文本缩进 Char1"/>
    <w:basedOn w:val="53"/>
    <w:link w:val="21"/>
    <w:qFormat/>
    <w:uiPriority w:val="0"/>
    <w:rPr>
      <w:rFonts w:ascii="Calibri" w:hAnsi="Calibri" w:eastAsia="宋体" w:cs="Times New Roman"/>
      <w:kern w:val="0"/>
      <w:szCs w:val="21"/>
    </w:rPr>
  </w:style>
  <w:style w:type="character" w:customStyle="1" w:styleId="172">
    <w:name w:val="正文首行缩进 2 Char2"/>
    <w:basedOn w:val="171"/>
    <w:semiHidden/>
    <w:qFormat/>
    <w:uiPriority w:val="0"/>
    <w:rPr>
      <w:rFonts w:ascii="Calibri" w:hAnsi="Calibri" w:eastAsia="宋体" w:cs="Times New Roman"/>
      <w:kern w:val="0"/>
      <w:szCs w:val="21"/>
    </w:rPr>
  </w:style>
  <w:style w:type="character" w:customStyle="1" w:styleId="173">
    <w:name w:val="标题 Char2"/>
    <w:basedOn w:val="53"/>
    <w:qFormat/>
    <w:uiPriority w:val="0"/>
    <w:rPr>
      <w:rFonts w:eastAsia="宋体" w:asciiTheme="majorHAnsi" w:hAnsiTheme="majorHAnsi" w:cstheme="minorBidi"/>
      <w:b/>
      <w:sz w:val="32"/>
      <w:szCs w:val="32"/>
    </w:rPr>
  </w:style>
  <w:style w:type="character" w:customStyle="1" w:styleId="174">
    <w:name w:val="HTML 预设格式 Char1"/>
    <w:basedOn w:val="53"/>
    <w:semiHidden/>
    <w:qFormat/>
    <w:uiPriority w:val="0"/>
    <w:rPr>
      <w:rFonts w:ascii="Courier New" w:hAnsi="Courier New" w:eastAsia="宋体" w:cs="Courier New"/>
      <w:sz w:val="20"/>
      <w:szCs w:val="20"/>
    </w:rPr>
  </w:style>
  <w:style w:type="character" w:customStyle="1" w:styleId="175">
    <w:name w:val="日期 Char1"/>
    <w:basedOn w:val="53"/>
    <w:semiHidden/>
    <w:qFormat/>
    <w:uiPriority w:val="0"/>
    <w:rPr>
      <w:rFonts w:ascii="Calibri" w:hAnsi="Calibri" w:eastAsia="宋体" w:cs="Times New Roman"/>
    </w:rPr>
  </w:style>
  <w:style w:type="character" w:customStyle="1" w:styleId="176">
    <w:name w:val="副标题 Char2"/>
    <w:basedOn w:val="53"/>
    <w:qFormat/>
    <w:uiPriority w:val="0"/>
    <w:rPr>
      <w:rFonts w:eastAsia="宋体" w:asciiTheme="majorHAnsi" w:hAnsiTheme="majorHAnsi" w:cstheme="minorBidi"/>
      <w:b/>
      <w:sz w:val="32"/>
      <w:szCs w:val="32"/>
    </w:rPr>
  </w:style>
  <w:style w:type="character" w:customStyle="1" w:styleId="177">
    <w:name w:val="正文文本缩进 2 Char1"/>
    <w:basedOn w:val="53"/>
    <w:semiHidden/>
    <w:qFormat/>
    <w:uiPriority w:val="0"/>
    <w:rPr>
      <w:rFonts w:ascii="Calibri" w:hAnsi="Calibri" w:eastAsia="宋体" w:cs="Times New Roman"/>
    </w:rPr>
  </w:style>
  <w:style w:type="character" w:customStyle="1" w:styleId="178">
    <w:name w:val="正文文本 2 Char1"/>
    <w:basedOn w:val="53"/>
    <w:semiHidden/>
    <w:qFormat/>
    <w:uiPriority w:val="0"/>
    <w:rPr>
      <w:rFonts w:ascii="Calibri" w:hAnsi="Calibri" w:eastAsia="宋体" w:cs="Times New Roman"/>
    </w:rPr>
  </w:style>
  <w:style w:type="character" w:customStyle="1" w:styleId="179">
    <w:name w:val="文档结构图 Char1"/>
    <w:basedOn w:val="53"/>
    <w:semiHidden/>
    <w:qFormat/>
    <w:uiPriority w:val="0"/>
    <w:rPr>
      <w:rFonts w:ascii="宋体" w:hAnsi="Calibri" w:eastAsia="宋体" w:cs="Times New Roman"/>
      <w:sz w:val="18"/>
      <w:szCs w:val="18"/>
    </w:rPr>
  </w:style>
  <w:style w:type="character" w:customStyle="1" w:styleId="180">
    <w:name w:val="批注框文本 Char1"/>
    <w:basedOn w:val="53"/>
    <w:semiHidden/>
    <w:qFormat/>
    <w:uiPriority w:val="0"/>
    <w:rPr>
      <w:rFonts w:ascii="Calibri" w:hAnsi="Calibri" w:eastAsia="宋体" w:cs="Times New Roman"/>
      <w:sz w:val="18"/>
      <w:szCs w:val="18"/>
    </w:rPr>
  </w:style>
  <w:style w:type="paragraph" w:customStyle="1" w:styleId="181">
    <w:name w:val="xl109"/>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color w:val="auto"/>
      <w:sz w:val="21"/>
      <w:szCs w:val="21"/>
    </w:rPr>
  </w:style>
  <w:style w:type="paragraph" w:customStyle="1" w:styleId="182">
    <w:name w:val="段"/>
    <w:qFormat/>
    <w:uiPriority w:val="0"/>
    <w:pPr>
      <w:autoSpaceDE w:val="0"/>
      <w:autoSpaceDN w:val="0"/>
      <w:ind w:firstLine="200"/>
      <w:jc w:val="both"/>
    </w:pPr>
    <w:rPr>
      <w:rFonts w:ascii="宋体" w:hAnsi="Calibri" w:eastAsia="宋体" w:cs="Times New Roman"/>
      <w:sz w:val="21"/>
      <w:szCs w:val="21"/>
      <w:lang w:val="en-US" w:eastAsia="zh-CN" w:bidi="ar-SA"/>
    </w:rPr>
  </w:style>
  <w:style w:type="paragraph" w:customStyle="1" w:styleId="183">
    <w:name w:val="xl9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184">
    <w:name w:val="font9"/>
    <w:basedOn w:val="1"/>
    <w:qFormat/>
    <w:uiPriority w:val="0"/>
    <w:pPr>
      <w:spacing w:before="100" w:beforeAutospacing="1" w:after="100" w:afterAutospacing="1"/>
    </w:pPr>
    <w:rPr>
      <w:rFonts w:ascii="宋体" w:hAnsi="宋体" w:cs="宋体"/>
      <w:sz w:val="20"/>
      <w:szCs w:val="20"/>
    </w:rPr>
  </w:style>
  <w:style w:type="paragraph" w:customStyle="1" w:styleId="185">
    <w:name w:val="xl83"/>
    <w:basedOn w:val="1"/>
    <w:qFormat/>
    <w:uiPriority w:val="0"/>
    <w:pPr>
      <w:pBdr>
        <w:top w:val="single" w:color="000000" w:sz="4" w:space="0"/>
        <w:bottom w:val="single" w:color="000000" w:sz="4" w:space="0"/>
      </w:pBdr>
      <w:spacing w:before="100" w:beforeAutospacing="1" w:after="100" w:afterAutospacing="1"/>
    </w:pPr>
    <w:rPr>
      <w:rFonts w:ascii="宋体" w:hAnsi="宋体" w:cs="宋体"/>
      <w:color w:val="auto"/>
      <w:sz w:val="21"/>
      <w:szCs w:val="21"/>
    </w:rPr>
  </w:style>
  <w:style w:type="paragraph" w:customStyle="1" w:styleId="186">
    <w:name w:val="xl86"/>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rFonts w:ascii="宋体" w:hAnsi="宋体" w:cs="宋体"/>
      <w:color w:val="auto"/>
      <w:sz w:val="21"/>
      <w:szCs w:val="21"/>
    </w:rPr>
  </w:style>
  <w:style w:type="paragraph" w:customStyle="1" w:styleId="187">
    <w:name w:val="Char Char Char Char Char Char1 Char"/>
    <w:basedOn w:val="1"/>
    <w:qFormat/>
    <w:uiPriority w:val="0"/>
    <w:pPr>
      <w:spacing w:after="160" w:line="240" w:lineRule="exact"/>
    </w:pPr>
    <w:rPr>
      <w:rFonts w:ascii="Verdana" w:hAnsi="Verdana" w:eastAsia="仿宋_GB2312" w:cs="Times New Roman"/>
      <w:color w:val="auto"/>
      <w:sz w:val="24"/>
      <w:szCs w:val="24"/>
      <w:lang w:eastAsia="en-US"/>
    </w:rPr>
  </w:style>
  <w:style w:type="paragraph" w:customStyle="1" w:styleId="188">
    <w:name w:val="xl28"/>
    <w:basedOn w:val="1"/>
    <w:qFormat/>
    <w:uiPriority w:val="0"/>
    <w:pPr>
      <w:pBdr>
        <w:bottom w:val="single" w:color="000000" w:sz="4" w:space="0"/>
        <w:right w:val="single" w:color="000000" w:sz="4" w:space="0"/>
      </w:pBdr>
      <w:shd w:val="clear" w:color="000000" w:fill="FF0000"/>
      <w:spacing w:before="100" w:beforeAutospacing="1" w:after="100" w:afterAutospacing="1"/>
    </w:pPr>
    <w:rPr>
      <w:rFonts w:ascii="宋体" w:hAnsi="宋体" w:cs="宋体"/>
      <w:color w:val="auto"/>
      <w:sz w:val="24"/>
      <w:szCs w:val="24"/>
    </w:rPr>
  </w:style>
  <w:style w:type="paragraph" w:customStyle="1" w:styleId="189">
    <w:name w:val="xl7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auto"/>
      <w:sz w:val="21"/>
      <w:szCs w:val="21"/>
    </w:rPr>
  </w:style>
  <w:style w:type="paragraph" w:customStyle="1" w:styleId="190">
    <w:name w:val="font6"/>
    <w:basedOn w:val="1"/>
    <w:qFormat/>
    <w:uiPriority w:val="0"/>
    <w:pPr>
      <w:spacing w:before="100" w:beforeAutospacing="1" w:after="100" w:afterAutospacing="1"/>
    </w:pPr>
    <w:rPr>
      <w:rFonts w:ascii="宋体" w:hAnsi="宋体" w:cs="宋体"/>
      <w:color w:val="auto"/>
      <w:sz w:val="18"/>
      <w:szCs w:val="18"/>
    </w:rPr>
  </w:style>
  <w:style w:type="paragraph" w:customStyle="1" w:styleId="191">
    <w:name w:val="xl10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Calibri" w:hAnsi="Calibri" w:cs="Times New Roman"/>
      <w:color w:val="auto"/>
      <w:sz w:val="24"/>
      <w:szCs w:val="24"/>
    </w:rPr>
  </w:style>
  <w:style w:type="paragraph" w:customStyle="1" w:styleId="192">
    <w:name w:val="V_标题4"/>
    <w:basedOn w:val="6"/>
    <w:qFormat/>
    <w:uiPriority w:val="0"/>
    <w:pPr>
      <w:numPr>
        <w:ilvl w:val="0"/>
        <w:numId w:val="7"/>
      </w:numPr>
      <w:spacing w:before="120" w:after="120" w:line="360" w:lineRule="auto"/>
    </w:pPr>
    <w:rPr>
      <w:rFonts w:ascii="楷体_GB2312" w:hAnsi="宋体" w:eastAsia="楷体_GB2312"/>
    </w:rPr>
  </w:style>
  <w:style w:type="paragraph" w:customStyle="1" w:styleId="193">
    <w:name w:val="V_正文(缩进)"/>
    <w:basedOn w:val="1"/>
    <w:qFormat/>
    <w:uiPriority w:val="0"/>
    <w:pPr>
      <w:spacing w:after="0"/>
      <w:ind w:firstLine="560"/>
      <w:jc w:val="both"/>
    </w:pPr>
    <w:rPr>
      <w:rFonts w:ascii="楷体_GB2312" w:hAnsi="楷体_GB2312" w:eastAsia="楷体_GB2312" w:cs="Times New Roman"/>
      <w:color w:val="auto"/>
      <w:sz w:val="28"/>
      <w:szCs w:val="28"/>
    </w:rPr>
  </w:style>
  <w:style w:type="paragraph" w:customStyle="1" w:styleId="194">
    <w:name w:val="xl110"/>
    <w:basedOn w:val="1"/>
    <w:qFormat/>
    <w:uiPriority w:val="0"/>
    <w:pPr>
      <w:spacing w:before="100" w:beforeAutospacing="1" w:after="100" w:afterAutospacing="1"/>
    </w:pPr>
    <w:rPr>
      <w:rFonts w:ascii="宋体" w:hAnsi="宋体" w:cs="宋体"/>
      <w:b/>
      <w:color w:val="auto"/>
      <w:sz w:val="21"/>
      <w:szCs w:val="21"/>
    </w:rPr>
  </w:style>
  <w:style w:type="paragraph" w:customStyle="1" w:styleId="195">
    <w:name w:val="样式 标题 1 + 宋体 小二 居中"/>
    <w:basedOn w:val="1"/>
    <w:qFormat/>
    <w:uiPriority w:val="0"/>
    <w:pPr>
      <w:spacing w:after="0"/>
    </w:pPr>
    <w:rPr>
      <w:rFonts w:ascii="Calibri" w:hAnsi="Calibri" w:cs="Times New Roman"/>
      <w:color w:val="auto"/>
      <w:sz w:val="21"/>
      <w:szCs w:val="21"/>
    </w:rPr>
  </w:style>
  <w:style w:type="paragraph" w:customStyle="1" w:styleId="196">
    <w:name w:val="xl9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auto"/>
      <w:sz w:val="24"/>
      <w:szCs w:val="24"/>
    </w:rPr>
  </w:style>
  <w:style w:type="paragraph" w:customStyle="1" w:styleId="197">
    <w:name w:val="xl89"/>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宋体" w:hAnsi="宋体" w:cs="宋体"/>
      <w:color w:val="auto"/>
      <w:sz w:val="21"/>
      <w:szCs w:val="21"/>
    </w:rPr>
  </w:style>
  <w:style w:type="paragraph" w:customStyle="1" w:styleId="198">
    <w:name w:val="xl55"/>
    <w:basedOn w:val="1"/>
    <w:qFormat/>
    <w:uiPriority w:val="0"/>
    <w:pPr>
      <w:pBdr>
        <w:top w:val="single" w:color="000000" w:sz="4" w:space="0"/>
        <w:bottom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199">
    <w:name w:val="xl29"/>
    <w:basedOn w:val="1"/>
    <w:qFormat/>
    <w:uiPriority w:val="0"/>
    <w:pPr>
      <w:pBdr>
        <w:bottom w:val="single" w:color="000000" w:sz="4" w:space="0"/>
        <w:right w:val="single" w:color="000000" w:sz="4" w:space="0"/>
      </w:pBdr>
      <w:shd w:val="clear" w:color="000000" w:fill="FF0000"/>
      <w:spacing w:before="100" w:beforeAutospacing="1" w:after="100" w:afterAutospacing="1"/>
      <w:jc w:val="right"/>
    </w:pPr>
    <w:rPr>
      <w:rFonts w:ascii="宋体" w:hAnsi="宋体" w:cs="宋体"/>
      <w:color w:val="auto"/>
      <w:sz w:val="24"/>
      <w:szCs w:val="24"/>
    </w:rPr>
  </w:style>
  <w:style w:type="paragraph" w:customStyle="1" w:styleId="200">
    <w:name w:val="Char"/>
    <w:basedOn w:val="1"/>
    <w:qFormat/>
    <w:uiPriority w:val="0"/>
    <w:pPr>
      <w:spacing w:after="0"/>
      <w:jc w:val="both"/>
    </w:pPr>
    <w:rPr>
      <w:rFonts w:ascii="Tahoma" w:hAnsi="Tahoma" w:cs="Times New Roman"/>
      <w:color w:val="auto"/>
      <w:sz w:val="24"/>
      <w:szCs w:val="24"/>
    </w:rPr>
  </w:style>
  <w:style w:type="paragraph" w:customStyle="1" w:styleId="201">
    <w:name w:val="xl61"/>
    <w:basedOn w:val="1"/>
    <w:qFormat/>
    <w:uiPriority w:val="0"/>
    <w:pPr>
      <w:pBdr>
        <w:top w:val="single" w:color="000000" w:sz="4" w:space="0"/>
        <w:bottom w:val="single" w:color="000000" w:sz="4" w:space="0"/>
        <w:right w:val="single" w:color="000000" w:sz="4" w:space="0"/>
      </w:pBdr>
      <w:spacing w:before="100" w:beforeAutospacing="1" w:after="100" w:afterAutospacing="1"/>
    </w:pPr>
    <w:rPr>
      <w:rFonts w:ascii="宋体" w:hAnsi="宋体" w:cs="宋体"/>
      <w:color w:val="auto"/>
      <w:sz w:val="24"/>
      <w:szCs w:val="24"/>
    </w:rPr>
  </w:style>
  <w:style w:type="paragraph" w:customStyle="1" w:styleId="202">
    <w:name w:val="--规划正文"/>
    <w:basedOn w:val="1"/>
    <w:qFormat/>
    <w:uiPriority w:val="0"/>
    <w:pPr>
      <w:spacing w:after="0" w:line="360" w:lineRule="auto"/>
      <w:ind w:firstLine="200"/>
      <w:jc w:val="both"/>
    </w:pPr>
    <w:rPr>
      <w:rFonts w:ascii="Calibri" w:hAnsi="Calibri" w:cs="Times New Roman"/>
      <w:color w:val="auto"/>
      <w:sz w:val="21"/>
      <w:szCs w:val="21"/>
    </w:rPr>
  </w:style>
  <w:style w:type="paragraph" w:customStyle="1" w:styleId="203">
    <w:name w:val="xl10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204">
    <w:name w:val="xl37"/>
    <w:basedOn w:val="1"/>
    <w:qFormat/>
    <w:uiPriority w:val="0"/>
    <w:pPr>
      <w:pBdr>
        <w:top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05">
    <w:name w:val="xl24"/>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auto"/>
      <w:sz w:val="24"/>
      <w:szCs w:val="24"/>
    </w:rPr>
  </w:style>
  <w:style w:type="paragraph" w:customStyle="1" w:styleId="206">
    <w:name w:val="xl35"/>
    <w:basedOn w:val="1"/>
    <w:qFormat/>
    <w:uiPriority w:val="0"/>
    <w:pPr>
      <w:pBdr>
        <w:bottom w:val="single" w:color="000000" w:sz="4" w:space="0"/>
        <w:right w:val="single" w:color="000000" w:sz="4" w:space="0"/>
      </w:pBdr>
      <w:shd w:val="clear" w:color="000000" w:fill="99CCFF"/>
      <w:spacing w:before="100" w:beforeAutospacing="1" w:after="100" w:afterAutospacing="1"/>
      <w:jc w:val="right"/>
    </w:pPr>
    <w:rPr>
      <w:rFonts w:ascii="宋体" w:hAnsi="宋体" w:cs="宋体"/>
      <w:color w:val="auto"/>
      <w:sz w:val="24"/>
      <w:szCs w:val="24"/>
    </w:rPr>
  </w:style>
  <w:style w:type="paragraph" w:customStyle="1" w:styleId="207">
    <w:name w:val="xl58"/>
    <w:basedOn w:val="1"/>
    <w:qFormat/>
    <w:uiPriority w:val="0"/>
    <w:pPr>
      <w:pBdr>
        <w:top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08">
    <w:name w:val="font8"/>
    <w:basedOn w:val="1"/>
    <w:qFormat/>
    <w:uiPriority w:val="0"/>
    <w:pPr>
      <w:spacing w:before="100" w:beforeAutospacing="1" w:after="100" w:afterAutospacing="1"/>
    </w:pPr>
    <w:rPr>
      <w:rFonts w:ascii="Calibri" w:hAnsi="Calibri" w:cs="Times New Roman"/>
      <w:sz w:val="20"/>
      <w:szCs w:val="20"/>
    </w:rPr>
  </w:style>
  <w:style w:type="paragraph" w:customStyle="1" w:styleId="209">
    <w:name w:val="xl38"/>
    <w:basedOn w:val="1"/>
    <w:qFormat/>
    <w:uiPriority w:val="0"/>
    <w:pPr>
      <w:pBdr>
        <w:bottom w:val="single" w:color="000000" w:sz="4" w:space="0"/>
      </w:pBdr>
      <w:spacing w:before="100" w:beforeAutospacing="1" w:after="100" w:afterAutospacing="1"/>
      <w:jc w:val="right"/>
    </w:pPr>
    <w:rPr>
      <w:rFonts w:ascii="宋体" w:hAnsi="宋体" w:cs="宋体"/>
      <w:color w:val="auto"/>
      <w:sz w:val="24"/>
      <w:szCs w:val="24"/>
    </w:rPr>
  </w:style>
  <w:style w:type="paragraph" w:customStyle="1" w:styleId="210">
    <w:name w:val="xl6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b/>
      <w:color w:val="auto"/>
      <w:sz w:val="21"/>
      <w:szCs w:val="21"/>
    </w:rPr>
  </w:style>
  <w:style w:type="paragraph" w:customStyle="1" w:styleId="211">
    <w:name w:val="font11"/>
    <w:basedOn w:val="1"/>
    <w:qFormat/>
    <w:uiPriority w:val="0"/>
    <w:pPr>
      <w:spacing w:before="100" w:beforeAutospacing="1" w:after="100" w:afterAutospacing="1"/>
    </w:pPr>
    <w:rPr>
      <w:rFonts w:ascii="宋体" w:hAnsi="宋体" w:cs="宋体"/>
      <w:sz w:val="20"/>
      <w:szCs w:val="20"/>
    </w:rPr>
  </w:style>
  <w:style w:type="paragraph" w:customStyle="1" w:styleId="212">
    <w:name w:val="Char Char Char"/>
    <w:basedOn w:val="1"/>
    <w:qFormat/>
    <w:uiPriority w:val="0"/>
    <w:pPr>
      <w:spacing w:after="160" w:line="240" w:lineRule="exact"/>
    </w:pPr>
    <w:rPr>
      <w:rFonts w:ascii="Verdana" w:hAnsi="Verdana" w:cs="Verdana"/>
      <w:color w:val="auto"/>
      <w:sz w:val="21"/>
      <w:szCs w:val="21"/>
      <w:lang w:eastAsia="en-US"/>
    </w:rPr>
  </w:style>
  <w:style w:type="paragraph" w:customStyle="1" w:styleId="213">
    <w:name w:val="xl44"/>
    <w:basedOn w:val="1"/>
    <w:qFormat/>
    <w:uiPriority w:val="0"/>
    <w:pPr>
      <w:pBdr>
        <w:bottom w:val="single" w:color="000000" w:sz="4" w:space="0"/>
        <w:right w:val="single" w:color="000000" w:sz="4" w:space="0"/>
      </w:pBdr>
      <w:shd w:val="clear" w:color="000000" w:fill="FF0000"/>
      <w:spacing w:before="100" w:beforeAutospacing="1" w:after="100" w:afterAutospacing="1"/>
      <w:jc w:val="center"/>
    </w:pPr>
    <w:rPr>
      <w:rFonts w:ascii="宋体" w:hAnsi="宋体" w:cs="宋体"/>
      <w:color w:val="auto"/>
      <w:sz w:val="24"/>
      <w:szCs w:val="24"/>
    </w:rPr>
  </w:style>
  <w:style w:type="paragraph" w:customStyle="1" w:styleId="214">
    <w:name w:val="xl9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1"/>
      <w:szCs w:val="21"/>
    </w:rPr>
  </w:style>
  <w:style w:type="paragraph" w:customStyle="1" w:styleId="215">
    <w:name w:val="xl45"/>
    <w:basedOn w:val="1"/>
    <w:qFormat/>
    <w:uiPriority w:val="0"/>
    <w:pPr>
      <w:pBdr>
        <w:bottom w:val="single" w:color="000000" w:sz="4" w:space="0"/>
      </w:pBdr>
      <w:shd w:val="clear" w:color="000000" w:fill="FF0000"/>
      <w:spacing w:before="100" w:beforeAutospacing="1" w:after="100" w:afterAutospacing="1"/>
      <w:jc w:val="right"/>
    </w:pPr>
    <w:rPr>
      <w:rFonts w:ascii="宋体" w:hAnsi="宋体" w:cs="宋体"/>
      <w:color w:val="auto"/>
      <w:sz w:val="24"/>
      <w:szCs w:val="24"/>
    </w:rPr>
  </w:style>
  <w:style w:type="paragraph" w:customStyle="1" w:styleId="216">
    <w:name w:val="xl106"/>
    <w:basedOn w:val="1"/>
    <w:qFormat/>
    <w:uiPriority w:val="0"/>
    <w:pPr>
      <w:pBdr>
        <w:top w:val="single" w:color="000000" w:sz="4" w:space="0"/>
        <w:left w:val="single" w:color="000000" w:sz="4" w:space="0"/>
      </w:pBdr>
      <w:spacing w:before="100" w:beforeAutospacing="1" w:after="100" w:afterAutospacing="1"/>
      <w:jc w:val="center"/>
    </w:pPr>
    <w:rPr>
      <w:rFonts w:ascii="宋体" w:hAnsi="宋体" w:cs="宋体"/>
      <w:color w:val="auto"/>
      <w:sz w:val="21"/>
      <w:szCs w:val="21"/>
    </w:rPr>
  </w:style>
  <w:style w:type="paragraph" w:customStyle="1" w:styleId="217">
    <w:name w:val="xl64"/>
    <w:basedOn w:val="1"/>
    <w:qFormat/>
    <w:uiPriority w:val="0"/>
    <w:pPr>
      <w:pBdr>
        <w:top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character" w:customStyle="1" w:styleId="218">
    <w:name w:val="引用 Char2"/>
    <w:basedOn w:val="53"/>
    <w:qFormat/>
    <w:uiPriority w:val="0"/>
    <w:rPr>
      <w:rFonts w:ascii="Calibri" w:hAnsi="Calibri" w:eastAsia="宋体" w:cs="Times New Roman"/>
      <w:i/>
      <w:color w:val="000000" w:themeColor="text1"/>
    </w:rPr>
  </w:style>
  <w:style w:type="paragraph" w:customStyle="1" w:styleId="219">
    <w:name w:val="xl63"/>
    <w:basedOn w:val="1"/>
    <w:qFormat/>
    <w:uiPriority w:val="0"/>
    <w:pPr>
      <w:pBdr>
        <w:top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220">
    <w:name w:val="xl53"/>
    <w:basedOn w:val="1"/>
    <w:qFormat/>
    <w:uiPriority w:val="0"/>
    <w:pPr>
      <w:pBdr>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221">
    <w:name w:val="xl10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222">
    <w:name w:val="p17"/>
    <w:basedOn w:val="1"/>
    <w:qFormat/>
    <w:uiPriority w:val="0"/>
    <w:pPr>
      <w:spacing w:after="160" w:line="240" w:lineRule="atLeast"/>
    </w:pPr>
    <w:rPr>
      <w:rFonts w:ascii="Calibri" w:hAnsi="Calibri" w:cs="宋体"/>
      <w:color w:val="auto"/>
      <w:sz w:val="21"/>
      <w:szCs w:val="21"/>
    </w:rPr>
  </w:style>
  <w:style w:type="paragraph" w:customStyle="1" w:styleId="223">
    <w:name w:val="GP标题5"/>
    <w:basedOn w:val="155"/>
    <w:qFormat/>
    <w:uiPriority w:val="0"/>
    <w:pPr>
      <w:numPr>
        <w:ilvl w:val="4"/>
        <w:numId w:val="8"/>
      </w:numPr>
      <w:tabs>
        <w:tab w:val="left" w:pos="360"/>
        <w:tab w:val="left" w:pos="2100"/>
        <w:tab w:val="left" w:pos="2282"/>
      </w:tabs>
      <w:spacing w:before="120" w:after="120"/>
      <w:ind w:left="2100" w:hanging="420"/>
      <w:outlineLvl w:val="4"/>
    </w:pPr>
    <w:rPr>
      <w:rFonts w:ascii="华文细黑" w:hAnsi="华文细黑" w:eastAsia="华文细黑" w:cs="Andalus"/>
      <w:b/>
    </w:rPr>
  </w:style>
  <w:style w:type="paragraph" w:customStyle="1" w:styleId="224">
    <w:name w:val="GP正文(首行缩进)"/>
    <w:basedOn w:val="155"/>
    <w:qFormat/>
    <w:uiPriority w:val="0"/>
    <w:pPr>
      <w:ind w:firstLine="200"/>
    </w:pPr>
  </w:style>
  <w:style w:type="paragraph" w:customStyle="1" w:styleId="225">
    <w:name w:val="xl104"/>
    <w:basedOn w:val="1"/>
    <w:qFormat/>
    <w:uiPriority w:val="0"/>
    <w:pPr>
      <w:pBdr>
        <w:top w:val="single" w:color="000000" w:sz="4" w:space="0"/>
      </w:pBdr>
      <w:spacing w:before="100" w:beforeAutospacing="1" w:after="100" w:afterAutospacing="1"/>
    </w:pPr>
    <w:rPr>
      <w:rFonts w:ascii="宋体" w:hAnsi="宋体" w:cs="宋体"/>
      <w:color w:val="auto"/>
      <w:sz w:val="21"/>
      <w:szCs w:val="21"/>
    </w:rPr>
  </w:style>
  <w:style w:type="paragraph" w:customStyle="1" w:styleId="226">
    <w:name w:val="样式2"/>
    <w:basedOn w:val="1"/>
    <w:next w:val="7"/>
    <w:qFormat/>
    <w:uiPriority w:val="0"/>
    <w:pPr>
      <w:spacing w:after="0"/>
      <w:jc w:val="both"/>
    </w:pPr>
    <w:rPr>
      <w:rFonts w:ascii="Calibri" w:hAnsi="Calibri" w:cs="Times New Roman"/>
      <w:color w:val="auto"/>
      <w:sz w:val="21"/>
      <w:szCs w:val="21"/>
    </w:rPr>
  </w:style>
  <w:style w:type="paragraph" w:customStyle="1" w:styleId="227">
    <w:name w:val="样式 仿宋_GB2312 四号"/>
    <w:basedOn w:val="1"/>
    <w:qFormat/>
    <w:uiPriority w:val="0"/>
    <w:pPr>
      <w:spacing w:after="0"/>
      <w:ind w:firstLine="560"/>
      <w:jc w:val="both"/>
    </w:pPr>
    <w:rPr>
      <w:rFonts w:ascii="仿宋_GB2312" w:hAnsi="仿宋_GB2312" w:eastAsia="仿宋_GB2312" w:cs="宋体"/>
      <w:color w:val="auto"/>
      <w:sz w:val="32"/>
      <w:szCs w:val="32"/>
    </w:rPr>
  </w:style>
  <w:style w:type="paragraph" w:customStyle="1" w:styleId="228">
    <w:name w:val="xl46"/>
    <w:basedOn w:val="1"/>
    <w:qFormat/>
    <w:uiPriority w:val="0"/>
    <w:pPr>
      <w:pBdr>
        <w:top w:val="single" w:color="000000" w:sz="4" w:space="0"/>
        <w:left w:val="single" w:color="000000" w:sz="4" w:space="0"/>
        <w:bottom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29">
    <w:name w:val="my正文"/>
    <w:basedOn w:val="1"/>
    <w:qFormat/>
    <w:uiPriority w:val="0"/>
    <w:pPr>
      <w:spacing w:after="0"/>
      <w:ind w:firstLine="480"/>
      <w:jc w:val="both"/>
    </w:pPr>
    <w:rPr>
      <w:rFonts w:ascii="Times New Roman" w:hAnsi="Times New Roman" w:cs="Times New Roman"/>
      <w:color w:val="auto"/>
      <w:sz w:val="21"/>
      <w:szCs w:val="21"/>
    </w:rPr>
  </w:style>
  <w:style w:type="paragraph" w:customStyle="1" w:styleId="230">
    <w:name w:val="font5"/>
    <w:basedOn w:val="1"/>
    <w:qFormat/>
    <w:uiPriority w:val="0"/>
    <w:pPr>
      <w:spacing w:before="100" w:beforeAutospacing="1" w:after="100" w:afterAutospacing="1"/>
    </w:pPr>
    <w:rPr>
      <w:rFonts w:ascii="宋体" w:hAnsi="宋体" w:cs="宋体"/>
      <w:color w:val="auto"/>
      <w:sz w:val="18"/>
      <w:szCs w:val="18"/>
    </w:rPr>
  </w:style>
  <w:style w:type="paragraph" w:customStyle="1" w:styleId="231">
    <w:name w:val="xl98"/>
    <w:basedOn w:val="1"/>
    <w:qFormat/>
    <w:uiPriority w:val="0"/>
    <w:pPr>
      <w:pBdr>
        <w:top w:val="single" w:color="000000" w:sz="4" w:space="0"/>
        <w:right w:val="single" w:color="000000" w:sz="4" w:space="0"/>
      </w:pBdr>
      <w:spacing w:before="100" w:beforeAutospacing="1" w:after="100" w:afterAutospacing="1"/>
    </w:pPr>
    <w:rPr>
      <w:rFonts w:ascii="宋体" w:hAnsi="宋体" w:cs="宋体"/>
      <w:b/>
      <w:color w:val="auto"/>
      <w:sz w:val="21"/>
      <w:szCs w:val="21"/>
    </w:rPr>
  </w:style>
  <w:style w:type="paragraph" w:customStyle="1" w:styleId="232">
    <w:name w:val="xl74"/>
    <w:basedOn w:val="1"/>
    <w:qFormat/>
    <w:uiPriority w:val="0"/>
    <w:pPr>
      <w:pBdr>
        <w:top w:val="single" w:color="000000" w:sz="4" w:space="0"/>
        <w:left w:val="single" w:color="000000" w:sz="4" w:space="0"/>
        <w:bottom w:val="single" w:color="000000" w:sz="4" w:space="0"/>
      </w:pBdr>
      <w:spacing w:before="100" w:beforeAutospacing="1" w:after="100" w:afterAutospacing="1"/>
    </w:pPr>
    <w:rPr>
      <w:rFonts w:ascii="宋体" w:hAnsi="宋体" w:cs="宋体"/>
      <w:b/>
      <w:color w:val="auto"/>
      <w:sz w:val="21"/>
      <w:szCs w:val="21"/>
    </w:rPr>
  </w:style>
  <w:style w:type="paragraph" w:customStyle="1" w:styleId="233">
    <w:name w:val="GP标题1"/>
    <w:basedOn w:val="155"/>
    <w:next w:val="224"/>
    <w:qFormat/>
    <w:uiPriority w:val="0"/>
    <w:pPr>
      <w:numPr>
        <w:ilvl w:val="0"/>
        <w:numId w:val="8"/>
      </w:numPr>
      <w:tabs>
        <w:tab w:val="left" w:pos="360"/>
        <w:tab w:val="left" w:pos="720"/>
        <w:tab w:val="left" w:pos="902"/>
      </w:tabs>
      <w:spacing w:before="240" w:after="240"/>
      <w:ind w:left="720" w:hanging="720"/>
      <w:jc w:val="center"/>
      <w:outlineLvl w:val="0"/>
    </w:pPr>
    <w:rPr>
      <w:rFonts w:ascii="黑体" w:hAnsi="黑体" w:eastAsia="黑体" w:cs="Andalus"/>
      <w:b/>
      <w:sz w:val="36"/>
      <w:szCs w:val="36"/>
    </w:rPr>
  </w:style>
  <w:style w:type="paragraph" w:customStyle="1" w:styleId="234">
    <w:name w:val="p0"/>
    <w:basedOn w:val="1"/>
    <w:qFormat/>
    <w:uiPriority w:val="0"/>
    <w:pPr>
      <w:spacing w:after="0"/>
      <w:jc w:val="both"/>
    </w:pPr>
    <w:rPr>
      <w:rFonts w:ascii="Calibri" w:hAnsi="Calibri" w:cs="宋体"/>
      <w:color w:val="auto"/>
      <w:sz w:val="21"/>
      <w:szCs w:val="21"/>
    </w:rPr>
  </w:style>
  <w:style w:type="paragraph" w:customStyle="1" w:styleId="235">
    <w:name w:val="xl7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color w:val="auto"/>
      <w:sz w:val="21"/>
      <w:szCs w:val="21"/>
    </w:rPr>
  </w:style>
  <w:style w:type="paragraph" w:customStyle="1" w:styleId="236">
    <w:name w:val="xl90"/>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both"/>
    </w:pPr>
    <w:rPr>
      <w:rFonts w:ascii="宋体" w:hAnsi="宋体" w:cs="宋体"/>
      <w:color w:val="auto"/>
      <w:sz w:val="21"/>
      <w:szCs w:val="21"/>
    </w:rPr>
  </w:style>
  <w:style w:type="paragraph" w:customStyle="1" w:styleId="237">
    <w:name w:val="xl25"/>
    <w:basedOn w:val="1"/>
    <w:qFormat/>
    <w:uiPriority w:val="0"/>
    <w:pPr>
      <w:pBdr>
        <w:bottom w:val="single" w:color="000000" w:sz="4" w:space="0"/>
        <w:right w:val="single" w:color="000000" w:sz="4" w:space="0"/>
      </w:pBdr>
      <w:spacing w:before="100" w:beforeAutospacing="1" w:after="100" w:afterAutospacing="1"/>
    </w:pPr>
    <w:rPr>
      <w:rFonts w:ascii="宋体" w:hAnsi="宋体" w:cs="宋体"/>
      <w:color w:val="auto"/>
      <w:sz w:val="24"/>
      <w:szCs w:val="24"/>
    </w:rPr>
  </w:style>
  <w:style w:type="paragraph" w:customStyle="1" w:styleId="238">
    <w:name w:val="xl43"/>
    <w:basedOn w:val="1"/>
    <w:qFormat/>
    <w:uiPriority w:val="0"/>
    <w:pPr>
      <w:pBdr>
        <w:top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39">
    <w:name w:val="font10"/>
    <w:basedOn w:val="1"/>
    <w:qFormat/>
    <w:uiPriority w:val="0"/>
    <w:pPr>
      <w:spacing w:before="100" w:beforeAutospacing="1" w:after="100" w:afterAutospacing="1"/>
    </w:pPr>
    <w:rPr>
      <w:rFonts w:ascii="Calibri" w:hAnsi="Calibri" w:cs="Times New Roman"/>
      <w:sz w:val="20"/>
      <w:szCs w:val="20"/>
    </w:rPr>
  </w:style>
  <w:style w:type="paragraph" w:customStyle="1" w:styleId="240">
    <w:name w:val="Va_标题4_用"/>
    <w:basedOn w:val="6"/>
    <w:next w:val="1"/>
    <w:qFormat/>
    <w:uiPriority w:val="0"/>
    <w:pPr>
      <w:numPr>
        <w:ilvl w:val="3"/>
        <w:numId w:val="9"/>
      </w:numPr>
      <w:spacing w:before="240" w:after="240" w:line="240" w:lineRule="auto"/>
      <w:jc w:val="left"/>
    </w:pPr>
    <w:rPr>
      <w:rFonts w:ascii="黑体" w:hAnsi="宋体"/>
      <w:lang w:val="en-GB"/>
    </w:rPr>
  </w:style>
  <w:style w:type="paragraph" w:customStyle="1" w:styleId="241">
    <w:name w:val="xl39"/>
    <w:basedOn w:val="1"/>
    <w:qFormat/>
    <w:uiPriority w:val="0"/>
    <w:pPr>
      <w:pBdr>
        <w:bottom w:val="single" w:color="000000" w:sz="4" w:space="0"/>
      </w:pBdr>
      <w:shd w:val="clear" w:color="000000" w:fill="99CCFF"/>
      <w:spacing w:before="100" w:beforeAutospacing="1" w:after="100" w:afterAutospacing="1"/>
      <w:jc w:val="right"/>
    </w:pPr>
    <w:rPr>
      <w:rFonts w:ascii="宋体" w:hAnsi="宋体" w:cs="宋体"/>
      <w:color w:val="auto"/>
      <w:sz w:val="24"/>
      <w:szCs w:val="24"/>
    </w:rPr>
  </w:style>
  <w:style w:type="paragraph" w:customStyle="1" w:styleId="242">
    <w:name w:val="xl50"/>
    <w:basedOn w:val="1"/>
    <w:qFormat/>
    <w:uiPriority w:val="0"/>
    <w:pPr>
      <w:pBdr>
        <w:bottom w:val="single" w:color="000000" w:sz="4" w:space="0"/>
        <w:right w:val="single" w:color="000000" w:sz="4" w:space="0"/>
      </w:pBdr>
      <w:spacing w:before="100" w:beforeAutospacing="1" w:after="100" w:afterAutospacing="1"/>
    </w:pPr>
    <w:rPr>
      <w:rFonts w:ascii="宋体" w:hAnsi="宋体" w:cs="宋体"/>
      <w:color w:val="auto"/>
      <w:sz w:val="24"/>
      <w:szCs w:val="24"/>
    </w:rPr>
  </w:style>
  <w:style w:type="paragraph" w:customStyle="1" w:styleId="243">
    <w:name w:val="xl36"/>
    <w:basedOn w:val="1"/>
    <w:qFormat/>
    <w:uiPriority w:val="0"/>
    <w:pPr>
      <w:pBdr>
        <w:top w:val="single" w:color="000000" w:sz="4" w:space="0"/>
        <w:left w:val="single" w:color="000000" w:sz="4" w:space="0"/>
        <w:bottom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44">
    <w:name w:val="xl87"/>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rFonts w:ascii="宋体" w:hAnsi="宋体" w:cs="宋体"/>
      <w:color w:val="auto"/>
      <w:sz w:val="21"/>
      <w:szCs w:val="21"/>
    </w:rPr>
  </w:style>
  <w:style w:type="paragraph" w:customStyle="1" w:styleId="245">
    <w:name w:val="xl57"/>
    <w:basedOn w:val="1"/>
    <w:qFormat/>
    <w:uiPriority w:val="0"/>
    <w:pPr>
      <w:pBdr>
        <w:top w:val="single" w:color="000000" w:sz="4" w:space="0"/>
        <w:lef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46">
    <w:name w:val="Char1"/>
    <w:basedOn w:val="1"/>
    <w:qFormat/>
    <w:uiPriority w:val="0"/>
    <w:pPr>
      <w:spacing w:after="160" w:line="240" w:lineRule="exact"/>
    </w:pPr>
    <w:rPr>
      <w:rFonts w:ascii="Calibri" w:hAnsi="Calibri" w:cs="Times New Roman"/>
      <w:color w:val="auto"/>
      <w:sz w:val="21"/>
      <w:szCs w:val="21"/>
    </w:rPr>
  </w:style>
  <w:style w:type="paragraph" w:customStyle="1" w:styleId="247">
    <w:name w:val="xl84"/>
    <w:basedOn w:val="1"/>
    <w:qFormat/>
    <w:uiPriority w:val="0"/>
    <w:pPr>
      <w:pBdr>
        <w:top w:val="single" w:color="000000" w:sz="4" w:space="0"/>
        <w:bottom w:val="single" w:color="000000" w:sz="4" w:space="0"/>
        <w:right w:val="single" w:color="000000" w:sz="4" w:space="0"/>
      </w:pBdr>
      <w:spacing w:before="100" w:beforeAutospacing="1" w:after="100" w:afterAutospacing="1"/>
    </w:pPr>
    <w:rPr>
      <w:rFonts w:ascii="宋体" w:hAnsi="宋体" w:cs="宋体"/>
      <w:color w:val="auto"/>
      <w:sz w:val="21"/>
      <w:szCs w:val="21"/>
    </w:rPr>
  </w:style>
  <w:style w:type="paragraph" w:customStyle="1" w:styleId="248">
    <w:name w:val="xl52"/>
    <w:basedOn w:val="1"/>
    <w:qFormat/>
    <w:uiPriority w:val="0"/>
    <w:pPr>
      <w:pBdr>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249">
    <w:name w:val="Va_标题2_用"/>
    <w:basedOn w:val="4"/>
    <w:next w:val="1"/>
    <w:qFormat/>
    <w:uiPriority w:val="0"/>
    <w:pPr>
      <w:numPr>
        <w:ilvl w:val="1"/>
        <w:numId w:val="9"/>
      </w:numPr>
      <w:spacing w:before="240" w:beforeAutospacing="1" w:after="240" w:afterAutospacing="1" w:line="300" w:lineRule="auto"/>
    </w:pPr>
    <w:rPr>
      <w:rFonts w:ascii="Times New Roman" w:hAnsi="Times New Roman" w:eastAsia="黑体" w:cs="Times New Roman"/>
      <w:b w:val="0"/>
      <w:color w:val="auto"/>
      <w:lang w:eastAsia="en-US"/>
    </w:rPr>
  </w:style>
  <w:style w:type="paragraph" w:customStyle="1" w:styleId="250">
    <w:name w:val="xl9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251">
    <w:name w:val="xl7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b/>
      <w:color w:val="auto"/>
      <w:sz w:val="21"/>
      <w:szCs w:val="21"/>
    </w:rPr>
  </w:style>
  <w:style w:type="paragraph" w:customStyle="1" w:styleId="252">
    <w:name w:val="样式3"/>
    <w:basedOn w:val="3"/>
    <w:qFormat/>
    <w:uiPriority w:val="0"/>
    <w:pPr>
      <w:tabs>
        <w:tab w:val="left" w:pos="113"/>
      </w:tabs>
      <w:spacing w:before="100" w:beforeAutospacing="1" w:after="100" w:afterAutospacing="1" w:line="360" w:lineRule="auto"/>
    </w:pPr>
    <w:rPr>
      <w:rFonts w:ascii="黑体" w:hAnsi="Verdana" w:eastAsia="黑体"/>
      <w:color w:val="808080"/>
      <w:w w:val="150"/>
      <w:sz w:val="32"/>
      <w:szCs w:val="32"/>
      <w:lang w:eastAsia="en-US"/>
    </w:rPr>
  </w:style>
  <w:style w:type="paragraph" w:customStyle="1" w:styleId="253">
    <w:name w:val="样式 标题 22H22nd levelh2Header 2l2Heading 2 HiddenHeading 2..."/>
    <w:basedOn w:val="1"/>
    <w:qFormat/>
    <w:uiPriority w:val="0"/>
    <w:pPr>
      <w:tabs>
        <w:tab w:val="left" w:pos="1134"/>
      </w:tabs>
      <w:spacing w:after="0"/>
      <w:ind w:left="141" w:hanging="141"/>
    </w:pPr>
    <w:rPr>
      <w:rFonts w:ascii="Calibri" w:hAnsi="Calibri" w:cs="Times New Roman"/>
      <w:color w:val="auto"/>
      <w:sz w:val="21"/>
      <w:szCs w:val="21"/>
    </w:rPr>
  </w:style>
  <w:style w:type="paragraph" w:customStyle="1" w:styleId="254">
    <w:name w:val="font7"/>
    <w:basedOn w:val="1"/>
    <w:qFormat/>
    <w:uiPriority w:val="0"/>
    <w:pPr>
      <w:spacing w:before="100" w:beforeAutospacing="1" w:after="100" w:afterAutospacing="1"/>
    </w:pPr>
    <w:rPr>
      <w:rFonts w:ascii="宋体" w:hAnsi="宋体" w:cs="宋体"/>
      <w:color w:val="auto"/>
      <w:sz w:val="18"/>
      <w:szCs w:val="18"/>
    </w:rPr>
  </w:style>
  <w:style w:type="paragraph" w:customStyle="1" w:styleId="255">
    <w:name w:val="样式1"/>
    <w:basedOn w:val="5"/>
    <w:next w:val="6"/>
    <w:qFormat/>
    <w:uiPriority w:val="0"/>
    <w:pPr>
      <w:spacing w:line="415" w:lineRule="auto"/>
      <w:jc w:val="both"/>
    </w:pPr>
    <w:rPr>
      <w:rFonts w:ascii="黑体" w:hAnsi="黑体" w:eastAsia="黑体"/>
      <w:b w:val="0"/>
      <w:color w:val="auto"/>
      <w:sz w:val="30"/>
      <w:szCs w:val="30"/>
      <w:lang w:eastAsia="en-US"/>
    </w:rPr>
  </w:style>
  <w:style w:type="paragraph" w:customStyle="1" w:styleId="256">
    <w:name w:val="Va_标题3_用"/>
    <w:basedOn w:val="1"/>
    <w:next w:val="1"/>
    <w:qFormat/>
    <w:uiPriority w:val="0"/>
    <w:pPr>
      <w:numPr>
        <w:ilvl w:val="2"/>
        <w:numId w:val="9"/>
      </w:numPr>
      <w:spacing w:before="240" w:after="240" w:line="300" w:lineRule="auto"/>
      <w:outlineLvl w:val="2"/>
    </w:pPr>
    <w:rPr>
      <w:rFonts w:ascii="Cambria" w:hAnsi="Cambria" w:eastAsia="楷体_GB2312" w:cs="Times New Roman"/>
      <w:b/>
      <w:color w:val="auto"/>
      <w:sz w:val="32"/>
      <w:szCs w:val="32"/>
    </w:rPr>
  </w:style>
  <w:style w:type="paragraph" w:customStyle="1" w:styleId="257">
    <w:name w:val="S正文"/>
    <w:basedOn w:val="1"/>
    <w:qFormat/>
    <w:uiPriority w:val="0"/>
    <w:pPr>
      <w:snapToGrid w:val="0"/>
      <w:spacing w:after="0" w:line="300" w:lineRule="auto"/>
      <w:ind w:firstLine="480"/>
      <w:jc w:val="both"/>
    </w:pPr>
    <w:rPr>
      <w:rFonts w:ascii="Times New Roman" w:hAnsi="Times New Roman" w:cs="Times New Roman"/>
      <w:color w:val="auto"/>
      <w:sz w:val="21"/>
      <w:szCs w:val="21"/>
    </w:rPr>
  </w:style>
  <w:style w:type="paragraph" w:customStyle="1" w:styleId="258">
    <w:name w:val="xl6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宋体" w:hAnsi="宋体" w:cs="宋体"/>
      <w:color w:val="auto"/>
      <w:sz w:val="21"/>
      <w:szCs w:val="21"/>
    </w:rPr>
  </w:style>
  <w:style w:type="paragraph" w:customStyle="1" w:styleId="259">
    <w:name w:val="xl8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宋体" w:hAnsi="宋体" w:cs="宋体"/>
      <w:color w:val="auto"/>
      <w:sz w:val="21"/>
      <w:szCs w:val="21"/>
    </w:rPr>
  </w:style>
  <w:style w:type="paragraph" w:customStyle="1" w:styleId="260">
    <w:name w:val="2册标题4"/>
    <w:basedOn w:val="1"/>
    <w:next w:val="1"/>
    <w:qFormat/>
    <w:uiPriority w:val="0"/>
    <w:pPr>
      <w:spacing w:before="120" w:after="120" w:line="300" w:lineRule="auto"/>
      <w:ind w:left="420" w:leftChars="420"/>
      <w:jc w:val="both"/>
      <w:outlineLvl w:val="3"/>
    </w:pPr>
    <w:rPr>
      <w:rFonts w:ascii="Arial" w:hAnsi="Arial" w:eastAsia="幼圆" w:cs="Arial"/>
      <w:b/>
      <w:color w:val="auto"/>
      <w:sz w:val="24"/>
      <w:szCs w:val="24"/>
    </w:rPr>
  </w:style>
  <w:style w:type="paragraph" w:customStyle="1" w:styleId="261">
    <w:name w:val="大纲正文"/>
    <w:basedOn w:val="1"/>
    <w:qFormat/>
    <w:uiPriority w:val="0"/>
    <w:pPr>
      <w:spacing w:after="0" w:line="360" w:lineRule="auto"/>
      <w:ind w:firstLine="480"/>
      <w:jc w:val="both"/>
    </w:pPr>
    <w:rPr>
      <w:rFonts w:ascii="Calibri" w:hAnsi="Calibri" w:cs="Times New Roman"/>
      <w:color w:val="auto"/>
      <w:sz w:val="24"/>
      <w:szCs w:val="24"/>
    </w:rPr>
  </w:style>
  <w:style w:type="paragraph" w:customStyle="1" w:styleId="262">
    <w:name w:val="xl7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b/>
      <w:color w:val="auto"/>
      <w:sz w:val="21"/>
      <w:szCs w:val="21"/>
    </w:rPr>
  </w:style>
  <w:style w:type="paragraph" w:customStyle="1" w:styleId="263">
    <w:name w:val="xl97"/>
    <w:basedOn w:val="1"/>
    <w:qFormat/>
    <w:uiPriority w:val="0"/>
    <w:pPr>
      <w:pBdr>
        <w:top w:val="single" w:color="000000" w:sz="4" w:space="0"/>
      </w:pBdr>
      <w:spacing w:before="100" w:beforeAutospacing="1" w:after="100" w:afterAutospacing="1"/>
    </w:pPr>
    <w:rPr>
      <w:rFonts w:ascii="宋体" w:hAnsi="宋体" w:cs="宋体"/>
      <w:b/>
      <w:color w:val="auto"/>
      <w:sz w:val="21"/>
      <w:szCs w:val="21"/>
    </w:rPr>
  </w:style>
  <w:style w:type="paragraph" w:customStyle="1" w:styleId="264">
    <w:name w:val="默认段落字体 Para Char Char Char Char"/>
    <w:basedOn w:val="1"/>
    <w:qFormat/>
    <w:uiPriority w:val="0"/>
    <w:pPr>
      <w:spacing w:after="0" w:line="240" w:lineRule="atLeast"/>
      <w:ind w:left="420" w:firstLine="420"/>
      <w:jc w:val="both"/>
    </w:pPr>
    <w:rPr>
      <w:rFonts w:ascii="Calibri" w:hAnsi="Calibri" w:eastAsia="黑体" w:cs="Times New Roman"/>
      <w:color w:val="auto"/>
      <w:sz w:val="24"/>
      <w:szCs w:val="24"/>
    </w:rPr>
  </w:style>
  <w:style w:type="paragraph" w:customStyle="1" w:styleId="265">
    <w:name w:val="xl27"/>
    <w:basedOn w:val="1"/>
    <w:qFormat/>
    <w:uiPriority w:val="0"/>
    <w:pPr>
      <w:pBdr>
        <w:bottom w:val="single" w:color="000000" w:sz="4" w:space="0"/>
        <w:right w:val="single" w:color="000000" w:sz="4" w:space="0"/>
      </w:pBdr>
      <w:spacing w:before="100" w:beforeAutospacing="1" w:after="100" w:afterAutospacing="1"/>
      <w:jc w:val="right"/>
    </w:pPr>
    <w:rPr>
      <w:rFonts w:ascii="宋体" w:hAnsi="宋体" w:cs="宋体"/>
      <w:color w:val="auto"/>
      <w:sz w:val="24"/>
      <w:szCs w:val="24"/>
    </w:rPr>
  </w:style>
  <w:style w:type="paragraph" w:customStyle="1" w:styleId="266">
    <w:name w:val="Char3"/>
    <w:basedOn w:val="1"/>
    <w:qFormat/>
    <w:uiPriority w:val="0"/>
    <w:pPr>
      <w:spacing w:after="160" w:line="240" w:lineRule="exact"/>
    </w:pPr>
    <w:rPr>
      <w:rFonts w:ascii="Verdana" w:hAnsi="Verdana" w:cs="Times New Roman"/>
      <w:color w:val="auto"/>
      <w:sz w:val="20"/>
      <w:szCs w:val="20"/>
      <w:lang w:eastAsia="en-US"/>
    </w:rPr>
  </w:style>
  <w:style w:type="paragraph" w:customStyle="1" w:styleId="267">
    <w:name w:val="xl88"/>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color w:val="auto"/>
      <w:sz w:val="21"/>
      <w:szCs w:val="21"/>
    </w:rPr>
  </w:style>
  <w:style w:type="paragraph" w:customStyle="1" w:styleId="268">
    <w:name w:val="xl7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宋体" w:hAnsi="宋体" w:cs="宋体"/>
      <w:b/>
      <w:color w:val="auto"/>
      <w:sz w:val="21"/>
      <w:szCs w:val="21"/>
    </w:rPr>
  </w:style>
  <w:style w:type="paragraph" w:customStyle="1" w:styleId="269">
    <w:name w:val="xl66"/>
    <w:basedOn w:val="1"/>
    <w:qFormat/>
    <w:uiPriority w:val="0"/>
    <w:pPr>
      <w:spacing w:before="100" w:beforeAutospacing="1" w:after="100" w:afterAutospacing="1"/>
      <w:jc w:val="right"/>
    </w:pPr>
    <w:rPr>
      <w:rFonts w:ascii="宋体" w:hAnsi="宋体" w:cs="宋体"/>
      <w:color w:val="auto"/>
      <w:sz w:val="24"/>
      <w:szCs w:val="24"/>
    </w:rPr>
  </w:style>
  <w:style w:type="paragraph" w:customStyle="1" w:styleId="270">
    <w:name w:val="xl10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auto"/>
      <w:sz w:val="24"/>
      <w:szCs w:val="24"/>
    </w:rPr>
  </w:style>
  <w:style w:type="paragraph" w:customStyle="1" w:styleId="271">
    <w:name w:val="Char Char Char Char Char Char"/>
    <w:basedOn w:val="1"/>
    <w:qFormat/>
    <w:uiPriority w:val="0"/>
    <w:pPr>
      <w:spacing w:after="160" w:line="240" w:lineRule="exact"/>
      <w:jc w:val="both"/>
    </w:pPr>
    <w:rPr>
      <w:rFonts w:ascii="Verdana" w:hAnsi="Verdana" w:cs="Verdana"/>
      <w:color w:val="auto"/>
      <w:sz w:val="21"/>
      <w:szCs w:val="21"/>
      <w:lang w:eastAsia="en-US"/>
    </w:rPr>
  </w:style>
  <w:style w:type="paragraph" w:customStyle="1" w:styleId="272">
    <w:name w:val="正文 A"/>
    <w:qFormat/>
    <w:uiPriority w:val="0"/>
    <w:pPr>
      <w:jc w:val="both"/>
    </w:pPr>
    <w:rPr>
      <w:rFonts w:ascii="Calibri" w:hAnsi="Calibri" w:eastAsia="Times New Roman" w:cs="Times New Roman"/>
      <w:color w:val="000000"/>
      <w:sz w:val="21"/>
      <w:szCs w:val="21"/>
      <w:lang w:val="en-US" w:eastAsia="zh-CN" w:bidi="ar-SA"/>
    </w:rPr>
  </w:style>
  <w:style w:type="paragraph" w:customStyle="1" w:styleId="273">
    <w:name w:val="xl48"/>
    <w:basedOn w:val="1"/>
    <w:qFormat/>
    <w:uiPriority w:val="0"/>
    <w:pPr>
      <w:pBdr>
        <w:top w:val="single" w:color="000000" w:sz="4" w:space="0"/>
        <w:bottom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74">
    <w:name w:val="xl40"/>
    <w:basedOn w:val="1"/>
    <w:qFormat/>
    <w:uiPriority w:val="0"/>
    <w:pPr>
      <w:pBdr>
        <w:bottom w:val="single" w:color="000000" w:sz="4" w:space="0"/>
      </w:pBdr>
      <w:spacing w:before="100" w:beforeAutospacing="1" w:after="100" w:afterAutospacing="1"/>
    </w:pPr>
    <w:rPr>
      <w:rFonts w:ascii="宋体" w:hAnsi="宋体" w:cs="宋体"/>
      <w:color w:val="auto"/>
      <w:sz w:val="24"/>
      <w:szCs w:val="24"/>
    </w:rPr>
  </w:style>
  <w:style w:type="paragraph" w:customStyle="1" w:styleId="275">
    <w:name w:val="Char Char Char Char"/>
    <w:basedOn w:val="1"/>
    <w:qFormat/>
    <w:uiPriority w:val="0"/>
    <w:pPr>
      <w:tabs>
        <w:tab w:val="left" w:pos="425"/>
      </w:tabs>
      <w:spacing w:after="0"/>
      <w:ind w:left="425" w:hanging="425"/>
      <w:jc w:val="both"/>
    </w:pPr>
    <w:rPr>
      <w:rFonts w:ascii="仿宋_GB2312" w:hAnsi="Calibri" w:eastAsia="仿宋_GB2312" w:cs="Times New Roman"/>
      <w:b/>
      <w:color w:val="auto"/>
      <w:sz w:val="32"/>
      <w:szCs w:val="32"/>
    </w:rPr>
  </w:style>
  <w:style w:type="paragraph" w:customStyle="1" w:styleId="276">
    <w:name w:val="xl7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auto"/>
      <w:sz w:val="21"/>
      <w:szCs w:val="21"/>
    </w:rPr>
  </w:style>
  <w:style w:type="paragraph" w:customStyle="1" w:styleId="277">
    <w:name w:val="xl41"/>
    <w:basedOn w:val="1"/>
    <w:qFormat/>
    <w:uiPriority w:val="0"/>
    <w:pPr>
      <w:pBdr>
        <w:left w:val="single" w:color="000000" w:sz="4" w:space="0"/>
        <w:bottom w:val="single" w:color="000000" w:sz="4" w:space="0"/>
        <w:right w:val="single" w:color="000000" w:sz="4" w:space="0"/>
      </w:pBdr>
      <w:shd w:val="clear" w:color="000000" w:fill="FF0000"/>
      <w:spacing w:before="100" w:beforeAutospacing="1" w:after="100" w:afterAutospacing="1"/>
      <w:jc w:val="center"/>
    </w:pPr>
    <w:rPr>
      <w:rFonts w:ascii="宋体" w:hAnsi="宋体" w:cs="宋体"/>
      <w:color w:val="auto"/>
      <w:sz w:val="24"/>
      <w:szCs w:val="24"/>
    </w:rPr>
  </w:style>
  <w:style w:type="paragraph" w:customStyle="1" w:styleId="278">
    <w:name w:val="xl60"/>
    <w:basedOn w:val="1"/>
    <w:qFormat/>
    <w:uiPriority w:val="0"/>
    <w:pPr>
      <w:pBdr>
        <w:top w:val="single" w:color="000000" w:sz="4" w:space="0"/>
        <w:left w:val="single" w:color="000000" w:sz="4" w:space="0"/>
        <w:bottom w:val="single" w:color="000000" w:sz="4" w:space="0"/>
        <w:right w:val="single" w:color="000000" w:sz="4" w:space="0"/>
      </w:pBdr>
      <w:shd w:val="clear" w:color="000000" w:fill="0000FF"/>
      <w:spacing w:before="100" w:beforeAutospacing="1" w:after="100" w:afterAutospacing="1"/>
      <w:jc w:val="center"/>
    </w:pPr>
    <w:rPr>
      <w:rFonts w:ascii="宋体" w:hAnsi="宋体" w:cs="宋体"/>
      <w:color w:val="auto"/>
      <w:sz w:val="24"/>
      <w:szCs w:val="24"/>
    </w:rPr>
  </w:style>
  <w:style w:type="paragraph" w:customStyle="1" w:styleId="279">
    <w:name w:val="xl56"/>
    <w:basedOn w:val="1"/>
    <w:qFormat/>
    <w:uiPriority w:val="0"/>
    <w:pPr>
      <w:pBdr>
        <w:top w:val="single" w:color="000000" w:sz="4" w:space="0"/>
        <w:left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80">
    <w:name w:val="GP无序编号"/>
    <w:basedOn w:val="155"/>
    <w:qFormat/>
    <w:uiPriority w:val="0"/>
    <w:pPr>
      <w:numPr>
        <w:ilvl w:val="0"/>
        <w:numId w:val="10"/>
      </w:numPr>
      <w:tabs>
        <w:tab w:val="left" w:pos="360"/>
        <w:tab w:val="left" w:pos="720"/>
        <w:tab w:val="left" w:pos="903"/>
      </w:tabs>
      <w:ind w:left="720" w:hanging="720"/>
    </w:pPr>
  </w:style>
  <w:style w:type="paragraph" w:customStyle="1" w:styleId="281">
    <w:name w:val="表格文字居中"/>
    <w:basedOn w:val="1"/>
    <w:qFormat/>
    <w:uiPriority w:val="0"/>
    <w:pPr>
      <w:spacing w:after="0"/>
      <w:jc w:val="center"/>
    </w:pPr>
    <w:rPr>
      <w:rFonts w:ascii="Arial" w:hAnsi="Arial" w:eastAsia="仿宋_GB2312" w:cs="Times New Roman"/>
      <w:color w:val="auto"/>
      <w:sz w:val="24"/>
      <w:szCs w:val="24"/>
    </w:rPr>
  </w:style>
  <w:style w:type="paragraph" w:customStyle="1" w:styleId="282">
    <w:name w:val="xl85"/>
    <w:basedOn w:val="1"/>
    <w:qFormat/>
    <w:uiPriority w:val="0"/>
    <w:pPr>
      <w:pBdr>
        <w:top w:val="single" w:color="000000" w:sz="4" w:space="0"/>
        <w:bottom w:val="single" w:color="000000" w:sz="4" w:space="0"/>
      </w:pBdr>
      <w:spacing w:before="100" w:beforeAutospacing="1" w:after="100" w:afterAutospacing="1"/>
      <w:jc w:val="right"/>
    </w:pPr>
    <w:rPr>
      <w:rFonts w:ascii="宋体" w:hAnsi="宋体" w:cs="宋体"/>
      <w:b/>
      <w:color w:val="auto"/>
      <w:sz w:val="21"/>
      <w:szCs w:val="21"/>
    </w:rPr>
  </w:style>
  <w:style w:type="paragraph" w:customStyle="1" w:styleId="283">
    <w:name w:val="xl31"/>
    <w:basedOn w:val="1"/>
    <w:qFormat/>
    <w:uiPriority w:val="0"/>
    <w:pPr>
      <w:pBdr>
        <w:bottom w:val="single" w:color="000000" w:sz="4" w:space="0"/>
        <w:right w:val="single" w:color="000000" w:sz="4" w:space="0"/>
      </w:pBdr>
      <w:spacing w:before="100" w:beforeAutospacing="1" w:after="100" w:afterAutospacing="1"/>
      <w:jc w:val="right"/>
    </w:pPr>
    <w:rPr>
      <w:rFonts w:ascii="宋体" w:hAnsi="宋体" w:cs="宋体"/>
      <w:color w:val="FF0000"/>
      <w:sz w:val="24"/>
      <w:szCs w:val="24"/>
    </w:rPr>
  </w:style>
  <w:style w:type="paragraph" w:customStyle="1" w:styleId="284">
    <w:name w:val="xl42"/>
    <w:basedOn w:val="1"/>
    <w:qFormat/>
    <w:uiPriority w:val="0"/>
    <w:pPr>
      <w:pBdr>
        <w:top w:val="single" w:color="000000" w:sz="4" w:space="0"/>
        <w:lef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285">
    <w:name w:val="xl51"/>
    <w:basedOn w:val="1"/>
    <w:qFormat/>
    <w:uiPriority w:val="0"/>
    <w:pPr>
      <w:pBdr>
        <w:bottom w:val="single" w:color="000000" w:sz="4" w:space="0"/>
        <w:right w:val="single" w:color="000000" w:sz="4" w:space="0"/>
      </w:pBdr>
      <w:spacing w:before="100" w:beforeAutospacing="1" w:after="100" w:afterAutospacing="1"/>
      <w:jc w:val="center"/>
    </w:pPr>
    <w:rPr>
      <w:rFonts w:ascii="宋体" w:hAnsi="宋体" w:cs="宋体"/>
      <w:color w:val="auto"/>
      <w:sz w:val="24"/>
      <w:szCs w:val="24"/>
    </w:rPr>
  </w:style>
  <w:style w:type="paragraph" w:customStyle="1" w:styleId="286">
    <w:name w:val="xl95"/>
    <w:basedOn w:val="1"/>
    <w:qFormat/>
    <w:uiPriority w:val="0"/>
    <w:pPr>
      <w:spacing w:before="100" w:beforeAutospacing="1" w:after="100" w:afterAutospacing="1"/>
      <w:jc w:val="right"/>
    </w:pPr>
    <w:rPr>
      <w:rFonts w:ascii="宋体" w:hAnsi="宋体" w:cs="宋体"/>
      <w:color w:val="auto"/>
      <w:sz w:val="24"/>
      <w:szCs w:val="24"/>
    </w:rPr>
  </w:style>
  <w:style w:type="character" w:customStyle="1" w:styleId="287">
    <w:name w:val="明显引用 Char2"/>
    <w:basedOn w:val="53"/>
    <w:qFormat/>
    <w:uiPriority w:val="0"/>
    <w:rPr>
      <w:rFonts w:ascii="Calibri" w:hAnsi="Calibri" w:eastAsia="宋体" w:cs="Times New Roman"/>
      <w:b/>
      <w:i/>
      <w:color w:val="5B9BD5" w:themeColor="accent1"/>
    </w:rPr>
  </w:style>
  <w:style w:type="paragraph" w:customStyle="1" w:styleId="288">
    <w:name w:val="Va_标题1_用"/>
    <w:basedOn w:val="3"/>
    <w:next w:val="1"/>
    <w:qFormat/>
    <w:uiPriority w:val="0"/>
    <w:pPr>
      <w:pageBreakBefore/>
      <w:numPr>
        <w:ilvl w:val="0"/>
        <w:numId w:val="9"/>
      </w:numPr>
      <w:snapToGrid w:val="0"/>
      <w:spacing w:beforeAutospacing="1" w:after="240" w:afterAutospacing="1"/>
    </w:pPr>
    <w:rPr>
      <w:rFonts w:ascii="Verdana" w:hAnsi="Verdana" w:eastAsia="幼圆"/>
      <w:color w:val="auto"/>
      <w:lang w:eastAsia="en-US"/>
    </w:rPr>
  </w:style>
  <w:style w:type="paragraph" w:customStyle="1" w:styleId="289">
    <w:name w:val="四号正文"/>
    <w:basedOn w:val="1"/>
    <w:qFormat/>
    <w:uiPriority w:val="0"/>
    <w:pPr>
      <w:spacing w:after="0" w:line="360" w:lineRule="auto"/>
      <w:ind w:firstLine="560"/>
      <w:jc w:val="both"/>
    </w:pPr>
    <w:rPr>
      <w:rFonts w:ascii="Calibri" w:hAnsi="Calibri" w:cs="Times New Roman"/>
      <w:color w:val="auto"/>
      <w:sz w:val="28"/>
      <w:szCs w:val="28"/>
    </w:rPr>
  </w:style>
  <w:style w:type="paragraph" w:customStyle="1" w:styleId="290">
    <w:name w:val="xl7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auto"/>
      <w:sz w:val="21"/>
      <w:szCs w:val="21"/>
    </w:rPr>
  </w:style>
  <w:style w:type="paragraph" w:customStyle="1" w:styleId="291">
    <w:name w:val="xl54"/>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auto"/>
      <w:sz w:val="24"/>
      <w:szCs w:val="24"/>
    </w:rPr>
  </w:style>
  <w:style w:type="paragraph" w:customStyle="1" w:styleId="292">
    <w:name w:val="正文缩进3"/>
    <w:basedOn w:val="1"/>
    <w:next w:val="15"/>
    <w:qFormat/>
    <w:uiPriority w:val="0"/>
    <w:pPr>
      <w:numPr>
        <w:ilvl w:val="0"/>
        <w:numId w:val="4"/>
      </w:numPr>
      <w:tabs>
        <w:tab w:val="left" w:pos="360"/>
        <w:tab w:val="clear" w:pos="902"/>
      </w:tabs>
      <w:spacing w:before="120" w:after="0"/>
      <w:ind w:left="0" w:firstLine="454"/>
    </w:pPr>
    <w:rPr>
      <w:rFonts w:ascii="宋体" w:hAnsi="Calibri" w:cs="Times New Roman"/>
      <w:b/>
      <w:color w:val="auto"/>
      <w:sz w:val="24"/>
      <w:szCs w:val="24"/>
    </w:rPr>
  </w:style>
  <w:style w:type="paragraph" w:customStyle="1" w:styleId="293">
    <w:name w:val="xl96"/>
    <w:basedOn w:val="1"/>
    <w:qFormat/>
    <w:uiPriority w:val="0"/>
    <w:pPr>
      <w:pBdr>
        <w:top w:val="single" w:color="000000" w:sz="4" w:space="0"/>
        <w:left w:val="single" w:color="000000" w:sz="4" w:space="0"/>
      </w:pBdr>
      <w:spacing w:before="100" w:beforeAutospacing="1" w:after="100" w:afterAutospacing="1"/>
    </w:pPr>
    <w:rPr>
      <w:rFonts w:ascii="宋体" w:hAnsi="宋体" w:cs="宋体"/>
      <w:b/>
      <w:color w:val="auto"/>
      <w:sz w:val="21"/>
      <w:szCs w:val="21"/>
    </w:rPr>
  </w:style>
  <w:style w:type="paragraph" w:customStyle="1" w:styleId="294">
    <w:name w:val="GP标题4"/>
    <w:basedOn w:val="155"/>
    <w:next w:val="224"/>
    <w:qFormat/>
    <w:uiPriority w:val="0"/>
    <w:pPr>
      <w:numPr>
        <w:ilvl w:val="3"/>
        <w:numId w:val="8"/>
      </w:numPr>
      <w:tabs>
        <w:tab w:val="left" w:pos="360"/>
        <w:tab w:val="left" w:pos="1680"/>
        <w:tab w:val="left" w:pos="1862"/>
      </w:tabs>
      <w:spacing w:before="120" w:after="120"/>
      <w:ind w:left="1680" w:hanging="420"/>
      <w:outlineLvl w:val="3"/>
    </w:pPr>
    <w:rPr>
      <w:rFonts w:ascii="华文细黑" w:hAnsi="华文细黑" w:eastAsia="华文细黑" w:cs="Andalus"/>
      <w:b/>
      <w:sz w:val="28"/>
      <w:szCs w:val="28"/>
    </w:rPr>
  </w:style>
  <w:style w:type="paragraph" w:customStyle="1" w:styleId="295">
    <w:name w:val="xl6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auto"/>
      <w:sz w:val="21"/>
      <w:szCs w:val="21"/>
    </w:rPr>
  </w:style>
  <w:style w:type="paragraph" w:customStyle="1" w:styleId="296">
    <w:name w:val="默认段落字体 Para Char"/>
    <w:basedOn w:val="1"/>
    <w:qFormat/>
    <w:uiPriority w:val="0"/>
    <w:pPr>
      <w:tabs>
        <w:tab w:val="left" w:pos="360"/>
      </w:tabs>
      <w:spacing w:after="0"/>
      <w:ind w:left="720" w:hanging="720"/>
      <w:jc w:val="both"/>
    </w:pPr>
    <w:rPr>
      <w:rFonts w:ascii="Calibri" w:hAnsi="Calibri" w:cs="Times New Roman"/>
      <w:color w:val="auto"/>
      <w:sz w:val="24"/>
      <w:szCs w:val="24"/>
    </w:rPr>
  </w:style>
  <w:style w:type="paragraph" w:customStyle="1" w:styleId="297">
    <w:name w:val="xl33"/>
    <w:basedOn w:val="1"/>
    <w:qFormat/>
    <w:uiPriority w:val="0"/>
    <w:pPr>
      <w:pBdr>
        <w:left w:val="single" w:color="000000" w:sz="4" w:space="0"/>
        <w:bottom w:val="single" w:color="000000" w:sz="4" w:space="0"/>
        <w:right w:val="single" w:color="000000" w:sz="4" w:space="0"/>
      </w:pBdr>
      <w:shd w:val="clear" w:color="000000" w:fill="99CCFF"/>
      <w:spacing w:before="100" w:beforeAutospacing="1" w:after="100" w:afterAutospacing="1"/>
      <w:jc w:val="center"/>
    </w:pPr>
    <w:rPr>
      <w:rFonts w:ascii="宋体" w:hAnsi="宋体" w:cs="宋体"/>
      <w:color w:val="auto"/>
      <w:sz w:val="24"/>
      <w:szCs w:val="24"/>
    </w:rPr>
  </w:style>
  <w:style w:type="paragraph" w:customStyle="1" w:styleId="298">
    <w:name w:val="xl10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auto"/>
      <w:sz w:val="24"/>
      <w:szCs w:val="24"/>
    </w:rPr>
  </w:style>
  <w:style w:type="paragraph" w:customStyle="1" w:styleId="299">
    <w:name w:val="xl47"/>
    <w:basedOn w:val="1"/>
    <w:qFormat/>
    <w:uiPriority w:val="0"/>
    <w:pPr>
      <w:pBdr>
        <w:top w:val="single" w:color="000000" w:sz="4" w:space="0"/>
        <w:bottom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300">
    <w:name w:val="GP标题3"/>
    <w:basedOn w:val="155"/>
    <w:next w:val="224"/>
    <w:qFormat/>
    <w:uiPriority w:val="0"/>
    <w:pPr>
      <w:numPr>
        <w:ilvl w:val="2"/>
        <w:numId w:val="8"/>
      </w:numPr>
      <w:tabs>
        <w:tab w:val="left" w:pos="360"/>
        <w:tab w:val="left" w:pos="1260"/>
        <w:tab w:val="left" w:pos="1502"/>
      </w:tabs>
      <w:spacing w:before="120" w:after="120"/>
      <w:ind w:left="1260" w:hanging="420"/>
      <w:outlineLvl w:val="2"/>
    </w:pPr>
    <w:rPr>
      <w:rFonts w:ascii="华文细黑" w:hAnsi="华文细黑" w:eastAsia="华文细黑" w:cs="Andalus"/>
      <w:b/>
      <w:sz w:val="30"/>
      <w:szCs w:val="30"/>
    </w:rPr>
  </w:style>
  <w:style w:type="paragraph" w:customStyle="1" w:styleId="301">
    <w:name w:val="xl59"/>
    <w:basedOn w:val="1"/>
    <w:qFormat/>
    <w:uiPriority w:val="0"/>
    <w:pPr>
      <w:pBdr>
        <w:top w:val="single" w:color="000000" w:sz="4" w:space="0"/>
        <w:right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302">
    <w:name w:val="xl62"/>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auto"/>
      <w:sz w:val="24"/>
      <w:szCs w:val="24"/>
    </w:rPr>
  </w:style>
  <w:style w:type="paragraph" w:customStyle="1" w:styleId="303">
    <w:name w:val="p16"/>
    <w:basedOn w:val="1"/>
    <w:qFormat/>
    <w:uiPriority w:val="0"/>
    <w:pPr>
      <w:spacing w:after="0"/>
    </w:pPr>
    <w:rPr>
      <w:rFonts w:ascii="Calibri" w:hAnsi="Calibri" w:cs="宋体"/>
      <w:color w:val="auto"/>
      <w:sz w:val="18"/>
      <w:szCs w:val="18"/>
    </w:rPr>
  </w:style>
  <w:style w:type="paragraph" w:customStyle="1" w:styleId="304">
    <w:name w:val="xl65"/>
    <w:basedOn w:val="1"/>
    <w:qFormat/>
    <w:uiPriority w:val="0"/>
    <w:pPr>
      <w:spacing w:before="100" w:beforeAutospacing="1" w:after="100" w:afterAutospacing="1"/>
      <w:jc w:val="center"/>
    </w:pPr>
    <w:rPr>
      <w:rFonts w:ascii="宋体" w:hAnsi="宋体" w:cs="宋体"/>
      <w:color w:val="auto"/>
      <w:sz w:val="24"/>
      <w:szCs w:val="24"/>
    </w:rPr>
  </w:style>
  <w:style w:type="paragraph" w:customStyle="1" w:styleId="305">
    <w:name w:val="xl32"/>
    <w:basedOn w:val="1"/>
    <w:qFormat/>
    <w:uiPriority w:val="0"/>
    <w:pPr>
      <w:pBdr>
        <w:bottom w:val="single" w:color="000000" w:sz="4" w:space="0"/>
        <w:right w:val="single" w:color="000000" w:sz="4" w:space="0"/>
      </w:pBdr>
      <w:shd w:val="clear" w:color="000000" w:fill="99CCFF"/>
      <w:spacing w:before="100" w:beforeAutospacing="1" w:after="100" w:afterAutospacing="1"/>
    </w:pPr>
    <w:rPr>
      <w:rFonts w:ascii="宋体" w:hAnsi="宋体" w:cs="宋体"/>
      <w:color w:val="auto"/>
      <w:sz w:val="24"/>
      <w:szCs w:val="24"/>
    </w:rPr>
  </w:style>
  <w:style w:type="paragraph" w:customStyle="1" w:styleId="306">
    <w:name w:val="even typetextarea group2"/>
    <w:basedOn w:val="1"/>
    <w:qFormat/>
    <w:uiPriority w:val="0"/>
    <w:pPr>
      <w:spacing w:before="100" w:beforeAutospacing="1" w:after="100" w:afterAutospacing="1"/>
    </w:pPr>
    <w:rPr>
      <w:rFonts w:ascii="宋体" w:hAnsi="宋体" w:cs="宋体"/>
      <w:color w:val="auto"/>
      <w:sz w:val="24"/>
      <w:szCs w:val="24"/>
    </w:rPr>
  </w:style>
  <w:style w:type="paragraph" w:customStyle="1" w:styleId="307">
    <w:name w:val="xl49"/>
    <w:basedOn w:val="1"/>
    <w:qFormat/>
    <w:uiPriority w:val="0"/>
    <w:pPr>
      <w:pBdr>
        <w:top w:val="single" w:color="000000" w:sz="4" w:space="0"/>
        <w:left w:val="single" w:color="000000" w:sz="4" w:space="0"/>
        <w:bottom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308">
    <w:name w:val="xl30"/>
    <w:basedOn w:val="1"/>
    <w:qFormat/>
    <w:uiPriority w:val="0"/>
    <w:pPr>
      <w:pBdr>
        <w:top w:val="single" w:color="000000" w:sz="4" w:space="0"/>
        <w:bottom w:val="single" w:color="000000" w:sz="4" w:space="0"/>
      </w:pBdr>
      <w:shd w:val="clear" w:color="000000" w:fill="C0C0C0"/>
      <w:spacing w:before="100" w:beforeAutospacing="1" w:after="100" w:afterAutospacing="1"/>
      <w:jc w:val="center"/>
    </w:pPr>
    <w:rPr>
      <w:rFonts w:ascii="宋体" w:hAnsi="宋体" w:cs="宋体"/>
      <w:color w:val="auto"/>
      <w:sz w:val="24"/>
      <w:szCs w:val="24"/>
    </w:rPr>
  </w:style>
  <w:style w:type="paragraph" w:customStyle="1" w:styleId="309">
    <w:name w:val="xl8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auto"/>
      <w:sz w:val="21"/>
      <w:szCs w:val="21"/>
    </w:rPr>
  </w:style>
  <w:style w:type="paragraph" w:customStyle="1" w:styleId="310">
    <w:name w:val="TOC 标题1"/>
    <w:basedOn w:val="3"/>
    <w:next w:val="1"/>
    <w:qFormat/>
    <w:uiPriority w:val="0"/>
    <w:pPr>
      <w:spacing w:before="480" w:after="0" w:line="276" w:lineRule="auto"/>
      <w:jc w:val="left"/>
      <w:outlineLvl w:val="9"/>
    </w:pPr>
    <w:rPr>
      <w:rFonts w:ascii="Cambria" w:hAnsi="Cambria"/>
      <w:color w:val="365F91"/>
      <w:sz w:val="28"/>
      <w:szCs w:val="28"/>
      <w:lang w:eastAsia="en-US"/>
    </w:rPr>
  </w:style>
  <w:style w:type="paragraph" w:customStyle="1" w:styleId="311">
    <w:name w:val="xl76"/>
    <w:basedOn w:val="1"/>
    <w:qFormat/>
    <w:uiPriority w:val="0"/>
    <w:pPr>
      <w:pBdr>
        <w:top w:val="single" w:color="000000" w:sz="4" w:space="0"/>
        <w:bottom w:val="single" w:color="000000" w:sz="4" w:space="0"/>
        <w:right w:val="single" w:color="000000" w:sz="4" w:space="0"/>
      </w:pBdr>
      <w:spacing w:before="100" w:beforeAutospacing="1" w:after="100" w:afterAutospacing="1"/>
    </w:pPr>
    <w:rPr>
      <w:rFonts w:ascii="宋体" w:hAnsi="宋体" w:cs="宋体"/>
      <w:b/>
      <w:color w:val="auto"/>
      <w:sz w:val="21"/>
      <w:szCs w:val="21"/>
    </w:rPr>
  </w:style>
  <w:style w:type="paragraph" w:customStyle="1" w:styleId="312">
    <w:name w:val="Default Paragraph Char Char Char Char"/>
    <w:basedOn w:val="1"/>
    <w:next w:val="1"/>
    <w:qFormat/>
    <w:uiPriority w:val="0"/>
    <w:pPr>
      <w:spacing w:after="0" w:line="360" w:lineRule="auto"/>
    </w:pPr>
    <w:rPr>
      <w:rFonts w:ascii="Calibri" w:hAnsi="Calibri" w:cs="Times New Roman"/>
      <w:color w:val="auto"/>
      <w:sz w:val="21"/>
      <w:szCs w:val="21"/>
      <w:lang w:eastAsia="en-US"/>
    </w:rPr>
  </w:style>
  <w:style w:type="paragraph" w:customStyle="1" w:styleId="313">
    <w:name w:val="xl105"/>
    <w:basedOn w:val="1"/>
    <w:qFormat/>
    <w:uiPriority w:val="0"/>
    <w:pPr>
      <w:pBdr>
        <w:top w:val="single" w:color="000000" w:sz="4" w:space="0"/>
      </w:pBdr>
      <w:spacing w:before="100" w:beforeAutospacing="1" w:after="100" w:afterAutospacing="1"/>
      <w:jc w:val="right"/>
    </w:pPr>
    <w:rPr>
      <w:rFonts w:ascii="宋体" w:hAnsi="宋体" w:cs="宋体"/>
      <w:color w:val="auto"/>
      <w:sz w:val="21"/>
      <w:szCs w:val="21"/>
    </w:rPr>
  </w:style>
  <w:style w:type="paragraph" w:customStyle="1" w:styleId="314">
    <w:name w:val="xl34"/>
    <w:basedOn w:val="1"/>
    <w:qFormat/>
    <w:uiPriority w:val="0"/>
    <w:pPr>
      <w:pBdr>
        <w:bottom w:val="single" w:color="000000" w:sz="4" w:space="0"/>
        <w:right w:val="single" w:color="000000" w:sz="4" w:space="0"/>
      </w:pBdr>
      <w:shd w:val="clear" w:color="000000" w:fill="99CCFF"/>
      <w:spacing w:before="100" w:beforeAutospacing="1" w:after="100" w:afterAutospacing="1"/>
      <w:jc w:val="center"/>
    </w:pPr>
    <w:rPr>
      <w:rFonts w:ascii="宋体" w:hAnsi="宋体" w:cs="宋体"/>
      <w:color w:val="auto"/>
      <w:sz w:val="24"/>
      <w:szCs w:val="24"/>
    </w:rPr>
  </w:style>
  <w:style w:type="paragraph" w:customStyle="1" w:styleId="315">
    <w:name w:val="xl82"/>
    <w:basedOn w:val="1"/>
    <w:qFormat/>
    <w:uiPriority w:val="0"/>
    <w:pPr>
      <w:pBdr>
        <w:top w:val="single" w:color="000000" w:sz="4" w:space="0"/>
        <w:left w:val="single" w:color="000000" w:sz="4" w:space="0"/>
        <w:bottom w:val="single" w:color="000000" w:sz="4" w:space="0"/>
      </w:pBdr>
      <w:spacing w:before="100" w:beforeAutospacing="1" w:after="100" w:afterAutospacing="1"/>
    </w:pPr>
    <w:rPr>
      <w:rFonts w:ascii="宋体" w:hAnsi="宋体" w:cs="宋体"/>
      <w:color w:val="auto"/>
      <w:sz w:val="21"/>
      <w:szCs w:val="21"/>
    </w:rPr>
  </w:style>
  <w:style w:type="paragraph" w:customStyle="1" w:styleId="316">
    <w:name w:val="xl26"/>
    <w:basedOn w:val="1"/>
    <w:qFormat/>
    <w:uiPriority w:val="0"/>
    <w:pPr>
      <w:pBdr>
        <w:bottom w:val="single" w:color="000000" w:sz="4" w:space="0"/>
        <w:right w:val="single" w:color="000000" w:sz="4" w:space="0"/>
      </w:pBdr>
      <w:spacing w:before="100" w:beforeAutospacing="1" w:after="100" w:afterAutospacing="1"/>
      <w:jc w:val="center"/>
    </w:pPr>
    <w:rPr>
      <w:rFonts w:ascii="宋体" w:hAnsi="宋体" w:cs="宋体"/>
      <w:color w:val="auto"/>
      <w:sz w:val="24"/>
      <w:szCs w:val="24"/>
    </w:rPr>
  </w:style>
  <w:style w:type="paragraph" w:customStyle="1" w:styleId="317">
    <w:name w:val="xl75"/>
    <w:basedOn w:val="1"/>
    <w:qFormat/>
    <w:uiPriority w:val="0"/>
    <w:pPr>
      <w:pBdr>
        <w:top w:val="single" w:color="000000" w:sz="4" w:space="0"/>
        <w:bottom w:val="single" w:color="000000" w:sz="4" w:space="0"/>
      </w:pBdr>
      <w:spacing w:before="100" w:beforeAutospacing="1" w:after="100" w:afterAutospacing="1"/>
    </w:pPr>
    <w:rPr>
      <w:rFonts w:ascii="宋体" w:hAnsi="宋体" w:cs="宋体"/>
      <w:b/>
      <w:color w:val="auto"/>
      <w:sz w:val="21"/>
      <w:szCs w:val="21"/>
    </w:rPr>
  </w:style>
  <w:style w:type="paragraph" w:customStyle="1" w:styleId="318">
    <w:name w:val="xl107"/>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color w:val="auto"/>
      <w:sz w:val="24"/>
      <w:szCs w:val="24"/>
    </w:rPr>
  </w:style>
  <w:style w:type="paragraph" w:customStyle="1" w:styleId="319">
    <w:name w:val="GP标题2"/>
    <w:basedOn w:val="155"/>
    <w:next w:val="224"/>
    <w:qFormat/>
    <w:uiPriority w:val="0"/>
    <w:pPr>
      <w:numPr>
        <w:ilvl w:val="1"/>
        <w:numId w:val="8"/>
      </w:numPr>
      <w:tabs>
        <w:tab w:val="left" w:pos="360"/>
        <w:tab w:val="left" w:pos="840"/>
      </w:tabs>
      <w:spacing w:before="120" w:after="120"/>
      <w:ind w:left="840" w:hanging="420"/>
      <w:outlineLvl w:val="1"/>
    </w:pPr>
    <w:rPr>
      <w:rFonts w:ascii="华文细黑" w:hAnsi="华文细黑" w:eastAsia="华文细黑" w:cs="Andalus"/>
      <w:b/>
      <w:sz w:val="32"/>
      <w:szCs w:val="32"/>
    </w:rPr>
  </w:style>
  <w:style w:type="paragraph" w:customStyle="1" w:styleId="320">
    <w:name w:val="V-正文"/>
    <w:basedOn w:val="1"/>
    <w:qFormat/>
    <w:uiPriority w:val="0"/>
    <w:pPr>
      <w:numPr>
        <w:ilvl w:val="0"/>
        <w:numId w:val="11"/>
      </w:numPr>
      <w:spacing w:after="0"/>
      <w:jc w:val="both"/>
    </w:pPr>
    <w:rPr>
      <w:rFonts w:ascii="楷体_GB2312" w:hAnsi="楷体_GB2312" w:eastAsia="楷体_GB2312" w:cs="宋体"/>
      <w:color w:val="auto"/>
      <w:sz w:val="28"/>
      <w:szCs w:val="28"/>
    </w:rPr>
  </w:style>
  <w:style w:type="paragraph" w:customStyle="1" w:styleId="321">
    <w:name w:val="xl91"/>
    <w:basedOn w:val="1"/>
    <w:qFormat/>
    <w:uiPriority w:val="0"/>
    <w:pPr>
      <w:pBdr>
        <w:left w:val="single" w:color="000000" w:sz="4" w:space="0"/>
        <w:right w:val="single" w:color="000000" w:sz="4" w:space="0"/>
      </w:pBdr>
      <w:spacing w:before="100" w:beforeAutospacing="1" w:after="100" w:afterAutospacing="1"/>
      <w:jc w:val="center"/>
    </w:pPr>
    <w:rPr>
      <w:rFonts w:ascii="宋体" w:hAnsi="宋体" w:cs="宋体"/>
      <w:color w:val="auto"/>
      <w:sz w:val="21"/>
      <w:szCs w:val="21"/>
    </w:rPr>
  </w:style>
  <w:style w:type="paragraph" w:customStyle="1" w:styleId="322">
    <w:name w:val="Table Paragraph"/>
    <w:basedOn w:val="1"/>
    <w:qFormat/>
    <w:uiPriority w:val="1"/>
    <w:pPr>
      <w:widowControl w:val="0"/>
      <w:autoSpaceDE w:val="0"/>
      <w:autoSpaceDN w:val="0"/>
      <w:spacing w:before="20" w:after="0"/>
      <w:ind w:left="107"/>
    </w:pPr>
    <w:rPr>
      <w:rFonts w:ascii="宋体" w:hAnsi="宋体" w:cs="宋体"/>
      <w:color w:val="auto"/>
      <w:lang w:val="ro-RO" w:eastAsia="ro-RO" w:bidi="ro-RO"/>
    </w:rPr>
  </w:style>
  <w:style w:type="paragraph" w:customStyle="1" w:styleId="323">
    <w:name w:val="TOC 标题2"/>
    <w:basedOn w:val="3"/>
    <w:next w:val="1"/>
    <w:unhideWhenUsed/>
    <w:qFormat/>
    <w:uiPriority w:val="39"/>
    <w:pPr>
      <w:keepNext/>
      <w:keepLines/>
      <w:spacing w:after="0" w:line="259" w:lineRule="auto"/>
      <w:jc w:val="left"/>
      <w:outlineLvl w:val="9"/>
    </w:pPr>
    <w:rPr>
      <w:rFonts w:asciiTheme="majorHAnsi" w:hAnsiTheme="majorHAnsi" w:eastAsiaTheme="majorEastAsia" w:cstheme="majorBidi"/>
      <w:b w:val="0"/>
      <w:color w:val="2E75B5"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textRotate="1"/>
    <customShpInfo spid="_x0000_s307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20730</Words>
  <Characters>21744</Characters>
  <Lines>169</Lines>
  <Paragraphs>47</Paragraphs>
  <TotalTime>31</TotalTime>
  <ScaleCrop>false</ScaleCrop>
  <LinksUpToDate>false</LinksUpToDate>
  <CharactersWithSpaces>22411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2021-05-12T20:57:00Z</dcterms:created>
  <dc:creator>admin</dc:creator>
  <cp:lastModifiedBy>执笔</cp:lastModifiedBy>
  <cp:lastPrinted>2022-06-24T01:40:00Z</cp:lastPrinted>
  <dcterms:modified xsi:type="dcterms:W3CDTF">2022-11-25T01:42:31Z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C3C62C2AC9FC4CDD8217B8349CB9210B</vt:lpwstr>
  </property>
</Properties>
</file>