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34" w:rsidRDefault="00E626AF" w:rsidP="00E626AF">
      <w:pPr>
        <w:spacing w:before="156" w:after="156" w:line="360" w:lineRule="auto"/>
        <w:jc w:val="center"/>
        <w:rPr>
          <w:rStyle w:val="NormalCharacter"/>
          <w:rFonts w:ascii="宋体" w:hAnsi="宋体"/>
          <w:b/>
          <w:sz w:val="44"/>
          <w:szCs w:val="44"/>
        </w:rPr>
      </w:pPr>
      <w:r>
        <w:rPr>
          <w:rStyle w:val="NormalCharacter"/>
          <w:rFonts w:ascii="宋体" w:hAnsi="宋体"/>
          <w:b/>
          <w:sz w:val="44"/>
          <w:szCs w:val="44"/>
        </w:rPr>
        <w:t>用户需求书</w:t>
      </w:r>
    </w:p>
    <w:p w:rsidR="00D44C34" w:rsidRDefault="00E626AF" w:rsidP="0031091C">
      <w:pPr>
        <w:jc w:val="left"/>
        <w:rPr>
          <w:rStyle w:val="NormalCharacter"/>
          <w:sz w:val="28"/>
          <w:szCs w:val="28"/>
        </w:rPr>
      </w:pPr>
      <w:r w:rsidRPr="00590F26">
        <w:rPr>
          <w:rStyle w:val="NormalCharacter"/>
          <w:sz w:val="28"/>
          <w:szCs w:val="28"/>
        </w:rPr>
        <w:t>一、项目概况</w:t>
      </w:r>
    </w:p>
    <w:p w:rsidR="00D44C34" w:rsidRDefault="00E626AF" w:rsidP="0031091C">
      <w:pPr>
        <w:ind w:firstLineChars="200" w:firstLine="560"/>
        <w:jc w:val="left"/>
        <w:rPr>
          <w:rStyle w:val="NormalCharacter"/>
          <w:sz w:val="28"/>
          <w:szCs w:val="28"/>
        </w:rPr>
      </w:pPr>
      <w:r w:rsidRPr="00590F26">
        <w:rPr>
          <w:rStyle w:val="NormalCharacter"/>
          <w:sz w:val="28"/>
          <w:szCs w:val="28"/>
        </w:rPr>
        <w:t>1</w:t>
      </w:r>
      <w:r w:rsidRPr="00590F26">
        <w:rPr>
          <w:rStyle w:val="NormalCharacter"/>
          <w:sz w:val="28"/>
          <w:szCs w:val="28"/>
        </w:rPr>
        <w:t>、采购人：琼中黎族苗族自治县教育局</w:t>
      </w:r>
    </w:p>
    <w:p w:rsidR="00D44C34" w:rsidRDefault="00E626AF" w:rsidP="0031091C">
      <w:pPr>
        <w:ind w:firstLineChars="200" w:firstLine="560"/>
        <w:jc w:val="left"/>
        <w:rPr>
          <w:rStyle w:val="NormalCharacter"/>
          <w:bCs/>
          <w:sz w:val="28"/>
          <w:szCs w:val="28"/>
        </w:rPr>
      </w:pPr>
      <w:r w:rsidRPr="00590F26">
        <w:rPr>
          <w:rStyle w:val="NormalCharacter"/>
          <w:sz w:val="28"/>
          <w:szCs w:val="28"/>
        </w:rPr>
        <w:t>2</w:t>
      </w:r>
      <w:r w:rsidRPr="00590F26">
        <w:rPr>
          <w:rStyle w:val="NormalCharacter"/>
          <w:sz w:val="28"/>
          <w:szCs w:val="28"/>
        </w:rPr>
        <w:t>、项目名称：</w:t>
      </w:r>
      <w:r w:rsidR="00F01CDE" w:rsidRPr="00F01CDE">
        <w:rPr>
          <w:rStyle w:val="NormalCharacter"/>
          <w:sz w:val="28"/>
          <w:szCs w:val="28"/>
        </w:rPr>
        <w:t>琼中县</w:t>
      </w:r>
      <w:r w:rsidR="00F01CDE" w:rsidRPr="00F01CDE">
        <w:rPr>
          <w:rStyle w:val="NormalCharacter"/>
          <w:sz w:val="28"/>
          <w:szCs w:val="28"/>
        </w:rPr>
        <w:t>2022</w:t>
      </w:r>
      <w:r w:rsidR="00F01CDE" w:rsidRPr="00F01CDE">
        <w:rPr>
          <w:rStyle w:val="NormalCharacter"/>
          <w:sz w:val="28"/>
          <w:szCs w:val="28"/>
        </w:rPr>
        <w:t>年中小学校学生睡床设备设施采购项目</w:t>
      </w:r>
      <w:r w:rsidR="00F01CDE" w:rsidRPr="00590F26">
        <w:rPr>
          <w:rStyle w:val="NormalCharacter"/>
          <w:bCs/>
          <w:sz w:val="28"/>
          <w:szCs w:val="28"/>
        </w:rPr>
        <w:t xml:space="preserve"> </w:t>
      </w:r>
    </w:p>
    <w:p w:rsidR="00D44C34" w:rsidRDefault="00E626AF" w:rsidP="0031091C">
      <w:pPr>
        <w:ind w:firstLineChars="200" w:firstLine="560"/>
        <w:jc w:val="left"/>
        <w:rPr>
          <w:rStyle w:val="NormalCharacter"/>
          <w:sz w:val="28"/>
          <w:szCs w:val="28"/>
        </w:rPr>
      </w:pPr>
      <w:r w:rsidRPr="00590F26">
        <w:rPr>
          <w:rStyle w:val="NormalCharacter"/>
          <w:sz w:val="28"/>
          <w:szCs w:val="28"/>
        </w:rPr>
        <w:t>3</w:t>
      </w:r>
      <w:r w:rsidRPr="00590F26">
        <w:rPr>
          <w:rStyle w:val="NormalCharacter"/>
          <w:sz w:val="28"/>
          <w:szCs w:val="28"/>
        </w:rPr>
        <w:t>、项目预算：</w:t>
      </w:r>
      <w:r w:rsidR="00F01CDE" w:rsidRPr="00F01CDE">
        <w:rPr>
          <w:rStyle w:val="NormalCharacter"/>
          <w:sz w:val="28"/>
          <w:szCs w:val="28"/>
        </w:rPr>
        <w:t>926500</w:t>
      </w:r>
      <w:r>
        <w:rPr>
          <w:rStyle w:val="NormalCharacter"/>
          <w:sz w:val="28"/>
          <w:szCs w:val="28"/>
        </w:rPr>
        <w:t>.00</w:t>
      </w:r>
      <w:r w:rsidRPr="00590F26">
        <w:rPr>
          <w:rStyle w:val="NormalCharacter"/>
          <w:sz w:val="28"/>
          <w:szCs w:val="28"/>
        </w:rPr>
        <w:t>元</w:t>
      </w:r>
    </w:p>
    <w:p w:rsidR="00D44C34" w:rsidRDefault="00E626AF" w:rsidP="0031091C">
      <w:pPr>
        <w:ind w:firstLineChars="200" w:firstLine="560"/>
        <w:jc w:val="left"/>
        <w:rPr>
          <w:rStyle w:val="NormalCharacter"/>
          <w:sz w:val="28"/>
          <w:szCs w:val="28"/>
        </w:rPr>
      </w:pPr>
      <w:r w:rsidRPr="00590F26">
        <w:rPr>
          <w:rStyle w:val="NormalCharacter"/>
          <w:sz w:val="28"/>
          <w:szCs w:val="28"/>
        </w:rPr>
        <w:t>4</w:t>
      </w:r>
      <w:r w:rsidRPr="00590F26">
        <w:rPr>
          <w:rStyle w:val="NormalCharacter"/>
          <w:sz w:val="28"/>
          <w:szCs w:val="28"/>
        </w:rPr>
        <w:t>、最高限价（控制价）：</w:t>
      </w:r>
      <w:r w:rsidR="00F01CDE" w:rsidRPr="00F01CDE">
        <w:rPr>
          <w:rStyle w:val="NormalCharacter"/>
          <w:sz w:val="28"/>
          <w:szCs w:val="28"/>
        </w:rPr>
        <w:t>926500</w:t>
      </w:r>
      <w:r>
        <w:rPr>
          <w:rStyle w:val="NormalCharacter"/>
          <w:sz w:val="28"/>
          <w:szCs w:val="28"/>
        </w:rPr>
        <w:t>.00</w:t>
      </w:r>
      <w:r w:rsidRPr="00590F26">
        <w:rPr>
          <w:rStyle w:val="NormalCharacter"/>
          <w:sz w:val="28"/>
          <w:szCs w:val="28"/>
        </w:rPr>
        <w:t>元</w:t>
      </w:r>
    </w:p>
    <w:p w:rsidR="00D44C34" w:rsidRDefault="00E626AF" w:rsidP="0031091C">
      <w:pPr>
        <w:ind w:firstLineChars="200" w:firstLine="560"/>
        <w:jc w:val="left"/>
        <w:rPr>
          <w:rStyle w:val="NormalCharacter"/>
          <w:sz w:val="28"/>
          <w:szCs w:val="28"/>
        </w:rPr>
      </w:pPr>
      <w:r w:rsidRPr="00590F26">
        <w:rPr>
          <w:rStyle w:val="NormalCharacter"/>
          <w:sz w:val="28"/>
          <w:szCs w:val="28"/>
        </w:rPr>
        <w:t>5</w:t>
      </w:r>
      <w:r w:rsidRPr="00590F26">
        <w:rPr>
          <w:rStyle w:val="NormalCharacter"/>
          <w:sz w:val="28"/>
          <w:szCs w:val="28"/>
        </w:rPr>
        <w:t>、交付时间：</w:t>
      </w:r>
      <w:r w:rsidR="00F01CDE">
        <w:rPr>
          <w:rStyle w:val="NormalCharacter"/>
          <w:sz w:val="28"/>
          <w:szCs w:val="28"/>
        </w:rPr>
        <w:t>自签订采购合同生效之日起一个月内送货并安装完成</w:t>
      </w:r>
    </w:p>
    <w:p w:rsidR="00D44C34" w:rsidRDefault="00E626AF" w:rsidP="0031091C">
      <w:pPr>
        <w:ind w:firstLineChars="200" w:firstLine="560"/>
        <w:jc w:val="left"/>
        <w:rPr>
          <w:rStyle w:val="NormalCharacter"/>
          <w:sz w:val="28"/>
          <w:szCs w:val="28"/>
        </w:rPr>
      </w:pPr>
      <w:r w:rsidRPr="00590F26">
        <w:rPr>
          <w:rStyle w:val="NormalCharacter"/>
          <w:sz w:val="28"/>
          <w:szCs w:val="28"/>
        </w:rPr>
        <w:t>6</w:t>
      </w:r>
      <w:r w:rsidRPr="00590F26">
        <w:rPr>
          <w:rStyle w:val="NormalCharacter"/>
          <w:sz w:val="28"/>
          <w:szCs w:val="28"/>
        </w:rPr>
        <w:t>、交付地点：用户指定地点。</w:t>
      </w:r>
    </w:p>
    <w:p w:rsidR="00D44C34" w:rsidRDefault="00E626AF" w:rsidP="0031091C">
      <w:pPr>
        <w:jc w:val="left"/>
        <w:rPr>
          <w:rStyle w:val="NormalCharacter"/>
          <w:sz w:val="28"/>
          <w:szCs w:val="28"/>
        </w:rPr>
      </w:pPr>
      <w:r w:rsidRPr="00590F26">
        <w:rPr>
          <w:rStyle w:val="NormalCharacter"/>
          <w:sz w:val="28"/>
          <w:szCs w:val="28"/>
        </w:rPr>
        <w:t>二、</w:t>
      </w:r>
      <w:r w:rsidRPr="002B354E">
        <w:rPr>
          <w:rStyle w:val="NormalCharacter"/>
          <w:sz w:val="28"/>
          <w:szCs w:val="28"/>
        </w:rPr>
        <w:t>设施设备</w:t>
      </w:r>
      <w:r>
        <w:rPr>
          <w:rStyle w:val="NormalCharacter"/>
          <w:sz w:val="28"/>
          <w:szCs w:val="28"/>
        </w:rPr>
        <w:t>参数</w:t>
      </w:r>
      <w:r w:rsidRPr="002B354E">
        <w:rPr>
          <w:rStyle w:val="NormalCharacter"/>
          <w:sz w:val="28"/>
          <w:szCs w:val="28"/>
        </w:rPr>
        <w:t>表</w:t>
      </w:r>
    </w:p>
    <w:tbl>
      <w:tblPr>
        <w:tblW w:w="10080" w:type="dxa"/>
        <w:tblInd w:w="93" w:type="dxa"/>
        <w:tblBorders>
          <w:top w:val="nil"/>
          <w:left w:val="nil"/>
          <w:bottom w:val="nil"/>
          <w:right w:val="nil"/>
          <w:insideH w:val="nil"/>
          <w:insideV w:val="nil"/>
        </w:tblBorders>
        <w:tblLook w:val="04A0"/>
      </w:tblPr>
      <w:tblGrid>
        <w:gridCol w:w="456"/>
        <w:gridCol w:w="835"/>
        <w:gridCol w:w="7244"/>
        <w:gridCol w:w="836"/>
        <w:gridCol w:w="709"/>
      </w:tblGrid>
      <w:tr w:rsidR="00D44C34">
        <w:tblPrEx>
          <w:tblCellMar>
            <w:top w:w="0" w:type="dxa"/>
            <w:bottom w:w="0" w:type="dxa"/>
          </w:tblCellMar>
        </w:tblPrEx>
        <w:trPr>
          <w:trHeight w:val="495"/>
        </w:trPr>
        <w:tc>
          <w:tcPr>
            <w:tcW w:w="456" w:type="dxa"/>
            <w:tcBorders>
              <w:top w:val="single" w:sz="4" w:space="0" w:color="000000"/>
              <w:left w:val="single" w:sz="4" w:space="0" w:color="000000"/>
              <w:bottom w:val="single" w:sz="4" w:space="0" w:color="000000"/>
              <w:right w:val="single" w:sz="4" w:space="0" w:color="000000"/>
            </w:tcBorders>
            <w:noWrap/>
            <w:vAlign w:val="bottom"/>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序号</w:t>
            </w:r>
          </w:p>
        </w:tc>
        <w:tc>
          <w:tcPr>
            <w:tcW w:w="835" w:type="dxa"/>
            <w:tcBorders>
              <w:top w:val="single" w:sz="4" w:space="0" w:color="000000"/>
              <w:left w:val="nil"/>
              <w:bottom w:val="single" w:sz="4" w:space="0" w:color="000000"/>
              <w:right w:val="single" w:sz="4" w:space="0" w:color="000000"/>
            </w:tcBorders>
            <w:noWrap/>
            <w:vAlign w:val="bottom"/>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货物名称</w:t>
            </w:r>
          </w:p>
        </w:tc>
        <w:tc>
          <w:tcPr>
            <w:tcW w:w="7244" w:type="dxa"/>
            <w:tcBorders>
              <w:top w:val="single" w:sz="4" w:space="0" w:color="000000"/>
              <w:left w:val="nil"/>
              <w:bottom w:val="single" w:sz="4" w:space="0" w:color="000000"/>
              <w:right w:val="single" w:sz="4" w:space="0" w:color="000000"/>
            </w:tcBorders>
            <w:noWrap/>
            <w:vAlign w:val="bottom"/>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参考参数</w:t>
            </w:r>
          </w:p>
        </w:tc>
        <w:tc>
          <w:tcPr>
            <w:tcW w:w="836" w:type="dxa"/>
            <w:tcBorders>
              <w:top w:val="single" w:sz="4" w:space="0" w:color="000000"/>
              <w:left w:val="nil"/>
              <w:bottom w:val="single" w:sz="4" w:space="0" w:color="000000"/>
              <w:right w:val="single" w:sz="4" w:space="0" w:color="000000"/>
            </w:tcBorders>
            <w:noWrap/>
            <w:vAlign w:val="bottom"/>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计量单位</w:t>
            </w:r>
          </w:p>
        </w:tc>
        <w:tc>
          <w:tcPr>
            <w:tcW w:w="709" w:type="dxa"/>
            <w:tcBorders>
              <w:top w:val="single" w:sz="4" w:space="0" w:color="000000"/>
              <w:left w:val="nil"/>
              <w:bottom w:val="single" w:sz="4" w:space="0" w:color="000000"/>
              <w:right w:val="single" w:sz="4" w:space="0" w:color="000000"/>
            </w:tcBorders>
            <w:noWrap/>
            <w:vAlign w:val="bottom"/>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数量</w:t>
            </w:r>
          </w:p>
        </w:tc>
      </w:tr>
      <w:tr w:rsidR="00D44C34">
        <w:tblPrEx>
          <w:tblCellMar>
            <w:top w:w="0" w:type="dxa"/>
            <w:bottom w:w="0" w:type="dxa"/>
          </w:tblCellMar>
        </w:tblPrEx>
        <w:trPr>
          <w:trHeight w:val="7740"/>
        </w:trPr>
        <w:tc>
          <w:tcPr>
            <w:tcW w:w="456" w:type="dxa"/>
            <w:tcBorders>
              <w:top w:val="single" w:sz="4" w:space="0" w:color="000000"/>
              <w:left w:val="single" w:sz="4" w:space="0" w:color="000000"/>
              <w:bottom w:val="single" w:sz="4" w:space="0" w:color="000000"/>
              <w:right w:val="single" w:sz="4" w:space="0" w:color="000000"/>
            </w:tcBorders>
            <w:noWrap/>
            <w:vAlign w:val="center"/>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w:t>
            </w:r>
          </w:p>
        </w:tc>
        <w:tc>
          <w:tcPr>
            <w:tcW w:w="835" w:type="dxa"/>
            <w:tcBorders>
              <w:top w:val="single" w:sz="4" w:space="0" w:color="000000"/>
              <w:left w:val="nil"/>
              <w:bottom w:val="single" w:sz="4" w:space="0" w:color="000000"/>
              <w:right w:val="single" w:sz="4" w:space="0" w:color="000000"/>
            </w:tcBorders>
            <w:noWrap/>
            <w:vAlign w:val="center"/>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铁床</w:t>
            </w:r>
          </w:p>
        </w:tc>
        <w:tc>
          <w:tcPr>
            <w:tcW w:w="7244" w:type="dxa"/>
            <w:tcBorders>
              <w:top w:val="single" w:sz="4" w:space="0" w:color="000000"/>
              <w:left w:val="nil"/>
              <w:bottom w:val="single" w:sz="4" w:space="0" w:color="000000"/>
              <w:right w:val="single" w:sz="4" w:space="0" w:color="000000"/>
            </w:tcBorders>
            <w:vAlign w:val="center"/>
          </w:tcPr>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1、双层钢架床外观尺寸：2000×900×1800mm。</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2、颜色：灰白垂纹色。</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3、钢架床，采用三孔榫插卡式连接方式，床立柱和横梁的连接不采用任何螺栓螺丝。</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4、焊接采用二氧化碳保护焊接，型材表面经除油、去绣、酸洗、表调、陶化后，床立柱、横梁需双面静电喷塑，高温固化而成，盐雾试验达到300个小时。</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5、传立柱：采用冷扎钢型材68×68+1mm厚壁1.2+0.1mm。（内角双边缘压边）内外两面均有环氧环氧塑脂喷涂。</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6、采用优质冷轧钢板经成型线轧制而成，其立面为空中异形（解决了传统方管床管内不能喷涂的弊端），横梁正面有两条流线压型，下部圆弧面，立面成型后尺寸为84mm×30mm，材料厚度为1.2+0.1mm，内外两面均有环氧树塑脂喷涂。</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7、床板横撑：床体横撑</w:t>
            </w:r>
            <w:r w:rsidRPr="00F01CDE">
              <w:rPr>
                <w:rStyle w:val="NormalCharacter"/>
                <w:rFonts w:ascii="Arial" w:hAnsi="Arial"/>
                <w:color w:val="000000"/>
                <w:kern w:val="0"/>
                <w:sz w:val="24"/>
                <w:szCs w:val="24"/>
              </w:rPr>
              <w:t>≥</w:t>
            </w:r>
            <w:r w:rsidRPr="00F01CDE">
              <w:rPr>
                <w:rStyle w:val="NormalCharacter"/>
                <w:rFonts w:ascii="宋体" w:hAnsi="宋体"/>
                <w:color w:val="000000"/>
                <w:kern w:val="0"/>
                <w:sz w:val="24"/>
                <w:szCs w:val="24"/>
              </w:rPr>
              <w:t>5根，采用20mm×30mm×0.9mm优质钢管制作，两端冲压中字型防脱孔，横撑与横梁结合处须焊接防退卡片。</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8、床头护栏：护栏采用</w:t>
            </w:r>
            <w:r w:rsidRPr="00F01CDE">
              <w:rPr>
                <w:rStyle w:val="NormalCharacter"/>
                <w:rFonts w:ascii="仿宋_GB2312" w:eastAsia="仿宋_GB2312" w:hAnsi="宋体"/>
                <w:color w:val="000000"/>
                <w:kern w:val="0"/>
                <w:sz w:val="24"/>
                <w:szCs w:val="24"/>
              </w:rPr>
              <w:t>Φ</w:t>
            </w:r>
            <w:r w:rsidRPr="00F01CDE">
              <w:rPr>
                <w:rStyle w:val="NormalCharacter"/>
                <w:rFonts w:ascii="宋体" w:hAnsi="宋体"/>
                <w:color w:val="000000"/>
                <w:kern w:val="0"/>
                <w:sz w:val="24"/>
                <w:szCs w:val="24"/>
              </w:rPr>
              <w:t>19mm×1.0mm，优质圆钢管制作，与床头横梁连接成“目”字形，高度≥255mm。</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9、床爬梯：采用20×30mm+1mm优质矩管制作，厚度1.0mm。</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10、床爬梯踏板：246×55mm厚度≥1.2mm双面圆弧一次冲压成型，带有防滑凸纹。</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11、胶套及封盖：ABS工程塑料（一次性注塑成型）壁厚3mm，所有塑料配件采用优质环保工程塑料。</w:t>
            </w:r>
          </w:p>
          <w:p w:rsidR="00D44C34" w:rsidRDefault="00F01CDE" w:rsidP="00D13778">
            <w:pPr>
              <w:jc w:val="left"/>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12、架子床不含床板和包装重量为≥40.5公斤。</w:t>
            </w:r>
          </w:p>
          <w:p w:rsidR="00D44C34" w:rsidRDefault="00D13778" w:rsidP="001B639B">
            <w:pPr>
              <w:jc w:val="left"/>
              <w:rPr>
                <w:rStyle w:val="NormalCharacter"/>
                <w:rFonts w:ascii="宋体" w:hAnsi="宋体"/>
                <w:color w:val="000000"/>
                <w:kern w:val="0"/>
                <w:sz w:val="24"/>
                <w:szCs w:val="24"/>
              </w:rPr>
            </w:pPr>
            <w:r>
              <w:rPr>
                <w:rStyle w:val="NormalCharacter"/>
                <w:rFonts w:ascii="宋体" w:hAnsi="宋体"/>
                <w:color w:val="000000"/>
                <w:kern w:val="0"/>
                <w:sz w:val="24"/>
                <w:szCs w:val="24"/>
              </w:rPr>
              <w:t>13、</w:t>
            </w:r>
            <w:r w:rsidR="00F01CDE" w:rsidRPr="00F01CDE">
              <w:rPr>
                <w:rStyle w:val="NormalCharacter"/>
                <w:rFonts w:ascii="宋体" w:hAnsi="宋体"/>
                <w:color w:val="000000"/>
                <w:kern w:val="0"/>
                <w:sz w:val="24"/>
                <w:szCs w:val="24"/>
              </w:rPr>
              <w:t>质保期：3年</w:t>
            </w:r>
          </w:p>
        </w:tc>
        <w:tc>
          <w:tcPr>
            <w:tcW w:w="836" w:type="dxa"/>
            <w:tcBorders>
              <w:top w:val="single" w:sz="4" w:space="0" w:color="000000"/>
              <w:left w:val="nil"/>
              <w:bottom w:val="single" w:sz="4" w:space="0" w:color="000000"/>
              <w:right w:val="single" w:sz="4" w:space="0" w:color="000000"/>
            </w:tcBorders>
            <w:noWrap/>
            <w:vAlign w:val="center"/>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张</w:t>
            </w:r>
          </w:p>
        </w:tc>
        <w:tc>
          <w:tcPr>
            <w:tcW w:w="709" w:type="dxa"/>
            <w:tcBorders>
              <w:top w:val="single" w:sz="4" w:space="0" w:color="000000"/>
              <w:left w:val="nil"/>
              <w:bottom w:val="single" w:sz="4" w:space="0" w:color="000000"/>
              <w:right w:val="single" w:sz="4" w:space="0" w:color="000000"/>
            </w:tcBorders>
            <w:noWrap/>
            <w:vAlign w:val="center"/>
          </w:tcPr>
          <w:p w:rsidR="00D44C34" w:rsidRDefault="00F01CDE" w:rsidP="00F01CDE">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1090</w:t>
            </w:r>
          </w:p>
        </w:tc>
      </w:tr>
      <w:tr w:rsidR="00D44C34">
        <w:tblPrEx>
          <w:tblCellMar>
            <w:top w:w="0" w:type="dxa"/>
            <w:bottom w:w="0" w:type="dxa"/>
          </w:tblCellMar>
        </w:tblPrEx>
        <w:trPr>
          <w:trHeight w:val="1078"/>
        </w:trPr>
        <w:tc>
          <w:tcPr>
            <w:tcW w:w="456" w:type="dxa"/>
            <w:tcBorders>
              <w:top w:val="single" w:sz="4" w:space="0" w:color="000000"/>
              <w:left w:val="single" w:sz="4" w:space="0" w:color="000000"/>
              <w:bottom w:val="single" w:sz="4" w:space="0" w:color="000000"/>
              <w:right w:val="single" w:sz="4" w:space="0" w:color="000000"/>
            </w:tcBorders>
            <w:noWrap/>
            <w:vAlign w:val="center"/>
          </w:tcPr>
          <w:p w:rsidR="00D44C34" w:rsidRDefault="00186A90" w:rsidP="00F01CDE">
            <w:pPr>
              <w:jc w:val="center"/>
              <w:rPr>
                <w:rStyle w:val="NormalCharacter"/>
                <w:rFonts w:ascii="宋体" w:hAnsi="宋体"/>
                <w:color w:val="000000"/>
                <w:kern w:val="0"/>
                <w:sz w:val="24"/>
                <w:szCs w:val="24"/>
              </w:rPr>
            </w:pPr>
            <w:r>
              <w:rPr>
                <w:rStyle w:val="NormalCharacter"/>
                <w:rFonts w:ascii="宋体" w:hAnsi="宋体"/>
                <w:color w:val="000000"/>
                <w:kern w:val="0"/>
                <w:sz w:val="24"/>
                <w:szCs w:val="24"/>
              </w:rPr>
              <w:lastRenderedPageBreak/>
              <w:t>2</w:t>
            </w:r>
          </w:p>
        </w:tc>
        <w:tc>
          <w:tcPr>
            <w:tcW w:w="835" w:type="dxa"/>
            <w:tcBorders>
              <w:top w:val="single" w:sz="4" w:space="0" w:color="000000"/>
              <w:left w:val="nil"/>
              <w:bottom w:val="single" w:sz="4" w:space="0" w:color="000000"/>
              <w:right w:val="single" w:sz="4" w:space="0" w:color="000000"/>
            </w:tcBorders>
            <w:noWrap/>
            <w:vAlign w:val="center"/>
          </w:tcPr>
          <w:p w:rsidR="00D44C34" w:rsidRDefault="00186A90" w:rsidP="00F01CDE">
            <w:pPr>
              <w:jc w:val="center"/>
              <w:rPr>
                <w:rStyle w:val="NormalCharacter"/>
                <w:rFonts w:ascii="宋体" w:hAnsi="宋体"/>
                <w:color w:val="000000"/>
                <w:kern w:val="0"/>
                <w:sz w:val="24"/>
                <w:szCs w:val="24"/>
              </w:rPr>
            </w:pPr>
            <w:r>
              <w:rPr>
                <w:rStyle w:val="NormalCharacter"/>
                <w:rFonts w:ascii="宋体" w:hAnsi="宋体"/>
                <w:color w:val="000000"/>
                <w:kern w:val="0"/>
                <w:sz w:val="24"/>
                <w:szCs w:val="24"/>
              </w:rPr>
              <w:t>床板</w:t>
            </w:r>
          </w:p>
        </w:tc>
        <w:tc>
          <w:tcPr>
            <w:tcW w:w="7244" w:type="dxa"/>
            <w:tcBorders>
              <w:top w:val="single" w:sz="4" w:space="0" w:color="000000"/>
              <w:left w:val="nil"/>
              <w:bottom w:val="single" w:sz="4" w:space="0" w:color="000000"/>
              <w:right w:val="single" w:sz="4" w:space="0" w:color="000000"/>
            </w:tcBorders>
            <w:vAlign w:val="center"/>
          </w:tcPr>
          <w:p w:rsidR="00D44C34" w:rsidRDefault="00186A90" w:rsidP="001B639B">
            <w:pPr>
              <w:jc w:val="left"/>
              <w:rPr>
                <w:rStyle w:val="NormalCharacter"/>
                <w:rFonts w:ascii="宋体" w:hAnsi="宋体"/>
                <w:color w:val="000000"/>
                <w:kern w:val="0"/>
                <w:sz w:val="24"/>
                <w:szCs w:val="24"/>
              </w:rPr>
            </w:pPr>
            <w:r>
              <w:rPr>
                <w:rStyle w:val="NormalCharacter"/>
                <w:rFonts w:ascii="宋体" w:hAnsi="宋体"/>
                <w:color w:val="000000"/>
                <w:kern w:val="0"/>
                <w:sz w:val="24"/>
                <w:szCs w:val="24"/>
              </w:rPr>
              <w:t>1、实木多层板，厚度≥15mm</w:t>
            </w:r>
          </w:p>
          <w:p w:rsidR="00D44C34" w:rsidRDefault="00186A90" w:rsidP="001B639B">
            <w:pPr>
              <w:jc w:val="left"/>
              <w:rPr>
                <w:rStyle w:val="NormalCharacter"/>
                <w:rFonts w:ascii="宋体" w:hAnsi="宋体"/>
                <w:color w:val="000000"/>
                <w:kern w:val="0"/>
                <w:sz w:val="24"/>
                <w:szCs w:val="24"/>
              </w:rPr>
            </w:pPr>
            <w:r>
              <w:rPr>
                <w:rStyle w:val="NormalCharacter"/>
                <w:rFonts w:ascii="宋体" w:hAnsi="宋体"/>
                <w:color w:val="000000"/>
                <w:kern w:val="0"/>
                <w:sz w:val="24"/>
                <w:szCs w:val="24"/>
              </w:rPr>
              <w:t>2、床板规格：830</w:t>
            </w:r>
            <w:r w:rsidRPr="00D13778">
              <w:rPr>
                <w:rStyle w:val="NormalCharacter"/>
                <w:rFonts w:ascii="宋体" w:hAnsi="宋体"/>
                <w:color w:val="000000"/>
                <w:kern w:val="0"/>
                <w:sz w:val="24"/>
                <w:szCs w:val="24"/>
              </w:rPr>
              <w:t>×</w:t>
            </w:r>
            <w:r>
              <w:rPr>
                <w:rStyle w:val="NormalCharacter"/>
                <w:rFonts w:ascii="宋体" w:hAnsi="宋体"/>
                <w:color w:val="000000"/>
                <w:kern w:val="0"/>
                <w:sz w:val="24"/>
                <w:szCs w:val="24"/>
              </w:rPr>
              <w:t>1930</w:t>
            </w:r>
            <w:r w:rsidRPr="00D13778">
              <w:rPr>
                <w:rStyle w:val="NormalCharacter"/>
                <w:rFonts w:ascii="宋体" w:hAnsi="宋体"/>
                <w:color w:val="000000"/>
                <w:kern w:val="0"/>
                <w:sz w:val="24"/>
                <w:szCs w:val="24"/>
              </w:rPr>
              <w:t>×</w:t>
            </w:r>
            <w:r>
              <w:rPr>
                <w:rStyle w:val="NormalCharacter"/>
                <w:rFonts w:ascii="宋体" w:hAnsi="宋体"/>
                <w:color w:val="000000"/>
                <w:kern w:val="0"/>
                <w:sz w:val="24"/>
                <w:szCs w:val="24"/>
              </w:rPr>
              <w:t>15mm</w:t>
            </w:r>
          </w:p>
          <w:p w:rsidR="00D44C34" w:rsidRDefault="00186A90" w:rsidP="001B639B">
            <w:pPr>
              <w:jc w:val="left"/>
              <w:rPr>
                <w:rStyle w:val="NormalCharacter"/>
                <w:rFonts w:ascii="宋体" w:hAnsi="宋体"/>
                <w:color w:val="000000"/>
                <w:kern w:val="0"/>
                <w:sz w:val="24"/>
                <w:szCs w:val="24"/>
              </w:rPr>
            </w:pPr>
            <w:r>
              <w:rPr>
                <w:rStyle w:val="NormalCharacter"/>
                <w:rFonts w:ascii="宋体" w:hAnsi="宋体"/>
                <w:color w:val="000000"/>
                <w:kern w:val="0"/>
                <w:sz w:val="24"/>
                <w:szCs w:val="24"/>
              </w:rPr>
              <w:t>3、质保期</w:t>
            </w:r>
            <w:r w:rsidRPr="00F01CDE">
              <w:rPr>
                <w:rStyle w:val="NormalCharacter"/>
                <w:rFonts w:ascii="宋体" w:hAnsi="宋体"/>
                <w:color w:val="000000"/>
                <w:kern w:val="0"/>
                <w:sz w:val="24"/>
                <w:szCs w:val="24"/>
              </w:rPr>
              <w:t>：3年</w:t>
            </w:r>
          </w:p>
        </w:tc>
        <w:tc>
          <w:tcPr>
            <w:tcW w:w="836" w:type="dxa"/>
            <w:tcBorders>
              <w:top w:val="single" w:sz="4" w:space="0" w:color="000000"/>
              <w:left w:val="nil"/>
              <w:bottom w:val="single" w:sz="4" w:space="0" w:color="000000"/>
              <w:right w:val="single" w:sz="4" w:space="0" w:color="000000"/>
            </w:tcBorders>
            <w:noWrap/>
            <w:vAlign w:val="center"/>
          </w:tcPr>
          <w:p w:rsidR="00D44C34" w:rsidRDefault="00186A90" w:rsidP="00BA1428">
            <w:pPr>
              <w:jc w:val="center"/>
              <w:rPr>
                <w:rStyle w:val="NormalCharacter"/>
                <w:rFonts w:ascii="宋体" w:hAnsi="宋体"/>
                <w:color w:val="000000"/>
                <w:kern w:val="0"/>
                <w:sz w:val="24"/>
                <w:szCs w:val="24"/>
              </w:rPr>
            </w:pPr>
            <w:r w:rsidRPr="00F01CDE">
              <w:rPr>
                <w:rStyle w:val="NormalCharacter"/>
                <w:rFonts w:ascii="宋体" w:hAnsi="宋体"/>
                <w:color w:val="000000"/>
                <w:kern w:val="0"/>
                <w:sz w:val="24"/>
                <w:szCs w:val="24"/>
              </w:rPr>
              <w:t>张</w:t>
            </w:r>
          </w:p>
        </w:tc>
        <w:tc>
          <w:tcPr>
            <w:tcW w:w="709" w:type="dxa"/>
            <w:tcBorders>
              <w:top w:val="single" w:sz="4" w:space="0" w:color="000000"/>
              <w:left w:val="nil"/>
              <w:bottom w:val="single" w:sz="4" w:space="0" w:color="000000"/>
              <w:right w:val="single" w:sz="4" w:space="0" w:color="000000"/>
            </w:tcBorders>
            <w:noWrap/>
            <w:vAlign w:val="center"/>
          </w:tcPr>
          <w:p w:rsidR="00D44C34" w:rsidRDefault="00B30E21" w:rsidP="00BA1428">
            <w:pPr>
              <w:jc w:val="center"/>
              <w:rPr>
                <w:rStyle w:val="NormalCharacter"/>
                <w:rFonts w:ascii="宋体" w:hAnsi="宋体"/>
                <w:color w:val="000000"/>
                <w:kern w:val="0"/>
                <w:sz w:val="24"/>
                <w:szCs w:val="24"/>
              </w:rPr>
            </w:pPr>
            <w:r>
              <w:rPr>
                <w:rStyle w:val="NormalCharacter"/>
                <w:rFonts w:ascii="宋体" w:hAnsi="宋体"/>
                <w:color w:val="000000"/>
                <w:kern w:val="0"/>
                <w:sz w:val="24"/>
                <w:szCs w:val="24"/>
              </w:rPr>
              <w:t>2180</w:t>
            </w:r>
          </w:p>
        </w:tc>
      </w:tr>
    </w:tbl>
    <w:p w:rsidR="00D44C34" w:rsidRDefault="00F01CDE" w:rsidP="0031091C">
      <w:pPr>
        <w:rPr>
          <w:rStyle w:val="NormalCharacter"/>
          <w:rFonts w:ascii="宋体" w:hAnsi="宋体"/>
          <w:b/>
          <w:color w:val="000000"/>
          <w:sz w:val="28"/>
          <w:szCs w:val="28"/>
        </w:rPr>
      </w:pPr>
      <w:r>
        <w:rPr>
          <w:rStyle w:val="NormalCharacter"/>
          <w:rFonts w:ascii="宋体" w:hAnsi="宋体"/>
          <w:b/>
          <w:color w:val="000000"/>
          <w:sz w:val="28"/>
          <w:szCs w:val="28"/>
        </w:rPr>
        <w:t>三</w:t>
      </w:r>
      <w:r w:rsidR="00E626AF">
        <w:rPr>
          <w:rStyle w:val="NormalCharacter"/>
          <w:rFonts w:ascii="宋体" w:hAnsi="宋体"/>
          <w:b/>
          <w:color w:val="000000"/>
          <w:sz w:val="28"/>
          <w:szCs w:val="28"/>
        </w:rPr>
        <w:t>、</w:t>
      </w:r>
      <w:r w:rsidR="00E626AF" w:rsidRPr="003B018B">
        <w:rPr>
          <w:rStyle w:val="NormalCharacter"/>
          <w:rFonts w:ascii="宋体" w:hAnsi="宋体"/>
          <w:b/>
          <w:color w:val="000000"/>
          <w:sz w:val="28"/>
          <w:szCs w:val="28"/>
        </w:rPr>
        <w:t>售后服务</w:t>
      </w:r>
      <w:r w:rsidR="00E626AF">
        <w:rPr>
          <w:rStyle w:val="NormalCharacter"/>
          <w:rFonts w:ascii="宋体" w:hAnsi="宋体"/>
          <w:b/>
          <w:color w:val="000000"/>
          <w:sz w:val="28"/>
          <w:szCs w:val="28"/>
        </w:rPr>
        <w:t>响应</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1、供应商应提供相应产品售后服务（培训）方案。</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2、产品售后服务（培训）方案中应包含：如产品在质保期内出现质量问题，供应商在接到采购人通知后24小时内响应到场，24小时内完成维修或更换，并由供应商承担因修理、调换所产生的费用，包含但不限于人工往返交通费、产品运输费等；如产品经供应商2次维修仍不能达到质量标准的，采购人有权退换货。</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3、供应商须指派专人负责与采购人联系售后服务事宜。</w:t>
      </w:r>
    </w:p>
    <w:p w:rsidR="00D44C34" w:rsidRDefault="00F01CDE" w:rsidP="0031091C">
      <w:pPr>
        <w:rPr>
          <w:rStyle w:val="NormalCharacter"/>
          <w:rFonts w:ascii="宋体" w:hAnsi="宋体"/>
          <w:b/>
          <w:color w:val="000000"/>
          <w:sz w:val="28"/>
          <w:szCs w:val="28"/>
        </w:rPr>
      </w:pPr>
      <w:r>
        <w:rPr>
          <w:rStyle w:val="NormalCharacter"/>
          <w:rFonts w:ascii="宋体" w:hAnsi="宋体"/>
          <w:b/>
          <w:color w:val="000000"/>
          <w:sz w:val="28"/>
          <w:szCs w:val="28"/>
        </w:rPr>
        <w:t>四</w:t>
      </w:r>
      <w:r w:rsidR="00E626AF">
        <w:rPr>
          <w:rStyle w:val="NormalCharacter"/>
          <w:rFonts w:ascii="宋体" w:hAnsi="宋体"/>
          <w:b/>
          <w:color w:val="000000"/>
          <w:sz w:val="28"/>
          <w:szCs w:val="28"/>
        </w:rPr>
        <w:t>、</w:t>
      </w:r>
      <w:r w:rsidR="00E626AF" w:rsidRPr="003B018B">
        <w:rPr>
          <w:rStyle w:val="NormalCharacter"/>
          <w:rFonts w:ascii="宋体" w:hAnsi="宋体"/>
          <w:b/>
          <w:color w:val="000000"/>
          <w:sz w:val="28"/>
          <w:szCs w:val="28"/>
        </w:rPr>
        <w:t>质量保证</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1、供应商应提供相应的产品供货配送方案。</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2、产品供货配送方案中应包含：供应商须提供全新、未经使用的货物（含零部件、配件等），产品表面无划伤、无碰撞痕迹，且权属清楚，不得侵害他人的知识产权；方案中还应包含产品成品效果图。</w:t>
      </w:r>
    </w:p>
    <w:p w:rsidR="00D44C34" w:rsidRDefault="00E626AF" w:rsidP="0031091C">
      <w:pPr>
        <w:ind w:firstLineChars="200" w:firstLine="560"/>
        <w:rPr>
          <w:rStyle w:val="NormalCharacter"/>
          <w:rFonts w:ascii="宋体" w:hAnsi="宋体"/>
          <w:sz w:val="28"/>
          <w:szCs w:val="28"/>
        </w:rPr>
      </w:pPr>
      <w:r w:rsidRPr="0031091C">
        <w:rPr>
          <w:rStyle w:val="NormalCharacter"/>
          <w:rFonts w:ascii="宋体" w:hAnsi="宋体"/>
          <w:sz w:val="28"/>
          <w:szCs w:val="28"/>
        </w:rPr>
        <w:t>3、供应商对所提供的产品（设备）须按国家规定提供相应的质保期，质保期内不是采购人的人为原因而出现质量问题，供应商负责包换、包修或者包退，并承担修理、调换或退货的实际费用。供应商不能修理或不能调换，按不能交货处理。在质保期满后，供应商应保证以合理的价格，长期提供备件和保养服务，当发生故障时，供应商应按保质期内同样的要求进行维修处理，合理收取维修费。</w:t>
      </w:r>
    </w:p>
    <w:p w:rsidR="00D44C34" w:rsidRDefault="00E626AF" w:rsidP="0031091C">
      <w:pPr>
        <w:rPr>
          <w:rStyle w:val="NormalCharacter"/>
          <w:rFonts w:ascii="宋体" w:hAnsi="宋体"/>
          <w:b/>
          <w:color w:val="000000"/>
          <w:sz w:val="28"/>
          <w:szCs w:val="28"/>
        </w:rPr>
      </w:pPr>
      <w:r w:rsidRPr="00BB65D4">
        <w:rPr>
          <w:rStyle w:val="NormalCharacter"/>
          <w:rFonts w:ascii="宋体" w:hAnsi="宋体"/>
          <w:b/>
          <w:color w:val="000000"/>
          <w:sz w:val="28"/>
          <w:szCs w:val="28"/>
        </w:rPr>
        <w:t>四、其他要求</w:t>
      </w:r>
    </w:p>
    <w:p w:rsidR="00D44C34" w:rsidRDefault="00E626AF" w:rsidP="0031091C">
      <w:pPr>
        <w:ind w:firstLineChars="200" w:firstLine="560"/>
        <w:jc w:val="left"/>
        <w:rPr>
          <w:rStyle w:val="NormalCharacter"/>
          <w:rFonts w:ascii="宋体" w:hAnsi="宋体"/>
          <w:sz w:val="28"/>
          <w:szCs w:val="28"/>
        </w:rPr>
      </w:pPr>
      <w:r w:rsidRPr="0031091C">
        <w:rPr>
          <w:rStyle w:val="NormalCharacter"/>
          <w:rFonts w:ascii="宋体" w:hAnsi="宋体"/>
          <w:sz w:val="28"/>
          <w:szCs w:val="28"/>
        </w:rPr>
        <w:lastRenderedPageBreak/>
        <w:t>为避免出现供应商为达到成交目的而刻意削价竞争，可能影响产品质量或者不能诚信履约，为此当</w:t>
      </w:r>
      <w:r w:rsidR="006E2B2C">
        <w:rPr>
          <w:rStyle w:val="NormalCharacter"/>
          <w:rFonts w:ascii="宋体" w:hAnsi="宋体" w:hint="eastAsia"/>
          <w:sz w:val="28"/>
          <w:szCs w:val="28"/>
        </w:rPr>
        <w:t>评审</w:t>
      </w:r>
      <w:r w:rsidRPr="0031091C">
        <w:rPr>
          <w:rStyle w:val="NormalCharacter"/>
          <w:rFonts w:ascii="宋体" w:hAnsi="宋体"/>
          <w:sz w:val="28"/>
          <w:szCs w:val="28"/>
        </w:rPr>
        <w:t>小组认为供应商的报价明显低于其他通过符合性审查的供应商报价的, 则该供应商应当在评标现场的合理时间内提供相关低价竞标的佐证依据，该佐证文件将作为响应文件的组成部分并获得</w:t>
      </w:r>
      <w:r w:rsidR="0025687B">
        <w:rPr>
          <w:rStyle w:val="NormalCharacter"/>
          <w:rFonts w:ascii="宋体" w:hAnsi="宋体" w:hint="eastAsia"/>
          <w:sz w:val="28"/>
          <w:szCs w:val="28"/>
        </w:rPr>
        <w:t>评审</w:t>
      </w:r>
      <w:r w:rsidRPr="0031091C">
        <w:rPr>
          <w:rStyle w:val="NormalCharacter"/>
          <w:rFonts w:ascii="宋体" w:hAnsi="宋体"/>
          <w:sz w:val="28"/>
          <w:szCs w:val="28"/>
        </w:rPr>
        <w:t>小组审核通过，若供应商不按时提供或提供的佐证文件未能通过询价小组评审，均作为无效报价处理。</w:t>
      </w:r>
    </w:p>
    <w:p w:rsidR="00D44C34" w:rsidRDefault="00E626AF" w:rsidP="0031091C">
      <w:pPr>
        <w:jc w:val="left"/>
        <w:rPr>
          <w:rStyle w:val="NormalCharacter"/>
          <w:rFonts w:ascii="宋体" w:hAnsi="宋体"/>
          <w:b/>
          <w:sz w:val="28"/>
          <w:szCs w:val="28"/>
        </w:rPr>
      </w:pPr>
      <w:r>
        <w:rPr>
          <w:rStyle w:val="NormalCharacter"/>
          <w:rFonts w:ascii="宋体" w:hAnsi="宋体"/>
          <w:b/>
          <w:sz w:val="28"/>
          <w:szCs w:val="28"/>
        </w:rPr>
        <w:t>五</w:t>
      </w:r>
      <w:r w:rsidRPr="004A573F">
        <w:rPr>
          <w:rStyle w:val="NormalCharacter"/>
          <w:rFonts w:ascii="宋体" w:hAnsi="宋体"/>
          <w:b/>
          <w:sz w:val="28"/>
          <w:szCs w:val="28"/>
        </w:rPr>
        <w:t>、付款及验收</w:t>
      </w:r>
    </w:p>
    <w:p w:rsidR="00D44C34" w:rsidRDefault="00E626AF" w:rsidP="0031091C">
      <w:pPr>
        <w:ind w:firstLineChars="200" w:firstLine="560"/>
        <w:rPr>
          <w:rStyle w:val="NormalCharacter"/>
          <w:rFonts w:ascii="宋体" w:hAnsi="宋体"/>
          <w:sz w:val="28"/>
          <w:szCs w:val="28"/>
        </w:rPr>
      </w:pPr>
      <w:r w:rsidRPr="00264698">
        <w:rPr>
          <w:rStyle w:val="NormalCharacter"/>
          <w:rFonts w:ascii="宋体" w:hAnsi="宋体"/>
          <w:sz w:val="28"/>
          <w:szCs w:val="28"/>
        </w:rPr>
        <w:t>1、</w:t>
      </w:r>
      <w:r w:rsidRPr="001A6898">
        <w:rPr>
          <w:rStyle w:val="NormalCharacter"/>
          <w:rFonts w:ascii="宋体" w:hAnsi="宋体"/>
          <w:sz w:val="28"/>
          <w:szCs w:val="28"/>
        </w:rPr>
        <w:t>付款条件、付款时间、付款方式：</w:t>
      </w:r>
      <w:r w:rsidR="00E757B6" w:rsidRPr="00E757B6">
        <w:rPr>
          <w:rStyle w:val="NormalCharacter"/>
          <w:rFonts w:ascii="宋体" w:hAnsi="宋体"/>
          <w:sz w:val="28"/>
          <w:szCs w:val="28"/>
        </w:rPr>
        <w:t>对于满足合同约定支付条件的，自收到发票后十个工作日内通过转账方式支付到合同约定的供应商账户</w:t>
      </w:r>
      <w:r w:rsidRPr="001A6898">
        <w:rPr>
          <w:rStyle w:val="NormalCharacter"/>
          <w:rFonts w:ascii="宋体" w:hAnsi="宋体"/>
          <w:sz w:val="28"/>
          <w:szCs w:val="28"/>
        </w:rPr>
        <w:t>。</w:t>
      </w:r>
    </w:p>
    <w:p w:rsidR="00D44C34" w:rsidRDefault="00E626AF" w:rsidP="005F7A95">
      <w:pPr>
        <w:ind w:firstLineChars="200" w:firstLine="560"/>
        <w:rPr>
          <w:rStyle w:val="NormalCharacter"/>
        </w:rPr>
      </w:pPr>
      <w:r>
        <w:rPr>
          <w:rStyle w:val="NormalCharacter"/>
          <w:rFonts w:ascii="宋体" w:hAnsi="宋体"/>
          <w:sz w:val="28"/>
          <w:szCs w:val="28"/>
        </w:rPr>
        <w:t>2</w:t>
      </w:r>
      <w:r w:rsidRPr="001A6898">
        <w:rPr>
          <w:rStyle w:val="NormalCharacter"/>
          <w:rFonts w:ascii="宋体" w:hAnsi="宋体"/>
          <w:sz w:val="28"/>
          <w:szCs w:val="28"/>
        </w:rPr>
        <w:t>、验收要求：按国家</w:t>
      </w:r>
      <w:r>
        <w:rPr>
          <w:rStyle w:val="NormalCharacter"/>
          <w:rFonts w:ascii="宋体" w:hAnsi="宋体"/>
          <w:sz w:val="28"/>
          <w:szCs w:val="28"/>
        </w:rPr>
        <w:t>相关</w:t>
      </w:r>
      <w:r w:rsidRPr="001A6898">
        <w:rPr>
          <w:rStyle w:val="NormalCharacter"/>
          <w:rFonts w:ascii="宋体" w:hAnsi="宋体"/>
          <w:sz w:val="28"/>
          <w:szCs w:val="28"/>
        </w:rPr>
        <w:t>法律法规及</w:t>
      </w:r>
      <w:r w:rsidR="00F01CDE">
        <w:rPr>
          <w:rStyle w:val="NormalCharacter"/>
          <w:rFonts w:ascii="宋体" w:hAnsi="宋体"/>
          <w:sz w:val="28"/>
          <w:szCs w:val="28"/>
        </w:rPr>
        <w:t>采购文件</w:t>
      </w:r>
      <w:r w:rsidRPr="001A6898">
        <w:rPr>
          <w:rStyle w:val="NormalCharacter"/>
          <w:rFonts w:ascii="宋体" w:hAnsi="宋体"/>
          <w:sz w:val="28"/>
          <w:szCs w:val="28"/>
        </w:rPr>
        <w:t>、</w:t>
      </w:r>
      <w:r>
        <w:rPr>
          <w:rStyle w:val="NormalCharacter"/>
          <w:rFonts w:ascii="宋体" w:hAnsi="宋体"/>
          <w:sz w:val="28"/>
          <w:szCs w:val="28"/>
        </w:rPr>
        <w:t>响应文件、</w:t>
      </w:r>
      <w:r w:rsidRPr="001A6898">
        <w:rPr>
          <w:rStyle w:val="NormalCharacter"/>
          <w:rFonts w:ascii="宋体" w:hAnsi="宋体"/>
          <w:sz w:val="28"/>
          <w:szCs w:val="28"/>
        </w:rPr>
        <w:t>采购合同</w:t>
      </w:r>
      <w:r>
        <w:rPr>
          <w:rStyle w:val="NormalCharacter"/>
          <w:rFonts w:ascii="宋体" w:hAnsi="宋体"/>
          <w:sz w:val="28"/>
          <w:szCs w:val="28"/>
        </w:rPr>
        <w:t>等</w:t>
      </w:r>
      <w:r w:rsidRPr="001A6898">
        <w:rPr>
          <w:rStyle w:val="NormalCharacter"/>
          <w:rFonts w:ascii="宋体" w:hAnsi="宋体"/>
          <w:sz w:val="28"/>
          <w:szCs w:val="28"/>
        </w:rPr>
        <w:t>进行验收。</w:t>
      </w:r>
    </w:p>
    <w:sectPr w:rsidR="00D44C34" w:rsidSect="00D44C3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21" w:rsidRDefault="00B30E21" w:rsidP="00D44C34">
      <w:r>
        <w:separator/>
      </w:r>
    </w:p>
  </w:endnote>
  <w:endnote w:type="continuationSeparator" w:id="1">
    <w:p w:rsidR="00B30E21" w:rsidRDefault="00B30E21" w:rsidP="00D44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21" w:rsidRDefault="00B30E21" w:rsidP="00D44C34">
      <w:r>
        <w:separator/>
      </w:r>
    </w:p>
  </w:footnote>
  <w:footnote w:type="continuationSeparator" w:id="1">
    <w:p w:rsidR="00B30E21" w:rsidRDefault="00B30E21" w:rsidP="00D44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4C21"/>
    <w:multiLevelType w:val="hybridMultilevel"/>
    <w:tmpl w:val="53B817E2"/>
    <w:lvl w:ilvl="0" w:tplc="B3BA6BF0">
      <w:start w:val="1"/>
      <w:numFmt w:val="decimal"/>
      <w:lvlText w:val="%1、"/>
      <w:lvlJc w:val="left"/>
      <w:pPr>
        <w:widowControl/>
        <w:ind w:left="360" w:hanging="360"/>
        <w:textAlignment w:val="baseline"/>
      </w:pPr>
    </w:lvl>
    <w:lvl w:ilvl="1" w:tplc="58FC39B0">
      <w:numFmt w:val="none"/>
      <w:lvlText w:val=""/>
      <w:lvlJc w:val="left"/>
      <w:pPr>
        <w:tabs>
          <w:tab w:val="num" w:pos="360"/>
        </w:tabs>
      </w:pPr>
    </w:lvl>
    <w:lvl w:ilvl="2" w:tplc="730634A4">
      <w:numFmt w:val="none"/>
      <w:lvlText w:val=""/>
      <w:lvlJc w:val="left"/>
      <w:pPr>
        <w:tabs>
          <w:tab w:val="num" w:pos="360"/>
        </w:tabs>
      </w:pPr>
    </w:lvl>
    <w:lvl w:ilvl="3" w:tplc="D512CCEE">
      <w:numFmt w:val="none"/>
      <w:lvlText w:val=""/>
      <w:lvlJc w:val="left"/>
      <w:pPr>
        <w:tabs>
          <w:tab w:val="num" w:pos="360"/>
        </w:tabs>
      </w:pPr>
    </w:lvl>
    <w:lvl w:ilvl="4" w:tplc="61849A38">
      <w:numFmt w:val="none"/>
      <w:lvlText w:val=""/>
      <w:lvlJc w:val="left"/>
      <w:pPr>
        <w:tabs>
          <w:tab w:val="num" w:pos="360"/>
        </w:tabs>
      </w:pPr>
    </w:lvl>
    <w:lvl w:ilvl="5" w:tplc="DBE21480">
      <w:numFmt w:val="none"/>
      <w:lvlText w:val=""/>
      <w:lvlJc w:val="left"/>
      <w:pPr>
        <w:tabs>
          <w:tab w:val="num" w:pos="360"/>
        </w:tabs>
      </w:pPr>
    </w:lvl>
    <w:lvl w:ilvl="6" w:tplc="E3920CEA">
      <w:numFmt w:val="none"/>
      <w:lvlText w:val=""/>
      <w:lvlJc w:val="left"/>
      <w:pPr>
        <w:tabs>
          <w:tab w:val="num" w:pos="360"/>
        </w:tabs>
      </w:pPr>
    </w:lvl>
    <w:lvl w:ilvl="7" w:tplc="B25296CC">
      <w:numFmt w:val="none"/>
      <w:lvlText w:val=""/>
      <w:lvlJc w:val="left"/>
      <w:pPr>
        <w:tabs>
          <w:tab w:val="num" w:pos="360"/>
        </w:tabs>
      </w:pPr>
    </w:lvl>
    <w:lvl w:ilvl="8" w:tplc="7814063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D44C34"/>
    <w:rsid w:val="00186A90"/>
    <w:rsid w:val="001A6898"/>
    <w:rsid w:val="001B639B"/>
    <w:rsid w:val="0025687B"/>
    <w:rsid w:val="00264698"/>
    <w:rsid w:val="002B354E"/>
    <w:rsid w:val="0031091C"/>
    <w:rsid w:val="003B018B"/>
    <w:rsid w:val="004A573F"/>
    <w:rsid w:val="00590F26"/>
    <w:rsid w:val="005A05BC"/>
    <w:rsid w:val="005F7A95"/>
    <w:rsid w:val="006E2B2C"/>
    <w:rsid w:val="00803049"/>
    <w:rsid w:val="00B30E21"/>
    <w:rsid w:val="00BA1428"/>
    <w:rsid w:val="00BB65D4"/>
    <w:rsid w:val="00D13778"/>
    <w:rsid w:val="00D44C34"/>
    <w:rsid w:val="00E626AF"/>
    <w:rsid w:val="00E757B6"/>
    <w:rsid w:val="00F01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C34"/>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D44C34"/>
  </w:style>
  <w:style w:type="table" w:customStyle="1" w:styleId="TableNormal">
    <w:name w:val="TableNormal"/>
    <w:semiHidden/>
    <w:rsid w:val="00D44C34"/>
    <w:tblPr>
      <w:tblCellMar>
        <w:top w:w="0" w:type="dxa"/>
        <w:left w:w="0" w:type="dxa"/>
        <w:bottom w:w="0" w:type="dxa"/>
        <w:right w:w="0" w:type="dxa"/>
      </w:tblCellMar>
    </w:tblPr>
  </w:style>
  <w:style w:type="numbering" w:customStyle="1" w:styleId="NormalList">
    <w:name w:val="NormalList"/>
    <w:semiHidden/>
    <w:rsid w:val="00D44C34"/>
  </w:style>
  <w:style w:type="paragraph" w:customStyle="1" w:styleId="UserStyle0">
    <w:name w:val="UserStyle_0"/>
    <w:rsid w:val="00D44C34"/>
    <w:pPr>
      <w:jc w:val="both"/>
      <w:textAlignment w:val="baseline"/>
    </w:pPr>
    <w:rPr>
      <w:kern w:val="2"/>
      <w:sz w:val="21"/>
      <w:szCs w:val="21"/>
    </w:rPr>
  </w:style>
  <w:style w:type="paragraph" w:customStyle="1" w:styleId="Header">
    <w:name w:val="Header"/>
    <w:basedOn w:val="a"/>
    <w:link w:val="UserStyle1"/>
    <w:semiHidden/>
    <w:rsid w:val="00D44C34"/>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basedOn w:val="NormalCharacter"/>
    <w:link w:val="Header"/>
    <w:semiHidden/>
    <w:rsid w:val="00D44C34"/>
    <w:rPr>
      <w:kern w:val="2"/>
      <w:sz w:val="18"/>
      <w:szCs w:val="18"/>
    </w:rPr>
  </w:style>
  <w:style w:type="paragraph" w:customStyle="1" w:styleId="Footer">
    <w:name w:val="Footer"/>
    <w:basedOn w:val="a"/>
    <w:link w:val="UserStyle2"/>
    <w:rsid w:val="00D44C34"/>
    <w:pPr>
      <w:tabs>
        <w:tab w:val="center" w:pos="4153"/>
        <w:tab w:val="right" w:pos="8306"/>
      </w:tabs>
      <w:snapToGrid w:val="0"/>
      <w:jc w:val="left"/>
    </w:pPr>
    <w:rPr>
      <w:sz w:val="18"/>
      <w:szCs w:val="18"/>
    </w:rPr>
  </w:style>
  <w:style w:type="character" w:customStyle="1" w:styleId="UserStyle2">
    <w:name w:val="UserStyle_2"/>
    <w:basedOn w:val="NormalCharacter"/>
    <w:link w:val="Footer"/>
    <w:rsid w:val="00D44C34"/>
    <w:rPr>
      <w:kern w:val="2"/>
      <w:sz w:val="18"/>
      <w:szCs w:val="18"/>
    </w:rPr>
  </w:style>
  <w:style w:type="paragraph" w:styleId="a3">
    <w:name w:val="header"/>
    <w:basedOn w:val="a"/>
    <w:link w:val="Char"/>
    <w:uiPriority w:val="99"/>
    <w:semiHidden/>
    <w:unhideWhenUsed/>
    <w:rsid w:val="00803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3049"/>
    <w:rPr>
      <w:kern w:val="2"/>
      <w:sz w:val="18"/>
      <w:szCs w:val="18"/>
    </w:rPr>
  </w:style>
  <w:style w:type="paragraph" w:styleId="a4">
    <w:name w:val="footer"/>
    <w:basedOn w:val="a"/>
    <w:link w:val="Char0"/>
    <w:uiPriority w:val="99"/>
    <w:semiHidden/>
    <w:unhideWhenUsed/>
    <w:rsid w:val="008030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30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1406</Characters>
  <Application>Microsoft Office Word</Application>
  <DocSecurity>0</DocSecurity>
  <Lines>11</Lines>
  <Paragraphs>3</Paragraphs>
  <ScaleCrop>false</ScaleCrop>
  <Company>china</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2022-10-31T10:39:00Z</dcterms:created>
  <dcterms:modified xsi:type="dcterms:W3CDTF">2022-10-31T10:40:00Z</dcterms:modified>
</cp:coreProperties>
</file>