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/>
          <w:b/>
          <w:smallCaps/>
          <w:color w:val="000000"/>
          <w:sz w:val="48"/>
          <w:szCs w:val="48"/>
        </w:rPr>
        <w:t>采购需求</w:t>
      </w:r>
    </w:p>
    <w:p>
      <w:pPr>
        <w:rPr>
          <w:rFonts w:hint="eastAsia" w:ascii="宋体" w:hAnsi="宋体" w:cs="宋体"/>
          <w:color w:val="000000"/>
          <w:sz w:val="24"/>
        </w:rPr>
      </w:pPr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rFonts w:hint="eastAsia" w:ascii="Times New Roman" w:hAnsi="Times New Roman" w:eastAsia="宋体" w:cs="Times New Roman"/>
          <w:b/>
          <w:color w:val="000000"/>
          <w:sz w:val="24"/>
          <w:lang w:eastAsia="zh-CN"/>
        </w:rPr>
      </w:pPr>
      <w:bookmarkStart w:id="0" w:name="_Toc29946"/>
      <w:bookmarkStart w:id="1" w:name="_Toc8750"/>
      <w:r>
        <w:rPr>
          <w:rFonts w:hint="eastAsia" w:ascii="Times New Roman" w:hAnsi="Times New Roman" w:eastAsia="宋体" w:cs="Times New Roman"/>
          <w:b/>
          <w:color w:val="000000"/>
          <w:sz w:val="24"/>
        </w:rPr>
        <w:t>一、项目背景</w:t>
      </w:r>
      <w:bookmarkEnd w:id="0"/>
      <w:bookmarkEnd w:id="1"/>
      <w:bookmarkStart w:id="2" w:name="_Toc27609"/>
      <w:bookmarkStart w:id="3" w:name="_Toc14063"/>
    </w:p>
    <w:p>
      <w:pPr>
        <w:tabs>
          <w:tab w:val="left" w:pos="1200"/>
        </w:tabs>
        <w:spacing w:line="360" w:lineRule="auto"/>
        <w:ind w:firstLine="480" w:firstLineChars="200"/>
        <w:outlineLvl w:val="9"/>
        <w:rPr>
          <w:rFonts w:hint="eastAsia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lang w:eastAsia="zh-CN"/>
        </w:rPr>
        <w:t>随着亚龙湾、海棠湾片区日益建设发展，</w:t>
      </w:r>
      <w:r>
        <w:rPr>
          <w:rFonts w:hint="eastAsia"/>
          <w:color w:val="000000"/>
          <w:sz w:val="24"/>
        </w:rPr>
        <w:t>交通量持续攀升，交通问题日趋凸显，尤其旅游旺季和早晚高峰主要通道严重拥堵，</w:t>
      </w:r>
      <w:r>
        <w:rPr>
          <w:rFonts w:hint="eastAsia"/>
          <w:color w:val="000000"/>
          <w:sz w:val="24"/>
          <w:lang w:eastAsia="zh-CN"/>
        </w:rPr>
        <w:t>区域内交通组织不畅、设施服务水平不高等问题日渐显现，严重制约了两湾高质量发展。</w:t>
      </w:r>
    </w:p>
    <w:bookmarkEnd w:id="2"/>
    <w:p>
      <w:pPr>
        <w:tabs>
          <w:tab w:val="left" w:pos="1200"/>
        </w:tabs>
        <w:spacing w:line="360" w:lineRule="auto"/>
        <w:ind w:firstLine="480" w:firstLineChars="200"/>
        <w:outlineLvl w:val="9"/>
        <w:rPr>
          <w:color w:val="000000"/>
        </w:rPr>
      </w:pPr>
      <w:bookmarkStart w:id="4" w:name="_Toc4221"/>
      <w:r>
        <w:rPr>
          <w:rFonts w:hint="eastAsia"/>
          <w:color w:val="000000"/>
          <w:sz w:val="24"/>
          <w:lang w:eastAsia="zh-CN"/>
        </w:rPr>
        <w:t>凤凰机场</w:t>
      </w:r>
      <w:r>
        <w:rPr>
          <w:rFonts w:hint="eastAsia"/>
          <w:color w:val="000000"/>
          <w:sz w:val="24"/>
        </w:rPr>
        <w:t>为我市重要交通枢纽，随着海南自贸岛的建设和三亚旅游等产业蓬勃发展，明显呈现出运能不足的态势，制约三亚对外联系能力和竞争力。近期拟新建T3航站楼，将带来机场交通流量增长以及交通组织发生变化。</w:t>
      </w:r>
      <w:bookmarkEnd w:id="4"/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rFonts w:hint="eastAsia" w:ascii="Times New Roman" w:hAnsi="Times New Roman" w:eastAsia="宋体" w:cs="Times New Roman"/>
          <w:b/>
          <w:color w:val="000000"/>
          <w:sz w:val="24"/>
        </w:rPr>
      </w:pPr>
      <w:bookmarkStart w:id="5" w:name="_Toc12735"/>
      <w:r>
        <w:rPr>
          <w:rFonts w:hint="eastAsia" w:ascii="Times New Roman" w:hAnsi="Times New Roman" w:eastAsia="宋体" w:cs="Times New Roman"/>
          <w:b/>
          <w:color w:val="000000"/>
          <w:sz w:val="24"/>
        </w:rPr>
        <w:t>二、项目范围</w:t>
      </w:r>
      <w:bookmarkEnd w:id="3"/>
      <w:bookmarkEnd w:id="5"/>
    </w:p>
    <w:p>
      <w:pPr>
        <w:spacing w:line="360" w:lineRule="auto"/>
        <w:ind w:right="42" w:rightChars="20" w:firstLine="480" w:firstLineChars="200"/>
        <w:rPr>
          <w:rFonts w:hint="eastAsia" w:eastAsia="宋体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eastAsia="zh-CN"/>
        </w:rPr>
        <w:t>本次规划范围为亚龙湾、海棠湾及凤凰机场</w:t>
      </w:r>
      <w:r>
        <w:rPr>
          <w:rFonts w:hint="eastAsia"/>
          <w:color w:val="000000"/>
          <w:sz w:val="24"/>
          <w:highlight w:val="none"/>
          <w:lang w:eastAsia="zh-CN"/>
        </w:rPr>
        <w:t>片等三个片区。</w:t>
      </w:r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rFonts w:hint="eastAsia" w:ascii="Times New Roman" w:hAnsi="Times New Roman" w:eastAsia="宋体" w:cs="Times New Roman"/>
          <w:b/>
          <w:color w:val="000000"/>
          <w:sz w:val="24"/>
          <w:highlight w:val="none"/>
          <w:lang w:val="en-US" w:eastAsia="zh-CN"/>
        </w:rPr>
      </w:pPr>
      <w:bookmarkStart w:id="6" w:name="_Toc26763"/>
      <w:r>
        <w:rPr>
          <w:rFonts w:hint="eastAsia" w:ascii="Times New Roman" w:hAnsi="Times New Roman" w:eastAsia="宋体" w:cs="Times New Roman"/>
          <w:b/>
          <w:color w:val="000000"/>
          <w:sz w:val="24"/>
          <w:highlight w:val="none"/>
          <w:lang w:eastAsia="zh-CN"/>
        </w:rPr>
        <w:t>三</w:t>
      </w:r>
      <w:r>
        <w:rPr>
          <w:rFonts w:hint="eastAsia" w:ascii="Times New Roman" w:hAnsi="Times New Roman" w:eastAsia="宋体" w:cs="Times New Roman"/>
          <w:b/>
          <w:color w:val="000000"/>
          <w:sz w:val="24"/>
          <w:highlight w:val="none"/>
          <w:lang w:val="en-US" w:eastAsia="zh-CN"/>
        </w:rPr>
        <w:t>、规划内容</w:t>
      </w:r>
      <w:bookmarkEnd w:id="6"/>
    </w:p>
    <w:p>
      <w:pPr>
        <w:tabs>
          <w:tab w:val="left" w:pos="1200"/>
        </w:tabs>
        <w:spacing w:line="360" w:lineRule="auto"/>
        <w:ind w:firstLine="480" w:firstLineChars="200"/>
        <w:outlineLvl w:val="9"/>
        <w:rPr>
          <w:rFonts w:hint="eastAsia" w:ascii="楷体_GB2312" w:hAnsi="楷体_GB2312" w:eastAsia="楷体_GB2312" w:cs="楷体_GB2312"/>
          <w:bCs/>
          <w:color w:val="000000"/>
          <w:sz w:val="24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000000"/>
          <w:sz w:val="24"/>
          <w:highlight w:val="none"/>
          <w:lang w:eastAsia="zh-CN"/>
        </w:rPr>
        <w:t>（一）</w:t>
      </w:r>
      <w:r>
        <w:rPr>
          <w:rFonts w:hint="eastAsia" w:ascii="Times New Roman" w:hAnsi="Times New Roman" w:eastAsia="宋体" w:cs="Times New Roman"/>
          <w:bCs w:val="0"/>
          <w:color w:val="auto"/>
          <w:sz w:val="24"/>
          <w:highlight w:val="none"/>
          <w:lang w:eastAsia="zh-CN"/>
        </w:rPr>
        <w:t>亚龙湾、海棠湾片区交通改善提升规划篇章</w:t>
      </w:r>
    </w:p>
    <w:p>
      <w:pPr>
        <w:numPr>
          <w:ilvl w:val="0"/>
          <w:numId w:val="0"/>
        </w:numPr>
        <w:tabs>
          <w:tab w:val="left" w:pos="1200"/>
        </w:tabs>
        <w:spacing w:line="360" w:lineRule="auto"/>
        <w:ind w:firstLine="480" w:firstLineChars="200"/>
        <w:outlineLvl w:val="9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1.</w:t>
      </w:r>
      <w:r>
        <w:rPr>
          <w:rFonts w:hint="eastAsia"/>
          <w:color w:val="000000"/>
          <w:sz w:val="24"/>
          <w:lang w:eastAsia="zh-CN"/>
        </w:rPr>
        <w:t>结合亚龙湾及海棠湾交通需求特征和发展趋势，对两湾现状及既有规划交通设施服务水平开展评估，</w:t>
      </w:r>
      <w:r>
        <w:rPr>
          <w:rFonts w:hint="eastAsia"/>
          <w:color w:val="000000"/>
          <w:sz w:val="24"/>
        </w:rPr>
        <w:t>包括与</w:t>
      </w:r>
      <w:r>
        <w:rPr>
          <w:rFonts w:hint="eastAsia"/>
          <w:color w:val="000000"/>
          <w:sz w:val="24"/>
          <w:lang w:eastAsia="zh-CN"/>
        </w:rPr>
        <w:t>中心城区及周边片区的联系时效、对外通道容量、交通组织合理</w:t>
      </w:r>
      <w:r>
        <w:rPr>
          <w:rFonts w:hint="eastAsia"/>
          <w:color w:val="000000"/>
          <w:sz w:val="24"/>
        </w:rPr>
        <w:t>性等方面，甄别交通系统存在的“痛点、堵点、瓶颈点”，识别现状和规划交通设施服务容量与类型的短板、明确近远期亟待解决的重点问题。</w:t>
      </w:r>
    </w:p>
    <w:p>
      <w:pPr>
        <w:numPr>
          <w:ilvl w:val="0"/>
          <w:numId w:val="0"/>
        </w:numPr>
        <w:tabs>
          <w:tab w:val="left" w:pos="1200"/>
        </w:tabs>
        <w:spacing w:line="360" w:lineRule="auto"/>
        <w:ind w:firstLine="480" w:firstLineChars="200"/>
        <w:outlineLvl w:val="9"/>
        <w:rPr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2.</w:t>
      </w:r>
      <w:r>
        <w:rPr>
          <w:rFonts w:hint="eastAsia"/>
          <w:color w:val="000000"/>
          <w:sz w:val="24"/>
        </w:rPr>
        <w:t>从解决现实问题出发，兼顾考虑未来交通需求发展，针对性提出</w:t>
      </w:r>
      <w:r>
        <w:rPr>
          <w:rFonts w:hint="eastAsia"/>
          <w:color w:val="000000"/>
          <w:sz w:val="24"/>
          <w:lang w:eastAsia="zh-CN"/>
        </w:rPr>
        <w:t>两湾</w:t>
      </w:r>
      <w:r>
        <w:rPr>
          <w:rFonts w:hint="eastAsia"/>
          <w:color w:val="000000"/>
          <w:sz w:val="24"/>
        </w:rPr>
        <w:t>对外交通设施衔接改善方案，包括现有设施优化提升、新增对外联系通道、重要节点优化设计、交通组织和服务模式优化等。针对大茅隧道、吉阳环岛、亚龙湾路</w:t>
      </w:r>
      <w:r>
        <w:rPr>
          <w:rFonts w:hint="eastAsia"/>
          <w:color w:val="000000"/>
          <w:sz w:val="24"/>
          <w:lang w:eastAsia="zh-CN"/>
        </w:rPr>
        <w:t>—</w:t>
      </w:r>
      <w:r>
        <w:rPr>
          <w:color w:val="000000"/>
          <w:sz w:val="24"/>
        </w:rPr>
        <w:t>G223</w:t>
      </w:r>
      <w:r>
        <w:rPr>
          <w:rFonts w:hint="eastAsia"/>
          <w:color w:val="000000"/>
          <w:sz w:val="24"/>
        </w:rPr>
        <w:t>交叉口等对外衔接的关键节点、通道展开深化研究，提出整治疏导方案，切实推动“两湾”与</w:t>
      </w:r>
      <w:r>
        <w:rPr>
          <w:rFonts w:hint="eastAsia"/>
          <w:color w:val="000000"/>
          <w:sz w:val="24"/>
          <w:lang w:eastAsia="zh-CN"/>
        </w:rPr>
        <w:t>中心城区及周边片区</w:t>
      </w:r>
      <w:r>
        <w:rPr>
          <w:rFonts w:hint="eastAsia"/>
          <w:color w:val="000000"/>
          <w:sz w:val="24"/>
        </w:rPr>
        <w:t>交通设施高效衔接。</w:t>
      </w:r>
    </w:p>
    <w:p>
      <w:pPr>
        <w:numPr>
          <w:ilvl w:val="0"/>
          <w:numId w:val="0"/>
        </w:numPr>
        <w:tabs>
          <w:tab w:val="left" w:pos="1200"/>
        </w:tabs>
        <w:spacing w:line="360" w:lineRule="auto"/>
        <w:ind w:firstLine="480" w:firstLineChars="200"/>
        <w:outlineLvl w:val="9"/>
        <w:rPr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3.</w:t>
      </w:r>
      <w:r>
        <w:rPr>
          <w:rFonts w:hint="eastAsia"/>
          <w:color w:val="000000"/>
          <w:sz w:val="24"/>
          <w:lang w:eastAsia="zh-CN"/>
        </w:rPr>
        <w:t>针对性提出适应“两湾”季节性旅游交通需求特征的差异化交通组织与管理方案，以</w:t>
      </w:r>
      <w:r>
        <w:rPr>
          <w:rFonts w:hint="eastAsia"/>
          <w:color w:val="000000"/>
          <w:sz w:val="24"/>
        </w:rPr>
        <w:t>精准化、精细化的节点整治和组织优化行动，推动片区交通系统整体运行效率和服务品质的提升。</w:t>
      </w:r>
    </w:p>
    <w:p>
      <w:pPr>
        <w:numPr>
          <w:ilvl w:val="0"/>
          <w:numId w:val="0"/>
        </w:numPr>
        <w:tabs>
          <w:tab w:val="left" w:pos="1200"/>
        </w:tabs>
        <w:spacing w:line="360" w:lineRule="auto"/>
        <w:ind w:firstLine="480" w:firstLineChars="200"/>
        <w:outlineLvl w:val="9"/>
        <w:rPr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4.</w:t>
      </w:r>
      <w:r>
        <w:rPr>
          <w:rFonts w:hint="eastAsia"/>
          <w:color w:val="000000"/>
          <w:sz w:val="24"/>
        </w:rPr>
        <w:t>明确对外交通衔接优化及内部交通整治实施保障措施，切实推动相关优化策略、整治措施、设计方案实现面向建设实施的有效传导。</w:t>
      </w:r>
    </w:p>
    <w:p>
      <w:pPr>
        <w:numPr>
          <w:ilvl w:val="0"/>
          <w:numId w:val="0"/>
        </w:numPr>
        <w:tabs>
          <w:tab w:val="left" w:pos="1200"/>
        </w:tabs>
        <w:spacing w:line="360" w:lineRule="auto"/>
        <w:ind w:firstLine="480" w:firstLineChars="200"/>
        <w:outlineLvl w:val="9"/>
        <w:rPr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5.实施计划制定。</w:t>
      </w:r>
      <w:r>
        <w:rPr>
          <w:rFonts w:hint="eastAsia"/>
          <w:color w:val="000000"/>
          <w:sz w:val="24"/>
          <w:lang w:eastAsia="zh-CN"/>
        </w:rPr>
        <w:t>结合“十四五”规划及各相关部门建设计划，提出合理的实施计划及管理措施建议，推动尽快解决目前存在的交通“痛点”。</w:t>
      </w:r>
    </w:p>
    <w:p>
      <w:pPr>
        <w:tabs>
          <w:tab w:val="left" w:pos="1200"/>
        </w:tabs>
        <w:spacing w:line="360" w:lineRule="auto"/>
        <w:ind w:firstLine="480" w:firstLineChars="200"/>
        <w:outlineLvl w:val="9"/>
        <w:rPr>
          <w:rFonts w:hint="eastAsia" w:ascii="楷体_GB2312" w:hAnsi="楷体_GB2312" w:eastAsia="楷体_GB2312" w:cs="楷体_GB2312"/>
          <w:b w:val="0"/>
          <w:bCs/>
          <w:color w:val="000000"/>
          <w:sz w:val="24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24"/>
          <w:highlight w:val="none"/>
        </w:rPr>
        <w:t>（二）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highlight w:val="none"/>
        </w:rPr>
        <w:t>凤凰机场片区交通</w:t>
      </w:r>
      <w:r>
        <w:rPr>
          <w:rFonts w:hint="eastAsia" w:ascii="Times New Roman" w:hAnsi="Times New Roman" w:eastAsia="宋体" w:cs="Times New Roman"/>
          <w:bCs w:val="0"/>
          <w:color w:val="auto"/>
          <w:sz w:val="24"/>
          <w:highlight w:val="none"/>
          <w:lang w:eastAsia="zh-CN"/>
        </w:rPr>
        <w:t>改善提升规划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highlight w:val="none"/>
          <w:lang w:eastAsia="zh-CN"/>
        </w:rPr>
        <w:t>篇章</w:t>
      </w:r>
    </w:p>
    <w:p>
      <w:pPr>
        <w:tabs>
          <w:tab w:val="left" w:pos="1200"/>
        </w:tabs>
        <w:spacing w:line="360" w:lineRule="auto"/>
        <w:ind w:firstLine="480" w:firstLineChars="200"/>
        <w:outlineLvl w:val="9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1.</w:t>
      </w:r>
      <w:r>
        <w:rPr>
          <w:rFonts w:hint="eastAsia"/>
          <w:color w:val="000000"/>
          <w:sz w:val="24"/>
        </w:rPr>
        <w:t>根据T3航站楼相关规划设计的指标（面积、航空旅客量、布局等），分析T3航站楼建成投入使用后交通集散特征。</w:t>
      </w:r>
    </w:p>
    <w:p>
      <w:pPr>
        <w:tabs>
          <w:tab w:val="left" w:pos="1200"/>
        </w:tabs>
        <w:spacing w:line="360" w:lineRule="auto"/>
        <w:ind w:firstLine="480" w:firstLineChars="200"/>
        <w:outlineLvl w:val="9"/>
        <w:rPr>
          <w:rFonts w:hint="eastAsia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lang w:val="en-US" w:eastAsia="zh-CN"/>
        </w:rPr>
        <w:t>2.评估</w:t>
      </w:r>
      <w:r>
        <w:rPr>
          <w:rFonts w:hint="eastAsia"/>
          <w:color w:val="000000"/>
          <w:sz w:val="24"/>
        </w:rPr>
        <w:t>T3航站楼建设</w:t>
      </w:r>
      <w:r>
        <w:rPr>
          <w:rFonts w:hint="eastAsia"/>
          <w:color w:val="000000"/>
          <w:sz w:val="24"/>
          <w:lang w:eastAsia="zh-CN"/>
        </w:rPr>
        <w:t>对现状、规划交通体系的影响，识别未来可能面临的问题。</w:t>
      </w:r>
    </w:p>
    <w:p>
      <w:pPr>
        <w:tabs>
          <w:tab w:val="left" w:pos="1200"/>
        </w:tabs>
        <w:spacing w:line="360" w:lineRule="auto"/>
        <w:ind w:firstLine="480" w:firstLineChars="200"/>
        <w:outlineLvl w:val="9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4"/>
          <w:lang w:val="en-US" w:eastAsia="zh-CN"/>
        </w:rPr>
        <w:t>3.</w:t>
      </w:r>
      <w:r>
        <w:rPr>
          <w:rFonts w:hint="eastAsia"/>
          <w:color w:val="000000"/>
          <w:sz w:val="24"/>
        </w:rPr>
        <w:t>结合现状问题与未来趋势，提出面向大三亚区域、三亚市及机场周边地区的交通组织的思路，以及规划范围交通设施布局优化的建议和T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航站楼地区集疏运组织优化的方案。</w:t>
      </w:r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rFonts w:hint="eastAsia" w:eastAsia="宋体"/>
          <w:b/>
          <w:color w:val="000000"/>
          <w:sz w:val="24"/>
          <w:lang w:eastAsia="zh-CN"/>
        </w:rPr>
      </w:pPr>
      <w:bookmarkStart w:id="7" w:name="_Toc24410"/>
      <w:bookmarkStart w:id="8" w:name="_Toc22397"/>
      <w:r>
        <w:rPr>
          <w:rFonts w:hint="eastAsia"/>
          <w:b/>
          <w:color w:val="000000"/>
          <w:sz w:val="24"/>
          <w:lang w:eastAsia="zh-CN"/>
        </w:rPr>
        <w:t>四</w:t>
      </w:r>
      <w:r>
        <w:rPr>
          <w:rFonts w:hint="eastAsia"/>
          <w:b/>
          <w:color w:val="000000"/>
          <w:sz w:val="24"/>
        </w:rPr>
        <w:t>、工作</w:t>
      </w:r>
      <w:r>
        <w:rPr>
          <w:rFonts w:hint="eastAsia"/>
          <w:b/>
          <w:color w:val="000000"/>
          <w:sz w:val="24"/>
          <w:lang w:eastAsia="zh-CN"/>
        </w:rPr>
        <w:t>内容</w:t>
      </w:r>
      <w:bookmarkEnd w:id="7"/>
    </w:p>
    <w:p>
      <w:pPr>
        <w:tabs>
          <w:tab w:val="left" w:pos="1200"/>
        </w:tabs>
        <w:spacing w:line="360" w:lineRule="auto"/>
        <w:ind w:firstLine="480" w:firstLineChars="200"/>
        <w:outlineLvl w:val="9"/>
        <w:rPr>
          <w:color w:val="000000"/>
          <w:sz w:val="24"/>
        </w:rPr>
      </w:pPr>
      <w:bookmarkStart w:id="9" w:name="_Toc15749"/>
      <w:r>
        <w:rPr>
          <w:rFonts w:hint="eastAsia"/>
          <w:color w:val="000000"/>
          <w:sz w:val="24"/>
        </w:rPr>
        <w:t>（一）针对亚龙湾、海棠湾对外交通及内部交通现状存在的问题，以中长期城市和交通规划为依据，提出见效快的交通设计与工程改善方案、管理措施和近期建设项目库，在较短的时间内切实解决交通不畅、秩序不</w:t>
      </w:r>
      <w:r>
        <w:rPr>
          <w:rFonts w:hint="eastAsia"/>
          <w:color w:val="000000"/>
          <w:sz w:val="24"/>
          <w:lang w:val="en-US" w:eastAsia="zh-CN"/>
        </w:rPr>
        <w:t>良</w:t>
      </w:r>
      <w:r>
        <w:rPr>
          <w:rFonts w:hint="eastAsia"/>
          <w:color w:val="000000"/>
          <w:sz w:val="24"/>
        </w:rPr>
        <w:t>、品质不高等局面，进而提供一个“快速便捷，经济安全”的交通服务体系。</w:t>
      </w:r>
      <w:bookmarkEnd w:id="9"/>
    </w:p>
    <w:p>
      <w:pPr>
        <w:tabs>
          <w:tab w:val="left" w:pos="1200"/>
        </w:tabs>
        <w:spacing w:line="360" w:lineRule="auto"/>
        <w:ind w:firstLine="480" w:firstLineChars="200"/>
        <w:outlineLvl w:val="9"/>
        <w:rPr>
          <w:color w:val="000000"/>
          <w:sz w:val="24"/>
        </w:rPr>
      </w:pPr>
      <w:bookmarkStart w:id="10" w:name="_Toc8534"/>
      <w:r>
        <w:rPr>
          <w:rFonts w:hint="eastAsia"/>
          <w:color w:val="000000"/>
          <w:sz w:val="24"/>
        </w:rPr>
        <w:t>（二）在既有规划基础上，解析T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航站楼对周边交通体系的需求，提出面向大三亚、城市及机场片区的交通组织优化思路和方案，保障T3航站楼建设运营。</w:t>
      </w:r>
      <w:bookmarkEnd w:id="10"/>
    </w:p>
    <w:bookmarkEnd w:id="8"/>
    <w:p>
      <w:pPr>
        <w:tabs>
          <w:tab w:val="left" w:pos="1200"/>
        </w:tabs>
        <w:spacing w:line="360" w:lineRule="auto"/>
        <w:ind w:firstLine="482" w:firstLineChars="200"/>
        <w:outlineLvl w:val="1"/>
        <w:rPr>
          <w:b/>
          <w:color w:val="000000"/>
          <w:sz w:val="24"/>
        </w:rPr>
      </w:pPr>
      <w:bookmarkStart w:id="11" w:name="_Toc1606"/>
      <w:bookmarkStart w:id="12" w:name="_Toc12609"/>
      <w:r>
        <w:rPr>
          <w:rFonts w:hint="eastAsia"/>
          <w:b/>
          <w:color w:val="000000"/>
          <w:sz w:val="24"/>
          <w:lang w:eastAsia="zh-CN"/>
        </w:rPr>
        <w:t>五</w:t>
      </w:r>
      <w:r>
        <w:rPr>
          <w:rFonts w:hint="eastAsia"/>
          <w:b/>
          <w:color w:val="000000"/>
          <w:sz w:val="24"/>
        </w:rPr>
        <w:t>、成果提交</w:t>
      </w:r>
      <w:bookmarkEnd w:id="11"/>
      <w:bookmarkEnd w:id="12"/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1.规划成果（说明书、图集及附件）数量：</w:t>
      </w:r>
      <w:r>
        <w:rPr>
          <w:rFonts w:hint="eastAsia"/>
          <w:color w:val="000000"/>
          <w:sz w:val="24"/>
          <w:lang w:val="en-US" w:eastAsia="zh-CN"/>
        </w:rPr>
        <w:t>8</w:t>
      </w:r>
      <w:r>
        <w:rPr>
          <w:rFonts w:hint="eastAsia"/>
          <w:color w:val="000000"/>
          <w:sz w:val="24"/>
        </w:rPr>
        <w:t>套。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2.文件的电子档案格式要求：JPG、</w:t>
      </w:r>
      <w:r>
        <w:rPr>
          <w:rFonts w:hint="eastAsia"/>
          <w:color w:val="000000"/>
          <w:sz w:val="24"/>
          <w:lang w:val="en-US" w:eastAsia="zh-CN"/>
        </w:rPr>
        <w:t>CAD、</w:t>
      </w:r>
      <w:r>
        <w:rPr>
          <w:rFonts w:hint="eastAsia"/>
          <w:color w:val="000000"/>
          <w:sz w:val="24"/>
        </w:rPr>
        <w:t>PDF、</w:t>
      </w:r>
      <w:r>
        <w:rPr>
          <w:color w:val="000000"/>
          <w:sz w:val="24"/>
        </w:rPr>
        <w:t>WORD</w:t>
      </w:r>
      <w:r>
        <w:rPr>
          <w:rFonts w:hint="eastAsia"/>
          <w:color w:val="000000"/>
          <w:sz w:val="24"/>
        </w:rPr>
        <w:t>等。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.</w:t>
      </w:r>
      <w:r>
        <w:rPr>
          <w:color w:val="000000"/>
          <w:sz w:val="24"/>
        </w:rPr>
        <w:t>成果制作要求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规划编制单位在方案对接、成果评审、上报审批、成果验收等各阶段，均应</w:t>
      </w:r>
      <w:r>
        <w:rPr>
          <w:color w:val="auto"/>
          <w:sz w:val="24"/>
        </w:rPr>
        <w:t>向委托方提交</w:t>
      </w:r>
      <w:r>
        <w:rPr>
          <w:rFonts w:hint="eastAsia"/>
          <w:color w:val="auto"/>
          <w:sz w:val="24"/>
          <w:lang w:eastAsia="zh-CN"/>
        </w:rPr>
        <w:t>8</w:t>
      </w:r>
      <w:r>
        <w:rPr>
          <w:color w:val="auto"/>
          <w:sz w:val="24"/>
        </w:rPr>
        <w:t>套规划成果，最</w:t>
      </w:r>
      <w:r>
        <w:rPr>
          <w:color w:val="000000"/>
          <w:sz w:val="24"/>
        </w:rPr>
        <w:t>终成果上应盖有设计单位资质</w:t>
      </w:r>
      <w:r>
        <w:rPr>
          <w:rFonts w:hint="eastAsia"/>
          <w:color w:val="000000"/>
          <w:sz w:val="24"/>
        </w:rPr>
        <w:t>图章</w:t>
      </w:r>
      <w:r>
        <w:rPr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.规划成果深度要求：规划内容、成果深度应满足国家有关法律法规、标准，主要包括规划说明书、图集等。具体规划说明书、图集内容等允许规划编制单位根据规划编制的深入做出必要调整，但须经委托方确认同意。</w:t>
      </w:r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b/>
          <w:color w:val="000000"/>
          <w:sz w:val="24"/>
        </w:rPr>
      </w:pPr>
      <w:bookmarkStart w:id="13" w:name="_Toc28089"/>
      <w:bookmarkStart w:id="14" w:name="_Toc6314"/>
      <w:bookmarkStart w:id="15" w:name="_Toc26014"/>
      <w:r>
        <w:rPr>
          <w:rFonts w:hint="eastAsia"/>
          <w:b/>
          <w:color w:val="000000"/>
          <w:sz w:val="24"/>
          <w:lang w:eastAsia="zh-CN"/>
        </w:rPr>
        <w:t>六</w:t>
      </w:r>
      <w:r>
        <w:rPr>
          <w:rFonts w:hint="eastAsia"/>
          <w:b/>
          <w:color w:val="000000"/>
          <w:sz w:val="24"/>
        </w:rPr>
        <w:t>、实施的地点、时间</w:t>
      </w:r>
      <w:bookmarkEnd w:id="13"/>
      <w:r>
        <w:rPr>
          <w:rFonts w:hint="eastAsia"/>
          <w:b/>
          <w:color w:val="000000"/>
          <w:sz w:val="24"/>
        </w:rPr>
        <w:t>、工作进度</w:t>
      </w:r>
      <w:bookmarkEnd w:id="14"/>
      <w:bookmarkEnd w:id="15"/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（一）项目实施地点：海南省三亚市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（二）工作进度工作进度要求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本次规划编制工作周期预期为3个月，共分为以下四个阶段进行：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1.现状调查阶段（签订合同后的10天内）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现场踏勘、部门访谈、既有规划资料收集、酒店、购物中心、景点等调研工作。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2.方案阶段（签订合同后的第1个月）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完成现场调研资料解读、现状问题识别、既有规划评估、两湾对外交通衔接优化初步方案、内部交通改善初步方案，进行汇报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等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3.方案深化阶段（签订合同后的第2个月）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完成规划编制、征求意见、专家评审、批前公示等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4.规划成果报批阶段（签订合同后的第3个月）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根据意见修改完善规划成果，形成报批成果稿。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以上工作安排如遇不可抗力或国家政策变化等原因，时间相应顺延。</w:t>
      </w:r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b/>
          <w:color w:val="000000"/>
          <w:sz w:val="24"/>
        </w:rPr>
      </w:pPr>
      <w:bookmarkStart w:id="16" w:name="_Toc26551"/>
      <w:bookmarkStart w:id="17" w:name="_Toc4219"/>
      <w:r>
        <w:rPr>
          <w:rFonts w:hint="eastAsia"/>
          <w:b/>
          <w:color w:val="000000"/>
          <w:sz w:val="24"/>
          <w:lang w:eastAsia="zh-CN"/>
        </w:rPr>
        <w:t>七</w:t>
      </w:r>
      <w:r>
        <w:rPr>
          <w:rFonts w:hint="eastAsia"/>
          <w:b/>
          <w:color w:val="000000"/>
          <w:sz w:val="24"/>
        </w:rPr>
        <w:t>、项目预算说明</w:t>
      </w:r>
      <w:bookmarkEnd w:id="16"/>
      <w:bookmarkEnd w:id="17"/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（一）本项目预算金额为人民币230.00万元，超出预算金额的报价，按无效响应处理。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（二）本项目预算包括完成该项目的全部内容。包括劳务、管理、保险、利润、税金、人工费、设备费、劳保、调研费、评估费、差旅费、食宿费、通讯费、税费、成果文本制作费等完成本项目相关的全部费用。</w:t>
      </w:r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b/>
          <w:color w:val="000000"/>
          <w:sz w:val="24"/>
        </w:rPr>
      </w:pPr>
      <w:bookmarkStart w:id="18" w:name="_Toc5969"/>
      <w:bookmarkStart w:id="19" w:name="_Toc3776"/>
      <w:r>
        <w:rPr>
          <w:rFonts w:hint="eastAsia"/>
          <w:b/>
          <w:color w:val="000000"/>
          <w:sz w:val="24"/>
          <w:lang w:eastAsia="zh-CN"/>
        </w:rPr>
        <w:t>八</w:t>
      </w:r>
      <w:r>
        <w:rPr>
          <w:rFonts w:hint="eastAsia"/>
          <w:b/>
          <w:color w:val="000000"/>
          <w:sz w:val="24"/>
        </w:rPr>
        <w:t>、履约验收方案</w:t>
      </w:r>
      <w:bookmarkEnd w:id="18"/>
      <w:bookmarkEnd w:id="19"/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（一）履约验收主体：采购人。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（二）履约验收时间：提交规划编制成果后10个工作日内组织验收。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（三）履约验收方式：通过专家评审并经市政府同意。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（四）履约验收程序：提交规划编制成果—通过专家评审—经市政府同意。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（五）履约验收内容：验收内容包含但不限于以下内容：</w:t>
      </w: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说明书</w:t>
      </w:r>
      <w:r>
        <w:rPr>
          <w:rFonts w:hint="eastAsia" w:ascii="宋体" w:hAnsi="宋体" w:cs="宋体"/>
          <w:color w:val="000000"/>
          <w:sz w:val="24"/>
          <w:highlight w:val="none"/>
        </w:rPr>
        <w:t>、图纸等。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（六）履约验收标准：</w:t>
      </w:r>
      <w:bookmarkStart w:id="20" w:name="_Hlk106256714"/>
      <w:r>
        <w:rPr>
          <w:rFonts w:hint="eastAsia" w:ascii="宋体" w:hAnsi="宋体" w:cs="宋体"/>
          <w:color w:val="000000"/>
          <w:sz w:val="24"/>
          <w:highlight w:val="none"/>
        </w:rPr>
        <w:t>通过专家评审并经市政府同意。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（七）最终成果验收合格标志为：经市政府同意。</w:t>
      </w:r>
    </w:p>
    <w:bookmarkEnd w:id="20"/>
    <w:p>
      <w:pPr>
        <w:tabs>
          <w:tab w:val="left" w:pos="1200"/>
        </w:tabs>
        <w:spacing w:line="360" w:lineRule="auto"/>
        <w:ind w:firstLine="482" w:firstLineChars="200"/>
        <w:outlineLvl w:val="1"/>
        <w:rPr>
          <w:b/>
          <w:color w:val="000000"/>
          <w:sz w:val="24"/>
          <w:highlight w:val="none"/>
        </w:rPr>
      </w:pPr>
      <w:bookmarkStart w:id="21" w:name="_Toc19124"/>
      <w:bookmarkStart w:id="22" w:name="_Toc27777"/>
      <w:r>
        <w:rPr>
          <w:rFonts w:hint="eastAsia"/>
          <w:b/>
          <w:color w:val="000000"/>
          <w:sz w:val="24"/>
          <w:highlight w:val="none"/>
          <w:lang w:eastAsia="zh-CN"/>
        </w:rPr>
        <w:t>九</w:t>
      </w:r>
      <w:r>
        <w:rPr>
          <w:rFonts w:hint="eastAsia"/>
          <w:b/>
          <w:color w:val="000000"/>
          <w:sz w:val="24"/>
          <w:highlight w:val="none"/>
        </w:rPr>
        <w:t>、付款方式与步骤</w:t>
      </w:r>
      <w:bookmarkEnd w:id="21"/>
      <w:bookmarkEnd w:id="22"/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（一）第一次付费，合同签订后，甲方在收到乙方出具的完税票据十个工作日内，支付合同金额的30%。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（二）第二次付费，成果通过专家评审会后，且甲方在收到乙方出具的完税票据十个工作日内，支付合同金额的40%。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（三）第三次付费，成果经市政府同意后，且甲方在收到乙方出具的完税票据十个工作日内，支付合同金额的30%。</w:t>
      </w:r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b/>
          <w:color w:val="000000"/>
          <w:sz w:val="24"/>
        </w:rPr>
      </w:pPr>
      <w:bookmarkStart w:id="23" w:name="_Toc31419"/>
      <w:bookmarkStart w:id="24" w:name="_Toc28646"/>
      <w:bookmarkStart w:id="25" w:name="_Toc3416"/>
      <w:r>
        <w:rPr>
          <w:rFonts w:hint="eastAsia"/>
          <w:b/>
          <w:color w:val="000000"/>
          <w:sz w:val="24"/>
          <w:lang w:eastAsia="zh-CN"/>
        </w:rPr>
        <w:t>十</w:t>
      </w:r>
      <w:r>
        <w:rPr>
          <w:rFonts w:hint="eastAsia"/>
          <w:b/>
          <w:color w:val="000000"/>
          <w:sz w:val="24"/>
        </w:rPr>
        <w:t>、项目技术团队</w:t>
      </w:r>
      <w:bookmarkEnd w:id="23"/>
      <w:bookmarkEnd w:id="24"/>
      <w:bookmarkEnd w:id="25"/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（一）项目技术团队应当具备城乡</w:t>
      </w:r>
      <w:r>
        <w:rPr>
          <w:rFonts w:hint="eastAsia" w:ascii="宋体" w:hAnsi="宋体" w:cs="宋体"/>
          <w:color w:val="000000"/>
          <w:sz w:val="24"/>
          <w:lang w:eastAsia="zh-CN"/>
        </w:rPr>
        <w:t>（市）</w:t>
      </w:r>
      <w:r>
        <w:rPr>
          <w:rFonts w:hint="eastAsia" w:ascii="宋体" w:hAnsi="宋体" w:cs="宋体"/>
          <w:color w:val="000000"/>
          <w:sz w:val="24"/>
        </w:rPr>
        <w:t>规划或城市交通等相关专业职称技术人员，需具备丰富的交通规划相关工作经验。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）项目负责人要求具有从事交通规划设计工作经验，负责项目组织、协调与管理；项目组成员要求具有相关工作经验及相关专业技术资格证书。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z w:val="24"/>
        </w:rPr>
        <w:t>）未经采购人同意不得更换相关技术团队人员。</w:t>
      </w:r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b/>
          <w:color w:val="000000"/>
          <w:sz w:val="24"/>
        </w:rPr>
      </w:pPr>
      <w:bookmarkStart w:id="26" w:name="_Toc14834"/>
      <w:bookmarkStart w:id="27" w:name="_Toc4108"/>
      <w:bookmarkStart w:id="28" w:name="_Toc26221"/>
      <w:r>
        <w:rPr>
          <w:rFonts w:hint="eastAsia"/>
          <w:b/>
          <w:color w:val="000000"/>
          <w:sz w:val="24"/>
        </w:rPr>
        <w:t>十</w:t>
      </w:r>
      <w:r>
        <w:rPr>
          <w:rFonts w:hint="eastAsia"/>
          <w:b/>
          <w:color w:val="000000"/>
          <w:sz w:val="24"/>
          <w:lang w:eastAsia="zh-CN"/>
        </w:rPr>
        <w:t>一</w:t>
      </w:r>
      <w:r>
        <w:rPr>
          <w:rFonts w:hint="eastAsia"/>
          <w:b/>
          <w:color w:val="000000"/>
          <w:sz w:val="24"/>
        </w:rPr>
        <w:t>、项目经验</w:t>
      </w:r>
      <w:bookmarkEnd w:id="26"/>
      <w:bookmarkEnd w:id="27"/>
      <w:bookmarkEnd w:id="28"/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（一）2017年1月1日至今，供应商具有规划类项目经验。</w:t>
      </w:r>
    </w:p>
    <w:p>
      <w:pPr>
        <w:tabs>
          <w:tab w:val="left" w:pos="1200"/>
        </w:tabs>
        <w:spacing w:line="360" w:lineRule="auto"/>
        <w:ind w:firstLine="482" w:firstLineChars="200"/>
        <w:outlineLvl w:val="1"/>
        <w:rPr>
          <w:b/>
          <w:color w:val="000000"/>
          <w:sz w:val="24"/>
        </w:rPr>
      </w:pPr>
      <w:bookmarkStart w:id="29" w:name="_Toc31156"/>
      <w:r>
        <w:rPr>
          <w:rFonts w:hint="eastAsia"/>
          <w:b/>
          <w:color w:val="000000"/>
          <w:sz w:val="24"/>
        </w:rPr>
        <w:t>十</w:t>
      </w:r>
      <w:r>
        <w:rPr>
          <w:rFonts w:hint="eastAsia"/>
          <w:b/>
          <w:color w:val="000000"/>
          <w:sz w:val="24"/>
          <w:lang w:eastAsia="zh-CN"/>
        </w:rPr>
        <w:t>二</w:t>
      </w:r>
      <w:r>
        <w:rPr>
          <w:rFonts w:hint="eastAsia"/>
          <w:b/>
          <w:color w:val="000000"/>
          <w:sz w:val="24"/>
        </w:rPr>
        <w:t>、项目所属行业</w:t>
      </w:r>
      <w:bookmarkEnd w:id="29"/>
    </w:p>
    <w:p>
      <w:pPr>
        <w:spacing w:line="360" w:lineRule="auto"/>
        <w:ind w:firstLine="480" w:firstLineChars="200"/>
        <w:rPr>
          <w:b/>
          <w:smallCaps/>
          <w:color w:val="000000"/>
          <w:sz w:val="48"/>
          <w:szCs w:val="48"/>
        </w:rPr>
      </w:pPr>
      <w:r>
        <w:rPr>
          <w:rFonts w:hint="eastAsia" w:ascii="宋体" w:hAnsi="宋体" w:cs="宋体"/>
          <w:color w:val="000000"/>
          <w:sz w:val="24"/>
        </w:rPr>
        <w:t>根据《统计上大中小微型企业划分办法（2017）》，本项目所属行业为他未列明行业。如供应商对本项目所属行业有疑义，请以书面形式向采购代理机构提出。</w:t>
      </w:r>
    </w:p>
    <w:p>
      <w:bookmarkStart w:id="30" w:name="_GoBack"/>
      <w:bookmarkEnd w:id="3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UxOTVlMzgzOTJiZDdmNWYwZDFkODEwMDhkMmIifQ=="/>
  </w:docVars>
  <w:rsids>
    <w:rsidRoot w:val="798157FE"/>
    <w:rsid w:val="5649540E"/>
    <w:rsid w:val="798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100" w:beforeLines="0" w:beforeAutospacing="1" w:after="100" w:afterLines="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caption"/>
    <w:basedOn w:val="1"/>
    <w:next w:val="1"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2356</Words>
  <Characters>2430</Characters>
  <Lines>0</Lines>
  <Paragraphs>0</Paragraphs>
  <TotalTime>0</TotalTime>
  <ScaleCrop>false</ScaleCrop>
  <LinksUpToDate>false</LinksUpToDate>
  <CharactersWithSpaces>2434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2022-07-22T08:18:00Z</dcterms:created>
  <dc:creator>Emnnnn</dc:creator>
  <cp:lastModifiedBy>cdx</cp:lastModifiedBy>
  <dcterms:modified xsi:type="dcterms:W3CDTF">2022-11-28T01:19:49Z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B8347A28761A42ABB80F3C701ADDE3F0</vt:lpwstr>
  </property>
</Properties>
</file>