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2"/>
        <w:spacing w:line="360" w:lineRule="auto"/>
        <w:jc w:val="both"/>
        <w:rPr>
          <w:rFonts w:hint="eastAsia" w:ascii="宋体" w:hAnsi="宋体" w:cs="宋体"/>
          <w:b/>
          <w:w w:val="99"/>
          <w:sz w:val="32"/>
          <w:lang w:val="en-US" w:eastAsia="zh-CN"/>
        </w:rPr>
      </w:pPr>
      <w:r>
        <w:rPr>
          <w:rFonts w:hint="eastAsia" w:hAnsi="宋体" w:cs="宋体"/>
          <w:color w:val="auto"/>
          <w:sz w:val="52"/>
          <w:szCs w:val="52"/>
          <w:highlight w:val="none"/>
          <w:lang w:val="en-US" w:eastAsia="zh-CN"/>
        </w:rPr>
        <w:t xml:space="preserve">   </w:t>
      </w:r>
      <w:r>
        <w:rPr>
          <w:rFonts w:hint="eastAsia" w:hAnsi="宋体" w:cs="宋体"/>
          <w:color w:val="auto"/>
          <w:sz w:val="52"/>
          <w:szCs w:val="52"/>
          <w:highlight w:val="none"/>
          <w:lang w:val="en-US" w:eastAsia="zh-CN"/>
        </w:rPr>
        <w:drawing>
          <wp:inline distT="0" distB="0" distL="114300" distR="114300">
            <wp:extent cx="5868035" cy="8070850"/>
            <wp:effectExtent l="0" t="0" r="18415" b="6350"/>
            <wp:docPr id="1" name="图片 1" descr="8e47560fac748cd088b5c096fe4ac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8e47560fac748cd088b5c096fe4ac1c"/>
                    <pic:cNvPicPr>
                      <a:picLocks noChangeAspect="1"/>
                    </pic:cNvPicPr>
                  </pic:nvPicPr>
                  <pic:blipFill>
                    <a:blip r:embed="rId6"/>
                    <a:stretch>
                      <a:fillRect/>
                    </a:stretch>
                  </pic:blipFill>
                  <pic:spPr>
                    <a:xfrm>
                      <a:off x="0" y="0"/>
                      <a:ext cx="5868035" cy="8070850"/>
                    </a:xfrm>
                    <a:prstGeom prst="rect">
                      <a:avLst/>
                    </a:prstGeom>
                  </pic:spPr>
                </pic:pic>
              </a:graphicData>
            </a:graphic>
          </wp:inline>
        </w:drawing>
      </w:r>
      <w:r>
        <w:rPr>
          <w:rFonts w:hint="eastAsia" w:hAnsi="宋体" w:cs="宋体"/>
          <w:color w:val="auto"/>
          <w:sz w:val="52"/>
          <w:szCs w:val="52"/>
          <w:highlight w:val="none"/>
          <w:lang w:val="en-US" w:eastAsia="zh-CN"/>
        </w:rPr>
        <w:t xml:space="preserve">      </w:t>
      </w:r>
    </w:p>
    <w:p>
      <w:pPr>
        <w:pStyle w:val="22"/>
        <w:spacing w:line="360" w:lineRule="auto"/>
        <w:jc w:val="center"/>
        <w:rPr>
          <w:rFonts w:hint="eastAsia" w:ascii="宋体" w:hAnsi="宋体" w:cs="宋体"/>
          <w:b/>
          <w:color w:val="auto"/>
          <w:sz w:val="30"/>
          <w:szCs w:val="30"/>
          <w:highlight w:val="none"/>
        </w:rPr>
      </w:pPr>
      <w:r>
        <w:rPr>
          <w:rFonts w:hint="eastAsia" w:ascii="宋体" w:hAnsi="宋体" w:cs="宋体"/>
          <w:b/>
          <w:color w:val="auto"/>
          <w:sz w:val="30"/>
          <w:szCs w:val="30"/>
          <w:highlight w:val="none"/>
        </w:rPr>
        <w:t>目  录</w:t>
      </w:r>
    </w:p>
    <w:p>
      <w:pPr>
        <w:pStyle w:val="3"/>
        <w:rPr>
          <w:rFonts w:hint="eastAsia" w:cs="宋体"/>
          <w:color w:val="auto"/>
          <w:sz w:val="21"/>
          <w:szCs w:val="21"/>
          <w:highlight w:val="none"/>
          <w:lang w:val="en-US"/>
        </w:rPr>
      </w:pPr>
    </w:p>
    <w:p>
      <w:pPr>
        <w:pStyle w:val="32"/>
        <w:rPr>
          <w:rFonts w:hint="eastAsia" w:ascii="宋体" w:hAnsi="宋体" w:cs="宋体"/>
          <w:color w:val="auto"/>
          <w:szCs w:val="22"/>
          <w:highlight w:val="none"/>
        </w:rPr>
      </w:pPr>
      <w:r>
        <w:rPr>
          <w:rFonts w:hint="eastAsia" w:ascii="宋体" w:hAnsi="宋体" w:cs="宋体"/>
          <w:b/>
          <w:color w:val="auto"/>
          <w:sz w:val="28"/>
          <w:szCs w:val="28"/>
          <w:highlight w:val="none"/>
        </w:rPr>
        <w:fldChar w:fldCharType="begin"/>
      </w:r>
      <w:r>
        <w:rPr>
          <w:rFonts w:hint="eastAsia" w:ascii="宋体" w:hAnsi="宋体" w:cs="宋体"/>
          <w:b/>
          <w:color w:val="auto"/>
          <w:sz w:val="28"/>
          <w:szCs w:val="28"/>
          <w:highlight w:val="none"/>
        </w:rPr>
        <w:instrText xml:space="preserve"> TOC \o "1-4" \h \z \u </w:instrText>
      </w:r>
      <w:r>
        <w:rPr>
          <w:rFonts w:hint="eastAsia" w:ascii="宋体" w:hAnsi="宋体" w:cs="宋体"/>
          <w:b/>
          <w:color w:val="auto"/>
          <w:sz w:val="28"/>
          <w:szCs w:val="28"/>
          <w:highlight w:val="none"/>
        </w:rPr>
        <w:fldChar w:fldCharType="separate"/>
      </w:r>
      <w:bookmarkStart w:id="0" w:name="_Hlt400707497"/>
      <w:bookmarkEnd w:id="0"/>
      <w:r>
        <w:fldChar w:fldCharType="begin"/>
      </w:r>
      <w:r>
        <w:instrText xml:space="preserve"> HYPERLINK \l "_Toc65828983" </w:instrText>
      </w:r>
      <w:r>
        <w:fldChar w:fldCharType="separate"/>
      </w:r>
      <w:r>
        <w:rPr>
          <w:rStyle w:val="44"/>
          <w:rFonts w:hint="eastAsia" w:cs="宋体"/>
          <w:b/>
          <w:color w:val="auto"/>
          <w:highlight w:val="none"/>
        </w:rPr>
        <w:t>第一章 竞争性磋商邀请函</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_Toc65828983 \h </w:instrText>
      </w:r>
      <w:r>
        <w:rPr>
          <w:rFonts w:hint="eastAsia" w:ascii="宋体" w:hAnsi="宋体" w:cs="宋体"/>
          <w:color w:val="auto"/>
          <w:highlight w:val="none"/>
        </w:rPr>
        <w:fldChar w:fldCharType="separate"/>
      </w:r>
      <w:r>
        <w:rPr>
          <w:rFonts w:hint="eastAsia" w:ascii="宋体" w:hAnsi="宋体" w:cs="宋体"/>
          <w:color w:val="auto"/>
          <w:highlight w:val="none"/>
        </w:rPr>
        <w:t>2</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32"/>
        <w:rPr>
          <w:rFonts w:hint="eastAsia" w:ascii="宋体" w:hAnsi="宋体" w:cs="宋体"/>
          <w:color w:val="auto"/>
          <w:szCs w:val="22"/>
          <w:highlight w:val="none"/>
        </w:rPr>
      </w:pPr>
      <w:r>
        <w:fldChar w:fldCharType="begin"/>
      </w:r>
      <w:r>
        <w:instrText xml:space="preserve"> HYPERLINK \l "_Toc65828984" </w:instrText>
      </w:r>
      <w:r>
        <w:fldChar w:fldCharType="separate"/>
      </w:r>
      <w:r>
        <w:rPr>
          <w:rStyle w:val="44"/>
          <w:rFonts w:hint="eastAsia" w:cs="宋体"/>
          <w:b/>
          <w:color w:val="auto"/>
          <w:highlight w:val="none"/>
        </w:rPr>
        <w:t>第二章 供应商须知</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_Toc65828984 \h </w:instrText>
      </w:r>
      <w:r>
        <w:rPr>
          <w:rFonts w:hint="eastAsia" w:ascii="宋体" w:hAnsi="宋体" w:cs="宋体"/>
          <w:color w:val="auto"/>
          <w:highlight w:val="none"/>
        </w:rPr>
        <w:fldChar w:fldCharType="separate"/>
      </w:r>
      <w:r>
        <w:rPr>
          <w:rFonts w:hint="eastAsia" w:ascii="宋体" w:hAnsi="宋体" w:cs="宋体"/>
          <w:color w:val="auto"/>
          <w:highlight w:val="none"/>
        </w:rPr>
        <w:t>5</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32"/>
        <w:rPr>
          <w:rFonts w:hint="eastAsia" w:ascii="宋体" w:hAnsi="宋体" w:cs="宋体"/>
          <w:color w:val="auto"/>
          <w:szCs w:val="22"/>
          <w:highlight w:val="none"/>
        </w:rPr>
      </w:pPr>
      <w:r>
        <w:fldChar w:fldCharType="begin"/>
      </w:r>
      <w:r>
        <w:instrText xml:space="preserve"> HYPERLINK \l "_Toc65828985" </w:instrText>
      </w:r>
      <w:r>
        <w:fldChar w:fldCharType="separate"/>
      </w:r>
      <w:r>
        <w:rPr>
          <w:rStyle w:val="44"/>
          <w:rFonts w:hint="eastAsia" w:cs="宋体"/>
          <w:b/>
          <w:color w:val="auto"/>
          <w:highlight w:val="none"/>
        </w:rPr>
        <w:t>供应商须知前附表</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_Toc65828985 \h </w:instrText>
      </w:r>
      <w:r>
        <w:rPr>
          <w:rFonts w:hint="eastAsia" w:ascii="宋体" w:hAnsi="宋体" w:cs="宋体"/>
          <w:color w:val="auto"/>
          <w:highlight w:val="none"/>
        </w:rPr>
        <w:fldChar w:fldCharType="separate"/>
      </w:r>
      <w:r>
        <w:rPr>
          <w:rFonts w:hint="eastAsia" w:ascii="宋体" w:hAnsi="宋体" w:cs="宋体"/>
          <w:color w:val="auto"/>
          <w:highlight w:val="none"/>
        </w:rPr>
        <w:t>5</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32"/>
        <w:rPr>
          <w:rFonts w:hint="eastAsia" w:ascii="宋体" w:hAnsi="宋体" w:cs="宋体"/>
          <w:color w:val="auto"/>
          <w:szCs w:val="22"/>
          <w:highlight w:val="none"/>
        </w:rPr>
      </w:pPr>
      <w:r>
        <w:fldChar w:fldCharType="begin"/>
      </w:r>
      <w:r>
        <w:instrText xml:space="preserve"> HYPERLINK \l "_Toc65829020" </w:instrText>
      </w:r>
      <w:r>
        <w:fldChar w:fldCharType="separate"/>
      </w:r>
      <w:r>
        <w:rPr>
          <w:rStyle w:val="44"/>
          <w:rFonts w:hint="eastAsia" w:cs="宋体"/>
          <w:b/>
          <w:color w:val="auto"/>
          <w:highlight w:val="none"/>
        </w:rPr>
        <w:t>第三章 用户需求书</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_Toc65829020 \h </w:instrText>
      </w:r>
      <w:r>
        <w:rPr>
          <w:rFonts w:hint="eastAsia" w:ascii="宋体" w:hAnsi="宋体" w:cs="宋体"/>
          <w:color w:val="auto"/>
          <w:highlight w:val="none"/>
        </w:rPr>
        <w:fldChar w:fldCharType="separate"/>
      </w:r>
      <w:r>
        <w:rPr>
          <w:rFonts w:hint="eastAsia" w:ascii="宋体" w:hAnsi="宋体" w:cs="宋体"/>
          <w:color w:val="auto"/>
          <w:highlight w:val="none"/>
        </w:rPr>
        <w:t>20</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32"/>
        <w:rPr>
          <w:rFonts w:hint="eastAsia" w:ascii="宋体" w:hAnsi="宋体" w:cs="宋体"/>
          <w:color w:val="auto"/>
          <w:szCs w:val="22"/>
          <w:highlight w:val="none"/>
        </w:rPr>
      </w:pPr>
      <w:r>
        <w:fldChar w:fldCharType="begin"/>
      </w:r>
      <w:r>
        <w:instrText xml:space="preserve"> HYPERLINK \l "_Toc65829021" </w:instrText>
      </w:r>
      <w:r>
        <w:fldChar w:fldCharType="separate"/>
      </w:r>
      <w:r>
        <w:rPr>
          <w:rStyle w:val="44"/>
          <w:rFonts w:hint="eastAsia" w:cs="宋体"/>
          <w:b/>
          <w:color w:val="auto"/>
          <w:highlight w:val="none"/>
        </w:rPr>
        <w:t>四章 合同条款</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_Toc65829021 \h </w:instrText>
      </w:r>
      <w:r>
        <w:rPr>
          <w:rFonts w:hint="eastAsia" w:ascii="宋体" w:hAnsi="宋体" w:cs="宋体"/>
          <w:color w:val="auto"/>
          <w:highlight w:val="none"/>
        </w:rPr>
        <w:fldChar w:fldCharType="separate"/>
      </w:r>
      <w:r>
        <w:rPr>
          <w:rFonts w:hint="eastAsia" w:ascii="宋体" w:hAnsi="宋体" w:cs="宋体"/>
          <w:color w:val="auto"/>
          <w:highlight w:val="none"/>
        </w:rPr>
        <w:t>20</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32"/>
        <w:rPr>
          <w:rFonts w:hint="eastAsia" w:ascii="宋体" w:hAnsi="宋体" w:cs="宋体"/>
          <w:color w:val="auto"/>
          <w:szCs w:val="22"/>
          <w:highlight w:val="none"/>
        </w:rPr>
      </w:pPr>
      <w:r>
        <w:fldChar w:fldCharType="begin"/>
      </w:r>
      <w:r>
        <w:instrText xml:space="preserve"> HYPERLINK \l "_Toc65829023" </w:instrText>
      </w:r>
      <w:r>
        <w:fldChar w:fldCharType="separate"/>
      </w:r>
      <w:r>
        <w:rPr>
          <w:rStyle w:val="44"/>
          <w:rFonts w:hint="eastAsia" w:cs="宋体"/>
          <w:b/>
          <w:color w:val="auto"/>
          <w:highlight w:val="none"/>
        </w:rPr>
        <w:t>第五章 评审标准及</w:t>
      </w:r>
      <w:bookmarkStart w:id="1" w:name="_Hlt65829444"/>
      <w:r>
        <w:rPr>
          <w:rStyle w:val="44"/>
          <w:rFonts w:hint="eastAsia" w:cs="宋体"/>
          <w:b/>
          <w:color w:val="auto"/>
          <w:highlight w:val="none"/>
        </w:rPr>
        <w:t>办</w:t>
      </w:r>
      <w:bookmarkEnd w:id="1"/>
      <w:r>
        <w:rPr>
          <w:rStyle w:val="44"/>
          <w:rFonts w:hint="eastAsia" w:cs="宋体"/>
          <w:b/>
          <w:color w:val="auto"/>
          <w:highlight w:val="none"/>
        </w:rPr>
        <w:t>法</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_Toc65829023 \h </w:instrText>
      </w:r>
      <w:r>
        <w:rPr>
          <w:rFonts w:hint="eastAsia" w:ascii="宋体" w:hAnsi="宋体" w:cs="宋体"/>
          <w:color w:val="auto"/>
          <w:highlight w:val="none"/>
        </w:rPr>
        <w:fldChar w:fldCharType="separate"/>
      </w:r>
      <w:r>
        <w:rPr>
          <w:rFonts w:hint="eastAsia" w:ascii="宋体" w:hAnsi="宋体" w:cs="宋体"/>
          <w:color w:val="auto"/>
          <w:highlight w:val="none"/>
        </w:rPr>
        <w:t>23</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32"/>
        <w:rPr>
          <w:rFonts w:hint="eastAsia" w:ascii="宋体" w:hAnsi="宋体" w:cs="宋体"/>
          <w:color w:val="auto"/>
          <w:szCs w:val="22"/>
          <w:highlight w:val="none"/>
        </w:rPr>
      </w:pPr>
      <w:r>
        <w:fldChar w:fldCharType="begin"/>
      </w:r>
      <w:r>
        <w:instrText xml:space="preserve"> HYPERLINK \l "_Toc65829032" </w:instrText>
      </w:r>
      <w:r>
        <w:fldChar w:fldCharType="separate"/>
      </w:r>
      <w:r>
        <w:rPr>
          <w:rStyle w:val="44"/>
          <w:rFonts w:hint="eastAsia" w:cs="宋体"/>
          <w:b/>
          <w:color w:val="auto"/>
          <w:highlight w:val="none"/>
        </w:rPr>
        <w:t>第六章 响应文件格式</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_Toc65829032 \h </w:instrText>
      </w:r>
      <w:r>
        <w:rPr>
          <w:rFonts w:hint="eastAsia" w:ascii="宋体" w:hAnsi="宋体" w:cs="宋体"/>
          <w:color w:val="auto"/>
          <w:highlight w:val="none"/>
        </w:rPr>
        <w:fldChar w:fldCharType="separate"/>
      </w:r>
      <w:r>
        <w:rPr>
          <w:rFonts w:hint="eastAsia" w:ascii="宋体" w:hAnsi="宋体" w:cs="宋体"/>
          <w:color w:val="auto"/>
          <w:highlight w:val="none"/>
        </w:rPr>
        <w:t>28</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rPr>
          <w:rFonts w:hint="eastAsia" w:ascii="宋体" w:hAnsi="宋体" w:cs="宋体"/>
          <w:color w:val="auto"/>
          <w:highlight w:val="none"/>
        </w:rPr>
      </w:pPr>
      <w:r>
        <w:rPr>
          <w:rFonts w:hint="eastAsia" w:ascii="宋体" w:hAnsi="宋体" w:cs="宋体"/>
          <w:color w:val="auto"/>
          <w:highlight w:val="none"/>
        </w:rPr>
        <w:fldChar w:fldCharType="end"/>
      </w:r>
      <w:bookmarkStart w:id="2" w:name="_Toc65828983"/>
      <w:bookmarkStart w:id="3" w:name="_Toc120673976"/>
    </w:p>
    <w:p>
      <w:pPr>
        <w:rPr>
          <w:rFonts w:hint="eastAsia" w:ascii="宋体" w:hAnsi="宋体" w:cs="宋体"/>
          <w:color w:val="auto"/>
          <w:highlight w:val="none"/>
        </w:rPr>
      </w:pPr>
    </w:p>
    <w:p>
      <w:pPr>
        <w:rPr>
          <w:rFonts w:hint="eastAsia" w:ascii="宋体" w:hAnsi="宋体" w:cs="宋体"/>
          <w:color w:val="auto"/>
          <w:highlight w:val="none"/>
        </w:rPr>
      </w:pPr>
    </w:p>
    <w:p>
      <w:pPr>
        <w:rPr>
          <w:rFonts w:hint="eastAsia" w:ascii="宋体" w:hAnsi="宋体" w:cs="宋体"/>
          <w:color w:val="auto"/>
          <w:highlight w:val="none"/>
        </w:rPr>
      </w:pPr>
    </w:p>
    <w:p>
      <w:pPr>
        <w:rPr>
          <w:rFonts w:hint="eastAsia" w:ascii="宋体" w:hAnsi="宋体" w:cs="宋体"/>
          <w:color w:val="auto"/>
          <w:highlight w:val="none"/>
        </w:rPr>
      </w:pPr>
    </w:p>
    <w:p>
      <w:pPr>
        <w:rPr>
          <w:rFonts w:hint="eastAsia" w:ascii="宋体" w:hAnsi="宋体" w:cs="宋体"/>
          <w:color w:val="auto"/>
          <w:highlight w:val="none"/>
        </w:rPr>
      </w:pPr>
    </w:p>
    <w:p>
      <w:pPr>
        <w:rPr>
          <w:rFonts w:hint="eastAsia" w:ascii="宋体" w:hAnsi="宋体" w:cs="宋体"/>
          <w:color w:val="auto"/>
          <w:highlight w:val="none"/>
        </w:rPr>
      </w:pPr>
    </w:p>
    <w:p>
      <w:pPr>
        <w:rPr>
          <w:rFonts w:hint="eastAsia" w:ascii="宋体" w:hAnsi="宋体" w:cs="宋体"/>
          <w:color w:val="auto"/>
          <w:highlight w:val="none"/>
        </w:rPr>
      </w:pPr>
    </w:p>
    <w:p>
      <w:pPr>
        <w:rPr>
          <w:rFonts w:hint="eastAsia" w:ascii="宋体" w:hAnsi="宋体" w:cs="宋体"/>
          <w:color w:val="auto"/>
          <w:highlight w:val="none"/>
        </w:rPr>
      </w:pPr>
    </w:p>
    <w:p>
      <w:pPr>
        <w:rPr>
          <w:rFonts w:hint="eastAsia" w:ascii="宋体" w:hAnsi="宋体" w:cs="宋体"/>
          <w:color w:val="auto"/>
          <w:highlight w:val="none"/>
        </w:rPr>
      </w:pPr>
    </w:p>
    <w:p>
      <w:pPr>
        <w:rPr>
          <w:rFonts w:hint="eastAsia" w:ascii="宋体" w:hAnsi="宋体" w:cs="宋体"/>
          <w:color w:val="auto"/>
          <w:highlight w:val="none"/>
        </w:rPr>
      </w:pPr>
    </w:p>
    <w:p>
      <w:pPr>
        <w:rPr>
          <w:rFonts w:hint="eastAsia" w:ascii="宋体" w:hAnsi="宋体" w:cs="宋体"/>
          <w:color w:val="auto"/>
          <w:highlight w:val="none"/>
        </w:rPr>
      </w:pPr>
    </w:p>
    <w:p>
      <w:pPr>
        <w:rPr>
          <w:rFonts w:hint="eastAsia" w:ascii="宋体" w:hAnsi="宋体" w:cs="宋体"/>
          <w:color w:val="auto"/>
          <w:highlight w:val="none"/>
        </w:rPr>
      </w:pPr>
    </w:p>
    <w:p>
      <w:pPr>
        <w:rPr>
          <w:rFonts w:hint="eastAsia" w:ascii="宋体" w:hAnsi="宋体" w:cs="宋体"/>
          <w:color w:val="auto"/>
          <w:highlight w:val="none"/>
        </w:rPr>
      </w:pPr>
    </w:p>
    <w:p>
      <w:pPr>
        <w:rPr>
          <w:rFonts w:hint="eastAsia" w:ascii="宋体" w:hAnsi="宋体" w:cs="宋体"/>
          <w:color w:val="auto"/>
          <w:highlight w:val="none"/>
        </w:rPr>
      </w:pPr>
    </w:p>
    <w:p>
      <w:pPr>
        <w:rPr>
          <w:rFonts w:hint="eastAsia" w:ascii="宋体" w:hAnsi="宋体" w:cs="宋体"/>
          <w:color w:val="auto"/>
          <w:highlight w:val="none"/>
        </w:rPr>
      </w:pPr>
    </w:p>
    <w:p>
      <w:pPr>
        <w:rPr>
          <w:rFonts w:hint="eastAsia" w:ascii="宋体" w:hAnsi="宋体" w:cs="宋体"/>
          <w:color w:val="auto"/>
          <w:highlight w:val="none"/>
        </w:rPr>
      </w:pPr>
    </w:p>
    <w:p>
      <w:pPr>
        <w:rPr>
          <w:rFonts w:hint="eastAsia" w:ascii="宋体" w:hAnsi="宋体" w:cs="宋体"/>
          <w:color w:val="auto"/>
          <w:highlight w:val="none"/>
        </w:rPr>
      </w:pPr>
    </w:p>
    <w:p>
      <w:pPr>
        <w:rPr>
          <w:rFonts w:hint="eastAsia" w:ascii="宋体" w:hAnsi="宋体" w:cs="宋体"/>
          <w:color w:val="auto"/>
          <w:highlight w:val="none"/>
        </w:rPr>
      </w:pPr>
    </w:p>
    <w:p>
      <w:pPr>
        <w:rPr>
          <w:rFonts w:hint="eastAsia" w:ascii="宋体" w:hAnsi="宋体" w:cs="宋体"/>
          <w:color w:val="auto"/>
          <w:highlight w:val="none"/>
        </w:rPr>
      </w:pPr>
    </w:p>
    <w:p>
      <w:pPr>
        <w:rPr>
          <w:rFonts w:hint="eastAsia" w:ascii="宋体" w:hAnsi="宋体" w:cs="宋体"/>
          <w:color w:val="auto"/>
          <w:highlight w:val="none"/>
        </w:rPr>
      </w:pPr>
    </w:p>
    <w:p>
      <w:pPr>
        <w:rPr>
          <w:rFonts w:hint="eastAsia" w:ascii="宋体" w:hAnsi="宋体" w:cs="宋体"/>
          <w:color w:val="auto"/>
          <w:highlight w:val="none"/>
        </w:rPr>
      </w:pPr>
    </w:p>
    <w:p>
      <w:pPr>
        <w:rPr>
          <w:rFonts w:hint="eastAsia" w:ascii="宋体" w:hAnsi="宋体" w:cs="宋体"/>
          <w:color w:val="auto"/>
          <w:highlight w:val="none"/>
        </w:rPr>
      </w:pPr>
    </w:p>
    <w:p>
      <w:pPr>
        <w:rPr>
          <w:rFonts w:hint="eastAsia" w:ascii="宋体" w:hAnsi="宋体" w:cs="宋体"/>
          <w:color w:val="auto"/>
          <w:highlight w:val="none"/>
        </w:rPr>
      </w:pPr>
    </w:p>
    <w:p>
      <w:pPr>
        <w:rPr>
          <w:rFonts w:hint="eastAsia" w:ascii="宋体" w:hAnsi="宋体" w:cs="宋体"/>
          <w:color w:val="auto"/>
          <w:highlight w:val="none"/>
        </w:rPr>
      </w:pPr>
    </w:p>
    <w:p>
      <w:pPr>
        <w:rPr>
          <w:rFonts w:hint="eastAsia" w:ascii="宋体" w:hAnsi="宋体" w:cs="宋体"/>
          <w:color w:val="auto"/>
          <w:highlight w:val="none"/>
        </w:rPr>
      </w:pPr>
    </w:p>
    <w:p>
      <w:pPr>
        <w:rPr>
          <w:rFonts w:hint="eastAsia" w:ascii="宋体" w:hAnsi="宋体" w:cs="宋体"/>
          <w:color w:val="auto"/>
          <w:highlight w:val="none"/>
        </w:rPr>
      </w:pPr>
    </w:p>
    <w:p>
      <w:pPr>
        <w:rPr>
          <w:rFonts w:hint="eastAsia" w:ascii="宋体" w:hAnsi="宋体" w:cs="宋体"/>
          <w:color w:val="auto"/>
          <w:highlight w:val="none"/>
        </w:rPr>
      </w:pPr>
    </w:p>
    <w:p>
      <w:pPr>
        <w:rPr>
          <w:rFonts w:hint="eastAsia" w:ascii="宋体" w:hAnsi="宋体" w:cs="宋体"/>
          <w:color w:val="auto"/>
          <w:highlight w:val="none"/>
        </w:rPr>
      </w:pPr>
    </w:p>
    <w:p>
      <w:pPr>
        <w:rPr>
          <w:rFonts w:hint="eastAsia" w:ascii="宋体" w:hAnsi="宋体" w:cs="宋体"/>
          <w:color w:val="auto"/>
          <w:highlight w:val="none"/>
        </w:rPr>
      </w:pPr>
    </w:p>
    <w:p>
      <w:pPr>
        <w:rPr>
          <w:rFonts w:hint="eastAsia" w:ascii="宋体" w:hAnsi="宋体" w:cs="宋体"/>
          <w:color w:val="auto"/>
          <w:highlight w:val="none"/>
        </w:rPr>
      </w:pPr>
    </w:p>
    <w:p>
      <w:pPr>
        <w:rPr>
          <w:rFonts w:hint="eastAsia" w:ascii="宋体" w:hAnsi="宋体" w:cs="宋体"/>
          <w:color w:val="auto"/>
          <w:highlight w:val="none"/>
        </w:rPr>
      </w:pPr>
    </w:p>
    <w:p>
      <w:pPr>
        <w:jc w:val="center"/>
        <w:rPr>
          <w:rFonts w:hint="eastAsia" w:cs="宋体"/>
          <w:b/>
          <w:color w:val="auto"/>
          <w:sz w:val="36"/>
          <w:szCs w:val="36"/>
          <w:highlight w:val="none"/>
        </w:rPr>
      </w:pPr>
    </w:p>
    <w:p>
      <w:pPr>
        <w:jc w:val="center"/>
        <w:rPr>
          <w:rFonts w:hint="eastAsia" w:cs="宋体"/>
          <w:b/>
          <w:color w:val="auto"/>
          <w:sz w:val="36"/>
          <w:szCs w:val="36"/>
          <w:highlight w:val="none"/>
        </w:rPr>
      </w:pPr>
      <w:r>
        <w:rPr>
          <w:rFonts w:hint="eastAsia" w:cs="宋体"/>
          <w:b/>
          <w:color w:val="auto"/>
          <w:sz w:val="36"/>
          <w:szCs w:val="36"/>
          <w:highlight w:val="none"/>
        </w:rPr>
        <w:t>第一章 竞争性磋商邀请函</w:t>
      </w:r>
      <w:bookmarkEnd w:id="2"/>
    </w:p>
    <w:p>
      <w:pPr>
        <w:pBdr>
          <w:top w:val="single" w:color="auto" w:sz="4" w:space="0"/>
          <w:left w:val="single" w:color="auto" w:sz="4" w:space="4"/>
          <w:bottom w:val="single" w:color="auto" w:sz="4" w:space="1"/>
          <w:right w:val="single" w:color="auto" w:sz="4" w:space="4"/>
        </w:pBdr>
        <w:spacing w:line="276" w:lineRule="auto"/>
        <w:rPr>
          <w:rFonts w:hint="eastAsia" w:ascii="宋体" w:hAnsi="宋体" w:cs="宋体"/>
          <w:color w:val="auto"/>
          <w:sz w:val="24"/>
          <w:szCs w:val="24"/>
          <w:highlight w:val="none"/>
        </w:rPr>
      </w:pPr>
      <w:bookmarkStart w:id="4" w:name="_Toc246996909"/>
      <w:bookmarkStart w:id="5" w:name="_Toc152045519"/>
      <w:bookmarkStart w:id="6" w:name="_Toc246996166"/>
      <w:bookmarkStart w:id="7" w:name="_Toc247085680"/>
      <w:bookmarkStart w:id="8" w:name="_Toc351453322"/>
      <w:bookmarkStart w:id="9" w:name="_Toc144974487"/>
      <w:bookmarkStart w:id="10" w:name="_Toc152042295"/>
      <w:bookmarkStart w:id="11" w:name="_Toc179632536"/>
      <w:r>
        <w:rPr>
          <w:rFonts w:hint="eastAsia" w:ascii="宋体" w:hAnsi="宋体" w:cs="宋体"/>
          <w:color w:val="auto"/>
          <w:sz w:val="24"/>
          <w:szCs w:val="24"/>
          <w:highlight w:val="none"/>
        </w:rPr>
        <w:t>项目概况</w:t>
      </w:r>
    </w:p>
    <w:p>
      <w:pPr>
        <w:pBdr>
          <w:top w:val="single" w:color="auto" w:sz="4" w:space="0"/>
          <w:left w:val="single" w:color="auto" w:sz="4" w:space="4"/>
          <w:bottom w:val="single" w:color="auto" w:sz="4" w:space="1"/>
          <w:right w:val="single" w:color="auto" w:sz="4" w:space="4"/>
        </w:pBdr>
        <w:spacing w:line="276" w:lineRule="auto"/>
        <w:ind w:firstLine="480" w:firstLineChars="200"/>
        <w:rPr>
          <w:rFonts w:hint="eastAsia" w:ascii="宋体" w:hAnsi="宋体" w:cs="宋体"/>
          <w:b/>
          <w:color w:val="auto"/>
          <w:sz w:val="24"/>
          <w:szCs w:val="24"/>
          <w:highlight w:val="none"/>
          <w:shd w:val="clear" w:color="auto" w:fill="FFFFFF"/>
        </w:rPr>
      </w:pPr>
      <w:r>
        <w:rPr>
          <w:rFonts w:hint="eastAsia" w:ascii="宋体" w:hAnsi="宋体" w:eastAsia="宋体" w:cs="宋体"/>
          <w:bCs/>
          <w:color w:val="auto"/>
          <w:sz w:val="24"/>
          <w:szCs w:val="24"/>
          <w:highlight w:val="none"/>
        </w:rPr>
        <w:t>屯昌县国土空间规划中明确造林绿化空间评估项目政府采购的潜在供应商应在</w:t>
      </w:r>
      <w:r>
        <w:rPr>
          <w:rFonts w:hint="eastAsia" w:ascii="宋体" w:hAnsi="宋体" w:eastAsia="宋体" w:cs="宋体"/>
          <w:b/>
          <w:color w:val="auto"/>
          <w:sz w:val="24"/>
          <w:szCs w:val="24"/>
          <w:highlight w:val="none"/>
          <w:u w:val="single"/>
          <w:lang w:eastAsia="zh-CN"/>
        </w:rPr>
        <w:t>海南政府采购网</w:t>
      </w:r>
      <w:r>
        <w:rPr>
          <w:rFonts w:hint="eastAsia" w:ascii="宋体" w:hAnsi="宋体" w:cs="宋体"/>
          <w:color w:val="auto"/>
          <w:sz w:val="24"/>
          <w:szCs w:val="24"/>
          <w:highlight w:val="none"/>
          <w:u w:val="single"/>
        </w:rPr>
        <w:t xml:space="preserve">(www.ccgp-hainan.gov.cn)-海南省政府采购电子化交易管理系统(新) </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rPr>
        <w:t>获取竞争性磋商文件（以下简称磋商文件），并于</w:t>
      </w:r>
      <w:r>
        <w:rPr>
          <w:rFonts w:hint="eastAsia" w:ascii="宋体" w:hAnsi="宋体" w:cs="宋体"/>
          <w:color w:val="auto"/>
          <w:sz w:val="24"/>
          <w:szCs w:val="24"/>
          <w:highlight w:val="none"/>
          <w:u w:val="single"/>
        </w:rPr>
        <w:t>2022</w:t>
      </w:r>
      <w:r>
        <w:rPr>
          <w:rFonts w:hint="eastAsia" w:ascii="宋体" w:hAnsi="宋体" w:cs="宋体"/>
          <w:bCs/>
          <w:color w:val="auto"/>
          <w:sz w:val="24"/>
          <w:szCs w:val="24"/>
          <w:highlight w:val="none"/>
          <w:u w:val="single"/>
        </w:rPr>
        <w:t>年</w:t>
      </w:r>
      <w:r>
        <w:rPr>
          <w:rFonts w:hint="eastAsia" w:ascii="宋体" w:hAnsi="宋体" w:cs="宋体"/>
          <w:bCs/>
          <w:color w:val="auto"/>
          <w:sz w:val="24"/>
          <w:szCs w:val="24"/>
          <w:highlight w:val="none"/>
          <w:u w:val="single"/>
          <w:lang w:val="en-US" w:eastAsia="zh-CN"/>
        </w:rPr>
        <w:t>10</w:t>
      </w:r>
      <w:r>
        <w:rPr>
          <w:rFonts w:hint="eastAsia" w:ascii="宋体" w:hAnsi="宋体" w:cs="宋体"/>
          <w:bCs/>
          <w:color w:val="auto"/>
          <w:sz w:val="24"/>
          <w:szCs w:val="24"/>
          <w:highlight w:val="none"/>
          <w:u w:val="single"/>
        </w:rPr>
        <w:t>月</w:t>
      </w:r>
      <w:r>
        <w:rPr>
          <w:rFonts w:hint="eastAsia" w:ascii="宋体" w:hAnsi="宋体" w:cs="宋体"/>
          <w:bCs/>
          <w:color w:val="auto"/>
          <w:sz w:val="24"/>
          <w:szCs w:val="24"/>
          <w:highlight w:val="none"/>
          <w:u w:val="single"/>
          <w:lang w:val="en-US" w:eastAsia="zh-CN"/>
        </w:rPr>
        <w:t>10</w:t>
      </w:r>
      <w:r>
        <w:rPr>
          <w:rFonts w:hint="eastAsia" w:ascii="宋体" w:hAnsi="宋体" w:eastAsia="宋体" w:cs="宋体"/>
          <w:color w:val="auto"/>
          <w:sz w:val="24"/>
          <w:szCs w:val="24"/>
          <w:highlight w:val="none"/>
          <w:u w:val="single"/>
        </w:rPr>
        <w:t>日</w:t>
      </w:r>
      <w:r>
        <w:rPr>
          <w:rFonts w:hint="eastAsia" w:ascii="宋体" w:hAnsi="宋体" w:eastAsia="宋体" w:cs="宋体"/>
          <w:color w:val="auto"/>
          <w:sz w:val="24"/>
          <w:szCs w:val="24"/>
          <w:highlight w:val="none"/>
          <w:u w:val="single"/>
          <w:lang w:val="en-US" w:eastAsia="zh-CN"/>
        </w:rPr>
        <w:t>10</w:t>
      </w:r>
      <w:r>
        <w:rPr>
          <w:rFonts w:hint="eastAsia" w:ascii="宋体" w:hAnsi="宋体" w:eastAsia="宋体" w:cs="宋体"/>
          <w:color w:val="auto"/>
          <w:sz w:val="24"/>
          <w:szCs w:val="24"/>
          <w:highlight w:val="none"/>
          <w:u w:val="single"/>
        </w:rPr>
        <w:t>时</w:t>
      </w:r>
      <w:r>
        <w:rPr>
          <w:rFonts w:hint="eastAsia" w:ascii="宋体" w:hAnsi="宋体" w:cs="宋体"/>
          <w:color w:val="auto"/>
          <w:sz w:val="24"/>
          <w:szCs w:val="24"/>
          <w:highlight w:val="none"/>
          <w:u w:val="single"/>
          <w:lang w:val="en-US" w:eastAsia="zh-CN"/>
        </w:rPr>
        <w:t>3</w:t>
      </w:r>
      <w:r>
        <w:rPr>
          <w:rFonts w:hint="eastAsia" w:ascii="宋体" w:hAnsi="宋体" w:eastAsia="宋体" w:cs="宋体"/>
          <w:color w:val="auto"/>
          <w:sz w:val="24"/>
          <w:szCs w:val="24"/>
          <w:highlight w:val="none"/>
          <w:u w:val="single"/>
        </w:rPr>
        <w:t>0</w:t>
      </w:r>
      <w:r>
        <w:rPr>
          <w:rFonts w:hint="eastAsia" w:ascii="宋体" w:hAnsi="宋体" w:cs="宋体"/>
          <w:bCs/>
          <w:color w:val="auto"/>
          <w:sz w:val="24"/>
          <w:szCs w:val="24"/>
          <w:highlight w:val="none"/>
          <w:u w:val="single"/>
        </w:rPr>
        <w:t>分</w:t>
      </w:r>
      <w:r>
        <w:rPr>
          <w:rFonts w:hint="eastAsia" w:ascii="宋体" w:hAnsi="宋体" w:cs="宋体"/>
          <w:bCs/>
          <w:color w:val="auto"/>
          <w:sz w:val="24"/>
          <w:szCs w:val="24"/>
          <w:highlight w:val="none"/>
        </w:rPr>
        <w:t>（北京时间）前提交响应文件</w:t>
      </w:r>
      <w:r>
        <w:rPr>
          <w:rFonts w:hint="eastAsia" w:ascii="宋体" w:hAnsi="宋体" w:cs="宋体"/>
          <w:color w:val="auto"/>
          <w:sz w:val="24"/>
          <w:szCs w:val="24"/>
          <w:highlight w:val="none"/>
        </w:rPr>
        <w:t>。</w:t>
      </w:r>
      <w:bookmarkStart w:id="12" w:name="_Toc28359012"/>
      <w:bookmarkStart w:id="13" w:name="_Toc35393798"/>
      <w:bookmarkStart w:id="14" w:name="_Toc35393629"/>
      <w:bookmarkStart w:id="15" w:name="_Toc28359089"/>
    </w:p>
    <w:p>
      <w:pPr>
        <w:spacing w:line="276" w:lineRule="auto"/>
        <w:rPr>
          <w:rFonts w:hint="eastAsia" w:ascii="宋体" w:hAnsi="宋体" w:cs="宋体"/>
          <w:b/>
          <w:color w:val="auto"/>
          <w:sz w:val="24"/>
          <w:szCs w:val="24"/>
          <w:highlight w:val="none"/>
          <w:shd w:val="clear" w:color="auto" w:fill="FFFFFF"/>
        </w:rPr>
      </w:pPr>
      <w:r>
        <w:rPr>
          <w:rFonts w:hint="eastAsia" w:ascii="宋体" w:hAnsi="宋体" w:cs="宋体"/>
          <w:b/>
          <w:color w:val="auto"/>
          <w:sz w:val="24"/>
          <w:szCs w:val="24"/>
          <w:highlight w:val="none"/>
          <w:shd w:val="clear" w:color="auto" w:fill="FFFFFF"/>
        </w:rPr>
        <w:t>一、项目基本情况</w:t>
      </w:r>
      <w:bookmarkEnd w:id="12"/>
      <w:bookmarkEnd w:id="13"/>
      <w:bookmarkEnd w:id="14"/>
      <w:bookmarkEnd w:id="15"/>
      <w:r>
        <w:rPr>
          <w:rFonts w:hint="eastAsia" w:ascii="宋体" w:hAnsi="宋体" w:cs="宋体"/>
          <w:b/>
          <w:color w:val="auto"/>
          <w:sz w:val="24"/>
          <w:szCs w:val="24"/>
          <w:highlight w:val="none"/>
          <w:shd w:val="clear" w:color="auto" w:fill="FFFFFF"/>
        </w:rPr>
        <w:t>：</w:t>
      </w:r>
    </w:p>
    <w:p>
      <w:pPr>
        <w:spacing w:line="276" w:lineRule="auto"/>
        <w:ind w:firstLine="480" w:firstLineChars="200"/>
        <w:rPr>
          <w:rFonts w:hint="default" w:ascii="宋体" w:hAnsi="宋体" w:eastAsia="宋体" w:cs="宋体"/>
          <w:color w:val="auto"/>
          <w:sz w:val="24"/>
          <w:szCs w:val="24"/>
          <w:highlight w:val="none"/>
          <w:shd w:val="clear" w:color="auto" w:fill="FFFFFF"/>
          <w:lang w:val="en-US" w:eastAsia="zh-CN"/>
        </w:rPr>
      </w:pPr>
      <w:r>
        <w:rPr>
          <w:rFonts w:hint="eastAsia" w:ascii="宋体" w:hAnsi="宋体" w:cs="宋体"/>
          <w:color w:val="auto"/>
          <w:sz w:val="24"/>
          <w:szCs w:val="24"/>
          <w:highlight w:val="none"/>
          <w:shd w:val="clear" w:color="auto" w:fill="FFFFFF"/>
        </w:rPr>
        <w:t>项目编号：</w:t>
      </w:r>
      <w:r>
        <w:rPr>
          <w:rFonts w:hint="eastAsia" w:ascii="宋体" w:hAnsi="宋体" w:cs="宋体"/>
          <w:b/>
          <w:color w:val="auto"/>
          <w:sz w:val="24"/>
          <w:szCs w:val="24"/>
          <w:highlight w:val="none"/>
          <w:shd w:val="clear" w:color="auto" w:fill="FFFFFF"/>
          <w:lang w:eastAsia="zh-CN"/>
        </w:rPr>
        <w:t>HNCY-2022-029</w:t>
      </w:r>
    </w:p>
    <w:p>
      <w:pPr>
        <w:spacing w:line="276" w:lineRule="auto"/>
        <w:ind w:firstLine="480" w:firstLineChars="200"/>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rPr>
        <w:t>项目名称：</w:t>
      </w:r>
      <w:r>
        <w:rPr>
          <w:rFonts w:hint="eastAsia" w:ascii="宋体" w:hAnsi="宋体" w:cs="宋体"/>
          <w:color w:val="auto"/>
          <w:sz w:val="24"/>
          <w:szCs w:val="24"/>
          <w:highlight w:val="none"/>
          <w:u w:val="none"/>
          <w:lang w:eastAsia="zh-CN"/>
        </w:rPr>
        <w:t>屯昌县国土空间规划中明确造林绿化空间评估项目政府采购</w:t>
      </w:r>
    </w:p>
    <w:p>
      <w:pPr>
        <w:spacing w:line="276"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采购方式：</w:t>
      </w:r>
      <w:r>
        <w:rPr>
          <w:rFonts w:hint="eastAsia" w:ascii="宋体" w:hAnsi="宋体" w:cs="宋体"/>
          <w:color w:val="auto"/>
          <w:sz w:val="24"/>
          <w:szCs w:val="24"/>
          <w:highlight w:val="none"/>
          <w:shd w:val="clear" w:color="auto" w:fill="FFFFFF"/>
        </w:rPr>
        <w:t xml:space="preserve">竞争性磋商 </w:t>
      </w:r>
    </w:p>
    <w:p>
      <w:pPr>
        <w:spacing w:line="276"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预算金额</w:t>
      </w:r>
      <w:r>
        <w:rPr>
          <w:rFonts w:hint="eastAsia" w:ascii="宋体" w:hAnsi="宋体" w:eastAsia="宋体" w:cs="宋体"/>
          <w:color w:val="auto"/>
          <w:sz w:val="24"/>
          <w:szCs w:val="24"/>
          <w:highlight w:val="none"/>
          <w:lang w:eastAsia="zh-CN"/>
        </w:rPr>
        <w:t>：606000.00</w:t>
      </w:r>
      <w:r>
        <w:rPr>
          <w:rFonts w:hint="eastAsia" w:ascii="宋体" w:hAnsi="宋体" w:eastAsia="宋体" w:cs="宋体"/>
          <w:color w:val="auto"/>
          <w:sz w:val="24"/>
          <w:szCs w:val="24"/>
          <w:highlight w:val="none"/>
        </w:rPr>
        <w:t>元</w:t>
      </w:r>
    </w:p>
    <w:p>
      <w:pPr>
        <w:spacing w:line="276" w:lineRule="auto"/>
        <w:ind w:firstLine="480" w:firstLineChars="200"/>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最高限价：606000.00</w:t>
      </w:r>
      <w:r>
        <w:rPr>
          <w:rFonts w:hint="eastAsia" w:ascii="宋体" w:hAnsi="宋体" w:eastAsia="宋体" w:cs="宋体"/>
          <w:color w:val="auto"/>
          <w:sz w:val="24"/>
          <w:szCs w:val="24"/>
          <w:highlight w:val="none"/>
        </w:rPr>
        <w:t>元,报价超出预算金额的视为无效报价</w:t>
      </w:r>
      <w:r>
        <w:rPr>
          <w:rFonts w:hint="eastAsia" w:ascii="宋体" w:hAnsi="宋体" w:eastAsia="宋体" w:cs="宋体"/>
          <w:color w:val="auto"/>
          <w:sz w:val="24"/>
          <w:szCs w:val="24"/>
          <w:highlight w:val="none"/>
          <w:lang w:eastAsia="zh-CN"/>
        </w:rPr>
        <w:t>。</w:t>
      </w:r>
    </w:p>
    <w:p>
      <w:pPr>
        <w:spacing w:line="276"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采购需求</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详见</w:t>
      </w:r>
      <w:r>
        <w:rPr>
          <w:rFonts w:hint="eastAsia" w:ascii="宋体" w:hAnsi="宋体" w:cs="宋体"/>
          <w:color w:val="auto"/>
          <w:sz w:val="24"/>
          <w:szCs w:val="24"/>
          <w:highlight w:val="none"/>
          <w:lang w:val="en-US" w:eastAsia="zh-CN"/>
        </w:rPr>
        <w:t>采购</w:t>
      </w:r>
      <w:r>
        <w:rPr>
          <w:rFonts w:hint="eastAsia" w:ascii="宋体" w:hAnsi="宋体" w:eastAsia="宋体" w:cs="宋体"/>
          <w:color w:val="auto"/>
          <w:sz w:val="24"/>
          <w:szCs w:val="24"/>
          <w:highlight w:val="none"/>
          <w:lang w:val="en-US" w:eastAsia="zh-CN"/>
        </w:rPr>
        <w:t>需求书</w:t>
      </w:r>
      <w:r>
        <w:rPr>
          <w:rFonts w:hint="eastAsia" w:ascii="宋体" w:hAnsi="宋体" w:eastAsia="宋体" w:cs="宋体"/>
          <w:color w:val="auto"/>
          <w:sz w:val="24"/>
          <w:szCs w:val="24"/>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服务期：合同签订之日起90天内。</w:t>
      </w:r>
    </w:p>
    <w:p>
      <w:pPr>
        <w:spacing w:line="276"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成果要求</w:t>
      </w:r>
      <w:r>
        <w:rPr>
          <w:rFonts w:hint="eastAsia" w:ascii="宋体" w:hAnsi="宋体" w:eastAsia="宋体" w:cs="宋体"/>
          <w:color w:val="auto"/>
          <w:sz w:val="24"/>
          <w:szCs w:val="24"/>
          <w:highlight w:val="none"/>
          <w:lang w:val="en-US" w:eastAsia="zh-CN"/>
        </w:rPr>
        <w:t>:按《海南省造林绿化空间调查评估技术方案》要求执行。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本项目不接受联合体。</w:t>
      </w:r>
    </w:p>
    <w:p>
      <w:pPr>
        <w:spacing w:line="276" w:lineRule="auto"/>
        <w:rPr>
          <w:rFonts w:hint="eastAsia" w:ascii="宋体" w:hAnsi="宋体" w:cs="宋体"/>
          <w:b/>
          <w:color w:val="auto"/>
          <w:sz w:val="24"/>
          <w:szCs w:val="24"/>
          <w:highlight w:val="none"/>
        </w:rPr>
      </w:pPr>
      <w:bookmarkStart w:id="16" w:name="_Toc28359013"/>
      <w:bookmarkStart w:id="17" w:name="_Toc35393630"/>
      <w:bookmarkStart w:id="18" w:name="_Toc35393799"/>
      <w:bookmarkStart w:id="19" w:name="_Toc28359090"/>
      <w:r>
        <w:rPr>
          <w:rFonts w:hint="eastAsia" w:ascii="宋体" w:hAnsi="宋体" w:cs="宋体"/>
          <w:b/>
          <w:color w:val="auto"/>
          <w:sz w:val="24"/>
          <w:szCs w:val="24"/>
          <w:highlight w:val="none"/>
        </w:rPr>
        <w:t>二、供应商的资格要求：</w:t>
      </w:r>
      <w:bookmarkEnd w:id="16"/>
      <w:bookmarkEnd w:id="17"/>
      <w:bookmarkEnd w:id="18"/>
      <w:bookmarkEnd w:id="19"/>
    </w:p>
    <w:p>
      <w:pPr>
        <w:spacing w:line="276" w:lineRule="auto"/>
        <w:ind w:firstLine="480" w:firstLineChars="200"/>
        <w:rPr>
          <w:rFonts w:hint="eastAsia" w:ascii="宋体" w:hAnsi="宋体" w:cs="宋体"/>
          <w:color w:val="auto"/>
          <w:sz w:val="24"/>
          <w:szCs w:val="24"/>
          <w:highlight w:val="none"/>
        </w:rPr>
      </w:pPr>
      <w:bookmarkStart w:id="20" w:name="_Toc28359014"/>
      <w:bookmarkStart w:id="21" w:name="_Toc28359091"/>
      <w:r>
        <w:rPr>
          <w:rFonts w:hint="eastAsia" w:ascii="宋体" w:hAnsi="宋体" w:cs="宋体"/>
          <w:color w:val="auto"/>
          <w:sz w:val="24"/>
          <w:szCs w:val="24"/>
          <w:highlight w:val="none"/>
        </w:rPr>
        <w:t>1.满足《中华人民共和国政府采购法》第二十二条规定：</w:t>
      </w:r>
    </w:p>
    <w:p>
      <w:pPr>
        <w:spacing w:line="276"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1.1.在中华人民共和国注册，具有独立承担民事责任能力的法人，具备有效的统一社会信用代码营业执照（提供营业执照副本加盖单位公章复印件）； </w:t>
      </w:r>
    </w:p>
    <w:p>
      <w:pPr>
        <w:spacing w:line="276" w:lineRule="auto"/>
        <w:ind w:firstLine="480" w:firstLineChars="200"/>
        <w:rPr>
          <w:rFonts w:hint="eastAsia" w:ascii="宋体" w:hAnsi="宋体" w:eastAsia="宋体" w:cs="宋体"/>
          <w:color w:val="auto"/>
          <w:sz w:val="24"/>
          <w:szCs w:val="24"/>
          <w:highlight w:val="none"/>
        </w:rPr>
      </w:pPr>
      <w:r>
        <w:rPr>
          <w:rFonts w:hint="eastAsia" w:ascii="宋体" w:hAnsi="宋体" w:cs="宋体"/>
          <w:color w:val="auto"/>
          <w:sz w:val="24"/>
          <w:szCs w:val="24"/>
          <w:highlight w:val="none"/>
        </w:rPr>
        <w:t>1.</w:t>
      </w:r>
      <w:r>
        <w:rPr>
          <w:rFonts w:hint="eastAsia" w:ascii="宋体" w:hAnsi="宋体" w:cs="宋体"/>
          <w:color w:val="auto"/>
          <w:sz w:val="24"/>
          <w:szCs w:val="24"/>
          <w:highlight w:val="none"/>
          <w:lang w:val="en-US" w:eastAsia="zh-CN"/>
        </w:rPr>
        <w:t>2</w:t>
      </w:r>
      <w:r>
        <w:rPr>
          <w:rFonts w:hint="eastAsia" w:ascii="宋体" w:hAnsi="宋体" w:cs="宋体"/>
          <w:color w:val="auto"/>
          <w:sz w:val="24"/>
          <w:szCs w:val="24"/>
          <w:highlight w:val="none"/>
        </w:rPr>
        <w:t>.</w:t>
      </w:r>
      <w:r>
        <w:rPr>
          <w:rFonts w:hint="eastAsia" w:ascii="宋体" w:hAnsi="宋体" w:eastAsia="宋体" w:cs="宋体"/>
          <w:color w:val="auto"/>
          <w:sz w:val="24"/>
          <w:szCs w:val="24"/>
          <w:highlight w:val="none"/>
        </w:rPr>
        <w:t>具有良好的商业信誉和健全的财务会计制度：</w:t>
      </w:r>
      <w:r>
        <w:rPr>
          <w:rFonts w:hint="eastAsia" w:ascii="宋体" w:hAnsi="宋体" w:eastAsia="宋体" w:cs="宋体"/>
          <w:color w:val="auto"/>
          <w:sz w:val="24"/>
          <w:szCs w:val="24"/>
          <w:highlight w:val="none"/>
          <w:lang w:val="en-US" w:eastAsia="zh-CN"/>
        </w:rPr>
        <w:t>具有依法缴纳税收和社会保障资金的良好记录。（提供2022年任意一个月的纳税凭证和社会保障金缴费凭证，零纳税须提供税务部门出具的零纳税证明材料）</w:t>
      </w:r>
      <w:r>
        <w:rPr>
          <w:rFonts w:hint="eastAsia" w:ascii="宋体" w:hAnsi="宋体" w:eastAsia="宋体" w:cs="宋体"/>
          <w:color w:val="auto"/>
          <w:sz w:val="24"/>
          <w:szCs w:val="24"/>
          <w:highlight w:val="none"/>
        </w:rPr>
        <w:t>；</w:t>
      </w:r>
    </w:p>
    <w:p>
      <w:pPr>
        <w:spacing w:line="276"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w:t>
      </w:r>
      <w:r>
        <w:rPr>
          <w:rFonts w:hint="eastAsia" w:ascii="宋体" w:hAnsi="宋体" w:cs="宋体"/>
          <w:color w:val="auto"/>
          <w:sz w:val="24"/>
          <w:szCs w:val="24"/>
          <w:highlight w:val="none"/>
          <w:lang w:val="en-US" w:eastAsia="zh-CN"/>
        </w:rPr>
        <w:t>3</w:t>
      </w:r>
      <w:r>
        <w:rPr>
          <w:rFonts w:hint="eastAsia" w:ascii="宋体" w:hAnsi="宋体" w:cs="宋体"/>
          <w:color w:val="auto"/>
          <w:sz w:val="24"/>
          <w:szCs w:val="24"/>
          <w:highlight w:val="none"/>
        </w:rPr>
        <w:t>.参加政府采购活动前三年内（注册成立时间不足3年的，从注册时间起算），在经营活动中没有重大违法记录；（提供书面声明函</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加盖公章</w:t>
      </w:r>
      <w:r>
        <w:rPr>
          <w:rFonts w:hint="eastAsia" w:ascii="宋体" w:hAnsi="宋体" w:cs="宋体"/>
          <w:color w:val="auto"/>
          <w:sz w:val="24"/>
          <w:szCs w:val="24"/>
          <w:highlight w:val="none"/>
        </w:rPr>
        <w:t>）；</w:t>
      </w:r>
    </w:p>
    <w:p>
      <w:pPr>
        <w:spacing w:line="276"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w:t>
      </w:r>
      <w:r>
        <w:rPr>
          <w:rFonts w:hint="eastAsia" w:ascii="宋体" w:hAnsi="宋体" w:cs="宋体"/>
          <w:color w:val="auto"/>
          <w:sz w:val="24"/>
          <w:szCs w:val="24"/>
          <w:highlight w:val="none"/>
          <w:lang w:val="en-US" w:eastAsia="zh-CN"/>
        </w:rPr>
        <w:t>4</w:t>
      </w:r>
      <w:r>
        <w:rPr>
          <w:rFonts w:hint="eastAsia" w:ascii="宋体" w:hAnsi="宋体" w:cs="宋体"/>
          <w:color w:val="auto"/>
          <w:sz w:val="24"/>
          <w:szCs w:val="24"/>
          <w:highlight w:val="none"/>
        </w:rPr>
        <w:t>.</w:t>
      </w:r>
      <w:r>
        <w:rPr>
          <w:rFonts w:hint="eastAsia"/>
          <w:color w:val="auto"/>
          <w:sz w:val="24"/>
          <w:szCs w:val="24"/>
          <w:highlight w:val="none"/>
        </w:rPr>
        <w:t xml:space="preserve"> 供应商必须为未被列入信用中国 (https://www.creditchina.gov.cn/) “重大税收违法失信主体”、中国执行信息公开网（http://zxgk.court.gov.cn/shixin/） “失信被执行人”、中国政府采购网(http://www.ccgp.gov.cn/) “政府采购严重违法失信行为记录名单”</w:t>
      </w:r>
      <w:r>
        <w:rPr>
          <w:rFonts w:hint="eastAsia" w:ascii="宋体" w:hAnsi="宋体" w:cs="宋体"/>
          <w:color w:val="auto"/>
          <w:sz w:val="24"/>
          <w:szCs w:val="24"/>
          <w:highlight w:val="none"/>
        </w:rPr>
        <w:t>；（提供查询结果并加盖公章，查询时间：报名后、提交投标文件截止时间前）</w:t>
      </w:r>
    </w:p>
    <w:p>
      <w:pPr>
        <w:pStyle w:val="4"/>
        <w:numPr>
          <w:ilvl w:val="0"/>
          <w:numId w:val="0"/>
        </w:numPr>
        <w:ind w:left="560" w:leftChars="0"/>
        <w:rPr>
          <w:rFonts w:hint="default"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1.5.具有林业调查规划设计资质丙级（含）以上资质（提供资质证书复印件加盖公章）；</w:t>
      </w:r>
    </w:p>
    <w:p>
      <w:pPr>
        <w:spacing w:line="276"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w:t>
      </w:r>
      <w:r>
        <w:rPr>
          <w:rFonts w:hint="eastAsia" w:ascii="宋体" w:hAnsi="宋体" w:cs="宋体"/>
          <w:color w:val="auto"/>
          <w:sz w:val="24"/>
          <w:szCs w:val="24"/>
          <w:highlight w:val="none"/>
          <w:lang w:val="en-US" w:eastAsia="zh-CN"/>
        </w:rPr>
        <w:t>6</w:t>
      </w:r>
      <w:r>
        <w:rPr>
          <w:rFonts w:hint="eastAsia" w:ascii="宋体" w:hAnsi="宋体" w:cs="宋体"/>
          <w:color w:val="auto"/>
          <w:sz w:val="24"/>
          <w:szCs w:val="24"/>
          <w:highlight w:val="none"/>
        </w:rPr>
        <w:t>.购买本项目磋商文件且缴纳磋商保证金（保证金以到账为准）；</w:t>
      </w:r>
    </w:p>
    <w:p>
      <w:pPr>
        <w:spacing w:line="276"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w:t>
      </w:r>
      <w:r>
        <w:rPr>
          <w:rFonts w:hint="eastAsia" w:ascii="宋体" w:hAnsi="宋体" w:cs="宋体"/>
          <w:color w:val="auto"/>
          <w:sz w:val="24"/>
          <w:szCs w:val="24"/>
          <w:highlight w:val="none"/>
          <w:lang w:val="en-US" w:eastAsia="zh-CN"/>
        </w:rPr>
        <w:t>7</w:t>
      </w:r>
      <w:r>
        <w:rPr>
          <w:rFonts w:hint="eastAsia" w:ascii="宋体" w:hAnsi="宋体" w:cs="宋体"/>
          <w:color w:val="auto"/>
          <w:sz w:val="24"/>
          <w:szCs w:val="24"/>
          <w:highlight w:val="none"/>
        </w:rPr>
        <w:t>.其它要求：</w:t>
      </w:r>
    </w:p>
    <w:p>
      <w:pPr>
        <w:pStyle w:val="4"/>
        <w:numPr>
          <w:ilvl w:val="0"/>
          <w:numId w:val="0"/>
        </w:numPr>
        <w:ind w:left="560" w:leftChars="0"/>
        <w:rPr>
          <w:rFonts w:hint="eastAsia" w:ascii="宋体" w:hAnsi="宋体" w:eastAsia="宋体" w:cs="宋体"/>
          <w:b w:val="0"/>
          <w:bCs w:val="0"/>
          <w:color w:val="auto"/>
          <w:kern w:val="2"/>
          <w:sz w:val="24"/>
          <w:szCs w:val="24"/>
          <w:highlight w:val="none"/>
          <w:lang w:val="en-US" w:eastAsia="zh-CN" w:bidi="ar-SA"/>
        </w:rPr>
      </w:pPr>
      <w:r>
        <w:rPr>
          <w:rFonts w:hint="eastAsia" w:ascii="宋体" w:hAnsi="宋体" w:cs="宋体"/>
          <w:color w:val="auto"/>
          <w:sz w:val="24"/>
          <w:szCs w:val="24"/>
          <w:highlight w:val="none"/>
        </w:rPr>
        <w:t>供应商必须书面承诺:供应商的响应文件中使用的单位公章必为企业注册的公安机关备案的合法有效印章。若是非法印章，接受被取消投标及成交资格、没收保证金，并接受被</w:t>
      </w:r>
      <w:r>
        <w:rPr>
          <w:rFonts w:hint="eastAsia" w:ascii="宋体" w:hAnsi="宋体" w:eastAsia="宋体" w:cs="宋体"/>
          <w:b w:val="0"/>
          <w:bCs w:val="0"/>
          <w:color w:val="auto"/>
          <w:kern w:val="2"/>
          <w:sz w:val="24"/>
          <w:szCs w:val="24"/>
          <w:highlight w:val="none"/>
          <w:lang w:val="en-US" w:eastAsia="zh-CN" w:bidi="ar-SA"/>
        </w:rPr>
        <w:t>上报市级、省级建设行政主管部门进行处罚。（提供承诺函，格式自拟。）</w:t>
      </w:r>
    </w:p>
    <w:p>
      <w:pPr>
        <w:pStyle w:val="4"/>
        <w:numPr>
          <w:ilvl w:val="0"/>
          <w:numId w:val="0"/>
        </w:numPr>
        <w:ind w:left="560" w:leftChars="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2.落实政府采购政策需满足的资格要求：/；</w:t>
      </w:r>
    </w:p>
    <w:p>
      <w:pPr>
        <w:pStyle w:val="4"/>
        <w:numPr>
          <w:ilvl w:val="0"/>
          <w:numId w:val="0"/>
        </w:numPr>
        <w:ind w:left="560" w:leftChars="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3.本项目的特定资格要求：/。</w:t>
      </w:r>
    </w:p>
    <w:p>
      <w:pPr>
        <w:spacing w:line="276" w:lineRule="auto"/>
        <w:rPr>
          <w:rFonts w:hint="eastAsia" w:ascii="宋体" w:hAnsi="宋体" w:cs="宋体"/>
          <w:b/>
          <w:color w:val="auto"/>
          <w:sz w:val="24"/>
          <w:szCs w:val="24"/>
          <w:highlight w:val="none"/>
        </w:rPr>
      </w:pPr>
      <w:bookmarkStart w:id="22" w:name="_Toc35393800"/>
      <w:bookmarkStart w:id="23" w:name="_Toc35393631"/>
      <w:r>
        <w:rPr>
          <w:rFonts w:hint="eastAsia" w:ascii="宋体" w:hAnsi="宋体" w:cs="宋体"/>
          <w:b/>
          <w:color w:val="auto"/>
          <w:sz w:val="24"/>
          <w:szCs w:val="24"/>
          <w:highlight w:val="none"/>
        </w:rPr>
        <w:t>三、获取磋商文件</w:t>
      </w:r>
      <w:bookmarkEnd w:id="20"/>
      <w:bookmarkEnd w:id="21"/>
      <w:bookmarkEnd w:id="22"/>
      <w:bookmarkEnd w:id="23"/>
      <w:r>
        <w:rPr>
          <w:rFonts w:hint="eastAsia" w:ascii="宋体" w:hAnsi="宋体" w:cs="宋体"/>
          <w:b/>
          <w:color w:val="auto"/>
          <w:sz w:val="24"/>
          <w:szCs w:val="24"/>
          <w:highlight w:val="none"/>
        </w:rPr>
        <w:t>：</w:t>
      </w:r>
    </w:p>
    <w:p>
      <w:pPr>
        <w:spacing w:line="276" w:lineRule="auto"/>
        <w:ind w:firstLine="540"/>
        <w:rPr>
          <w:rFonts w:hint="eastAsia" w:ascii="宋体" w:hAnsi="宋体" w:cs="宋体"/>
          <w:color w:val="auto"/>
          <w:sz w:val="24"/>
          <w:szCs w:val="24"/>
          <w:highlight w:val="none"/>
        </w:rPr>
      </w:pPr>
      <w:r>
        <w:rPr>
          <w:rFonts w:hint="eastAsia" w:ascii="宋体" w:hAnsi="宋体" w:cs="宋体"/>
          <w:color w:val="auto"/>
          <w:sz w:val="24"/>
          <w:szCs w:val="24"/>
          <w:highlight w:val="none"/>
        </w:rPr>
        <w:t>时间：</w:t>
      </w:r>
      <w:r>
        <w:rPr>
          <w:rFonts w:hint="eastAsia" w:ascii="宋体" w:hAnsi="宋体" w:cs="宋体"/>
          <w:color w:val="auto"/>
          <w:sz w:val="24"/>
          <w:szCs w:val="24"/>
          <w:highlight w:val="none"/>
          <w:u w:val="single"/>
        </w:rPr>
        <w:t>2022年0</w:t>
      </w:r>
      <w:r>
        <w:rPr>
          <w:rFonts w:hint="eastAsia" w:ascii="宋体" w:hAnsi="宋体" w:cs="宋体"/>
          <w:color w:val="auto"/>
          <w:sz w:val="24"/>
          <w:szCs w:val="24"/>
          <w:highlight w:val="none"/>
          <w:u w:val="single"/>
          <w:lang w:val="en-US" w:eastAsia="zh-CN"/>
        </w:rPr>
        <w:t>9</w:t>
      </w:r>
      <w:r>
        <w:rPr>
          <w:rFonts w:hint="eastAsia" w:ascii="宋体" w:hAnsi="宋体" w:cs="宋体"/>
          <w:color w:val="auto"/>
          <w:sz w:val="24"/>
          <w:szCs w:val="24"/>
          <w:highlight w:val="none"/>
          <w:u w:val="single"/>
        </w:rPr>
        <w:t>月</w:t>
      </w:r>
      <w:r>
        <w:rPr>
          <w:rFonts w:hint="eastAsia" w:ascii="宋体" w:hAnsi="宋体" w:cs="宋体"/>
          <w:color w:val="auto"/>
          <w:sz w:val="24"/>
          <w:szCs w:val="24"/>
          <w:highlight w:val="none"/>
          <w:u w:val="single"/>
          <w:lang w:val="en-US" w:eastAsia="zh-CN"/>
        </w:rPr>
        <w:t>27</w:t>
      </w:r>
      <w:r>
        <w:rPr>
          <w:rFonts w:hint="eastAsia" w:ascii="宋体" w:hAnsi="宋体" w:cs="宋体"/>
          <w:color w:val="auto"/>
          <w:sz w:val="24"/>
          <w:szCs w:val="24"/>
          <w:highlight w:val="none"/>
          <w:u w:val="single"/>
        </w:rPr>
        <w:t>日</w:t>
      </w:r>
      <w:r>
        <w:rPr>
          <w:rFonts w:hint="eastAsia" w:ascii="宋体" w:hAnsi="宋体" w:cs="宋体"/>
          <w:color w:val="auto"/>
          <w:sz w:val="24"/>
          <w:szCs w:val="24"/>
          <w:highlight w:val="none"/>
        </w:rPr>
        <w:t>至</w:t>
      </w:r>
      <w:r>
        <w:rPr>
          <w:rFonts w:hint="eastAsia" w:ascii="宋体" w:hAnsi="宋体" w:cs="宋体"/>
          <w:color w:val="auto"/>
          <w:sz w:val="24"/>
          <w:szCs w:val="24"/>
          <w:highlight w:val="none"/>
          <w:u w:val="single"/>
        </w:rPr>
        <w:t>2022年</w:t>
      </w:r>
      <w:r>
        <w:rPr>
          <w:rFonts w:hint="eastAsia" w:ascii="宋体" w:hAnsi="宋体" w:cs="宋体"/>
          <w:color w:val="auto"/>
          <w:sz w:val="24"/>
          <w:szCs w:val="24"/>
          <w:highlight w:val="none"/>
          <w:u w:val="single"/>
          <w:lang w:val="en-US" w:eastAsia="zh-CN"/>
        </w:rPr>
        <w:t>10</w:t>
      </w:r>
      <w:r>
        <w:rPr>
          <w:rFonts w:hint="eastAsia" w:ascii="宋体" w:hAnsi="宋体" w:cs="宋体"/>
          <w:color w:val="auto"/>
          <w:sz w:val="24"/>
          <w:szCs w:val="24"/>
          <w:highlight w:val="none"/>
          <w:u w:val="single"/>
        </w:rPr>
        <w:t>月</w:t>
      </w:r>
      <w:r>
        <w:rPr>
          <w:rFonts w:hint="eastAsia" w:ascii="宋体" w:hAnsi="宋体" w:cs="宋体"/>
          <w:color w:val="auto"/>
          <w:sz w:val="24"/>
          <w:szCs w:val="24"/>
          <w:highlight w:val="none"/>
          <w:u w:val="single"/>
          <w:lang w:val="en-US" w:eastAsia="zh-CN"/>
        </w:rPr>
        <w:t>09</w:t>
      </w:r>
      <w:r>
        <w:rPr>
          <w:rFonts w:hint="eastAsia" w:ascii="宋体" w:hAnsi="宋体" w:cs="宋体"/>
          <w:color w:val="auto"/>
          <w:sz w:val="24"/>
          <w:szCs w:val="24"/>
          <w:highlight w:val="none"/>
          <w:u w:val="single"/>
        </w:rPr>
        <w:t>日</w:t>
      </w:r>
      <w:r>
        <w:rPr>
          <w:rFonts w:hint="eastAsia" w:ascii="宋体" w:hAnsi="宋体" w:cs="宋体"/>
          <w:color w:val="auto"/>
          <w:sz w:val="24"/>
          <w:szCs w:val="24"/>
          <w:highlight w:val="none"/>
        </w:rPr>
        <w:t>，每天上午</w:t>
      </w:r>
      <w:r>
        <w:rPr>
          <w:rFonts w:hint="eastAsia" w:ascii="宋体" w:hAnsi="宋体" w:cs="宋体"/>
          <w:color w:val="auto"/>
          <w:sz w:val="24"/>
          <w:szCs w:val="24"/>
          <w:highlight w:val="none"/>
          <w:u w:val="single"/>
          <w:lang w:val="en-US" w:eastAsia="zh-CN"/>
        </w:rPr>
        <w:t>00</w:t>
      </w:r>
      <w:r>
        <w:rPr>
          <w:rFonts w:hint="eastAsia" w:ascii="宋体" w:hAnsi="宋体" w:cs="宋体"/>
          <w:color w:val="auto"/>
          <w:sz w:val="24"/>
          <w:szCs w:val="24"/>
          <w:highlight w:val="none"/>
          <w:u w:val="single"/>
        </w:rPr>
        <w:t>:00</w:t>
      </w:r>
      <w:r>
        <w:rPr>
          <w:rFonts w:hint="eastAsia" w:ascii="宋体" w:hAnsi="宋体" w:cs="宋体"/>
          <w:color w:val="auto"/>
          <w:sz w:val="24"/>
          <w:szCs w:val="24"/>
          <w:highlight w:val="none"/>
        </w:rPr>
        <w:t>至</w:t>
      </w:r>
      <w:r>
        <w:rPr>
          <w:rFonts w:hint="eastAsia" w:ascii="宋体" w:hAnsi="宋体" w:cs="宋体"/>
          <w:color w:val="auto"/>
          <w:sz w:val="24"/>
          <w:szCs w:val="24"/>
          <w:highlight w:val="none"/>
          <w:u w:val="single"/>
          <w:lang w:val="en-US" w:eastAsia="zh-CN"/>
        </w:rPr>
        <w:t>12</w:t>
      </w:r>
      <w:r>
        <w:rPr>
          <w:rFonts w:hint="eastAsia" w:ascii="宋体" w:hAnsi="宋体" w:cs="宋体"/>
          <w:color w:val="auto"/>
          <w:sz w:val="24"/>
          <w:szCs w:val="24"/>
          <w:highlight w:val="none"/>
          <w:u w:val="single"/>
        </w:rPr>
        <w:t>:00</w:t>
      </w:r>
      <w:r>
        <w:rPr>
          <w:rFonts w:hint="eastAsia" w:ascii="宋体" w:hAnsi="宋体" w:cs="宋体"/>
          <w:color w:val="auto"/>
          <w:sz w:val="24"/>
          <w:szCs w:val="24"/>
          <w:highlight w:val="none"/>
        </w:rPr>
        <w:t>，下午</w:t>
      </w:r>
      <w:r>
        <w:rPr>
          <w:rFonts w:hint="eastAsia" w:ascii="宋体" w:hAnsi="宋体" w:cs="宋体"/>
          <w:color w:val="auto"/>
          <w:sz w:val="24"/>
          <w:szCs w:val="24"/>
          <w:highlight w:val="none"/>
          <w:u w:val="single"/>
        </w:rPr>
        <w:t>1</w:t>
      </w:r>
      <w:r>
        <w:rPr>
          <w:rFonts w:hint="eastAsia" w:ascii="宋体" w:hAnsi="宋体" w:cs="宋体"/>
          <w:color w:val="auto"/>
          <w:sz w:val="24"/>
          <w:szCs w:val="24"/>
          <w:highlight w:val="none"/>
          <w:u w:val="single"/>
          <w:lang w:val="en-US" w:eastAsia="zh-CN"/>
        </w:rPr>
        <w:t>2</w:t>
      </w:r>
      <w:r>
        <w:rPr>
          <w:rFonts w:hint="eastAsia" w:ascii="宋体" w:hAnsi="宋体" w:cs="宋体"/>
          <w:color w:val="auto"/>
          <w:sz w:val="24"/>
          <w:szCs w:val="24"/>
          <w:highlight w:val="none"/>
          <w:u w:val="single"/>
        </w:rPr>
        <w:t>:</w:t>
      </w:r>
      <w:r>
        <w:rPr>
          <w:rFonts w:hint="eastAsia" w:ascii="宋体" w:hAnsi="宋体" w:cs="宋体"/>
          <w:color w:val="auto"/>
          <w:sz w:val="24"/>
          <w:szCs w:val="24"/>
          <w:highlight w:val="none"/>
          <w:u w:val="single"/>
          <w:lang w:val="en-US" w:eastAsia="zh-CN"/>
        </w:rPr>
        <w:t>0</w:t>
      </w:r>
      <w:r>
        <w:rPr>
          <w:rFonts w:hint="eastAsia" w:ascii="宋体" w:hAnsi="宋体" w:cs="宋体"/>
          <w:color w:val="auto"/>
          <w:sz w:val="24"/>
          <w:szCs w:val="24"/>
          <w:highlight w:val="none"/>
          <w:u w:val="single"/>
        </w:rPr>
        <w:t>0</w:t>
      </w:r>
      <w:r>
        <w:rPr>
          <w:rFonts w:hint="eastAsia" w:ascii="宋体" w:hAnsi="宋体" w:cs="宋体"/>
          <w:color w:val="auto"/>
          <w:sz w:val="24"/>
          <w:szCs w:val="24"/>
          <w:highlight w:val="none"/>
        </w:rPr>
        <w:t>至</w:t>
      </w:r>
      <w:r>
        <w:rPr>
          <w:rFonts w:hint="eastAsia" w:ascii="宋体" w:hAnsi="宋体" w:cs="宋体"/>
          <w:color w:val="auto"/>
          <w:sz w:val="24"/>
          <w:szCs w:val="24"/>
          <w:highlight w:val="none"/>
          <w:u w:val="single"/>
          <w:lang w:val="en-US" w:eastAsia="zh-CN"/>
        </w:rPr>
        <w:t>00</w:t>
      </w:r>
      <w:r>
        <w:rPr>
          <w:rFonts w:hint="eastAsia" w:ascii="宋体" w:hAnsi="宋体" w:cs="宋体"/>
          <w:color w:val="auto"/>
          <w:sz w:val="24"/>
          <w:szCs w:val="24"/>
          <w:highlight w:val="none"/>
          <w:u w:val="single"/>
        </w:rPr>
        <w:t>:</w:t>
      </w:r>
      <w:r>
        <w:rPr>
          <w:rFonts w:hint="eastAsia" w:ascii="宋体" w:hAnsi="宋体" w:cs="宋体"/>
          <w:color w:val="auto"/>
          <w:sz w:val="24"/>
          <w:szCs w:val="24"/>
          <w:highlight w:val="none"/>
          <w:u w:val="single"/>
          <w:lang w:val="en-US" w:eastAsia="zh-CN"/>
        </w:rPr>
        <w:t>0</w:t>
      </w:r>
      <w:r>
        <w:rPr>
          <w:rFonts w:hint="eastAsia" w:ascii="宋体" w:hAnsi="宋体" w:cs="宋体"/>
          <w:color w:val="auto"/>
          <w:sz w:val="24"/>
          <w:szCs w:val="24"/>
          <w:highlight w:val="none"/>
          <w:u w:val="single"/>
        </w:rPr>
        <w:t>0</w:t>
      </w:r>
      <w:r>
        <w:rPr>
          <w:rFonts w:hint="eastAsia" w:ascii="宋体" w:hAnsi="宋体" w:cs="宋体"/>
          <w:color w:val="auto"/>
          <w:sz w:val="24"/>
          <w:szCs w:val="24"/>
          <w:highlight w:val="none"/>
        </w:rPr>
        <w:t>（北京时间，法定节假日除外 ）</w:t>
      </w:r>
    </w:p>
    <w:p>
      <w:pPr>
        <w:spacing w:line="276" w:lineRule="auto"/>
        <w:ind w:firstLine="540"/>
        <w:rPr>
          <w:rFonts w:hint="eastAsia" w:ascii="宋体" w:hAnsi="宋体" w:cs="宋体"/>
          <w:color w:val="auto"/>
          <w:sz w:val="24"/>
          <w:szCs w:val="24"/>
          <w:highlight w:val="none"/>
        </w:rPr>
      </w:pPr>
      <w:r>
        <w:rPr>
          <w:rFonts w:hint="eastAsia" w:ascii="宋体" w:hAnsi="宋体" w:cs="宋体"/>
          <w:color w:val="auto"/>
          <w:sz w:val="24"/>
          <w:szCs w:val="24"/>
          <w:highlight w:val="none"/>
        </w:rPr>
        <w:t>地点：从</w:t>
      </w:r>
      <w:r>
        <w:rPr>
          <w:rFonts w:hint="eastAsia" w:ascii="宋体" w:hAnsi="宋体" w:eastAsia="宋体" w:cs="宋体"/>
          <w:color w:val="auto"/>
          <w:sz w:val="24"/>
          <w:szCs w:val="24"/>
          <w:highlight w:val="none"/>
          <w:u w:val="single"/>
        </w:rPr>
        <w:t>海南政府采购网(www.ccgp-hainan.gov.cn)-海南省政府采购电子化交易管理系统(新)</w:t>
      </w:r>
      <w:r>
        <w:rPr>
          <w:rFonts w:hint="eastAsia" w:ascii="宋体" w:hAnsi="宋体" w:cs="宋体"/>
          <w:color w:val="auto"/>
          <w:sz w:val="24"/>
          <w:szCs w:val="24"/>
          <w:highlight w:val="none"/>
        </w:rPr>
        <w:t>获取磋商文件</w:t>
      </w:r>
      <w:r>
        <w:rPr>
          <w:rFonts w:hint="eastAsia" w:ascii="宋体" w:hAnsi="宋体" w:cs="宋体"/>
          <w:color w:val="auto"/>
          <w:sz w:val="24"/>
          <w:szCs w:val="24"/>
          <w:highlight w:val="none"/>
          <w:lang w:eastAsia="zh-CN"/>
        </w:rPr>
        <w:t>。</w:t>
      </w:r>
    </w:p>
    <w:p>
      <w:pPr>
        <w:spacing w:line="276" w:lineRule="auto"/>
        <w:ind w:firstLine="540"/>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方式：网上获取。</w:t>
      </w:r>
    </w:p>
    <w:p>
      <w:pPr>
        <w:spacing w:line="276" w:lineRule="auto"/>
        <w:ind w:firstLine="540"/>
        <w:rPr>
          <w:rFonts w:hint="eastAsia" w:ascii="宋体" w:hAnsi="宋体" w:cs="宋体"/>
          <w:color w:val="auto"/>
          <w:sz w:val="24"/>
          <w:szCs w:val="24"/>
          <w:highlight w:val="none"/>
        </w:rPr>
      </w:pPr>
      <w:r>
        <w:rPr>
          <w:rFonts w:hint="eastAsia" w:ascii="宋体" w:hAnsi="宋体" w:cs="宋体"/>
          <w:color w:val="auto"/>
          <w:sz w:val="24"/>
          <w:szCs w:val="24"/>
          <w:highlight w:val="none"/>
        </w:rPr>
        <w:t>售价：磋商文件每套售价：</w:t>
      </w:r>
      <w:r>
        <w:rPr>
          <w:rFonts w:hint="eastAsia" w:ascii="宋体" w:hAnsi="宋体" w:cs="宋体"/>
          <w:color w:val="auto"/>
          <w:sz w:val="24"/>
          <w:szCs w:val="24"/>
          <w:highlight w:val="none"/>
          <w:u w:val="single"/>
          <w:lang w:val="en-US" w:eastAsia="zh-CN"/>
        </w:rPr>
        <w:t xml:space="preserve"> / </w:t>
      </w:r>
      <w:r>
        <w:rPr>
          <w:rFonts w:hint="eastAsia" w:ascii="宋体" w:hAnsi="宋体" w:cs="宋体"/>
          <w:color w:val="auto"/>
          <w:sz w:val="24"/>
          <w:szCs w:val="24"/>
          <w:highlight w:val="none"/>
          <w:lang w:val="en-US" w:eastAsia="zh-CN"/>
        </w:rPr>
        <w:t xml:space="preserve"> </w:t>
      </w:r>
      <w:r>
        <w:rPr>
          <w:rFonts w:hint="eastAsia" w:ascii="宋体" w:hAnsi="宋体" w:cs="宋体"/>
          <w:color w:val="auto"/>
          <w:sz w:val="24"/>
          <w:szCs w:val="24"/>
          <w:highlight w:val="none"/>
        </w:rPr>
        <w:t>元</w:t>
      </w:r>
      <w:r>
        <w:rPr>
          <w:rFonts w:hint="eastAsia" w:ascii="宋体" w:hAnsi="宋体" w:cs="宋体"/>
          <w:color w:val="auto"/>
          <w:sz w:val="24"/>
          <w:szCs w:val="24"/>
          <w:highlight w:val="none"/>
          <w:lang w:eastAsia="zh-CN"/>
        </w:rPr>
        <w:t>。</w:t>
      </w:r>
    </w:p>
    <w:p>
      <w:pPr>
        <w:spacing w:line="276" w:lineRule="auto"/>
        <w:rPr>
          <w:rFonts w:hint="eastAsia" w:ascii="宋体" w:hAnsi="宋体" w:cs="宋体"/>
          <w:b/>
          <w:color w:val="auto"/>
          <w:sz w:val="24"/>
          <w:szCs w:val="24"/>
          <w:highlight w:val="none"/>
        </w:rPr>
      </w:pPr>
      <w:bookmarkStart w:id="24" w:name="_Toc28359015"/>
      <w:bookmarkStart w:id="25" w:name="_Toc35393632"/>
      <w:bookmarkStart w:id="26" w:name="_Toc28359092"/>
      <w:bookmarkStart w:id="27" w:name="_Toc35393801"/>
      <w:r>
        <w:rPr>
          <w:rFonts w:hint="eastAsia" w:ascii="宋体" w:hAnsi="宋体" w:cs="宋体"/>
          <w:b/>
          <w:color w:val="auto"/>
          <w:sz w:val="24"/>
          <w:szCs w:val="24"/>
          <w:highlight w:val="none"/>
        </w:rPr>
        <w:t>四、响应文件提交</w:t>
      </w:r>
      <w:bookmarkEnd w:id="24"/>
      <w:bookmarkEnd w:id="25"/>
      <w:bookmarkEnd w:id="26"/>
      <w:bookmarkEnd w:id="27"/>
      <w:r>
        <w:rPr>
          <w:rFonts w:hint="eastAsia" w:ascii="宋体" w:hAnsi="宋体" w:cs="宋体"/>
          <w:b/>
          <w:color w:val="auto"/>
          <w:sz w:val="24"/>
          <w:szCs w:val="24"/>
          <w:highlight w:val="none"/>
        </w:rPr>
        <w:t>：</w:t>
      </w:r>
    </w:p>
    <w:p>
      <w:pPr>
        <w:spacing w:line="276" w:lineRule="auto"/>
        <w:ind w:firstLine="480" w:firstLineChars="200"/>
        <w:rPr>
          <w:rFonts w:hint="eastAsia" w:ascii="宋体" w:hAnsi="宋体" w:cs="宋体"/>
          <w:bCs/>
          <w:color w:val="auto"/>
          <w:sz w:val="24"/>
          <w:szCs w:val="24"/>
          <w:highlight w:val="none"/>
        </w:rPr>
      </w:pPr>
      <w:r>
        <w:rPr>
          <w:rFonts w:hint="eastAsia" w:ascii="宋体" w:hAnsi="宋体" w:cs="宋体"/>
          <w:color w:val="auto"/>
          <w:sz w:val="24"/>
          <w:szCs w:val="24"/>
          <w:highlight w:val="none"/>
        </w:rPr>
        <w:t>截止时间：</w:t>
      </w:r>
      <w:r>
        <w:rPr>
          <w:rFonts w:hint="eastAsia" w:ascii="宋体" w:hAnsi="宋体" w:cs="宋体"/>
          <w:color w:val="auto"/>
          <w:sz w:val="24"/>
          <w:szCs w:val="24"/>
          <w:highlight w:val="none"/>
          <w:u w:val="single"/>
        </w:rPr>
        <w:t>2022</w:t>
      </w:r>
      <w:r>
        <w:rPr>
          <w:rFonts w:hint="eastAsia" w:ascii="宋体" w:hAnsi="宋体" w:cs="宋体"/>
          <w:bCs/>
          <w:color w:val="auto"/>
          <w:sz w:val="24"/>
          <w:szCs w:val="24"/>
          <w:highlight w:val="none"/>
          <w:u w:val="single"/>
        </w:rPr>
        <w:t>年</w:t>
      </w:r>
      <w:r>
        <w:rPr>
          <w:rFonts w:hint="eastAsia" w:ascii="宋体" w:hAnsi="宋体" w:cs="宋体"/>
          <w:bCs/>
          <w:color w:val="auto"/>
          <w:sz w:val="24"/>
          <w:szCs w:val="24"/>
          <w:highlight w:val="none"/>
          <w:u w:val="single"/>
          <w:lang w:val="en-US" w:eastAsia="zh-CN"/>
        </w:rPr>
        <w:t>10</w:t>
      </w:r>
      <w:r>
        <w:rPr>
          <w:rFonts w:hint="eastAsia" w:ascii="宋体" w:hAnsi="宋体" w:cs="宋体"/>
          <w:bCs/>
          <w:color w:val="auto"/>
          <w:sz w:val="24"/>
          <w:szCs w:val="24"/>
          <w:highlight w:val="none"/>
          <w:u w:val="single"/>
        </w:rPr>
        <w:t>月</w:t>
      </w:r>
      <w:r>
        <w:rPr>
          <w:rFonts w:hint="eastAsia" w:ascii="宋体" w:hAnsi="宋体" w:cs="宋体"/>
          <w:bCs/>
          <w:color w:val="auto"/>
          <w:sz w:val="24"/>
          <w:szCs w:val="24"/>
          <w:highlight w:val="none"/>
          <w:u w:val="single"/>
          <w:lang w:val="en-US" w:eastAsia="zh-CN"/>
        </w:rPr>
        <w:t>10</w:t>
      </w:r>
      <w:r>
        <w:rPr>
          <w:rFonts w:hint="eastAsia" w:ascii="宋体" w:hAnsi="宋体" w:cs="宋体"/>
          <w:bCs/>
          <w:color w:val="auto"/>
          <w:sz w:val="24"/>
          <w:szCs w:val="24"/>
          <w:highlight w:val="none"/>
          <w:u w:val="single"/>
        </w:rPr>
        <w:t>日1</w:t>
      </w:r>
      <w:r>
        <w:rPr>
          <w:rFonts w:hint="eastAsia" w:ascii="宋体" w:hAnsi="宋体" w:cs="宋体"/>
          <w:bCs/>
          <w:color w:val="auto"/>
          <w:sz w:val="24"/>
          <w:szCs w:val="24"/>
          <w:highlight w:val="none"/>
          <w:u w:val="single"/>
          <w:lang w:val="en-US" w:eastAsia="zh-CN"/>
        </w:rPr>
        <w:t>0</w:t>
      </w:r>
      <w:r>
        <w:rPr>
          <w:rFonts w:hint="eastAsia" w:ascii="宋体" w:hAnsi="宋体" w:cs="宋体"/>
          <w:bCs/>
          <w:color w:val="auto"/>
          <w:sz w:val="24"/>
          <w:szCs w:val="24"/>
          <w:highlight w:val="none"/>
          <w:u w:val="single"/>
        </w:rPr>
        <w:t>时</w:t>
      </w:r>
      <w:r>
        <w:rPr>
          <w:rFonts w:hint="eastAsia" w:ascii="宋体" w:hAnsi="宋体" w:cs="宋体"/>
          <w:bCs/>
          <w:color w:val="auto"/>
          <w:sz w:val="24"/>
          <w:szCs w:val="24"/>
          <w:highlight w:val="none"/>
          <w:u w:val="single"/>
          <w:lang w:val="en-US" w:eastAsia="zh-CN"/>
        </w:rPr>
        <w:t>3</w:t>
      </w:r>
      <w:r>
        <w:rPr>
          <w:rFonts w:hint="eastAsia" w:ascii="宋体" w:hAnsi="宋体" w:cs="宋体"/>
          <w:bCs/>
          <w:color w:val="auto"/>
          <w:sz w:val="24"/>
          <w:szCs w:val="24"/>
          <w:highlight w:val="none"/>
          <w:u w:val="single"/>
        </w:rPr>
        <w:t>0分</w:t>
      </w:r>
      <w:r>
        <w:rPr>
          <w:rFonts w:hint="eastAsia" w:ascii="宋体" w:hAnsi="宋体" w:cs="宋体"/>
          <w:bCs/>
          <w:color w:val="auto"/>
          <w:sz w:val="24"/>
          <w:szCs w:val="24"/>
          <w:highlight w:val="none"/>
        </w:rPr>
        <w:t>（北京时间）</w:t>
      </w:r>
    </w:p>
    <w:p>
      <w:pPr>
        <w:spacing w:line="276" w:lineRule="auto"/>
        <w:ind w:firstLine="480" w:firstLineChars="200"/>
        <w:rPr>
          <w:rFonts w:hint="eastAsia" w:ascii="宋体" w:hAnsi="宋体" w:cs="宋体"/>
          <w:bCs/>
          <w:color w:val="auto"/>
          <w:sz w:val="24"/>
          <w:szCs w:val="24"/>
          <w:highlight w:val="none"/>
          <w:u w:val="single"/>
        </w:rPr>
      </w:pPr>
      <w:r>
        <w:rPr>
          <w:rFonts w:hint="eastAsia" w:ascii="宋体" w:hAnsi="宋体" w:cs="宋体"/>
          <w:color w:val="auto"/>
          <w:sz w:val="24"/>
          <w:szCs w:val="24"/>
          <w:highlight w:val="none"/>
        </w:rPr>
        <w:t>地点：</w:t>
      </w:r>
      <w:r>
        <w:rPr>
          <w:rFonts w:hint="eastAsia" w:ascii="宋体" w:hAnsi="宋体" w:cs="宋体"/>
          <w:color w:val="auto"/>
          <w:sz w:val="24"/>
          <w:szCs w:val="24"/>
          <w:highlight w:val="none"/>
          <w:u w:val="single"/>
        </w:rPr>
        <w:t>海口市美兰区蓝天路51号京航大酒店5楼</w:t>
      </w:r>
      <w:r>
        <w:rPr>
          <w:rFonts w:hint="eastAsia" w:ascii="宋体" w:hAnsi="宋体" w:cs="宋体"/>
          <w:color w:val="auto"/>
          <w:sz w:val="24"/>
          <w:szCs w:val="24"/>
          <w:highlight w:val="none"/>
          <w:u w:val="single"/>
          <w:lang w:val="en-US" w:eastAsia="zh-CN"/>
        </w:rPr>
        <w:t>5</w:t>
      </w:r>
      <w:r>
        <w:rPr>
          <w:rFonts w:hint="eastAsia" w:ascii="宋体" w:hAnsi="宋体" w:cs="宋体"/>
          <w:color w:val="auto"/>
          <w:sz w:val="24"/>
          <w:szCs w:val="24"/>
          <w:highlight w:val="none"/>
          <w:u w:val="single"/>
        </w:rPr>
        <w:t>号开标室（如有变动另行通知）</w:t>
      </w:r>
      <w:r>
        <w:rPr>
          <w:rFonts w:hint="eastAsia" w:ascii="宋体" w:hAnsi="宋体" w:cs="宋体"/>
          <w:color w:val="auto"/>
          <w:sz w:val="24"/>
          <w:szCs w:val="24"/>
          <w:highlight w:val="none"/>
        </w:rPr>
        <w:t>。</w:t>
      </w:r>
    </w:p>
    <w:p>
      <w:pPr>
        <w:spacing w:line="276" w:lineRule="auto"/>
        <w:rPr>
          <w:rFonts w:hint="eastAsia" w:ascii="宋体" w:hAnsi="宋体" w:cs="宋体"/>
          <w:b/>
          <w:color w:val="auto"/>
          <w:sz w:val="24"/>
          <w:szCs w:val="24"/>
          <w:highlight w:val="none"/>
        </w:rPr>
      </w:pPr>
      <w:bookmarkStart w:id="28" w:name="_Toc35393633"/>
      <w:bookmarkStart w:id="29" w:name="_Toc28359016"/>
      <w:bookmarkStart w:id="30" w:name="_Toc28359093"/>
      <w:bookmarkStart w:id="31" w:name="_Toc35393802"/>
      <w:r>
        <w:rPr>
          <w:rFonts w:hint="eastAsia" w:ascii="宋体" w:hAnsi="宋体" w:cs="宋体"/>
          <w:b/>
          <w:color w:val="auto"/>
          <w:sz w:val="24"/>
          <w:szCs w:val="24"/>
          <w:highlight w:val="none"/>
        </w:rPr>
        <w:t>五、开启</w:t>
      </w:r>
      <w:bookmarkEnd w:id="28"/>
      <w:bookmarkEnd w:id="29"/>
      <w:bookmarkEnd w:id="30"/>
      <w:bookmarkEnd w:id="31"/>
      <w:r>
        <w:rPr>
          <w:rFonts w:hint="eastAsia" w:ascii="宋体" w:hAnsi="宋体" w:cs="宋体"/>
          <w:b/>
          <w:color w:val="auto"/>
          <w:sz w:val="24"/>
          <w:szCs w:val="24"/>
          <w:highlight w:val="none"/>
        </w:rPr>
        <w:t>：</w:t>
      </w:r>
    </w:p>
    <w:p>
      <w:pPr>
        <w:spacing w:line="276" w:lineRule="auto"/>
        <w:ind w:firstLine="540"/>
        <w:rPr>
          <w:rFonts w:hint="eastAsia" w:ascii="宋体" w:hAnsi="宋体" w:cs="宋体"/>
          <w:color w:val="auto"/>
          <w:sz w:val="24"/>
          <w:szCs w:val="24"/>
          <w:highlight w:val="none"/>
        </w:rPr>
      </w:pPr>
      <w:r>
        <w:rPr>
          <w:rFonts w:hint="eastAsia" w:ascii="宋体" w:hAnsi="宋体" w:cs="宋体"/>
          <w:color w:val="auto"/>
          <w:sz w:val="24"/>
          <w:szCs w:val="24"/>
          <w:highlight w:val="none"/>
        </w:rPr>
        <w:t>开启时间：</w:t>
      </w:r>
      <w:r>
        <w:rPr>
          <w:rFonts w:hint="eastAsia" w:ascii="宋体" w:hAnsi="宋体" w:cs="宋体"/>
          <w:color w:val="auto"/>
          <w:sz w:val="24"/>
          <w:szCs w:val="24"/>
          <w:highlight w:val="none"/>
          <w:u w:val="single"/>
        </w:rPr>
        <w:t>2022</w:t>
      </w:r>
      <w:r>
        <w:rPr>
          <w:rFonts w:hint="eastAsia" w:ascii="宋体" w:hAnsi="宋体" w:cs="宋体"/>
          <w:bCs/>
          <w:color w:val="auto"/>
          <w:sz w:val="24"/>
          <w:szCs w:val="24"/>
          <w:highlight w:val="none"/>
          <w:u w:val="single"/>
        </w:rPr>
        <w:t>年</w:t>
      </w:r>
      <w:r>
        <w:rPr>
          <w:rFonts w:hint="eastAsia" w:ascii="宋体" w:hAnsi="宋体" w:cs="宋体"/>
          <w:bCs/>
          <w:color w:val="auto"/>
          <w:sz w:val="24"/>
          <w:szCs w:val="24"/>
          <w:highlight w:val="none"/>
          <w:u w:val="single"/>
          <w:lang w:val="en-US" w:eastAsia="zh-CN"/>
        </w:rPr>
        <w:t>10</w:t>
      </w:r>
      <w:r>
        <w:rPr>
          <w:rFonts w:hint="eastAsia" w:ascii="宋体" w:hAnsi="宋体" w:cs="宋体"/>
          <w:bCs/>
          <w:color w:val="auto"/>
          <w:sz w:val="24"/>
          <w:szCs w:val="24"/>
          <w:highlight w:val="none"/>
          <w:u w:val="single"/>
        </w:rPr>
        <w:t>月</w:t>
      </w:r>
      <w:r>
        <w:rPr>
          <w:rFonts w:hint="eastAsia" w:ascii="宋体" w:hAnsi="宋体" w:cs="宋体"/>
          <w:bCs/>
          <w:color w:val="auto"/>
          <w:sz w:val="24"/>
          <w:szCs w:val="24"/>
          <w:highlight w:val="none"/>
          <w:u w:val="single"/>
          <w:lang w:val="en-US" w:eastAsia="zh-CN"/>
        </w:rPr>
        <w:t>10</w:t>
      </w:r>
      <w:r>
        <w:rPr>
          <w:rFonts w:hint="eastAsia" w:ascii="宋体" w:hAnsi="宋体" w:cs="宋体"/>
          <w:bCs/>
          <w:color w:val="auto"/>
          <w:sz w:val="24"/>
          <w:szCs w:val="24"/>
          <w:highlight w:val="none"/>
          <w:u w:val="single"/>
        </w:rPr>
        <w:t>日1</w:t>
      </w:r>
      <w:r>
        <w:rPr>
          <w:rFonts w:hint="eastAsia" w:ascii="宋体" w:hAnsi="宋体" w:cs="宋体"/>
          <w:bCs/>
          <w:color w:val="auto"/>
          <w:sz w:val="24"/>
          <w:szCs w:val="24"/>
          <w:highlight w:val="none"/>
          <w:u w:val="single"/>
          <w:lang w:val="en-US" w:eastAsia="zh-CN"/>
        </w:rPr>
        <w:t>0</w:t>
      </w:r>
      <w:r>
        <w:rPr>
          <w:rFonts w:hint="eastAsia" w:ascii="宋体" w:hAnsi="宋体" w:cs="宋体"/>
          <w:bCs/>
          <w:color w:val="auto"/>
          <w:sz w:val="24"/>
          <w:szCs w:val="24"/>
          <w:highlight w:val="none"/>
          <w:u w:val="single"/>
        </w:rPr>
        <w:t>时</w:t>
      </w:r>
      <w:r>
        <w:rPr>
          <w:rFonts w:hint="eastAsia" w:ascii="宋体" w:hAnsi="宋体" w:cs="宋体"/>
          <w:bCs/>
          <w:color w:val="auto"/>
          <w:sz w:val="24"/>
          <w:szCs w:val="24"/>
          <w:highlight w:val="none"/>
          <w:u w:val="single"/>
          <w:lang w:val="en-US" w:eastAsia="zh-CN"/>
        </w:rPr>
        <w:t>3</w:t>
      </w:r>
      <w:r>
        <w:rPr>
          <w:rFonts w:hint="eastAsia" w:ascii="宋体" w:hAnsi="宋体" w:cs="宋体"/>
          <w:bCs/>
          <w:color w:val="auto"/>
          <w:sz w:val="24"/>
          <w:szCs w:val="24"/>
          <w:highlight w:val="none"/>
          <w:u w:val="single"/>
        </w:rPr>
        <w:t>0分</w:t>
      </w:r>
      <w:r>
        <w:rPr>
          <w:rFonts w:hint="eastAsia" w:ascii="宋体" w:hAnsi="宋体" w:cs="宋体"/>
          <w:color w:val="auto"/>
          <w:sz w:val="24"/>
          <w:szCs w:val="24"/>
          <w:highlight w:val="none"/>
        </w:rPr>
        <w:t>（北京时间）；</w:t>
      </w:r>
    </w:p>
    <w:p>
      <w:pPr>
        <w:spacing w:line="276" w:lineRule="auto"/>
        <w:ind w:firstLine="480" w:firstLineChars="200"/>
        <w:rPr>
          <w:rFonts w:hint="eastAsia" w:ascii="宋体" w:hAnsi="宋体" w:cs="宋体"/>
          <w:bCs/>
          <w:color w:val="auto"/>
          <w:sz w:val="24"/>
          <w:szCs w:val="24"/>
          <w:highlight w:val="none"/>
          <w:u w:val="single"/>
        </w:rPr>
      </w:pPr>
      <w:r>
        <w:rPr>
          <w:rFonts w:hint="eastAsia" w:ascii="宋体" w:hAnsi="宋体" w:cs="宋体"/>
          <w:color w:val="auto"/>
          <w:sz w:val="24"/>
          <w:szCs w:val="24"/>
          <w:highlight w:val="none"/>
        </w:rPr>
        <w:t>开启地点：</w:t>
      </w:r>
      <w:r>
        <w:rPr>
          <w:rFonts w:hint="eastAsia" w:ascii="宋体" w:hAnsi="宋体" w:cs="宋体"/>
          <w:color w:val="auto"/>
          <w:sz w:val="24"/>
          <w:szCs w:val="24"/>
          <w:highlight w:val="none"/>
          <w:u w:val="single"/>
        </w:rPr>
        <w:t>海口市美兰区蓝天路51号京航大酒店5楼</w:t>
      </w:r>
      <w:r>
        <w:rPr>
          <w:rFonts w:hint="eastAsia" w:ascii="宋体" w:hAnsi="宋体" w:cs="宋体"/>
          <w:color w:val="auto"/>
          <w:sz w:val="24"/>
          <w:szCs w:val="24"/>
          <w:highlight w:val="none"/>
          <w:u w:val="single"/>
          <w:lang w:val="en-US" w:eastAsia="zh-CN"/>
        </w:rPr>
        <w:t>5</w:t>
      </w:r>
      <w:r>
        <w:rPr>
          <w:rFonts w:hint="eastAsia" w:ascii="宋体" w:hAnsi="宋体" w:cs="宋体"/>
          <w:color w:val="auto"/>
          <w:sz w:val="24"/>
          <w:szCs w:val="24"/>
          <w:highlight w:val="none"/>
          <w:u w:val="single"/>
        </w:rPr>
        <w:t>号开标室（如有变动另行通知）</w:t>
      </w:r>
      <w:r>
        <w:rPr>
          <w:rFonts w:hint="eastAsia" w:ascii="宋体" w:hAnsi="宋体" w:cs="宋体"/>
          <w:color w:val="auto"/>
          <w:sz w:val="24"/>
          <w:szCs w:val="24"/>
          <w:highlight w:val="none"/>
        </w:rPr>
        <w:t>。</w:t>
      </w:r>
    </w:p>
    <w:p>
      <w:pPr>
        <w:spacing w:line="276" w:lineRule="auto"/>
        <w:rPr>
          <w:rFonts w:hint="eastAsia" w:ascii="宋体" w:hAnsi="宋体" w:cs="宋体"/>
          <w:b/>
          <w:color w:val="000000"/>
          <w:sz w:val="24"/>
          <w:szCs w:val="24"/>
          <w:highlight w:val="none"/>
        </w:rPr>
      </w:pPr>
      <w:bookmarkStart w:id="32" w:name="_Toc35393803"/>
      <w:bookmarkStart w:id="33" w:name="_Toc28359094"/>
      <w:bookmarkStart w:id="34" w:name="_Toc28359017"/>
      <w:bookmarkStart w:id="35" w:name="_Toc35393634"/>
      <w:r>
        <w:rPr>
          <w:rFonts w:hint="eastAsia" w:ascii="宋体" w:hAnsi="宋体" w:cs="宋体"/>
          <w:b/>
          <w:color w:val="000000"/>
          <w:sz w:val="24"/>
          <w:szCs w:val="24"/>
          <w:highlight w:val="none"/>
        </w:rPr>
        <w:t>六、公告期限</w:t>
      </w:r>
      <w:bookmarkEnd w:id="32"/>
      <w:bookmarkEnd w:id="33"/>
      <w:bookmarkEnd w:id="34"/>
      <w:bookmarkEnd w:id="35"/>
      <w:r>
        <w:rPr>
          <w:rFonts w:hint="eastAsia" w:ascii="宋体" w:hAnsi="宋体" w:cs="宋体"/>
          <w:b/>
          <w:color w:val="000000"/>
          <w:sz w:val="24"/>
          <w:szCs w:val="24"/>
          <w:highlight w:val="none"/>
        </w:rPr>
        <w:t>：</w:t>
      </w:r>
    </w:p>
    <w:p>
      <w:pPr>
        <w:spacing w:line="276"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自本公告发布之日起</w:t>
      </w:r>
      <w:r>
        <w:rPr>
          <w:rFonts w:hint="eastAsia" w:ascii="宋体" w:hAnsi="宋体" w:cs="宋体"/>
          <w:color w:val="auto"/>
          <w:sz w:val="24"/>
          <w:szCs w:val="24"/>
          <w:highlight w:val="none"/>
          <w:lang w:val="en-US" w:eastAsia="zh-CN"/>
        </w:rPr>
        <w:t>3</w:t>
      </w:r>
      <w:r>
        <w:rPr>
          <w:rFonts w:hint="eastAsia" w:ascii="宋体" w:hAnsi="宋体" w:cs="宋体"/>
          <w:color w:val="auto"/>
          <w:sz w:val="24"/>
          <w:szCs w:val="24"/>
          <w:highlight w:val="none"/>
        </w:rPr>
        <w:t>个工作日。</w:t>
      </w:r>
    </w:p>
    <w:p>
      <w:pPr>
        <w:spacing w:line="276" w:lineRule="auto"/>
        <w:rPr>
          <w:rFonts w:hint="eastAsia" w:ascii="宋体" w:hAnsi="宋体" w:cs="宋体"/>
          <w:b/>
          <w:color w:val="auto"/>
          <w:sz w:val="24"/>
          <w:szCs w:val="24"/>
          <w:highlight w:val="none"/>
        </w:rPr>
      </w:pPr>
      <w:bookmarkStart w:id="36" w:name="_Toc35393635"/>
      <w:bookmarkStart w:id="37" w:name="_Toc35393804"/>
      <w:r>
        <w:rPr>
          <w:rFonts w:hint="eastAsia" w:ascii="宋体" w:hAnsi="宋体" w:cs="宋体"/>
          <w:b/>
          <w:color w:val="auto"/>
          <w:sz w:val="24"/>
          <w:szCs w:val="24"/>
          <w:highlight w:val="none"/>
        </w:rPr>
        <w:t>七、其他补充事宜</w:t>
      </w:r>
      <w:bookmarkEnd w:id="36"/>
      <w:bookmarkEnd w:id="37"/>
      <w:r>
        <w:rPr>
          <w:rFonts w:hint="eastAsia" w:ascii="宋体" w:hAnsi="宋体" w:cs="宋体"/>
          <w:b/>
          <w:color w:val="auto"/>
          <w:sz w:val="24"/>
          <w:szCs w:val="24"/>
          <w:highlight w:val="none"/>
        </w:rPr>
        <w:t>：</w:t>
      </w:r>
    </w:p>
    <w:p>
      <w:pPr>
        <w:spacing w:line="276" w:lineRule="auto"/>
        <w:ind w:firstLine="540"/>
        <w:rPr>
          <w:rFonts w:hint="eastAsia" w:ascii="宋体" w:hAnsi="宋体" w:eastAsia="宋体" w:cs="宋体"/>
          <w:color w:val="auto"/>
          <w:spacing w:val="0"/>
          <w:kern w:val="2"/>
          <w:sz w:val="24"/>
          <w:szCs w:val="24"/>
          <w:highlight w:val="none"/>
          <w:lang w:val="en-US" w:eastAsia="zh-CN" w:bidi="ar-SA"/>
        </w:rPr>
      </w:pPr>
      <w:r>
        <w:rPr>
          <w:rFonts w:hint="eastAsia" w:ascii="宋体" w:hAnsi="宋体" w:eastAsia="宋体" w:cs="宋体"/>
          <w:color w:val="auto"/>
          <w:spacing w:val="0"/>
          <w:kern w:val="2"/>
          <w:sz w:val="24"/>
          <w:szCs w:val="24"/>
          <w:highlight w:val="none"/>
          <w:lang w:val="en-US" w:eastAsia="zh-CN" w:bidi="ar-SA"/>
        </w:rPr>
        <w:t xml:space="preserve">1、公告发布媒介：海南省政府采购网（http://www.ccgp-hainan.gov.cn/）。有关本项目磋文件的补遗、澄清及变更信息以上述网站公告与下载为准，采购代理机构不再另行通知，磋商文件与更正公告的内容相互矛盾时，以后发出的更正公告内容为准。 </w:t>
      </w:r>
    </w:p>
    <w:p>
      <w:pPr>
        <w:numPr>
          <w:ilvl w:val="0"/>
          <w:numId w:val="4"/>
        </w:numPr>
        <w:spacing w:line="276" w:lineRule="auto"/>
        <w:ind w:firstLine="540"/>
        <w:rPr>
          <w:rFonts w:hint="eastAsia" w:ascii="宋体" w:hAnsi="宋体" w:eastAsia="宋体" w:cs="宋体"/>
          <w:color w:val="auto"/>
          <w:spacing w:val="0"/>
          <w:kern w:val="2"/>
          <w:sz w:val="24"/>
          <w:szCs w:val="24"/>
          <w:highlight w:val="none"/>
          <w:lang w:val="en-US" w:eastAsia="zh-CN" w:bidi="ar-SA"/>
        </w:rPr>
      </w:pPr>
      <w:r>
        <w:rPr>
          <w:rFonts w:hint="eastAsia" w:ascii="宋体" w:hAnsi="宋体" w:eastAsia="宋体" w:cs="宋体"/>
          <w:color w:val="auto"/>
          <w:spacing w:val="0"/>
          <w:kern w:val="2"/>
          <w:sz w:val="24"/>
          <w:szCs w:val="24"/>
          <w:highlight w:val="none"/>
          <w:lang w:val="en-US" w:eastAsia="zh-CN" w:bidi="ar-SA"/>
        </w:rPr>
        <w:t>供应商须在“海南省政府采购电子化交易管理系统(新)https://www.ccgphainan.gov.cn/zhuzhan/”注册，并通过该系统成功报名、下载电子版的采购文件，供应商未按上述规定在规定时限内报名获取采件的视为无效报名；供应商报名成功后，请密切关注该系统发布的相关动态信息。供应商应详细阅读海南省政府采购网的通知《海南财政厅关于政府采购电子化交易管理系统全省推广应用的通知》，如在适用该系统的过程中遇到相关问题，请拨打技术支持电话：0898-68546705。</w:t>
      </w:r>
    </w:p>
    <w:p>
      <w:pPr>
        <w:numPr>
          <w:ilvl w:val="0"/>
          <w:numId w:val="0"/>
        </w:numPr>
        <w:spacing w:line="276" w:lineRule="auto"/>
        <w:rPr>
          <w:rFonts w:hint="eastAsia" w:ascii="宋体" w:hAnsi="宋体" w:eastAsia="宋体" w:cs="宋体"/>
          <w:color w:val="auto"/>
          <w:spacing w:val="0"/>
          <w:kern w:val="2"/>
          <w:sz w:val="24"/>
          <w:szCs w:val="24"/>
          <w:highlight w:val="none"/>
          <w:lang w:val="en-US" w:eastAsia="zh-CN" w:bidi="ar-SA"/>
        </w:rPr>
      </w:pPr>
      <w:r>
        <w:rPr>
          <w:rFonts w:hint="eastAsia" w:ascii="宋体" w:hAnsi="宋体" w:eastAsia="宋体" w:cs="宋体"/>
          <w:color w:val="auto"/>
          <w:spacing w:val="0"/>
          <w:kern w:val="2"/>
          <w:sz w:val="24"/>
          <w:szCs w:val="24"/>
          <w:highlight w:val="none"/>
          <w:lang w:val="en-US" w:eastAsia="zh-CN" w:bidi="ar-SA"/>
        </w:rPr>
        <w:t xml:space="preserve"> 3、响应文件（投标文件）必须在提交截止时间前送达到提交地点（开标地点），逾期送达或没有密封的文件不予接受邮寄、传真或信函等非现场形式的投标。</w:t>
      </w:r>
    </w:p>
    <w:p>
      <w:pPr>
        <w:spacing w:line="276" w:lineRule="auto"/>
        <w:rPr>
          <w:rFonts w:hint="eastAsia" w:ascii="宋体" w:hAnsi="宋体" w:cs="宋体"/>
          <w:b/>
          <w:color w:val="auto"/>
          <w:sz w:val="24"/>
          <w:szCs w:val="24"/>
          <w:highlight w:val="none"/>
        </w:rPr>
      </w:pPr>
      <w:bookmarkStart w:id="38" w:name="_Toc28359095"/>
      <w:bookmarkStart w:id="39" w:name="_Toc28359018"/>
      <w:bookmarkStart w:id="40" w:name="_Toc35393636"/>
      <w:bookmarkStart w:id="41" w:name="_Toc35393805"/>
      <w:r>
        <w:rPr>
          <w:rFonts w:hint="eastAsia" w:ascii="宋体" w:hAnsi="宋体" w:cs="宋体"/>
          <w:b/>
          <w:color w:val="auto"/>
          <w:sz w:val="24"/>
          <w:szCs w:val="24"/>
          <w:highlight w:val="none"/>
        </w:rPr>
        <w:t>八、凡对本次采购提出询问，请按以下方式联系</w:t>
      </w:r>
      <w:bookmarkEnd w:id="38"/>
      <w:bookmarkEnd w:id="39"/>
      <w:bookmarkEnd w:id="40"/>
      <w:bookmarkEnd w:id="41"/>
      <w:r>
        <w:rPr>
          <w:rFonts w:hint="eastAsia" w:ascii="宋体" w:hAnsi="宋体" w:cs="宋体"/>
          <w:b/>
          <w:color w:val="auto"/>
          <w:sz w:val="24"/>
          <w:szCs w:val="24"/>
          <w:highlight w:val="none"/>
        </w:rPr>
        <w:t>：</w:t>
      </w:r>
    </w:p>
    <w:p>
      <w:pPr>
        <w:spacing w:line="276" w:lineRule="auto"/>
        <w:ind w:firstLine="480" w:firstLineChars="200"/>
        <w:rPr>
          <w:rFonts w:hint="eastAsia" w:ascii="宋体" w:hAnsi="宋体" w:cs="宋体"/>
          <w:color w:val="auto"/>
          <w:sz w:val="24"/>
          <w:szCs w:val="24"/>
          <w:highlight w:val="none"/>
        </w:rPr>
      </w:pPr>
      <w:bookmarkStart w:id="42" w:name="_Toc35393637"/>
      <w:bookmarkStart w:id="43" w:name="_Toc28359096"/>
      <w:bookmarkStart w:id="44" w:name="_Toc28359019"/>
      <w:bookmarkStart w:id="45" w:name="_Toc35393806"/>
      <w:r>
        <w:rPr>
          <w:rFonts w:hint="eastAsia" w:ascii="宋体" w:hAnsi="宋体" w:cs="宋体"/>
          <w:color w:val="auto"/>
          <w:sz w:val="24"/>
          <w:szCs w:val="24"/>
          <w:highlight w:val="none"/>
        </w:rPr>
        <w:t>1.采购人信息</w:t>
      </w:r>
      <w:bookmarkEnd w:id="42"/>
      <w:bookmarkEnd w:id="43"/>
      <w:bookmarkEnd w:id="44"/>
      <w:bookmarkEnd w:id="45"/>
    </w:p>
    <w:p>
      <w:pPr>
        <w:spacing w:line="276" w:lineRule="auto"/>
        <w:ind w:left="1079" w:leftChars="371" w:hanging="300" w:hangingChars="125"/>
        <w:rPr>
          <w:rFonts w:hint="eastAsia" w:ascii="宋体" w:hAnsi="宋体" w:eastAsia="宋体" w:cs="宋体"/>
          <w:color w:val="auto"/>
          <w:sz w:val="24"/>
          <w:szCs w:val="24"/>
          <w:highlight w:val="none"/>
          <w:u w:val="single"/>
          <w:lang w:eastAsia="zh-CN"/>
        </w:rPr>
      </w:pPr>
      <w:r>
        <w:rPr>
          <w:rFonts w:hint="eastAsia" w:ascii="宋体" w:hAnsi="宋体" w:cs="宋体"/>
          <w:color w:val="auto"/>
          <w:sz w:val="24"/>
          <w:szCs w:val="24"/>
          <w:highlight w:val="none"/>
        </w:rPr>
        <w:t>名    称：</w:t>
      </w:r>
      <w:r>
        <w:rPr>
          <w:rFonts w:hint="eastAsia" w:ascii="宋体" w:hAnsi="宋体" w:cs="宋体"/>
          <w:color w:val="auto"/>
          <w:sz w:val="24"/>
          <w:szCs w:val="24"/>
          <w:highlight w:val="none"/>
          <w:u w:val="single"/>
          <w:lang w:eastAsia="zh-CN"/>
        </w:rPr>
        <w:t>屯昌县林业事务中心</w:t>
      </w:r>
    </w:p>
    <w:p>
      <w:pPr>
        <w:spacing w:line="276" w:lineRule="auto"/>
        <w:ind w:left="1079" w:leftChars="371" w:hanging="300" w:hangingChars="125"/>
        <w:rPr>
          <w:rFonts w:hint="eastAsia" w:ascii="宋体" w:hAnsi="宋体" w:cs="宋体"/>
          <w:color w:val="auto"/>
          <w:sz w:val="24"/>
          <w:szCs w:val="24"/>
          <w:highlight w:val="none"/>
          <w:u w:val="single"/>
          <w:lang w:eastAsia="zh-CN"/>
        </w:rPr>
      </w:pPr>
      <w:r>
        <w:rPr>
          <w:rFonts w:hint="eastAsia" w:ascii="宋体" w:hAnsi="宋体" w:cs="宋体"/>
          <w:color w:val="auto"/>
          <w:sz w:val="24"/>
          <w:szCs w:val="24"/>
          <w:highlight w:val="none"/>
        </w:rPr>
        <w:t>地    址：</w:t>
      </w:r>
      <w:r>
        <w:rPr>
          <w:rFonts w:hint="eastAsia" w:ascii="宋体" w:hAnsi="宋体" w:cs="宋体"/>
          <w:color w:val="auto"/>
          <w:sz w:val="24"/>
          <w:szCs w:val="24"/>
          <w:highlight w:val="none"/>
          <w:u w:val="single"/>
        </w:rPr>
        <w:t>屯昌县屯城镇兴业二横路</w:t>
      </w:r>
      <w:r>
        <w:rPr>
          <w:rFonts w:hint="eastAsia" w:ascii="宋体" w:hAnsi="宋体" w:cs="宋体"/>
          <w:color w:val="auto"/>
          <w:sz w:val="24"/>
          <w:szCs w:val="24"/>
          <w:highlight w:val="none"/>
        </w:rPr>
        <w:t xml:space="preserve"> </w:t>
      </w:r>
    </w:p>
    <w:p>
      <w:pPr>
        <w:spacing w:line="276" w:lineRule="auto"/>
        <w:ind w:left="1079" w:leftChars="371" w:hanging="300" w:hangingChars="125"/>
        <w:rPr>
          <w:rFonts w:hint="default" w:ascii="宋体" w:hAnsi="宋体" w:eastAsia="宋体" w:cs="宋体"/>
          <w:color w:val="auto"/>
          <w:sz w:val="24"/>
          <w:szCs w:val="24"/>
          <w:highlight w:val="none"/>
          <w:u w:val="single"/>
          <w:lang w:val="en-US" w:eastAsia="zh-CN"/>
        </w:rPr>
      </w:pPr>
      <w:r>
        <w:rPr>
          <w:rFonts w:hint="eastAsia" w:ascii="宋体" w:hAnsi="宋体" w:cs="宋体"/>
          <w:color w:val="auto"/>
          <w:sz w:val="24"/>
          <w:szCs w:val="24"/>
          <w:highlight w:val="none"/>
        </w:rPr>
        <w:t>联系方式：</w:t>
      </w:r>
      <w:r>
        <w:rPr>
          <w:rFonts w:hint="eastAsia" w:ascii="宋体" w:hAnsi="宋体" w:cs="宋体"/>
          <w:color w:val="auto"/>
          <w:sz w:val="24"/>
          <w:szCs w:val="24"/>
          <w:highlight w:val="none"/>
          <w:u w:val="single"/>
        </w:rPr>
        <w:t>0898-</w:t>
      </w:r>
      <w:r>
        <w:rPr>
          <w:rFonts w:hint="eastAsia" w:ascii="宋体" w:hAnsi="宋体" w:cs="宋体"/>
          <w:color w:val="auto"/>
          <w:sz w:val="24"/>
          <w:szCs w:val="24"/>
          <w:highlight w:val="none"/>
          <w:u w:val="single"/>
          <w:lang w:val="en-US" w:eastAsia="zh-CN"/>
        </w:rPr>
        <w:t>67812410</w:t>
      </w:r>
    </w:p>
    <w:p>
      <w:pPr>
        <w:spacing w:line="276" w:lineRule="auto"/>
        <w:ind w:firstLine="480" w:firstLineChars="200"/>
        <w:rPr>
          <w:rFonts w:hint="eastAsia" w:ascii="宋体" w:hAnsi="宋体" w:cs="宋体"/>
          <w:color w:val="auto"/>
          <w:sz w:val="24"/>
          <w:szCs w:val="24"/>
          <w:highlight w:val="none"/>
        </w:rPr>
      </w:pPr>
      <w:bookmarkStart w:id="46" w:name="_Toc28359020"/>
      <w:bookmarkStart w:id="47" w:name="_Toc35393807"/>
      <w:bookmarkStart w:id="48" w:name="_Toc35393638"/>
      <w:bookmarkStart w:id="49" w:name="_Toc28359097"/>
      <w:r>
        <w:rPr>
          <w:rFonts w:hint="eastAsia" w:ascii="宋体" w:hAnsi="宋体" w:cs="宋体"/>
          <w:color w:val="auto"/>
          <w:sz w:val="24"/>
          <w:szCs w:val="24"/>
          <w:highlight w:val="none"/>
        </w:rPr>
        <w:t>2.采购代理机构信息</w:t>
      </w:r>
      <w:bookmarkEnd w:id="46"/>
      <w:bookmarkEnd w:id="47"/>
      <w:bookmarkEnd w:id="48"/>
      <w:bookmarkEnd w:id="49"/>
    </w:p>
    <w:p>
      <w:pPr>
        <w:spacing w:line="276" w:lineRule="auto"/>
        <w:ind w:firstLine="720" w:firstLineChars="300"/>
        <w:rPr>
          <w:rFonts w:hint="default" w:ascii="宋体" w:hAnsi="宋体" w:eastAsia="宋体" w:cs="宋体"/>
          <w:color w:val="auto"/>
          <w:sz w:val="24"/>
          <w:szCs w:val="24"/>
          <w:highlight w:val="none"/>
          <w:u w:val="single"/>
          <w:lang w:val="en-US" w:eastAsia="zh-CN"/>
        </w:rPr>
      </w:pPr>
      <w:r>
        <w:rPr>
          <w:rFonts w:hint="eastAsia" w:ascii="宋体" w:hAnsi="宋体" w:cs="宋体"/>
          <w:color w:val="auto"/>
          <w:sz w:val="24"/>
          <w:szCs w:val="24"/>
          <w:highlight w:val="none"/>
        </w:rPr>
        <w:t>名    称：</w:t>
      </w:r>
      <w:r>
        <w:rPr>
          <w:rFonts w:hint="eastAsia" w:ascii="宋体" w:hAnsi="宋体" w:cs="宋体"/>
          <w:color w:val="auto"/>
          <w:sz w:val="24"/>
          <w:szCs w:val="24"/>
          <w:highlight w:val="none"/>
          <w:u w:val="single"/>
        </w:rPr>
        <w:t>海南诚屹项目管理有限公司</w:t>
      </w:r>
    </w:p>
    <w:p>
      <w:pPr>
        <w:spacing w:line="440" w:lineRule="exact"/>
        <w:ind w:firstLine="720" w:firstLineChars="300"/>
        <w:rPr>
          <w:rFonts w:hint="default" w:ascii="宋体" w:hAnsi="宋体" w:eastAsia="宋体" w:cs="宋体"/>
          <w:color w:val="auto"/>
          <w:sz w:val="24"/>
          <w:szCs w:val="24"/>
          <w:highlight w:val="none"/>
          <w:u w:val="single"/>
          <w:lang w:val="en-US" w:eastAsia="zh-CN"/>
        </w:rPr>
      </w:pPr>
      <w:r>
        <w:rPr>
          <w:rFonts w:hint="eastAsia" w:ascii="宋体" w:hAnsi="宋体" w:cs="宋体"/>
          <w:color w:val="auto"/>
          <w:sz w:val="24"/>
          <w:szCs w:val="24"/>
          <w:highlight w:val="none"/>
        </w:rPr>
        <w:t>地　　址：</w:t>
      </w:r>
      <w:r>
        <w:rPr>
          <w:rFonts w:hint="eastAsia" w:ascii="宋体" w:hAnsi="宋体"/>
          <w:sz w:val="24"/>
          <w:szCs w:val="24"/>
          <w:u w:val="single"/>
        </w:rPr>
        <w:t>海南省海口市琼山区国兴大道美苑路美舍嘉苑3栋B单元1404房</w:t>
      </w:r>
    </w:p>
    <w:p>
      <w:pPr>
        <w:spacing w:line="276" w:lineRule="auto"/>
        <w:ind w:firstLine="720" w:firstLineChars="300"/>
        <w:rPr>
          <w:rFonts w:hint="default" w:ascii="宋体" w:hAnsi="宋体" w:eastAsia="宋体" w:cs="宋体"/>
          <w:color w:val="auto"/>
          <w:sz w:val="24"/>
          <w:szCs w:val="24"/>
          <w:highlight w:val="none"/>
          <w:u w:val="single"/>
          <w:lang w:val="en-US" w:eastAsia="zh-CN"/>
        </w:rPr>
      </w:pPr>
      <w:r>
        <w:rPr>
          <w:rFonts w:hint="eastAsia" w:ascii="宋体" w:hAnsi="宋体" w:cs="宋体"/>
          <w:color w:val="auto"/>
          <w:sz w:val="24"/>
          <w:szCs w:val="24"/>
          <w:highlight w:val="none"/>
        </w:rPr>
        <w:t>联系方式：</w:t>
      </w:r>
      <w:r>
        <w:rPr>
          <w:rFonts w:hint="eastAsia" w:ascii="宋体" w:hAnsi="宋体" w:cs="宋体"/>
          <w:color w:val="auto"/>
          <w:sz w:val="24"/>
          <w:szCs w:val="24"/>
          <w:highlight w:val="none"/>
          <w:u w:val="single"/>
          <w:lang w:val="en-US" w:eastAsia="zh-CN"/>
        </w:rPr>
        <w:t>0898-65328801</w:t>
      </w:r>
    </w:p>
    <w:p>
      <w:pPr>
        <w:spacing w:line="276" w:lineRule="auto"/>
        <w:ind w:firstLine="480" w:firstLineChars="200"/>
        <w:rPr>
          <w:rFonts w:hint="eastAsia" w:ascii="宋体" w:hAnsi="宋体" w:cs="宋体"/>
          <w:b/>
          <w:color w:val="auto"/>
          <w:sz w:val="24"/>
          <w:szCs w:val="24"/>
          <w:highlight w:val="none"/>
        </w:rPr>
      </w:pPr>
      <w:bookmarkStart w:id="50" w:name="_Toc28359098"/>
      <w:bookmarkStart w:id="51" w:name="_Toc35393808"/>
      <w:bookmarkStart w:id="52" w:name="_Toc28359021"/>
      <w:bookmarkStart w:id="53" w:name="_Toc35393639"/>
      <w:r>
        <w:rPr>
          <w:rFonts w:hint="eastAsia" w:ascii="宋体" w:hAnsi="宋体" w:cs="宋体"/>
          <w:color w:val="auto"/>
          <w:sz w:val="24"/>
          <w:szCs w:val="24"/>
          <w:highlight w:val="none"/>
        </w:rPr>
        <w:t>3.项目联系方式</w:t>
      </w:r>
      <w:bookmarkEnd w:id="50"/>
      <w:bookmarkEnd w:id="51"/>
      <w:bookmarkEnd w:id="52"/>
      <w:bookmarkEnd w:id="53"/>
    </w:p>
    <w:p>
      <w:pPr>
        <w:pStyle w:val="22"/>
        <w:spacing w:line="276" w:lineRule="auto"/>
        <w:ind w:firstLine="720" w:firstLineChars="300"/>
        <w:rPr>
          <w:rFonts w:hint="eastAsia" w:hAnsi="宋体" w:eastAsia="宋体" w:cs="宋体"/>
          <w:color w:val="auto"/>
          <w:sz w:val="24"/>
          <w:szCs w:val="24"/>
          <w:highlight w:val="none"/>
          <w:u w:val="single"/>
          <w:lang w:val="en-US" w:eastAsia="zh-CN"/>
        </w:rPr>
      </w:pPr>
      <w:r>
        <w:rPr>
          <w:rFonts w:hint="eastAsia" w:hAnsi="宋体" w:cs="宋体"/>
          <w:color w:val="auto"/>
          <w:sz w:val="24"/>
          <w:szCs w:val="24"/>
          <w:highlight w:val="none"/>
        </w:rPr>
        <w:t>项目联系人：</w:t>
      </w:r>
      <w:r>
        <w:rPr>
          <w:rFonts w:hint="eastAsia" w:hAnsi="宋体" w:cs="宋体"/>
          <w:color w:val="auto"/>
          <w:sz w:val="24"/>
          <w:szCs w:val="24"/>
          <w:highlight w:val="none"/>
          <w:u w:val="single"/>
          <w:lang w:val="en-US" w:eastAsia="zh-CN"/>
        </w:rPr>
        <w:t>谢工</w:t>
      </w:r>
    </w:p>
    <w:p>
      <w:pPr>
        <w:spacing w:line="276" w:lineRule="auto"/>
        <w:ind w:firstLine="720" w:firstLineChars="300"/>
        <w:rPr>
          <w:rFonts w:hint="default" w:ascii="宋体" w:hAnsi="宋体" w:eastAsia="宋体" w:cs="宋体"/>
          <w:color w:val="auto"/>
          <w:sz w:val="24"/>
          <w:szCs w:val="24"/>
          <w:highlight w:val="none"/>
          <w:u w:val="single"/>
          <w:lang w:val="en-US" w:eastAsia="zh-CN"/>
        </w:rPr>
      </w:pPr>
      <w:r>
        <w:rPr>
          <w:rFonts w:hint="eastAsia" w:ascii="宋体" w:hAnsi="宋体" w:cs="宋体"/>
          <w:color w:val="auto"/>
          <w:sz w:val="24"/>
          <w:szCs w:val="24"/>
          <w:highlight w:val="none"/>
        </w:rPr>
        <w:t>电　　  话：</w:t>
      </w:r>
      <w:r>
        <w:rPr>
          <w:rFonts w:hint="eastAsia" w:ascii="宋体" w:hAnsi="宋体" w:cs="宋体"/>
          <w:color w:val="auto"/>
          <w:sz w:val="24"/>
          <w:szCs w:val="24"/>
          <w:highlight w:val="none"/>
          <w:u w:val="single"/>
          <w:lang w:val="en-US" w:eastAsia="zh-CN"/>
        </w:rPr>
        <w:t>0898-65328801</w:t>
      </w:r>
    </w:p>
    <w:bookmarkEnd w:id="4"/>
    <w:bookmarkEnd w:id="5"/>
    <w:bookmarkEnd w:id="6"/>
    <w:bookmarkEnd w:id="7"/>
    <w:bookmarkEnd w:id="8"/>
    <w:bookmarkEnd w:id="9"/>
    <w:bookmarkEnd w:id="10"/>
    <w:bookmarkEnd w:id="11"/>
    <w:p>
      <w:pPr>
        <w:pStyle w:val="3"/>
        <w:tabs>
          <w:tab w:val="left" w:pos="900"/>
        </w:tabs>
        <w:spacing w:line="360" w:lineRule="auto"/>
        <w:jc w:val="center"/>
        <w:rPr>
          <w:rFonts w:hint="eastAsia" w:cs="宋体"/>
          <w:b/>
          <w:color w:val="auto"/>
          <w:sz w:val="36"/>
          <w:szCs w:val="36"/>
          <w:highlight w:val="none"/>
        </w:rPr>
      </w:pPr>
      <w:r>
        <w:rPr>
          <w:rFonts w:hint="eastAsia" w:cs="宋体"/>
          <w:b/>
          <w:color w:val="auto"/>
          <w:sz w:val="24"/>
          <w:szCs w:val="24"/>
          <w:highlight w:val="none"/>
        </w:rPr>
        <w:br w:type="page"/>
      </w:r>
      <w:bookmarkStart w:id="54" w:name="_Toc65828984"/>
      <w:r>
        <w:rPr>
          <w:rFonts w:hint="eastAsia" w:cs="宋体"/>
          <w:b/>
          <w:color w:val="auto"/>
          <w:sz w:val="36"/>
          <w:szCs w:val="36"/>
          <w:highlight w:val="none"/>
        </w:rPr>
        <w:t>第二章 供应商须知</w:t>
      </w:r>
      <w:bookmarkEnd w:id="54"/>
    </w:p>
    <w:p>
      <w:pPr>
        <w:pStyle w:val="3"/>
        <w:tabs>
          <w:tab w:val="left" w:pos="900"/>
        </w:tabs>
        <w:spacing w:line="360" w:lineRule="auto"/>
        <w:ind w:left="540"/>
        <w:jc w:val="center"/>
        <w:rPr>
          <w:rFonts w:hint="eastAsia" w:cs="宋体"/>
          <w:b/>
          <w:color w:val="auto"/>
          <w:sz w:val="32"/>
          <w:szCs w:val="32"/>
          <w:highlight w:val="none"/>
        </w:rPr>
      </w:pPr>
      <w:bookmarkStart w:id="55" w:name="_Toc65828985"/>
      <w:bookmarkStart w:id="56" w:name="_Toc65828791"/>
      <w:r>
        <w:rPr>
          <w:rFonts w:hint="eastAsia" w:cs="宋体"/>
          <w:b/>
          <w:color w:val="auto"/>
          <w:sz w:val="32"/>
          <w:szCs w:val="32"/>
          <w:highlight w:val="none"/>
        </w:rPr>
        <w:t>供应商须知前附表</w:t>
      </w:r>
      <w:bookmarkEnd w:id="55"/>
      <w:bookmarkEnd w:id="56"/>
    </w:p>
    <w:tbl>
      <w:tblPr>
        <w:tblStyle w:val="38"/>
        <w:tblW w:w="96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1"/>
        <w:gridCol w:w="2385"/>
        <w:gridCol w:w="65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781" w:type="dxa"/>
            <w:vAlign w:val="center"/>
          </w:tcPr>
          <w:p>
            <w:pPr>
              <w:adjustRightInd w:val="0"/>
              <w:snapToGrid w:val="0"/>
              <w:spacing w:line="360" w:lineRule="auto"/>
              <w:jc w:val="center"/>
              <w:rPr>
                <w:rFonts w:hint="eastAsia" w:ascii="宋体" w:hAnsi="宋体" w:cs="宋体"/>
                <w:b/>
                <w:color w:val="auto"/>
                <w:szCs w:val="21"/>
                <w:highlight w:val="none"/>
              </w:rPr>
            </w:pPr>
            <w:r>
              <w:rPr>
                <w:rFonts w:hint="eastAsia" w:ascii="宋体" w:hAnsi="宋体" w:cs="宋体"/>
                <w:b/>
                <w:color w:val="auto"/>
                <w:szCs w:val="21"/>
                <w:highlight w:val="none"/>
              </w:rPr>
              <w:t>序号</w:t>
            </w:r>
          </w:p>
        </w:tc>
        <w:tc>
          <w:tcPr>
            <w:tcW w:w="2385" w:type="dxa"/>
            <w:vAlign w:val="center"/>
          </w:tcPr>
          <w:p>
            <w:pPr>
              <w:adjustRightInd w:val="0"/>
              <w:snapToGrid w:val="0"/>
              <w:spacing w:line="360" w:lineRule="auto"/>
              <w:jc w:val="center"/>
              <w:rPr>
                <w:rFonts w:hint="eastAsia" w:ascii="宋体" w:hAnsi="宋体" w:cs="宋体"/>
                <w:b/>
                <w:color w:val="auto"/>
                <w:szCs w:val="21"/>
                <w:highlight w:val="none"/>
              </w:rPr>
            </w:pPr>
            <w:r>
              <w:rPr>
                <w:rFonts w:hint="eastAsia" w:ascii="宋体" w:hAnsi="宋体" w:cs="宋体"/>
                <w:b/>
                <w:color w:val="auto"/>
                <w:szCs w:val="21"/>
                <w:highlight w:val="none"/>
              </w:rPr>
              <w:t>条 款 名 称</w:t>
            </w:r>
          </w:p>
        </w:tc>
        <w:tc>
          <w:tcPr>
            <w:tcW w:w="6509" w:type="dxa"/>
            <w:vAlign w:val="center"/>
          </w:tcPr>
          <w:p>
            <w:pPr>
              <w:adjustRightInd w:val="0"/>
              <w:snapToGrid w:val="0"/>
              <w:spacing w:line="360" w:lineRule="auto"/>
              <w:jc w:val="center"/>
              <w:rPr>
                <w:rFonts w:hint="eastAsia" w:ascii="宋体" w:hAnsi="宋体" w:cs="宋体"/>
                <w:b/>
                <w:color w:val="auto"/>
                <w:szCs w:val="21"/>
                <w:highlight w:val="none"/>
              </w:rPr>
            </w:pPr>
            <w:r>
              <w:rPr>
                <w:rFonts w:hint="eastAsia" w:ascii="宋体" w:hAnsi="宋体" w:cs="宋体"/>
                <w:b/>
                <w:color w:val="auto"/>
                <w:szCs w:val="21"/>
                <w:highlight w:val="none"/>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9" w:hRule="atLeast"/>
          <w:jc w:val="center"/>
        </w:trPr>
        <w:tc>
          <w:tcPr>
            <w:tcW w:w="781" w:type="dxa"/>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1</w:t>
            </w:r>
          </w:p>
        </w:tc>
        <w:tc>
          <w:tcPr>
            <w:tcW w:w="2385" w:type="dxa"/>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采购人</w:t>
            </w:r>
          </w:p>
        </w:tc>
        <w:tc>
          <w:tcPr>
            <w:tcW w:w="6509" w:type="dxa"/>
            <w:vAlign w:val="center"/>
          </w:tcPr>
          <w:p>
            <w:pPr>
              <w:adjustRightInd w:val="0"/>
              <w:snapToGrid w:val="0"/>
              <w:spacing w:line="360" w:lineRule="auto"/>
              <w:jc w:val="left"/>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名  称：</w:t>
            </w:r>
            <w:r>
              <w:rPr>
                <w:rFonts w:hint="eastAsia" w:ascii="宋体" w:hAnsi="宋体" w:cs="宋体"/>
                <w:color w:val="auto"/>
                <w:szCs w:val="21"/>
                <w:highlight w:val="none"/>
                <w:lang w:eastAsia="zh-CN"/>
              </w:rPr>
              <w:t>屯昌县林业事务中心</w:t>
            </w:r>
          </w:p>
          <w:p>
            <w:pPr>
              <w:adjustRightInd w:val="0"/>
              <w:snapToGrid w:val="0"/>
              <w:spacing w:line="360" w:lineRule="auto"/>
              <w:jc w:val="left"/>
              <w:rPr>
                <w:rFonts w:hint="eastAsia" w:ascii="宋体" w:hAnsi="宋体" w:cs="宋体"/>
                <w:color w:val="auto"/>
                <w:szCs w:val="21"/>
                <w:highlight w:val="none"/>
              </w:rPr>
            </w:pPr>
            <w:r>
              <w:rPr>
                <w:rFonts w:hint="eastAsia" w:ascii="宋体" w:hAnsi="宋体" w:cs="宋体"/>
                <w:color w:val="auto"/>
                <w:szCs w:val="21"/>
                <w:highlight w:val="none"/>
              </w:rPr>
              <w:t xml:space="preserve">地  址：屯昌县屯城镇兴业二横路 </w:t>
            </w:r>
          </w:p>
          <w:p>
            <w:pPr>
              <w:adjustRightInd w:val="0"/>
              <w:snapToGrid w:val="0"/>
              <w:spacing w:line="360" w:lineRule="auto"/>
              <w:jc w:val="left"/>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rPr>
              <w:t>联系人：</w:t>
            </w:r>
            <w:r>
              <w:rPr>
                <w:rFonts w:hint="eastAsia" w:ascii="宋体" w:hAnsi="宋体" w:cs="宋体"/>
                <w:color w:val="auto"/>
                <w:szCs w:val="21"/>
                <w:highlight w:val="none"/>
                <w:lang w:val="en-US" w:eastAsia="zh-CN"/>
              </w:rPr>
              <w:t>周工</w:t>
            </w:r>
          </w:p>
          <w:p>
            <w:pPr>
              <w:adjustRightInd w:val="0"/>
              <w:snapToGrid w:val="0"/>
              <w:spacing w:line="360" w:lineRule="auto"/>
              <w:jc w:val="left"/>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rPr>
              <w:t>电  话：</w:t>
            </w:r>
            <w:r>
              <w:rPr>
                <w:rFonts w:hint="eastAsia" w:ascii="宋体" w:hAnsi="宋体" w:cs="宋体"/>
                <w:color w:val="auto"/>
                <w:szCs w:val="21"/>
                <w:highlight w:val="none"/>
                <w:lang w:eastAsia="zh-CN"/>
              </w:rPr>
              <w:t>0898-</w:t>
            </w:r>
            <w:r>
              <w:rPr>
                <w:rFonts w:hint="eastAsia" w:ascii="宋体" w:hAnsi="宋体" w:cs="宋体"/>
                <w:color w:val="auto"/>
                <w:szCs w:val="21"/>
                <w:highlight w:val="none"/>
                <w:lang w:val="en-US" w:eastAsia="zh-CN"/>
              </w:rPr>
              <w:t>67812410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781" w:type="dxa"/>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2</w:t>
            </w:r>
          </w:p>
        </w:tc>
        <w:tc>
          <w:tcPr>
            <w:tcW w:w="2385" w:type="dxa"/>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采购代理机构</w:t>
            </w:r>
          </w:p>
        </w:tc>
        <w:tc>
          <w:tcPr>
            <w:tcW w:w="6509" w:type="dxa"/>
            <w:vAlign w:val="center"/>
          </w:tcPr>
          <w:p>
            <w:pPr>
              <w:adjustRightInd w:val="0"/>
              <w:snapToGrid w:val="0"/>
              <w:spacing w:line="360" w:lineRule="auto"/>
              <w:jc w:val="left"/>
              <w:rPr>
                <w:rFonts w:hint="eastAsia" w:ascii="宋体" w:hAnsi="宋体" w:cs="宋体"/>
                <w:color w:val="auto"/>
                <w:szCs w:val="21"/>
                <w:highlight w:val="none"/>
              </w:rPr>
            </w:pPr>
            <w:r>
              <w:rPr>
                <w:rFonts w:hint="eastAsia" w:ascii="宋体" w:hAnsi="宋体" w:cs="宋体"/>
                <w:color w:val="auto"/>
                <w:szCs w:val="21"/>
                <w:highlight w:val="none"/>
              </w:rPr>
              <w:t>名称：海南诚屹项目管理有限公司</w:t>
            </w:r>
          </w:p>
          <w:p>
            <w:pPr>
              <w:adjustRightInd w:val="0"/>
              <w:snapToGrid w:val="0"/>
              <w:spacing w:line="360" w:lineRule="auto"/>
              <w:jc w:val="left"/>
              <w:rPr>
                <w:rFonts w:hint="eastAsia" w:ascii="宋体" w:hAnsi="宋体" w:cs="宋体"/>
                <w:color w:val="auto"/>
                <w:sz w:val="18"/>
                <w:szCs w:val="18"/>
                <w:highlight w:val="none"/>
              </w:rPr>
            </w:pPr>
            <w:r>
              <w:rPr>
                <w:rFonts w:hint="eastAsia" w:ascii="宋体" w:hAnsi="宋体" w:cs="宋体"/>
                <w:color w:val="auto"/>
                <w:sz w:val="18"/>
                <w:szCs w:val="18"/>
                <w:highlight w:val="none"/>
              </w:rPr>
              <w:t>地址：海南省海口市琼山区国兴大道美苑路美舍嘉苑3栋B单元1404房</w:t>
            </w:r>
          </w:p>
          <w:p>
            <w:pPr>
              <w:adjustRightInd w:val="0"/>
              <w:snapToGrid w:val="0"/>
              <w:spacing w:line="360" w:lineRule="auto"/>
              <w:jc w:val="left"/>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rPr>
              <w:t>联系人：</w:t>
            </w:r>
            <w:r>
              <w:rPr>
                <w:rFonts w:hint="eastAsia" w:ascii="宋体" w:hAnsi="宋体" w:cs="宋体"/>
                <w:color w:val="auto"/>
                <w:szCs w:val="21"/>
                <w:highlight w:val="none"/>
                <w:lang w:val="en-US" w:eastAsia="zh-CN"/>
              </w:rPr>
              <w:t>谢工</w:t>
            </w:r>
          </w:p>
          <w:p>
            <w:pPr>
              <w:adjustRightInd w:val="0"/>
              <w:snapToGrid w:val="0"/>
              <w:spacing w:line="360" w:lineRule="auto"/>
              <w:jc w:val="left"/>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rPr>
              <w:t>电话：</w:t>
            </w:r>
            <w:r>
              <w:rPr>
                <w:rFonts w:hint="eastAsia" w:ascii="宋体" w:hAnsi="宋体" w:cs="宋体"/>
                <w:color w:val="auto"/>
                <w:szCs w:val="21"/>
                <w:highlight w:val="none"/>
                <w:lang w:val="en-US" w:eastAsia="zh-CN"/>
              </w:rPr>
              <w:t>0898-65328801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781" w:type="dxa"/>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3</w:t>
            </w:r>
          </w:p>
        </w:tc>
        <w:tc>
          <w:tcPr>
            <w:tcW w:w="2385" w:type="dxa"/>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项目名称</w:t>
            </w:r>
          </w:p>
        </w:tc>
        <w:tc>
          <w:tcPr>
            <w:tcW w:w="6509" w:type="dxa"/>
            <w:vAlign w:val="center"/>
          </w:tcPr>
          <w:p>
            <w:pPr>
              <w:adjustRightInd w:val="0"/>
              <w:snapToGrid w:val="0"/>
              <w:spacing w:line="360" w:lineRule="auto"/>
              <w:jc w:val="left"/>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eastAsia="zh-CN"/>
              </w:rPr>
              <w:t>屯昌县国土空间规划中明确造林绿化空间评估项目政府采购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781" w:type="dxa"/>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4</w:t>
            </w:r>
          </w:p>
        </w:tc>
        <w:tc>
          <w:tcPr>
            <w:tcW w:w="2385" w:type="dxa"/>
            <w:vAlign w:val="center"/>
          </w:tcPr>
          <w:p>
            <w:pPr>
              <w:adjustRightInd w:val="0"/>
              <w:snapToGrid w:val="0"/>
              <w:spacing w:line="360" w:lineRule="auto"/>
              <w:jc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采购需求</w:t>
            </w:r>
          </w:p>
        </w:tc>
        <w:tc>
          <w:tcPr>
            <w:tcW w:w="6509" w:type="dxa"/>
            <w:vAlign w:val="center"/>
          </w:tcPr>
          <w:p>
            <w:pPr>
              <w:adjustRightInd w:val="0"/>
              <w:snapToGrid w:val="0"/>
              <w:spacing w:line="360" w:lineRule="auto"/>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详见采购需求书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jc w:val="center"/>
        </w:trPr>
        <w:tc>
          <w:tcPr>
            <w:tcW w:w="781" w:type="dxa"/>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5</w:t>
            </w:r>
          </w:p>
        </w:tc>
        <w:tc>
          <w:tcPr>
            <w:tcW w:w="2385" w:type="dxa"/>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项目地点</w:t>
            </w:r>
          </w:p>
        </w:tc>
        <w:tc>
          <w:tcPr>
            <w:tcW w:w="6509" w:type="dxa"/>
            <w:vAlign w:val="center"/>
          </w:tcPr>
          <w:p>
            <w:pPr>
              <w:adjustRightInd w:val="0"/>
              <w:snapToGrid w:val="0"/>
              <w:spacing w:line="360" w:lineRule="auto"/>
              <w:rPr>
                <w:rFonts w:hint="eastAsia" w:ascii="宋体" w:hAnsi="宋体" w:cs="宋体"/>
                <w:color w:val="auto"/>
                <w:szCs w:val="21"/>
                <w:highlight w:val="none"/>
              </w:rPr>
            </w:pPr>
            <w:r>
              <w:rPr>
                <w:rFonts w:hint="eastAsia" w:ascii="宋体" w:hAnsi="宋体" w:cs="宋体"/>
                <w:color w:val="auto"/>
                <w:szCs w:val="21"/>
                <w:highlight w:val="none"/>
                <w:lang w:val="en-US" w:eastAsia="zh-CN"/>
              </w:rPr>
              <w:t>屯昌县</w:t>
            </w:r>
            <w:r>
              <w:rPr>
                <w:rFonts w:hint="eastAsia" w:ascii="宋体" w:hAnsi="宋体" w:cs="宋体"/>
                <w:color w:val="auto"/>
                <w:szCs w:val="21"/>
                <w:highlight w:val="none"/>
              </w:rPr>
              <w:t>境内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 w:hRule="atLeast"/>
          <w:jc w:val="center"/>
        </w:trPr>
        <w:tc>
          <w:tcPr>
            <w:tcW w:w="781" w:type="dxa"/>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6</w:t>
            </w:r>
          </w:p>
        </w:tc>
        <w:tc>
          <w:tcPr>
            <w:tcW w:w="2385" w:type="dxa"/>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资金来源</w:t>
            </w:r>
          </w:p>
        </w:tc>
        <w:tc>
          <w:tcPr>
            <w:tcW w:w="6509" w:type="dxa"/>
            <w:vAlign w:val="center"/>
          </w:tcPr>
          <w:p>
            <w:pPr>
              <w:adjustRightInd w:val="0"/>
              <w:snapToGri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政府投资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81" w:type="dxa"/>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7</w:t>
            </w:r>
          </w:p>
        </w:tc>
        <w:tc>
          <w:tcPr>
            <w:tcW w:w="2385" w:type="dxa"/>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资金落实情况</w:t>
            </w:r>
          </w:p>
        </w:tc>
        <w:tc>
          <w:tcPr>
            <w:tcW w:w="6509" w:type="dxa"/>
            <w:vAlign w:val="center"/>
          </w:tcPr>
          <w:p>
            <w:pPr>
              <w:adjustRightInd w:val="0"/>
              <w:snapToGri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 w:hRule="atLeast"/>
          <w:jc w:val="center"/>
        </w:trPr>
        <w:tc>
          <w:tcPr>
            <w:tcW w:w="781" w:type="dxa"/>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8</w:t>
            </w:r>
          </w:p>
        </w:tc>
        <w:tc>
          <w:tcPr>
            <w:tcW w:w="2385" w:type="dxa"/>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服务期</w:t>
            </w:r>
          </w:p>
        </w:tc>
        <w:tc>
          <w:tcPr>
            <w:tcW w:w="6509" w:type="dxa"/>
            <w:vAlign w:val="center"/>
          </w:tcPr>
          <w:p>
            <w:pPr>
              <w:adjustRightInd w:val="0"/>
              <w:snapToGrid w:val="0"/>
              <w:spacing w:line="360" w:lineRule="auto"/>
              <w:jc w:val="left"/>
              <w:rPr>
                <w:rFonts w:hint="eastAsia" w:ascii="宋体" w:hAnsi="宋体" w:cs="宋体"/>
                <w:color w:val="auto"/>
                <w:szCs w:val="21"/>
                <w:highlight w:val="none"/>
              </w:rPr>
            </w:pPr>
            <w:r>
              <w:rPr>
                <w:rFonts w:hint="eastAsia" w:ascii="宋体" w:hAnsi="宋体" w:cs="宋体"/>
                <w:color w:val="auto"/>
                <w:szCs w:val="21"/>
                <w:highlight w:val="none"/>
              </w:rPr>
              <w:t>按照省林业局的要求期限为准。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jc w:val="center"/>
        </w:trPr>
        <w:tc>
          <w:tcPr>
            <w:tcW w:w="781" w:type="dxa"/>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9</w:t>
            </w:r>
          </w:p>
        </w:tc>
        <w:tc>
          <w:tcPr>
            <w:tcW w:w="2385" w:type="dxa"/>
            <w:vAlign w:val="center"/>
          </w:tcPr>
          <w:p>
            <w:pPr>
              <w:adjustRightInd w:val="0"/>
              <w:snapToGrid w:val="0"/>
              <w:spacing w:line="360" w:lineRule="auto"/>
              <w:jc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成果要求</w:t>
            </w:r>
          </w:p>
        </w:tc>
        <w:tc>
          <w:tcPr>
            <w:tcW w:w="6509" w:type="dxa"/>
            <w:vAlign w:val="center"/>
          </w:tcPr>
          <w:p>
            <w:pPr>
              <w:adjustRightInd w:val="0"/>
              <w:snapToGri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按《海南省造林绿化空间调查评估技术方案》要求执行。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781" w:type="dxa"/>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10</w:t>
            </w:r>
          </w:p>
        </w:tc>
        <w:tc>
          <w:tcPr>
            <w:tcW w:w="2385" w:type="dxa"/>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供应商资格要求</w:t>
            </w:r>
          </w:p>
        </w:tc>
        <w:tc>
          <w:tcPr>
            <w:tcW w:w="6509" w:type="dxa"/>
            <w:vAlign w:val="center"/>
          </w:tcPr>
          <w:p>
            <w:pPr>
              <w:snapToGrid w:val="0"/>
              <w:spacing w:line="360" w:lineRule="auto"/>
              <w:rPr>
                <w:rFonts w:hint="eastAsia" w:ascii="宋体" w:hAnsi="宋体"/>
                <w:color w:val="auto"/>
                <w:szCs w:val="21"/>
                <w:highlight w:val="none"/>
              </w:rPr>
            </w:pPr>
            <w:r>
              <w:rPr>
                <w:rFonts w:hint="eastAsia" w:ascii="宋体" w:hAnsi="宋体"/>
                <w:color w:val="auto"/>
                <w:szCs w:val="21"/>
                <w:highlight w:val="none"/>
              </w:rPr>
              <w:t>1.满足《中华人民共和国政府采购法》第二十二条规定：</w:t>
            </w:r>
          </w:p>
          <w:p>
            <w:pPr>
              <w:snapToGrid w:val="0"/>
              <w:spacing w:line="360" w:lineRule="auto"/>
              <w:rPr>
                <w:rFonts w:hint="eastAsia" w:ascii="宋体" w:hAnsi="宋体"/>
                <w:color w:val="auto"/>
                <w:szCs w:val="21"/>
                <w:highlight w:val="none"/>
              </w:rPr>
            </w:pPr>
            <w:r>
              <w:rPr>
                <w:rFonts w:hint="eastAsia" w:ascii="宋体" w:hAnsi="宋体"/>
                <w:color w:val="auto"/>
                <w:szCs w:val="21"/>
                <w:highlight w:val="none"/>
              </w:rPr>
              <w:t xml:space="preserve">1.1.在中华人民共和国注册，具有独立承担民事责任能力的法人，具备有效的统一社会信用代码营业执照（提供营业执照副本加盖单位公章复印件）； </w:t>
            </w:r>
          </w:p>
          <w:p>
            <w:pPr>
              <w:snapToGrid w:val="0"/>
              <w:spacing w:line="360" w:lineRule="auto"/>
              <w:rPr>
                <w:rFonts w:hint="eastAsia" w:ascii="宋体" w:hAnsi="宋体" w:cs="Times New Roman"/>
                <w:color w:val="auto"/>
                <w:szCs w:val="21"/>
                <w:highlight w:val="none"/>
              </w:rPr>
            </w:pPr>
            <w:r>
              <w:rPr>
                <w:rFonts w:hint="eastAsia" w:ascii="宋体" w:hAnsi="宋体" w:cs="宋体"/>
                <w:color w:val="auto"/>
                <w:sz w:val="24"/>
                <w:szCs w:val="24"/>
                <w:highlight w:val="none"/>
                <w:lang w:val="en-US" w:eastAsia="zh-CN"/>
              </w:rPr>
              <w:t>1</w:t>
            </w:r>
            <w:r>
              <w:rPr>
                <w:rFonts w:hint="eastAsia" w:ascii="宋体" w:hAnsi="宋体" w:cs="宋体"/>
                <w:color w:val="auto"/>
                <w:sz w:val="24"/>
                <w:szCs w:val="24"/>
                <w:highlight w:val="none"/>
              </w:rPr>
              <w:t>.</w:t>
            </w:r>
            <w:r>
              <w:rPr>
                <w:rFonts w:hint="eastAsia" w:ascii="宋体" w:hAnsi="宋体" w:cs="Times New Roman"/>
                <w:color w:val="auto"/>
                <w:szCs w:val="21"/>
                <w:highlight w:val="none"/>
                <w:lang w:val="en-US" w:eastAsia="zh-CN"/>
              </w:rPr>
              <w:t>2.</w:t>
            </w:r>
            <w:r>
              <w:rPr>
                <w:rFonts w:hint="eastAsia" w:ascii="宋体" w:hAnsi="宋体" w:cs="Times New Roman"/>
                <w:color w:val="auto"/>
                <w:szCs w:val="21"/>
                <w:highlight w:val="none"/>
              </w:rPr>
              <w:t>具有良好的商业信誉和健全的财务会计制度：</w:t>
            </w:r>
            <w:r>
              <w:rPr>
                <w:rFonts w:hint="eastAsia" w:ascii="宋体" w:hAnsi="宋体" w:cs="Times New Roman"/>
                <w:color w:val="auto"/>
                <w:szCs w:val="21"/>
                <w:highlight w:val="none"/>
                <w:lang w:val="en-US" w:eastAsia="zh-CN"/>
              </w:rPr>
              <w:t>具有依法缴纳税收和社会保障资金的良好记录。（提供2022年任意一个月的纳税凭证和社会保障金缴费凭证，零纳税须提供税务部门出具的零纳税证明材料）</w:t>
            </w:r>
            <w:r>
              <w:rPr>
                <w:rFonts w:hint="eastAsia" w:ascii="宋体" w:hAnsi="宋体" w:cs="Times New Roman"/>
                <w:color w:val="auto"/>
                <w:szCs w:val="21"/>
                <w:highlight w:val="none"/>
              </w:rPr>
              <w:t>；</w:t>
            </w:r>
          </w:p>
          <w:p>
            <w:pPr>
              <w:snapToGrid w:val="0"/>
              <w:spacing w:line="360" w:lineRule="auto"/>
              <w:rPr>
                <w:rFonts w:hint="eastAsia" w:ascii="宋体" w:hAnsi="宋体" w:cs="Times New Roman"/>
                <w:color w:val="auto"/>
                <w:szCs w:val="21"/>
                <w:highlight w:val="none"/>
              </w:rPr>
            </w:pPr>
            <w:r>
              <w:rPr>
                <w:rFonts w:hint="eastAsia" w:ascii="宋体" w:hAnsi="宋体" w:cs="Times New Roman"/>
                <w:color w:val="auto"/>
                <w:szCs w:val="21"/>
                <w:highlight w:val="none"/>
              </w:rPr>
              <w:t>1.</w:t>
            </w:r>
            <w:r>
              <w:rPr>
                <w:rFonts w:hint="eastAsia" w:ascii="宋体" w:hAnsi="宋体" w:cs="Times New Roman"/>
                <w:color w:val="auto"/>
                <w:szCs w:val="21"/>
                <w:highlight w:val="none"/>
                <w:lang w:val="en-US" w:eastAsia="zh-CN"/>
              </w:rPr>
              <w:t>3</w:t>
            </w:r>
            <w:r>
              <w:rPr>
                <w:rFonts w:hint="eastAsia" w:ascii="宋体" w:hAnsi="宋体" w:cs="Times New Roman"/>
                <w:color w:val="auto"/>
                <w:szCs w:val="21"/>
                <w:highlight w:val="none"/>
              </w:rPr>
              <w:t>.参加政府采购活动前三年内（注册成立时间不足3年的，从注册时间起算），在经营活动中没有重大违法记录；（提供书面声明函，加盖公章）；</w:t>
            </w:r>
          </w:p>
          <w:p>
            <w:pPr>
              <w:snapToGrid w:val="0"/>
              <w:spacing w:line="360" w:lineRule="auto"/>
              <w:rPr>
                <w:rFonts w:hint="eastAsia" w:ascii="宋体" w:hAnsi="宋体"/>
                <w:color w:val="auto"/>
                <w:szCs w:val="21"/>
                <w:highlight w:val="none"/>
              </w:rPr>
            </w:pPr>
            <w:r>
              <w:rPr>
                <w:rFonts w:hint="eastAsia" w:ascii="宋体" w:hAnsi="宋体"/>
                <w:color w:val="auto"/>
                <w:szCs w:val="21"/>
                <w:highlight w:val="none"/>
              </w:rPr>
              <w:t>1.</w:t>
            </w:r>
            <w:r>
              <w:rPr>
                <w:rFonts w:hint="eastAsia" w:ascii="宋体" w:hAnsi="宋体"/>
                <w:color w:val="auto"/>
                <w:szCs w:val="21"/>
                <w:highlight w:val="none"/>
                <w:lang w:val="en-US" w:eastAsia="zh-CN"/>
              </w:rPr>
              <w:t>4</w:t>
            </w:r>
            <w:r>
              <w:rPr>
                <w:rFonts w:hint="eastAsia" w:ascii="宋体" w:hAnsi="宋体"/>
                <w:color w:val="auto"/>
                <w:szCs w:val="21"/>
                <w:highlight w:val="none"/>
              </w:rPr>
              <w:t>. 供应商必须为未被列入信用中国 (https://www.creditchina.gov.cn/) “重大税收违法失信主体”、中国执行信息公开网（http://zxgk.court.gov.cn/shixin/） “失信被执行人”、中国政府采购网(http://www.ccgp.gov.cn/) “政府采购严重违法失信行为记录名单”；（提供查询结果并加盖公章，查询时间：报名后、提交投标文件截止时间前）</w:t>
            </w:r>
          </w:p>
          <w:p>
            <w:pPr>
              <w:snapToGrid w:val="0"/>
              <w:spacing w:line="360" w:lineRule="auto"/>
              <w:rPr>
                <w:rFonts w:hint="eastAsia" w:ascii="宋体" w:hAnsi="宋体"/>
                <w:color w:val="auto"/>
                <w:szCs w:val="21"/>
                <w:highlight w:val="none"/>
              </w:rPr>
            </w:pPr>
            <w:r>
              <w:rPr>
                <w:rFonts w:hint="eastAsia" w:ascii="宋体" w:hAnsi="宋体"/>
                <w:color w:val="auto"/>
                <w:szCs w:val="21"/>
                <w:highlight w:val="none"/>
              </w:rPr>
              <w:t>1.</w:t>
            </w:r>
            <w:r>
              <w:rPr>
                <w:rFonts w:hint="eastAsia" w:ascii="宋体" w:hAnsi="宋体"/>
                <w:color w:val="auto"/>
                <w:szCs w:val="21"/>
                <w:highlight w:val="none"/>
                <w:lang w:val="en-US" w:eastAsia="zh-CN"/>
              </w:rPr>
              <w:t>5.</w:t>
            </w:r>
            <w:r>
              <w:rPr>
                <w:rFonts w:hint="eastAsia" w:ascii="宋体" w:hAnsi="宋体"/>
                <w:color w:val="auto"/>
                <w:szCs w:val="21"/>
                <w:highlight w:val="none"/>
              </w:rPr>
              <w:t>具有林业调查规划设计资质</w:t>
            </w:r>
            <w:r>
              <w:rPr>
                <w:rFonts w:hint="eastAsia" w:ascii="宋体" w:hAnsi="宋体" w:eastAsia="宋体" w:cs="Times New Roman"/>
                <w:color w:val="auto"/>
                <w:szCs w:val="21"/>
                <w:highlight w:val="none"/>
                <w:lang w:val="en-US" w:eastAsia="zh-CN"/>
              </w:rPr>
              <w:t>丙级</w:t>
            </w:r>
            <w:r>
              <w:rPr>
                <w:rFonts w:hint="eastAsia" w:ascii="宋体" w:hAnsi="宋体" w:eastAsia="宋体" w:cs="Times New Roman"/>
                <w:color w:val="auto"/>
                <w:szCs w:val="21"/>
                <w:highlight w:val="none"/>
              </w:rPr>
              <w:t>（</w:t>
            </w:r>
            <w:r>
              <w:rPr>
                <w:rFonts w:hint="eastAsia" w:ascii="宋体" w:hAnsi="宋体"/>
                <w:color w:val="auto"/>
                <w:szCs w:val="21"/>
                <w:highlight w:val="none"/>
              </w:rPr>
              <w:t>含）以上资质（提供资质证书复印件加盖公章）；</w:t>
            </w:r>
          </w:p>
          <w:p>
            <w:pPr>
              <w:snapToGrid w:val="0"/>
              <w:spacing w:line="360" w:lineRule="auto"/>
              <w:rPr>
                <w:rFonts w:hint="eastAsia" w:ascii="宋体" w:hAnsi="宋体"/>
                <w:color w:val="auto"/>
                <w:szCs w:val="21"/>
                <w:highlight w:val="none"/>
              </w:rPr>
            </w:pPr>
            <w:r>
              <w:rPr>
                <w:rFonts w:hint="eastAsia" w:ascii="宋体" w:hAnsi="宋体"/>
                <w:color w:val="auto"/>
                <w:szCs w:val="21"/>
                <w:highlight w:val="none"/>
              </w:rPr>
              <w:t>1.</w:t>
            </w:r>
            <w:r>
              <w:rPr>
                <w:rFonts w:hint="eastAsia" w:ascii="宋体" w:hAnsi="宋体"/>
                <w:color w:val="auto"/>
                <w:szCs w:val="21"/>
                <w:highlight w:val="none"/>
                <w:lang w:val="en-US" w:eastAsia="zh-CN"/>
              </w:rPr>
              <w:t>6</w:t>
            </w:r>
            <w:r>
              <w:rPr>
                <w:rFonts w:hint="eastAsia" w:ascii="宋体" w:hAnsi="宋体"/>
                <w:color w:val="auto"/>
                <w:szCs w:val="21"/>
                <w:highlight w:val="none"/>
              </w:rPr>
              <w:t>.购买本项目磋商文件且缴纳磋商保证金（保证金以到账为准）；</w:t>
            </w:r>
          </w:p>
          <w:p>
            <w:pPr>
              <w:snapToGrid w:val="0"/>
              <w:spacing w:line="360" w:lineRule="auto"/>
              <w:rPr>
                <w:rFonts w:hint="eastAsia" w:ascii="宋体" w:hAnsi="宋体"/>
                <w:color w:val="auto"/>
                <w:szCs w:val="21"/>
                <w:highlight w:val="none"/>
              </w:rPr>
            </w:pPr>
            <w:r>
              <w:rPr>
                <w:rFonts w:hint="eastAsia" w:ascii="宋体" w:hAnsi="宋体"/>
                <w:color w:val="auto"/>
                <w:szCs w:val="21"/>
                <w:highlight w:val="none"/>
              </w:rPr>
              <w:t>1.</w:t>
            </w:r>
            <w:r>
              <w:rPr>
                <w:rFonts w:hint="eastAsia" w:ascii="宋体" w:hAnsi="宋体"/>
                <w:color w:val="auto"/>
                <w:szCs w:val="21"/>
                <w:highlight w:val="none"/>
                <w:lang w:val="en-US" w:eastAsia="zh-CN"/>
              </w:rPr>
              <w:t>7</w:t>
            </w:r>
            <w:r>
              <w:rPr>
                <w:rFonts w:hint="eastAsia" w:ascii="宋体" w:hAnsi="宋体"/>
                <w:color w:val="auto"/>
                <w:szCs w:val="21"/>
                <w:highlight w:val="none"/>
              </w:rPr>
              <w:t>.其它要求：</w:t>
            </w:r>
          </w:p>
          <w:p>
            <w:pPr>
              <w:snapToGrid w:val="0"/>
              <w:spacing w:line="360" w:lineRule="auto"/>
              <w:rPr>
                <w:rFonts w:hint="eastAsia" w:ascii="宋体" w:hAnsi="宋体"/>
                <w:color w:val="auto"/>
                <w:szCs w:val="21"/>
                <w:highlight w:val="none"/>
              </w:rPr>
            </w:pPr>
            <w:r>
              <w:rPr>
                <w:rFonts w:hint="eastAsia" w:ascii="宋体" w:hAnsi="宋体"/>
                <w:color w:val="auto"/>
                <w:szCs w:val="21"/>
                <w:highlight w:val="none"/>
              </w:rPr>
              <w:t>供应商必须书面承诺:供应商的响应文件中使用的单位公章必为企业注册的公安机关备案的合法有效印章。若是非法印章，接受被取消投标及成交资格、没收保证金，并接受被上报市级、省级建设行政主管部门进行处罚。（提供承诺函，格式自拟。）</w:t>
            </w:r>
          </w:p>
          <w:p>
            <w:pPr>
              <w:snapToGrid w:val="0"/>
              <w:spacing w:line="360" w:lineRule="auto"/>
              <w:rPr>
                <w:rFonts w:hint="eastAsia" w:ascii="宋体" w:hAnsi="宋体"/>
                <w:color w:val="auto"/>
                <w:szCs w:val="21"/>
                <w:highlight w:val="none"/>
              </w:rPr>
            </w:pPr>
            <w:r>
              <w:rPr>
                <w:rFonts w:hint="eastAsia" w:ascii="宋体" w:hAnsi="宋体"/>
                <w:color w:val="auto"/>
                <w:szCs w:val="21"/>
                <w:highlight w:val="none"/>
              </w:rPr>
              <w:t>2.落实政府采购政策需满足的资格要求：/；</w:t>
            </w:r>
          </w:p>
          <w:p>
            <w:pPr>
              <w:snapToGrid w:val="0"/>
              <w:spacing w:line="360" w:lineRule="auto"/>
              <w:rPr>
                <w:rFonts w:hint="eastAsia" w:ascii="宋体" w:hAnsi="宋体"/>
                <w:color w:val="auto"/>
                <w:szCs w:val="21"/>
                <w:highlight w:val="none"/>
              </w:rPr>
            </w:pPr>
            <w:r>
              <w:rPr>
                <w:rFonts w:hint="eastAsia" w:ascii="宋体" w:hAnsi="宋体"/>
                <w:color w:val="auto"/>
                <w:szCs w:val="21"/>
                <w:highlight w:val="none"/>
              </w:rPr>
              <w:t>3.本项目的特定资格要求：/。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jc w:val="center"/>
        </w:trPr>
        <w:tc>
          <w:tcPr>
            <w:tcW w:w="781" w:type="dxa"/>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11</w:t>
            </w:r>
          </w:p>
        </w:tc>
        <w:tc>
          <w:tcPr>
            <w:tcW w:w="2385" w:type="dxa"/>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是否接受联合体投标</w:t>
            </w:r>
          </w:p>
        </w:tc>
        <w:tc>
          <w:tcPr>
            <w:tcW w:w="6509" w:type="dxa"/>
            <w:vAlign w:val="center"/>
          </w:tcPr>
          <w:p>
            <w:pPr>
              <w:adjustRightInd w:val="0"/>
              <w:snapToGri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jc w:val="center"/>
        </w:trPr>
        <w:tc>
          <w:tcPr>
            <w:tcW w:w="781" w:type="dxa"/>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12</w:t>
            </w:r>
          </w:p>
        </w:tc>
        <w:tc>
          <w:tcPr>
            <w:tcW w:w="2385" w:type="dxa"/>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踏勘现场</w:t>
            </w:r>
          </w:p>
        </w:tc>
        <w:tc>
          <w:tcPr>
            <w:tcW w:w="6509" w:type="dxa"/>
            <w:vAlign w:val="center"/>
          </w:tcPr>
          <w:p>
            <w:pPr>
              <w:adjustRightInd w:val="0"/>
              <w:snapToGri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不组织，供应商可自行踏勘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jc w:val="center"/>
        </w:trPr>
        <w:tc>
          <w:tcPr>
            <w:tcW w:w="781" w:type="dxa"/>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13</w:t>
            </w:r>
          </w:p>
        </w:tc>
        <w:tc>
          <w:tcPr>
            <w:tcW w:w="2385" w:type="dxa"/>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投标预备会</w:t>
            </w:r>
          </w:p>
        </w:tc>
        <w:tc>
          <w:tcPr>
            <w:tcW w:w="6509" w:type="dxa"/>
            <w:vAlign w:val="center"/>
          </w:tcPr>
          <w:p>
            <w:pPr>
              <w:adjustRightInd w:val="0"/>
              <w:snapToGri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1" w:type="dxa"/>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14</w:t>
            </w:r>
          </w:p>
        </w:tc>
        <w:tc>
          <w:tcPr>
            <w:tcW w:w="2385" w:type="dxa"/>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供应商提出问题的截止时间</w:t>
            </w:r>
          </w:p>
        </w:tc>
        <w:tc>
          <w:tcPr>
            <w:tcW w:w="6509" w:type="dxa"/>
            <w:tcBorders>
              <w:bottom w:val="single" w:color="auto" w:sz="4" w:space="0"/>
            </w:tcBorders>
            <w:vAlign w:val="center"/>
          </w:tcPr>
          <w:p>
            <w:pPr>
              <w:adjustRightInd w:val="0"/>
              <w:snapToGrid w:val="0"/>
              <w:spacing w:line="360" w:lineRule="auto"/>
              <w:rPr>
                <w:rFonts w:hint="eastAsia" w:ascii="宋体" w:hAnsi="宋体" w:cs="宋体"/>
                <w:color w:val="auto"/>
                <w:szCs w:val="21"/>
                <w:highlight w:val="none"/>
              </w:rPr>
            </w:pPr>
            <w:r>
              <w:rPr>
                <w:rFonts w:hint="eastAsia" w:ascii="宋体" w:hAnsi="宋体" w:cs="宋体"/>
                <w:color w:val="auto"/>
                <w:kern w:val="0"/>
                <w:szCs w:val="21"/>
                <w:highlight w:val="none"/>
              </w:rPr>
              <w:t>递交响应文件截止日3日前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781" w:type="dxa"/>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15</w:t>
            </w:r>
          </w:p>
        </w:tc>
        <w:tc>
          <w:tcPr>
            <w:tcW w:w="2385" w:type="dxa"/>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分包</w:t>
            </w:r>
          </w:p>
        </w:tc>
        <w:tc>
          <w:tcPr>
            <w:tcW w:w="6509" w:type="dxa"/>
            <w:tcBorders>
              <w:bottom w:val="single" w:color="auto" w:sz="4" w:space="0"/>
            </w:tcBorders>
            <w:vAlign w:val="center"/>
          </w:tcPr>
          <w:p>
            <w:pPr>
              <w:adjustRightInd w:val="0"/>
              <w:snapToGri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781" w:type="dxa"/>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16</w:t>
            </w:r>
          </w:p>
        </w:tc>
        <w:tc>
          <w:tcPr>
            <w:tcW w:w="2385" w:type="dxa"/>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供应商要求澄清竞争性磋商文件的截止时间</w:t>
            </w:r>
          </w:p>
        </w:tc>
        <w:tc>
          <w:tcPr>
            <w:tcW w:w="6509" w:type="dxa"/>
            <w:vAlign w:val="center"/>
          </w:tcPr>
          <w:p>
            <w:pPr>
              <w:adjustRightInd w:val="0"/>
              <w:snapToGrid w:val="0"/>
              <w:spacing w:line="360" w:lineRule="auto"/>
              <w:rPr>
                <w:rFonts w:hint="eastAsia" w:ascii="宋体" w:hAnsi="宋体" w:cs="宋体"/>
                <w:color w:val="auto"/>
                <w:szCs w:val="21"/>
                <w:highlight w:val="none"/>
              </w:rPr>
            </w:pPr>
            <w:r>
              <w:rPr>
                <w:rFonts w:hint="eastAsia" w:ascii="宋体" w:hAnsi="宋体" w:cs="宋体"/>
                <w:color w:val="auto"/>
                <w:kern w:val="10"/>
                <w:szCs w:val="21"/>
                <w:highlight w:val="none"/>
              </w:rPr>
              <w:t>递交响应文件截止日期3日前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781" w:type="dxa"/>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17</w:t>
            </w:r>
          </w:p>
        </w:tc>
        <w:tc>
          <w:tcPr>
            <w:tcW w:w="2385" w:type="dxa"/>
            <w:vAlign w:val="bottom"/>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投标截止时间</w:t>
            </w:r>
          </w:p>
        </w:tc>
        <w:tc>
          <w:tcPr>
            <w:tcW w:w="6509" w:type="dxa"/>
            <w:vAlign w:val="center"/>
          </w:tcPr>
          <w:p>
            <w:pPr>
              <w:adjustRightInd w:val="0"/>
              <w:snapToGrid w:val="0"/>
              <w:spacing w:line="360" w:lineRule="auto"/>
              <w:rPr>
                <w:rFonts w:hint="eastAsia" w:ascii="宋体" w:hAnsi="宋体" w:cs="宋体"/>
                <w:b/>
                <w:color w:val="auto"/>
                <w:szCs w:val="21"/>
                <w:highlight w:val="none"/>
              </w:rPr>
            </w:pPr>
            <w:r>
              <w:rPr>
                <w:rFonts w:hint="eastAsia" w:ascii="宋体" w:hAnsi="宋体" w:cs="宋体"/>
                <w:color w:val="auto"/>
                <w:szCs w:val="21"/>
                <w:highlight w:val="none"/>
                <w:u w:val="single"/>
              </w:rPr>
              <w:t>2022</w:t>
            </w:r>
            <w:r>
              <w:rPr>
                <w:rFonts w:hint="eastAsia" w:ascii="宋体" w:hAnsi="宋体" w:cs="宋体"/>
                <w:color w:val="auto"/>
                <w:szCs w:val="21"/>
                <w:highlight w:val="none"/>
              </w:rPr>
              <w:t>年</w:t>
            </w:r>
            <w:r>
              <w:rPr>
                <w:rFonts w:hint="eastAsia" w:ascii="宋体" w:hAnsi="宋体" w:cs="宋体"/>
                <w:color w:val="auto"/>
                <w:szCs w:val="21"/>
                <w:highlight w:val="none"/>
                <w:u w:val="single"/>
                <w:lang w:val="en-US" w:eastAsia="zh-CN"/>
              </w:rPr>
              <w:t>10</w:t>
            </w:r>
            <w:r>
              <w:rPr>
                <w:rFonts w:hint="eastAsia" w:ascii="宋体" w:hAnsi="宋体" w:cs="宋体"/>
                <w:color w:val="auto"/>
                <w:szCs w:val="21"/>
                <w:highlight w:val="none"/>
              </w:rPr>
              <w:t>月</w:t>
            </w:r>
            <w:r>
              <w:rPr>
                <w:rFonts w:hint="eastAsia" w:ascii="宋体" w:hAnsi="宋体" w:cs="宋体"/>
                <w:color w:val="auto"/>
                <w:szCs w:val="21"/>
                <w:highlight w:val="none"/>
                <w:u w:val="single"/>
                <w:lang w:val="en-US" w:eastAsia="zh-CN"/>
              </w:rPr>
              <w:t>10</w:t>
            </w:r>
            <w:r>
              <w:rPr>
                <w:rFonts w:hint="eastAsia" w:ascii="宋体" w:hAnsi="宋体" w:cs="宋体"/>
                <w:color w:val="auto"/>
                <w:szCs w:val="21"/>
                <w:highlight w:val="none"/>
              </w:rPr>
              <w:t>日</w:t>
            </w:r>
            <w:r>
              <w:rPr>
                <w:rFonts w:hint="eastAsia" w:ascii="宋体" w:hAnsi="宋体" w:cs="宋体"/>
                <w:color w:val="auto"/>
                <w:szCs w:val="21"/>
                <w:highlight w:val="none"/>
                <w:u w:val="single"/>
              </w:rPr>
              <w:t>1</w:t>
            </w:r>
            <w:r>
              <w:rPr>
                <w:rFonts w:hint="eastAsia" w:ascii="宋体" w:hAnsi="宋体" w:cs="宋体"/>
                <w:color w:val="auto"/>
                <w:szCs w:val="21"/>
                <w:highlight w:val="none"/>
                <w:u w:val="single"/>
                <w:lang w:val="en-US" w:eastAsia="zh-CN"/>
              </w:rPr>
              <w:t>0</w:t>
            </w:r>
            <w:r>
              <w:rPr>
                <w:rFonts w:hint="eastAsia" w:ascii="宋体" w:hAnsi="宋体" w:cs="宋体"/>
                <w:color w:val="auto"/>
                <w:szCs w:val="21"/>
                <w:highlight w:val="none"/>
              </w:rPr>
              <w:t>时</w:t>
            </w:r>
            <w:r>
              <w:rPr>
                <w:rFonts w:hint="eastAsia" w:ascii="宋体" w:hAnsi="宋体" w:cs="宋体"/>
                <w:color w:val="auto"/>
                <w:szCs w:val="21"/>
                <w:highlight w:val="none"/>
                <w:u w:val="single"/>
                <w:lang w:val="en-US" w:eastAsia="zh-CN"/>
              </w:rPr>
              <w:t>3</w:t>
            </w:r>
            <w:r>
              <w:rPr>
                <w:rFonts w:hint="eastAsia" w:ascii="宋体" w:hAnsi="宋体" w:cs="宋体"/>
                <w:color w:val="auto"/>
                <w:szCs w:val="21"/>
                <w:highlight w:val="none"/>
                <w:u w:val="single"/>
              </w:rPr>
              <w:t>0</w:t>
            </w:r>
            <w:r>
              <w:rPr>
                <w:rFonts w:hint="eastAsia" w:ascii="宋体" w:hAnsi="宋体" w:cs="宋体"/>
                <w:color w:val="auto"/>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781" w:type="dxa"/>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18</w:t>
            </w:r>
          </w:p>
        </w:tc>
        <w:tc>
          <w:tcPr>
            <w:tcW w:w="2385" w:type="dxa"/>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供应商确认收到竞争性磋商文件澄清的时间</w:t>
            </w:r>
          </w:p>
        </w:tc>
        <w:tc>
          <w:tcPr>
            <w:tcW w:w="6509" w:type="dxa"/>
            <w:vAlign w:val="center"/>
          </w:tcPr>
          <w:p>
            <w:pPr>
              <w:adjustRightInd w:val="0"/>
              <w:snapToGrid w:val="0"/>
              <w:spacing w:line="360" w:lineRule="auto"/>
              <w:rPr>
                <w:rFonts w:hint="eastAsia" w:ascii="宋体" w:hAnsi="宋体" w:cs="宋体"/>
                <w:color w:val="auto"/>
                <w:szCs w:val="21"/>
                <w:highlight w:val="none"/>
              </w:rPr>
            </w:pPr>
            <w:r>
              <w:rPr>
                <w:rFonts w:hint="eastAsia" w:ascii="宋体" w:hAnsi="宋体" w:cs="宋体"/>
                <w:color w:val="auto"/>
                <w:kern w:val="10"/>
                <w:szCs w:val="21"/>
                <w:highlight w:val="none"/>
              </w:rPr>
              <w:t>收到澄清文件后24小时内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81" w:type="dxa"/>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19</w:t>
            </w:r>
          </w:p>
        </w:tc>
        <w:tc>
          <w:tcPr>
            <w:tcW w:w="2385" w:type="dxa"/>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供应商确认收到竞争性磋商文件修改的时间</w:t>
            </w:r>
          </w:p>
        </w:tc>
        <w:tc>
          <w:tcPr>
            <w:tcW w:w="6509" w:type="dxa"/>
            <w:vAlign w:val="center"/>
          </w:tcPr>
          <w:p>
            <w:pPr>
              <w:adjustRightInd w:val="0"/>
              <w:snapToGrid w:val="0"/>
              <w:spacing w:line="360" w:lineRule="auto"/>
              <w:rPr>
                <w:rFonts w:hint="eastAsia" w:ascii="宋体" w:hAnsi="宋体" w:cs="宋体"/>
                <w:color w:val="auto"/>
                <w:szCs w:val="21"/>
                <w:highlight w:val="none"/>
              </w:rPr>
            </w:pPr>
            <w:r>
              <w:rPr>
                <w:rFonts w:hint="eastAsia" w:ascii="宋体" w:hAnsi="宋体" w:cs="宋体"/>
                <w:color w:val="auto"/>
                <w:kern w:val="10"/>
                <w:szCs w:val="21"/>
                <w:highlight w:val="none"/>
              </w:rPr>
              <w:t>收到澄清文件后24小时内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781" w:type="dxa"/>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20</w:t>
            </w:r>
          </w:p>
        </w:tc>
        <w:tc>
          <w:tcPr>
            <w:tcW w:w="2385" w:type="dxa"/>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构成响应文件的其他材料</w:t>
            </w:r>
          </w:p>
        </w:tc>
        <w:tc>
          <w:tcPr>
            <w:tcW w:w="6509" w:type="dxa"/>
            <w:vAlign w:val="center"/>
          </w:tcPr>
          <w:p>
            <w:pPr>
              <w:adjustRightInd w:val="0"/>
              <w:snapToGri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781" w:type="dxa"/>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21</w:t>
            </w:r>
          </w:p>
        </w:tc>
        <w:tc>
          <w:tcPr>
            <w:tcW w:w="2385" w:type="dxa"/>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磋商有效期</w:t>
            </w:r>
          </w:p>
        </w:tc>
        <w:tc>
          <w:tcPr>
            <w:tcW w:w="6509" w:type="dxa"/>
            <w:vAlign w:val="center"/>
          </w:tcPr>
          <w:p>
            <w:pPr>
              <w:adjustRightInd w:val="0"/>
              <w:snapToGrid w:val="0"/>
              <w:spacing w:line="360" w:lineRule="auto"/>
              <w:rPr>
                <w:rFonts w:hint="eastAsia" w:ascii="宋体" w:hAnsi="宋体" w:cs="宋体"/>
                <w:color w:val="auto"/>
                <w:szCs w:val="21"/>
                <w:highlight w:val="none"/>
              </w:rPr>
            </w:pPr>
            <w:r>
              <w:rPr>
                <w:rFonts w:hint="eastAsia" w:ascii="宋体" w:hAnsi="宋体" w:cs="宋体"/>
                <w:color w:val="auto"/>
                <w:szCs w:val="21"/>
                <w:highlight w:val="none"/>
                <w:lang w:val="en-US" w:eastAsia="zh-CN"/>
              </w:rPr>
              <w:t>6</w:t>
            </w:r>
            <w:r>
              <w:rPr>
                <w:rFonts w:hint="eastAsia" w:ascii="宋体" w:hAnsi="宋体" w:cs="宋体"/>
                <w:color w:val="auto"/>
                <w:szCs w:val="21"/>
                <w:highlight w:val="none"/>
              </w:rPr>
              <w:t>0日历天（从投标截止之日算起）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781" w:type="dxa"/>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22</w:t>
            </w:r>
          </w:p>
        </w:tc>
        <w:tc>
          <w:tcPr>
            <w:tcW w:w="2385" w:type="dxa"/>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磋商保证金</w:t>
            </w:r>
          </w:p>
        </w:tc>
        <w:tc>
          <w:tcPr>
            <w:tcW w:w="6509" w:type="dxa"/>
            <w:vAlign w:val="center"/>
          </w:tcPr>
          <w:p>
            <w:pPr>
              <w:adjustRightInd w:val="0"/>
              <w:snapToGri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磋商保证金的金额：</w:t>
            </w:r>
            <w:r>
              <w:rPr>
                <w:rFonts w:hint="eastAsia" w:ascii="宋体" w:hAnsi="宋体" w:cs="宋体"/>
                <w:color w:val="auto"/>
                <w:szCs w:val="21"/>
                <w:highlight w:val="none"/>
                <w:lang w:val="en-US" w:eastAsia="zh-CN"/>
              </w:rPr>
              <w:t>叁仟元整</w:t>
            </w: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3000</w:t>
            </w:r>
            <w:r>
              <w:rPr>
                <w:rFonts w:hint="eastAsia" w:ascii="宋体" w:hAnsi="宋体" w:cs="宋体"/>
                <w:color w:val="auto"/>
                <w:szCs w:val="21"/>
                <w:highlight w:val="none"/>
              </w:rPr>
              <w:t>.00元）。</w:t>
            </w:r>
          </w:p>
          <w:p>
            <w:pPr>
              <w:adjustRightInd w:val="0"/>
              <w:snapToGri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磋商保证金的形式：银行转帐或保函。</w:t>
            </w:r>
          </w:p>
          <w:p>
            <w:pPr>
              <w:adjustRightInd w:val="0"/>
              <w:snapToGri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（1）标人以转账形式提交保证金时，应当从其基本账户中转出。（从供应商基本账户转账到以下户名和账号，以到帐为准，严禁代交代缴）</w:t>
            </w:r>
          </w:p>
          <w:p>
            <w:pPr>
              <w:adjustRightInd w:val="0"/>
              <w:snapToGri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(2)谈判保证金以银行保函提交的，保函可不采用谈判文件中提供的格式，但相关内容不得背离谈判文件约定的实质性内容，出具保函的银行须为中国境内注册的合法有效机构，开标时需携带银行保函原件至开标现场。</w:t>
            </w:r>
          </w:p>
          <w:p>
            <w:pPr>
              <w:adjustRightInd w:val="0"/>
              <w:snapToGri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用途：</w:t>
            </w:r>
            <w:r>
              <w:rPr>
                <w:rFonts w:hint="eastAsia" w:ascii="宋体" w:hAnsi="宋体" w:cs="宋体"/>
                <w:b w:val="0"/>
                <w:bCs/>
                <w:color w:val="auto"/>
                <w:szCs w:val="21"/>
                <w:highlight w:val="none"/>
                <w:lang w:eastAsia="zh-CN"/>
              </w:rPr>
              <w:t>HNCY-2022-029</w:t>
            </w:r>
            <w:r>
              <w:rPr>
                <w:rFonts w:hint="eastAsia" w:ascii="宋体" w:hAnsi="宋体" w:cs="宋体"/>
                <w:color w:val="auto"/>
                <w:szCs w:val="21"/>
                <w:highlight w:val="none"/>
              </w:rPr>
              <w:t>磋商保证金</w:t>
            </w:r>
          </w:p>
          <w:p>
            <w:pPr>
              <w:adjustRightInd w:val="0"/>
              <w:snapToGrid w:val="0"/>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保证金缴纳截止时间：2022年</w:t>
            </w:r>
            <w:r>
              <w:rPr>
                <w:rFonts w:hint="eastAsia" w:ascii="宋体" w:hAnsi="宋体" w:cs="宋体"/>
                <w:color w:val="auto"/>
                <w:szCs w:val="21"/>
                <w:highlight w:val="none"/>
                <w:lang w:val="en-US" w:eastAsia="zh-CN"/>
              </w:rPr>
              <w:t>10</w:t>
            </w:r>
            <w:r>
              <w:rPr>
                <w:rFonts w:hint="eastAsia" w:ascii="宋体" w:hAnsi="宋体" w:eastAsia="宋体" w:cs="宋体"/>
                <w:color w:val="auto"/>
                <w:szCs w:val="21"/>
                <w:highlight w:val="none"/>
              </w:rPr>
              <w:t>月</w:t>
            </w:r>
            <w:r>
              <w:rPr>
                <w:rFonts w:hint="eastAsia" w:ascii="宋体" w:hAnsi="宋体" w:cs="宋体"/>
                <w:color w:val="auto"/>
                <w:szCs w:val="21"/>
                <w:highlight w:val="none"/>
                <w:lang w:val="en-US" w:eastAsia="zh-CN"/>
              </w:rPr>
              <w:t>10</w:t>
            </w:r>
            <w:r>
              <w:rPr>
                <w:rFonts w:hint="eastAsia" w:ascii="宋体" w:hAnsi="宋体" w:eastAsia="宋体" w:cs="宋体"/>
                <w:color w:val="auto"/>
                <w:szCs w:val="21"/>
                <w:highlight w:val="none"/>
              </w:rPr>
              <w:t>日1</w:t>
            </w:r>
            <w:r>
              <w:rPr>
                <w:rFonts w:hint="eastAsia" w:ascii="宋体" w:hAnsi="宋体" w:eastAsia="宋体" w:cs="宋体"/>
                <w:color w:val="auto"/>
                <w:szCs w:val="21"/>
                <w:highlight w:val="none"/>
                <w:lang w:val="en-US" w:eastAsia="zh-CN"/>
              </w:rPr>
              <w:t>0</w:t>
            </w:r>
            <w:r>
              <w:rPr>
                <w:rFonts w:hint="eastAsia" w:ascii="宋体" w:hAnsi="宋体" w:eastAsia="宋体" w:cs="宋体"/>
                <w:color w:val="auto"/>
                <w:szCs w:val="21"/>
                <w:highlight w:val="none"/>
              </w:rPr>
              <w:t>时</w:t>
            </w:r>
            <w:r>
              <w:rPr>
                <w:rFonts w:hint="eastAsia" w:ascii="宋体" w:hAnsi="宋体" w:cs="宋体"/>
                <w:color w:val="auto"/>
                <w:szCs w:val="21"/>
                <w:highlight w:val="none"/>
                <w:lang w:val="en-US" w:eastAsia="zh-CN"/>
              </w:rPr>
              <w:t>3</w:t>
            </w:r>
            <w:r>
              <w:rPr>
                <w:rFonts w:hint="eastAsia" w:ascii="宋体" w:hAnsi="宋体" w:eastAsia="宋体" w:cs="宋体"/>
                <w:color w:val="000000" w:themeColor="text1"/>
                <w:szCs w:val="21"/>
                <w:highlight w:val="none"/>
                <w14:textFill>
                  <w14:solidFill>
                    <w14:schemeClr w14:val="tx1"/>
                  </w14:solidFill>
                </w14:textFill>
              </w:rPr>
              <w:t>0分</w:t>
            </w:r>
            <w:r>
              <w:rPr>
                <w:rFonts w:hint="eastAsia" w:ascii="宋体" w:hAnsi="宋体" w:eastAsia="宋体" w:cs="宋体"/>
                <w:color w:val="auto"/>
                <w:szCs w:val="21"/>
                <w:highlight w:val="none"/>
              </w:rPr>
              <w:t>之前到账；</w:t>
            </w:r>
          </w:p>
          <w:p>
            <w:pPr>
              <w:adjustRightInd w:val="0"/>
              <w:snapToGrid w:val="0"/>
              <w:spacing w:line="360" w:lineRule="auto"/>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开户名称：</w:t>
            </w:r>
            <w:r>
              <w:rPr>
                <w:rFonts w:hint="eastAsia" w:ascii="宋体" w:hAnsi="宋体" w:cs="宋体"/>
                <w:color w:val="auto"/>
                <w:szCs w:val="21"/>
                <w:highlight w:val="none"/>
              </w:rPr>
              <w:t>海南诚屹项目管理有限公司</w:t>
            </w:r>
          </w:p>
          <w:p>
            <w:pPr>
              <w:adjustRightInd w:val="0"/>
              <w:snapToGri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开户银行：中国银行股份有限公司海口</w:t>
            </w:r>
            <w:r>
              <w:rPr>
                <w:rFonts w:hint="eastAsia" w:ascii="宋体" w:hAnsi="宋体" w:cs="宋体"/>
                <w:color w:val="auto"/>
                <w:szCs w:val="21"/>
                <w:highlight w:val="none"/>
                <w:lang w:val="en-US" w:eastAsia="zh-CN"/>
              </w:rPr>
              <w:t>美苑路</w:t>
            </w:r>
            <w:r>
              <w:rPr>
                <w:rFonts w:hint="eastAsia" w:ascii="宋体" w:hAnsi="宋体" w:cs="宋体"/>
                <w:color w:val="auto"/>
                <w:szCs w:val="21"/>
                <w:highlight w:val="none"/>
              </w:rPr>
              <w:t>支行</w:t>
            </w:r>
          </w:p>
          <w:p>
            <w:pPr>
              <w:adjustRightInd w:val="0"/>
              <w:snapToGrid w:val="0"/>
              <w:spacing w:line="360" w:lineRule="auto"/>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rPr>
              <w:t>开户账号：</w:t>
            </w:r>
            <w:r>
              <w:rPr>
                <w:rFonts w:hint="eastAsia" w:ascii="宋体" w:hAnsi="宋体" w:cs="宋体"/>
                <w:color w:val="auto"/>
                <w:szCs w:val="21"/>
                <w:highlight w:val="none"/>
                <w:lang w:val="en-US" w:eastAsia="zh-CN"/>
              </w:rPr>
              <w:t>2675 3653 1584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781" w:type="dxa"/>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23</w:t>
            </w:r>
          </w:p>
        </w:tc>
        <w:tc>
          <w:tcPr>
            <w:tcW w:w="2385" w:type="dxa"/>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近年完成的类似项目的年份要求</w:t>
            </w:r>
          </w:p>
        </w:tc>
        <w:tc>
          <w:tcPr>
            <w:tcW w:w="6509" w:type="dxa"/>
            <w:vAlign w:val="center"/>
          </w:tcPr>
          <w:p>
            <w:pPr>
              <w:adjustRightInd w:val="0"/>
              <w:snapToGri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2019年1月1日至响应文件递交截止之日止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781" w:type="dxa"/>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24</w:t>
            </w:r>
          </w:p>
        </w:tc>
        <w:tc>
          <w:tcPr>
            <w:tcW w:w="2385" w:type="dxa"/>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近年发生的诉讼及仲裁情况的年份要求</w:t>
            </w:r>
          </w:p>
        </w:tc>
        <w:tc>
          <w:tcPr>
            <w:tcW w:w="6509" w:type="dxa"/>
            <w:vAlign w:val="center"/>
          </w:tcPr>
          <w:p>
            <w:pPr>
              <w:adjustRightInd w:val="0"/>
              <w:snapToGri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2019年1月1日至响应文件递交截止之日止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 w:hRule="atLeast"/>
          <w:jc w:val="center"/>
        </w:trPr>
        <w:tc>
          <w:tcPr>
            <w:tcW w:w="781" w:type="dxa"/>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26</w:t>
            </w:r>
          </w:p>
        </w:tc>
        <w:tc>
          <w:tcPr>
            <w:tcW w:w="2385" w:type="dxa"/>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签字或盖章要求</w:t>
            </w:r>
          </w:p>
        </w:tc>
        <w:tc>
          <w:tcPr>
            <w:tcW w:w="6509" w:type="dxa"/>
            <w:vAlign w:val="center"/>
          </w:tcPr>
          <w:p>
            <w:pPr>
              <w:adjustRightInd w:val="0"/>
              <w:snapToGrid w:val="0"/>
              <w:spacing w:line="360" w:lineRule="auto"/>
              <w:jc w:val="left"/>
              <w:rPr>
                <w:rFonts w:hint="eastAsia" w:ascii="宋体" w:hAnsi="宋体" w:cs="宋体"/>
                <w:color w:val="auto"/>
                <w:szCs w:val="21"/>
                <w:highlight w:val="none"/>
              </w:rPr>
            </w:pPr>
            <w:r>
              <w:rPr>
                <w:rFonts w:hint="eastAsia" w:ascii="宋体" w:hAnsi="宋体" w:cs="宋体"/>
                <w:color w:val="auto"/>
                <w:szCs w:val="21"/>
                <w:highlight w:val="none"/>
              </w:rPr>
              <w:t>响应文件应用不褪色的材料书写或打印，并由供应商的法定代表人或其委托代理人在指定位置签字并盖单位公章。委托代理人签字的，响应文件应附法定代表人签署的授权委托书。响应文件正、副本均须加盖骑缝章。响应文件应尽量避免涂改、行间插字或删除。如果出现上述情况，改动之处应加盖单位章并由供应商的法定代表人或其授权的代理人签字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781" w:type="dxa"/>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27</w:t>
            </w:r>
          </w:p>
        </w:tc>
        <w:tc>
          <w:tcPr>
            <w:tcW w:w="2385" w:type="dxa"/>
            <w:vAlign w:val="center"/>
          </w:tcPr>
          <w:p>
            <w:pPr>
              <w:adjustRightInd w:val="0"/>
              <w:snapToGrid w:val="0"/>
              <w:spacing w:line="360" w:lineRule="auto"/>
              <w:jc w:val="center"/>
              <w:rPr>
                <w:rFonts w:hint="eastAsia" w:ascii="宋体" w:hAnsi="宋体" w:cs="宋体"/>
                <w:color w:val="auto"/>
                <w:highlight w:val="none"/>
              </w:rPr>
            </w:pPr>
            <w:r>
              <w:rPr>
                <w:rFonts w:hint="eastAsia" w:ascii="宋体" w:hAnsi="宋体" w:cs="宋体"/>
                <w:color w:val="auto"/>
                <w:highlight w:val="none"/>
              </w:rPr>
              <w:t>响应文件份数、</w:t>
            </w:r>
          </w:p>
          <w:p>
            <w:pPr>
              <w:pStyle w:val="108"/>
              <w:spacing w:line="360" w:lineRule="auto"/>
              <w:rPr>
                <w:rFonts w:hint="eastAsia" w:ascii="宋体" w:hAnsi="宋体" w:cs="宋体"/>
                <w:color w:val="auto"/>
                <w:highlight w:val="none"/>
              </w:rPr>
            </w:pPr>
            <w:r>
              <w:rPr>
                <w:rFonts w:hint="eastAsia" w:ascii="宋体" w:hAnsi="宋体" w:cs="宋体"/>
                <w:color w:val="auto"/>
                <w:szCs w:val="21"/>
                <w:highlight w:val="none"/>
              </w:rPr>
              <w:t>　装订及包装要求</w:t>
            </w:r>
          </w:p>
        </w:tc>
        <w:tc>
          <w:tcPr>
            <w:tcW w:w="6509" w:type="dxa"/>
            <w:vAlign w:val="center"/>
          </w:tcPr>
          <w:p>
            <w:pPr>
              <w:pStyle w:val="108"/>
              <w:spacing w:line="360" w:lineRule="auto"/>
              <w:rPr>
                <w:rFonts w:hint="eastAsia" w:ascii="宋体" w:hAnsi="宋体" w:cs="宋体"/>
                <w:color w:val="auto"/>
                <w:highlight w:val="none"/>
              </w:rPr>
            </w:pPr>
            <w:r>
              <w:rPr>
                <w:rFonts w:hint="eastAsia" w:ascii="宋体" w:hAnsi="宋体" w:cs="宋体"/>
                <w:color w:val="auto"/>
                <w:szCs w:val="21"/>
                <w:highlight w:val="none"/>
              </w:rPr>
              <w:t>响应文件须采用书本式胶装，不得采用活页装订，响应文件的正本1份、</w:t>
            </w:r>
            <w:r>
              <w:rPr>
                <w:rFonts w:hint="eastAsia" w:ascii="宋体" w:hAnsi="宋体" w:cs="宋体"/>
                <w:color w:val="auto"/>
                <w:szCs w:val="21"/>
                <w:highlight w:val="none"/>
                <w:lang w:eastAsia="zh-CN"/>
              </w:rPr>
              <w:t>副本2份</w:t>
            </w:r>
            <w:r>
              <w:rPr>
                <w:rFonts w:hint="eastAsia" w:ascii="宋体" w:hAnsi="宋体" w:cs="宋体"/>
                <w:color w:val="auto"/>
                <w:szCs w:val="21"/>
                <w:highlight w:val="none"/>
              </w:rPr>
              <w:t>、</w:t>
            </w:r>
            <w:r>
              <w:rPr>
                <w:rFonts w:hint="eastAsia" w:ascii="宋体" w:hAnsi="宋体" w:cs="宋体"/>
                <w:color w:val="auto"/>
                <w:highlight w:val="none"/>
              </w:rPr>
              <w:t>U盘</w:t>
            </w:r>
            <w:r>
              <w:rPr>
                <w:rFonts w:hint="eastAsia" w:ascii="宋体" w:hAnsi="宋体" w:cs="宋体"/>
                <w:color w:val="auto"/>
                <w:szCs w:val="21"/>
                <w:highlight w:val="none"/>
              </w:rPr>
              <w:t>电子版（纸质文件盖章扫描件）响应文件1份（正本、副本一包，电子版（U盘）一包，共两个包），在密封处加贴封条并盖单位公章。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781" w:type="dxa"/>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28</w:t>
            </w:r>
          </w:p>
        </w:tc>
        <w:tc>
          <w:tcPr>
            <w:tcW w:w="2385" w:type="dxa"/>
            <w:vAlign w:val="center"/>
          </w:tcPr>
          <w:p>
            <w:pPr>
              <w:pStyle w:val="108"/>
              <w:spacing w:line="360" w:lineRule="auto"/>
              <w:rPr>
                <w:rFonts w:hint="eastAsia" w:ascii="宋体" w:hAnsi="宋体" w:cs="宋体"/>
                <w:color w:val="auto"/>
                <w:szCs w:val="21"/>
                <w:highlight w:val="none"/>
              </w:rPr>
            </w:pPr>
            <w:r>
              <w:rPr>
                <w:rFonts w:hint="eastAsia" w:ascii="宋体" w:hAnsi="宋体" w:cs="宋体"/>
                <w:color w:val="auto"/>
                <w:szCs w:val="21"/>
                <w:highlight w:val="none"/>
              </w:rPr>
              <w:t>响应文件封套上标示</w:t>
            </w:r>
          </w:p>
        </w:tc>
        <w:tc>
          <w:tcPr>
            <w:tcW w:w="6509" w:type="dxa"/>
            <w:vAlign w:val="center"/>
          </w:tcPr>
          <w:p>
            <w:pPr>
              <w:pStyle w:val="108"/>
              <w:spacing w:line="360" w:lineRule="auto"/>
              <w:rPr>
                <w:rFonts w:hint="eastAsia" w:ascii="宋体" w:hAnsi="宋体" w:cs="宋体"/>
                <w:color w:val="auto"/>
                <w:szCs w:val="21"/>
                <w:highlight w:val="none"/>
              </w:rPr>
            </w:pPr>
            <w:r>
              <w:rPr>
                <w:rFonts w:hint="eastAsia" w:ascii="宋体" w:hAnsi="宋体" w:cs="宋体"/>
                <w:color w:val="auto"/>
                <w:szCs w:val="21"/>
                <w:highlight w:val="none"/>
              </w:rPr>
              <w:t>响应文件：正本/副本/电子版响应文件</w:t>
            </w:r>
          </w:p>
          <w:p>
            <w:pPr>
              <w:pStyle w:val="108"/>
              <w:spacing w:line="360" w:lineRule="auto"/>
              <w:rPr>
                <w:rFonts w:hint="eastAsia" w:ascii="宋体" w:hAnsi="宋体" w:cs="宋体"/>
                <w:color w:val="auto"/>
                <w:szCs w:val="21"/>
                <w:highlight w:val="none"/>
              </w:rPr>
            </w:pPr>
            <w:r>
              <w:rPr>
                <w:rFonts w:hint="eastAsia" w:ascii="宋体" w:hAnsi="宋体" w:cs="宋体"/>
                <w:color w:val="auto"/>
                <w:szCs w:val="21"/>
                <w:highlight w:val="none"/>
              </w:rPr>
              <w:t>采购人名称：</w:t>
            </w:r>
          </w:p>
          <w:p>
            <w:pPr>
              <w:pStyle w:val="108"/>
              <w:spacing w:line="360" w:lineRule="auto"/>
              <w:rPr>
                <w:rFonts w:hint="eastAsia" w:ascii="宋体" w:hAnsi="宋体" w:cs="宋体"/>
                <w:color w:val="auto"/>
                <w:szCs w:val="21"/>
                <w:highlight w:val="none"/>
              </w:rPr>
            </w:pPr>
            <w:r>
              <w:rPr>
                <w:rFonts w:hint="eastAsia" w:ascii="宋体" w:hAnsi="宋体" w:cs="宋体"/>
                <w:color w:val="auto"/>
                <w:szCs w:val="21"/>
                <w:highlight w:val="none"/>
              </w:rPr>
              <w:t>项目名称：</w:t>
            </w:r>
          </w:p>
          <w:p>
            <w:pPr>
              <w:pStyle w:val="108"/>
              <w:spacing w:line="360" w:lineRule="auto"/>
              <w:rPr>
                <w:rFonts w:hint="eastAsia" w:ascii="宋体" w:hAnsi="宋体" w:cs="宋体"/>
                <w:color w:val="auto"/>
                <w:szCs w:val="21"/>
                <w:highlight w:val="none"/>
              </w:rPr>
            </w:pPr>
            <w:r>
              <w:rPr>
                <w:rFonts w:hint="eastAsia" w:ascii="宋体" w:hAnsi="宋体" w:cs="宋体"/>
                <w:color w:val="auto"/>
                <w:szCs w:val="21"/>
                <w:highlight w:val="none"/>
              </w:rPr>
              <w:t>项目编号：</w:t>
            </w:r>
          </w:p>
          <w:p>
            <w:pPr>
              <w:pStyle w:val="108"/>
              <w:spacing w:line="360" w:lineRule="auto"/>
              <w:rPr>
                <w:rFonts w:hint="eastAsia" w:ascii="宋体" w:hAnsi="宋体" w:cs="宋体"/>
                <w:color w:val="auto"/>
                <w:szCs w:val="21"/>
                <w:highlight w:val="none"/>
              </w:rPr>
            </w:pPr>
            <w:r>
              <w:rPr>
                <w:rFonts w:hint="eastAsia" w:ascii="宋体" w:hAnsi="宋体" w:cs="宋体"/>
                <w:color w:val="auto"/>
                <w:szCs w:val="21"/>
                <w:highlight w:val="none"/>
              </w:rPr>
              <w:t>供应商的名称（加盖公章）：</w:t>
            </w:r>
          </w:p>
          <w:p>
            <w:pPr>
              <w:pStyle w:val="108"/>
              <w:spacing w:line="360" w:lineRule="auto"/>
              <w:rPr>
                <w:rFonts w:hint="eastAsia" w:ascii="宋体" w:hAnsi="宋体" w:cs="宋体"/>
                <w:color w:val="auto"/>
                <w:szCs w:val="21"/>
                <w:highlight w:val="none"/>
              </w:rPr>
            </w:pPr>
            <w:r>
              <w:rPr>
                <w:rFonts w:hint="eastAsia" w:ascii="宋体" w:hAnsi="宋体" w:cs="宋体"/>
                <w:color w:val="auto"/>
                <w:szCs w:val="21"/>
                <w:highlight w:val="none"/>
              </w:rPr>
              <w:t>供应商联系人姓名、联系电话：</w:t>
            </w:r>
          </w:p>
          <w:p>
            <w:pPr>
              <w:pStyle w:val="108"/>
              <w:spacing w:line="360" w:lineRule="auto"/>
              <w:rPr>
                <w:rFonts w:hint="eastAsia" w:ascii="宋体" w:hAnsi="宋体" w:cs="宋体"/>
                <w:color w:val="auto"/>
                <w:szCs w:val="21"/>
                <w:highlight w:val="none"/>
                <w:lang w:val="zh-CN"/>
              </w:rPr>
            </w:pPr>
            <w:r>
              <w:rPr>
                <w:rFonts w:hint="eastAsia" w:ascii="宋体" w:hAnsi="宋体" w:cs="宋体"/>
                <w:color w:val="auto"/>
                <w:szCs w:val="21"/>
                <w:highlight w:val="none"/>
              </w:rPr>
              <w:t>于</w:t>
            </w:r>
            <w:r>
              <w:rPr>
                <w:rFonts w:hint="eastAsia" w:ascii="宋体" w:hAnsi="宋体" w:cs="宋体"/>
                <w:color w:val="auto"/>
                <w:szCs w:val="21"/>
                <w:highlight w:val="none"/>
                <w:u w:val="single"/>
              </w:rPr>
              <w:t>2022</w:t>
            </w:r>
            <w:r>
              <w:rPr>
                <w:rFonts w:hint="eastAsia" w:ascii="宋体" w:hAnsi="宋体" w:cs="宋体"/>
                <w:color w:val="auto"/>
                <w:szCs w:val="21"/>
                <w:highlight w:val="none"/>
              </w:rPr>
              <w:t>年</w:t>
            </w:r>
            <w:r>
              <w:rPr>
                <w:rFonts w:hint="eastAsia" w:ascii="宋体" w:hAnsi="宋体" w:cs="宋体"/>
                <w:color w:val="auto"/>
                <w:szCs w:val="21"/>
                <w:highlight w:val="none"/>
                <w:u w:val="single"/>
                <w:lang w:val="en-US" w:eastAsia="zh-CN"/>
              </w:rPr>
              <w:t>10</w:t>
            </w:r>
            <w:r>
              <w:rPr>
                <w:rFonts w:hint="eastAsia" w:ascii="宋体" w:hAnsi="宋体" w:cs="宋体"/>
                <w:color w:val="000000" w:themeColor="text1"/>
                <w:szCs w:val="21"/>
                <w:highlight w:val="none"/>
                <w14:textFill>
                  <w14:solidFill>
                    <w14:schemeClr w14:val="tx1"/>
                  </w14:solidFill>
                </w14:textFill>
              </w:rPr>
              <w:t>月</w:t>
            </w:r>
            <w:r>
              <w:rPr>
                <w:rFonts w:hint="eastAsia" w:ascii="宋体" w:hAnsi="宋体" w:cs="宋体"/>
                <w:color w:val="000000" w:themeColor="text1"/>
                <w:szCs w:val="21"/>
                <w:highlight w:val="none"/>
                <w:u w:val="single"/>
                <w:lang w:val="en-US" w:eastAsia="zh-CN"/>
                <w14:textFill>
                  <w14:solidFill>
                    <w14:schemeClr w14:val="tx1"/>
                  </w14:solidFill>
                </w14:textFill>
              </w:rPr>
              <w:t>10</w:t>
            </w:r>
            <w:r>
              <w:rPr>
                <w:rFonts w:hint="eastAsia" w:ascii="宋体" w:hAnsi="宋体" w:cs="宋体"/>
                <w:color w:val="000000" w:themeColor="text1"/>
                <w:szCs w:val="21"/>
                <w:highlight w:val="none"/>
                <w14:textFill>
                  <w14:solidFill>
                    <w14:schemeClr w14:val="tx1"/>
                  </w14:solidFill>
                </w14:textFill>
              </w:rPr>
              <w:t>日</w:t>
            </w:r>
            <w:r>
              <w:rPr>
                <w:rFonts w:hint="eastAsia" w:ascii="宋体" w:hAnsi="宋体" w:cs="宋体"/>
                <w:color w:val="000000" w:themeColor="text1"/>
                <w:szCs w:val="21"/>
                <w:highlight w:val="none"/>
                <w:u w:val="single"/>
                <w14:textFill>
                  <w14:solidFill>
                    <w14:schemeClr w14:val="tx1"/>
                  </w14:solidFill>
                </w14:textFill>
              </w:rPr>
              <w:t>1</w:t>
            </w:r>
            <w:r>
              <w:rPr>
                <w:rFonts w:hint="eastAsia" w:ascii="宋体" w:hAnsi="宋体" w:cs="宋体"/>
                <w:color w:val="000000" w:themeColor="text1"/>
                <w:szCs w:val="21"/>
                <w:highlight w:val="none"/>
                <w:u w:val="single"/>
                <w:lang w:val="en-US" w:eastAsia="zh-CN"/>
                <w14:textFill>
                  <w14:solidFill>
                    <w14:schemeClr w14:val="tx1"/>
                  </w14:solidFill>
                </w14:textFill>
              </w:rPr>
              <w:t>0</w:t>
            </w:r>
            <w:r>
              <w:rPr>
                <w:rFonts w:hint="eastAsia" w:ascii="宋体" w:hAnsi="宋体" w:cs="宋体"/>
                <w:color w:val="000000" w:themeColor="text1"/>
                <w:szCs w:val="21"/>
                <w:highlight w:val="none"/>
                <w14:textFill>
                  <w14:solidFill>
                    <w14:schemeClr w14:val="tx1"/>
                  </w14:solidFill>
                </w14:textFill>
              </w:rPr>
              <w:t>时</w:t>
            </w:r>
            <w:r>
              <w:rPr>
                <w:rFonts w:hint="eastAsia" w:ascii="宋体" w:hAnsi="宋体" w:cs="宋体"/>
                <w:color w:val="000000" w:themeColor="text1"/>
                <w:szCs w:val="21"/>
                <w:highlight w:val="none"/>
                <w:u w:val="single"/>
                <w:lang w:val="en-US" w:eastAsia="zh-CN"/>
                <w14:textFill>
                  <w14:solidFill>
                    <w14:schemeClr w14:val="tx1"/>
                  </w14:solidFill>
                </w14:textFill>
              </w:rPr>
              <w:t>30</w:t>
            </w:r>
            <w:r>
              <w:rPr>
                <w:rFonts w:hint="eastAsia" w:ascii="宋体" w:hAnsi="宋体" w:cs="宋体"/>
                <w:color w:val="000000" w:themeColor="text1"/>
                <w:szCs w:val="21"/>
                <w:highlight w:val="none"/>
                <w14:textFill>
                  <w14:solidFill>
                    <w14:schemeClr w14:val="tx1"/>
                  </w14:solidFill>
                </w14:textFill>
              </w:rPr>
              <w:t>分</w:t>
            </w:r>
            <w:r>
              <w:rPr>
                <w:rFonts w:hint="eastAsia" w:ascii="宋体" w:hAnsi="宋体" w:cs="宋体"/>
                <w:color w:val="auto"/>
                <w:szCs w:val="21"/>
                <w:highlight w:val="none"/>
                <w:lang w:val="zh-CN"/>
              </w:rPr>
              <w:t>前</w:t>
            </w:r>
            <w:r>
              <w:rPr>
                <w:rFonts w:hint="eastAsia" w:ascii="宋体" w:hAnsi="宋体" w:cs="宋体"/>
                <w:color w:val="auto"/>
                <w:szCs w:val="21"/>
                <w:highlight w:val="none"/>
              </w:rPr>
              <w:t xml:space="preserve">（开标时间）不得开启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781" w:type="dxa"/>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29</w:t>
            </w:r>
          </w:p>
        </w:tc>
        <w:tc>
          <w:tcPr>
            <w:tcW w:w="2385" w:type="dxa"/>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递交响应文件地点</w:t>
            </w:r>
          </w:p>
        </w:tc>
        <w:tc>
          <w:tcPr>
            <w:tcW w:w="6509" w:type="dxa"/>
            <w:vAlign w:val="center"/>
          </w:tcPr>
          <w:p>
            <w:pPr>
              <w:adjustRightInd w:val="0"/>
              <w:snapToGri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海口市美兰区蓝天路51号京航大酒店5楼</w:t>
            </w:r>
            <w:r>
              <w:rPr>
                <w:rFonts w:hint="eastAsia" w:ascii="宋体" w:hAnsi="宋体" w:cs="宋体"/>
                <w:color w:val="auto"/>
                <w:szCs w:val="21"/>
                <w:highlight w:val="none"/>
                <w:lang w:val="en-US" w:eastAsia="zh-CN"/>
              </w:rPr>
              <w:t>5</w:t>
            </w:r>
            <w:r>
              <w:rPr>
                <w:rFonts w:hint="eastAsia" w:ascii="宋体" w:hAnsi="宋体" w:cs="宋体"/>
                <w:color w:val="auto"/>
                <w:szCs w:val="21"/>
                <w:highlight w:val="none"/>
              </w:rPr>
              <w:t>号开标室（如有变动另行通知）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jc w:val="center"/>
        </w:trPr>
        <w:tc>
          <w:tcPr>
            <w:tcW w:w="781" w:type="dxa"/>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30</w:t>
            </w:r>
          </w:p>
        </w:tc>
        <w:tc>
          <w:tcPr>
            <w:tcW w:w="2385" w:type="dxa"/>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是否退还响应文件</w:t>
            </w:r>
          </w:p>
        </w:tc>
        <w:tc>
          <w:tcPr>
            <w:tcW w:w="6509" w:type="dxa"/>
            <w:vAlign w:val="center"/>
          </w:tcPr>
          <w:p>
            <w:pPr>
              <w:adjustRightInd w:val="0"/>
              <w:snapToGri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781" w:type="dxa"/>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31</w:t>
            </w:r>
          </w:p>
        </w:tc>
        <w:tc>
          <w:tcPr>
            <w:tcW w:w="2385" w:type="dxa"/>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开标时间和地点</w:t>
            </w:r>
          </w:p>
        </w:tc>
        <w:tc>
          <w:tcPr>
            <w:tcW w:w="6509" w:type="dxa"/>
            <w:vAlign w:val="center"/>
          </w:tcPr>
          <w:p>
            <w:pPr>
              <w:adjustRightInd w:val="0"/>
              <w:snapToGri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开标时间：同投标截止时间。</w:t>
            </w:r>
          </w:p>
          <w:p>
            <w:pPr>
              <w:adjustRightInd w:val="0"/>
              <w:snapToGri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开标地点：海口市美兰区蓝天路51号京航大酒店5楼</w:t>
            </w:r>
            <w:r>
              <w:rPr>
                <w:rFonts w:hint="eastAsia" w:ascii="宋体" w:hAnsi="宋体" w:cs="宋体"/>
                <w:color w:val="auto"/>
                <w:szCs w:val="21"/>
                <w:highlight w:val="none"/>
                <w:lang w:val="en-US" w:eastAsia="zh-CN"/>
              </w:rPr>
              <w:t>5</w:t>
            </w:r>
            <w:bookmarkStart w:id="307" w:name="_GoBack"/>
            <w:bookmarkEnd w:id="307"/>
            <w:r>
              <w:rPr>
                <w:rFonts w:hint="eastAsia" w:ascii="宋体" w:hAnsi="宋体" w:cs="宋体"/>
                <w:color w:val="auto"/>
                <w:szCs w:val="21"/>
                <w:highlight w:val="none"/>
              </w:rPr>
              <w:t>号开标室（如有变动另行通知）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781" w:type="dxa"/>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32</w:t>
            </w:r>
          </w:p>
        </w:tc>
        <w:tc>
          <w:tcPr>
            <w:tcW w:w="2385" w:type="dxa"/>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开标程序</w:t>
            </w:r>
          </w:p>
        </w:tc>
        <w:tc>
          <w:tcPr>
            <w:tcW w:w="6509" w:type="dxa"/>
            <w:vAlign w:val="center"/>
          </w:tcPr>
          <w:p>
            <w:pPr>
              <w:adjustRightInd w:val="0"/>
              <w:snapToGrid w:val="0"/>
              <w:spacing w:line="360" w:lineRule="auto"/>
              <w:rPr>
                <w:rFonts w:hint="eastAsia" w:ascii="宋体" w:hAnsi="宋体" w:eastAsia="宋体" w:cs="宋体"/>
                <w:color w:val="auto"/>
                <w:kern w:val="10"/>
                <w:szCs w:val="21"/>
                <w:highlight w:val="none"/>
              </w:rPr>
            </w:pPr>
            <w:r>
              <w:rPr>
                <w:rFonts w:hint="eastAsia" w:ascii="宋体" w:hAnsi="宋体" w:eastAsia="宋体" w:cs="宋体"/>
                <w:color w:val="auto"/>
                <w:kern w:val="10"/>
                <w:szCs w:val="21"/>
                <w:highlight w:val="none"/>
              </w:rPr>
              <w:t>按竞争性磋商文件要求。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781" w:type="dxa"/>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33</w:t>
            </w:r>
          </w:p>
        </w:tc>
        <w:tc>
          <w:tcPr>
            <w:tcW w:w="2385" w:type="dxa"/>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磋商小组的组建</w:t>
            </w:r>
          </w:p>
        </w:tc>
        <w:tc>
          <w:tcPr>
            <w:tcW w:w="6509" w:type="dxa"/>
            <w:vAlign w:val="center"/>
          </w:tcPr>
          <w:p>
            <w:pPr>
              <w:adjustRightInd w:val="0"/>
              <w:snapToGrid w:val="0"/>
              <w:spacing w:line="360" w:lineRule="auto"/>
              <w:rPr>
                <w:rFonts w:hint="eastAsia" w:ascii="宋体" w:hAnsi="宋体" w:eastAsia="宋体" w:cs="宋体"/>
                <w:color w:val="auto"/>
                <w:kern w:val="10"/>
                <w:szCs w:val="21"/>
                <w:highlight w:val="none"/>
              </w:rPr>
            </w:pPr>
            <w:r>
              <w:rPr>
                <w:rFonts w:hint="eastAsia" w:ascii="宋体" w:hAnsi="宋体" w:eastAsia="宋体" w:cs="宋体"/>
                <w:color w:val="auto"/>
                <w:kern w:val="10"/>
                <w:szCs w:val="21"/>
                <w:highlight w:val="none"/>
              </w:rPr>
              <w:t>磋商小组构成：</w:t>
            </w:r>
            <w:r>
              <w:rPr>
                <w:rFonts w:hint="eastAsia" w:ascii="宋体" w:hAnsi="宋体" w:eastAsia="宋体" w:cs="宋体"/>
                <w:color w:val="auto"/>
                <w:kern w:val="10"/>
                <w:szCs w:val="21"/>
                <w:highlight w:val="none"/>
                <w:u w:val="single"/>
              </w:rPr>
              <w:t>3</w:t>
            </w:r>
            <w:r>
              <w:rPr>
                <w:rFonts w:hint="eastAsia" w:ascii="宋体" w:hAnsi="宋体" w:eastAsia="宋体" w:cs="宋体"/>
                <w:color w:val="auto"/>
                <w:kern w:val="10"/>
                <w:szCs w:val="21"/>
                <w:highlight w:val="none"/>
              </w:rPr>
              <w:t>人。其中采购人代</w:t>
            </w:r>
            <w:r>
              <w:rPr>
                <w:rFonts w:hint="eastAsia" w:ascii="宋体" w:hAnsi="宋体" w:eastAsia="宋体" w:cs="宋体"/>
                <w:color w:val="000000" w:themeColor="text1"/>
                <w:kern w:val="10"/>
                <w:szCs w:val="21"/>
                <w:highlight w:val="none"/>
                <w14:textFill>
                  <w14:solidFill>
                    <w14:schemeClr w14:val="tx1"/>
                  </w14:solidFill>
                </w14:textFill>
              </w:rPr>
              <w:t>表</w:t>
            </w:r>
            <w:r>
              <w:rPr>
                <w:rFonts w:hint="eastAsia" w:ascii="宋体" w:hAnsi="宋体" w:cs="宋体"/>
                <w:color w:val="000000" w:themeColor="text1"/>
                <w:kern w:val="10"/>
                <w:szCs w:val="21"/>
                <w:highlight w:val="none"/>
                <w:u w:val="single"/>
                <w:lang w:val="en-US" w:eastAsia="zh-CN"/>
                <w14:textFill>
                  <w14:solidFill>
                    <w14:schemeClr w14:val="tx1"/>
                  </w14:solidFill>
                </w14:textFill>
              </w:rPr>
              <w:t>1</w:t>
            </w:r>
            <w:r>
              <w:rPr>
                <w:rFonts w:hint="eastAsia" w:ascii="宋体" w:hAnsi="宋体" w:eastAsia="宋体" w:cs="宋体"/>
                <w:color w:val="000000" w:themeColor="text1"/>
                <w:kern w:val="10"/>
                <w:szCs w:val="21"/>
                <w:highlight w:val="none"/>
                <w14:textFill>
                  <w14:solidFill>
                    <w14:schemeClr w14:val="tx1"/>
                  </w14:solidFill>
                </w14:textFill>
              </w:rPr>
              <w:t>人，专家</w:t>
            </w:r>
            <w:r>
              <w:rPr>
                <w:rFonts w:hint="eastAsia" w:ascii="宋体" w:hAnsi="宋体" w:cs="宋体"/>
                <w:color w:val="000000" w:themeColor="text1"/>
                <w:kern w:val="10"/>
                <w:szCs w:val="21"/>
                <w:highlight w:val="none"/>
                <w:u w:val="single"/>
                <w:lang w:val="en-US" w:eastAsia="zh-CN"/>
                <w14:textFill>
                  <w14:solidFill>
                    <w14:schemeClr w14:val="tx1"/>
                  </w14:solidFill>
                </w14:textFill>
              </w:rPr>
              <w:t>2</w:t>
            </w:r>
            <w:r>
              <w:rPr>
                <w:rFonts w:hint="eastAsia" w:ascii="宋体" w:hAnsi="宋体" w:eastAsia="宋体" w:cs="宋体"/>
                <w:color w:val="auto"/>
                <w:kern w:val="10"/>
                <w:szCs w:val="21"/>
                <w:highlight w:val="none"/>
              </w:rPr>
              <w:t>人。</w:t>
            </w:r>
          </w:p>
          <w:p>
            <w:pPr>
              <w:adjustRightInd w:val="0"/>
              <w:snapToGrid w:val="0"/>
              <w:spacing w:line="360" w:lineRule="auto"/>
              <w:rPr>
                <w:rFonts w:hint="eastAsia" w:ascii="宋体" w:hAnsi="宋体" w:eastAsia="宋体" w:cs="宋体"/>
                <w:color w:val="auto"/>
                <w:kern w:val="10"/>
                <w:szCs w:val="21"/>
                <w:highlight w:val="none"/>
              </w:rPr>
            </w:pPr>
            <w:r>
              <w:rPr>
                <w:rFonts w:hint="eastAsia" w:ascii="宋体" w:hAnsi="宋体" w:eastAsia="宋体" w:cs="宋体"/>
                <w:color w:val="auto"/>
                <w:kern w:val="10"/>
                <w:szCs w:val="21"/>
                <w:highlight w:val="none"/>
              </w:rPr>
              <w:t>评标专家确定方式：从综合评标专家库中随机抽取。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781" w:type="dxa"/>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34</w:t>
            </w:r>
          </w:p>
        </w:tc>
        <w:tc>
          <w:tcPr>
            <w:tcW w:w="2385" w:type="dxa"/>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评标方法</w:t>
            </w:r>
          </w:p>
        </w:tc>
        <w:tc>
          <w:tcPr>
            <w:tcW w:w="6509" w:type="dxa"/>
            <w:vAlign w:val="center"/>
          </w:tcPr>
          <w:p>
            <w:pPr>
              <w:adjustRightInd w:val="0"/>
              <w:snapToGri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采用综合评分法。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atLeast"/>
          <w:jc w:val="center"/>
        </w:trPr>
        <w:tc>
          <w:tcPr>
            <w:tcW w:w="781" w:type="dxa"/>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35</w:t>
            </w:r>
          </w:p>
        </w:tc>
        <w:tc>
          <w:tcPr>
            <w:tcW w:w="2385" w:type="dxa"/>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是否授权磋商小组确定成交供应商</w:t>
            </w:r>
          </w:p>
        </w:tc>
        <w:tc>
          <w:tcPr>
            <w:tcW w:w="6509" w:type="dxa"/>
            <w:vAlign w:val="center"/>
          </w:tcPr>
          <w:p>
            <w:pPr>
              <w:adjustRightInd w:val="0"/>
              <w:snapToGrid w:val="0"/>
              <w:spacing w:line="360" w:lineRule="auto"/>
              <w:jc w:val="left"/>
              <w:rPr>
                <w:rFonts w:hint="eastAsia" w:ascii="宋体" w:hAnsi="宋体" w:cs="宋体"/>
                <w:color w:val="auto"/>
                <w:szCs w:val="21"/>
                <w:highlight w:val="none"/>
              </w:rPr>
            </w:pPr>
            <w:r>
              <w:rPr>
                <w:rFonts w:hint="eastAsia" w:ascii="宋体" w:hAnsi="宋体" w:cs="宋体"/>
                <w:color w:val="auto"/>
                <w:szCs w:val="21"/>
                <w:highlight w:val="none"/>
              </w:rPr>
              <w:t>■是，推荐的中标候选供应商的人数为</w:t>
            </w:r>
            <w:r>
              <w:rPr>
                <w:rFonts w:hint="eastAsia" w:ascii="宋体" w:hAnsi="宋体" w:cs="宋体"/>
                <w:color w:val="auto"/>
                <w:szCs w:val="21"/>
                <w:highlight w:val="none"/>
                <w:u w:val="single"/>
              </w:rPr>
              <w:t xml:space="preserve"> 3 </w:t>
            </w:r>
            <w:r>
              <w:rPr>
                <w:rFonts w:hint="eastAsia" w:ascii="宋体" w:hAnsi="宋体" w:cs="宋体"/>
                <w:color w:val="auto"/>
                <w:szCs w:val="21"/>
                <w:highlight w:val="none"/>
              </w:rPr>
              <w:t>名，并确定第一中标候选供应商为成交供应商。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781" w:type="dxa"/>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36</w:t>
            </w:r>
          </w:p>
        </w:tc>
        <w:tc>
          <w:tcPr>
            <w:tcW w:w="2385" w:type="dxa"/>
            <w:vAlign w:val="center"/>
          </w:tcPr>
          <w:p>
            <w:pPr>
              <w:adjustRightInd w:val="0"/>
              <w:snapToGrid w:val="0"/>
              <w:spacing w:line="360"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履约担保</w:t>
            </w:r>
          </w:p>
        </w:tc>
        <w:tc>
          <w:tcPr>
            <w:tcW w:w="6509" w:type="dxa"/>
            <w:vAlign w:val="center"/>
          </w:tcPr>
          <w:p>
            <w:pPr>
              <w:adjustRightInd w:val="0"/>
              <w:snapToGrid w:val="0"/>
              <w:spacing w:line="360"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7" w:hRule="atLeast"/>
          <w:jc w:val="center"/>
        </w:trPr>
        <w:tc>
          <w:tcPr>
            <w:tcW w:w="781" w:type="dxa"/>
            <w:vAlign w:val="center"/>
          </w:tcPr>
          <w:p>
            <w:pPr>
              <w:adjustRightInd w:val="0"/>
              <w:snapToGrid w:val="0"/>
              <w:spacing w:line="360" w:lineRule="auto"/>
              <w:rPr>
                <w:rFonts w:hint="eastAsia" w:ascii="宋体" w:hAnsi="宋体" w:cs="宋体"/>
                <w:color w:val="auto"/>
                <w:kern w:val="10"/>
                <w:szCs w:val="21"/>
                <w:highlight w:val="none"/>
              </w:rPr>
            </w:pPr>
            <w:r>
              <w:rPr>
                <w:rFonts w:hint="eastAsia" w:ascii="宋体" w:hAnsi="宋体" w:cs="宋体"/>
                <w:color w:val="auto"/>
                <w:kern w:val="10"/>
                <w:szCs w:val="21"/>
                <w:highlight w:val="none"/>
              </w:rPr>
              <w:t>　37</w:t>
            </w:r>
          </w:p>
        </w:tc>
        <w:tc>
          <w:tcPr>
            <w:tcW w:w="2385" w:type="dxa"/>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递交响应文件时应</w:t>
            </w:r>
          </w:p>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出示的身份证明材料</w:t>
            </w:r>
          </w:p>
        </w:tc>
        <w:tc>
          <w:tcPr>
            <w:tcW w:w="6509" w:type="dxa"/>
            <w:vAlign w:val="center"/>
          </w:tcPr>
          <w:p>
            <w:pPr>
              <w:adjustRightInd w:val="0"/>
              <w:snapToGrid w:val="0"/>
              <w:spacing w:line="360" w:lineRule="auto"/>
              <w:jc w:val="left"/>
              <w:rPr>
                <w:rFonts w:hint="eastAsia" w:ascii="宋体" w:hAnsi="宋体" w:cs="宋体"/>
                <w:color w:val="auto"/>
                <w:szCs w:val="21"/>
                <w:highlight w:val="none"/>
              </w:rPr>
            </w:pPr>
            <w:r>
              <w:rPr>
                <w:rFonts w:hint="eastAsia" w:ascii="宋体" w:hAnsi="宋体" w:cs="宋体"/>
                <w:color w:val="auto"/>
                <w:szCs w:val="21"/>
                <w:highlight w:val="none"/>
              </w:rPr>
              <w:t>1、出示供应商代表身份证原件；</w:t>
            </w:r>
          </w:p>
          <w:p>
            <w:pPr>
              <w:adjustRightInd w:val="0"/>
              <w:snapToGrid w:val="0"/>
              <w:spacing w:line="360" w:lineRule="auto"/>
              <w:jc w:val="left"/>
              <w:rPr>
                <w:rFonts w:hint="eastAsia" w:ascii="宋体" w:hAnsi="宋体" w:cs="宋体"/>
                <w:color w:val="auto"/>
                <w:szCs w:val="21"/>
                <w:highlight w:val="none"/>
              </w:rPr>
            </w:pPr>
            <w:r>
              <w:rPr>
                <w:rFonts w:hint="eastAsia" w:ascii="宋体" w:hAnsi="宋体" w:cs="宋体"/>
                <w:color w:val="auto"/>
                <w:szCs w:val="21"/>
                <w:highlight w:val="none"/>
              </w:rPr>
              <w:t>2、如供应商代表是</w:t>
            </w:r>
            <w:r>
              <w:rPr>
                <w:rFonts w:hint="eastAsia" w:ascii="宋体" w:hAnsi="宋体" w:cs="宋体"/>
                <w:color w:val="auto"/>
                <w:szCs w:val="21"/>
                <w:highlight w:val="none"/>
                <w:lang w:val="zh-CN"/>
              </w:rPr>
              <w:t>法定代表人本人，须出具法定代表人身份证明书；</w:t>
            </w:r>
          </w:p>
          <w:p>
            <w:pPr>
              <w:adjustRightInd w:val="0"/>
              <w:snapToGrid w:val="0"/>
              <w:spacing w:line="360" w:lineRule="auto"/>
              <w:jc w:val="left"/>
              <w:rPr>
                <w:rFonts w:hint="eastAsia" w:ascii="宋体" w:hAnsi="宋体" w:cs="宋体"/>
                <w:color w:val="auto"/>
                <w:szCs w:val="21"/>
                <w:highlight w:val="none"/>
              </w:rPr>
            </w:pPr>
            <w:r>
              <w:rPr>
                <w:rFonts w:hint="eastAsia" w:ascii="宋体" w:hAnsi="宋体" w:cs="宋体"/>
                <w:color w:val="auto"/>
                <w:szCs w:val="21"/>
                <w:highlight w:val="none"/>
              </w:rPr>
              <w:t>3、如供应商代表不是</w:t>
            </w:r>
            <w:r>
              <w:rPr>
                <w:rFonts w:hint="eastAsia" w:ascii="宋体" w:hAnsi="宋体" w:cs="宋体"/>
                <w:color w:val="auto"/>
                <w:szCs w:val="21"/>
                <w:highlight w:val="none"/>
                <w:lang w:val="zh-CN"/>
              </w:rPr>
              <w:t>法定代表人/负责人</w:t>
            </w:r>
            <w:r>
              <w:rPr>
                <w:rFonts w:hint="eastAsia" w:ascii="宋体" w:hAnsi="宋体" w:cs="宋体"/>
                <w:color w:val="auto"/>
                <w:szCs w:val="21"/>
                <w:highlight w:val="none"/>
              </w:rPr>
              <w:t>本人，还需单独递交</w:t>
            </w:r>
            <w:r>
              <w:rPr>
                <w:rFonts w:hint="eastAsia" w:ascii="宋体" w:hAnsi="宋体" w:cs="宋体"/>
                <w:color w:val="auto"/>
                <w:szCs w:val="21"/>
                <w:highlight w:val="none"/>
                <w:lang w:val="zh-CN"/>
              </w:rPr>
              <w:t>法定代表人/负责人</w:t>
            </w:r>
            <w:r>
              <w:rPr>
                <w:rFonts w:hint="eastAsia" w:ascii="宋体" w:hAnsi="宋体" w:cs="宋体"/>
                <w:color w:val="auto"/>
                <w:szCs w:val="21"/>
                <w:highlight w:val="none"/>
              </w:rPr>
              <w:t>授权委托书原件（授权委托书需附法定代表人及受托人身份证身复印件）。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1" w:hRule="atLeast"/>
          <w:jc w:val="center"/>
        </w:trPr>
        <w:tc>
          <w:tcPr>
            <w:tcW w:w="781" w:type="dxa"/>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38</w:t>
            </w:r>
          </w:p>
        </w:tc>
        <w:tc>
          <w:tcPr>
            <w:tcW w:w="2385" w:type="dxa"/>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项目预算</w:t>
            </w:r>
          </w:p>
        </w:tc>
        <w:tc>
          <w:tcPr>
            <w:tcW w:w="6509" w:type="dxa"/>
            <w:vAlign w:val="center"/>
          </w:tcPr>
          <w:p>
            <w:pPr>
              <w:numPr>
                <w:ilvl w:val="0"/>
                <w:numId w:val="5"/>
              </w:numPr>
              <w:adjustRightInd w:val="0"/>
              <w:snapToGrid w:val="0"/>
              <w:spacing w:line="360"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项目预算：</w:t>
            </w:r>
            <w:r>
              <w:rPr>
                <w:rFonts w:hint="eastAsia" w:ascii="宋体" w:hAnsi="宋体" w:cs="宋体"/>
                <w:color w:val="auto"/>
                <w:szCs w:val="21"/>
                <w:highlight w:val="none"/>
                <w:lang w:val="en-US" w:eastAsia="zh-CN"/>
              </w:rPr>
              <w:t>606000.00</w:t>
            </w:r>
            <w:r>
              <w:rPr>
                <w:rFonts w:hint="eastAsia" w:ascii="宋体" w:hAnsi="宋体" w:eastAsia="宋体" w:cs="宋体"/>
                <w:color w:val="auto"/>
                <w:szCs w:val="21"/>
                <w:highlight w:val="none"/>
              </w:rPr>
              <w:t>元</w:t>
            </w:r>
          </w:p>
          <w:p>
            <w:pPr>
              <w:numPr>
                <w:ilvl w:val="0"/>
                <w:numId w:val="5"/>
              </w:numPr>
              <w:adjustRightInd w:val="0"/>
              <w:snapToGrid w:val="0"/>
              <w:spacing w:line="360" w:lineRule="auto"/>
              <w:jc w:val="left"/>
              <w:rPr>
                <w:rFonts w:hint="eastAsia" w:ascii="宋体" w:hAnsi="宋体" w:cs="宋体"/>
                <w:color w:val="auto"/>
                <w:highlight w:val="none"/>
              </w:rPr>
            </w:pPr>
            <w:r>
              <w:rPr>
                <w:rFonts w:hint="eastAsia" w:ascii="宋体" w:hAnsi="宋体" w:eastAsia="宋体" w:cs="宋体"/>
                <w:color w:val="auto"/>
                <w:szCs w:val="21"/>
                <w:highlight w:val="none"/>
              </w:rPr>
              <w:t>供应商应有明确报价</w:t>
            </w:r>
            <w:r>
              <w:rPr>
                <w:rFonts w:hint="eastAsia" w:ascii="宋体" w:hAnsi="宋体" w:cs="宋体"/>
                <w:color w:val="auto"/>
                <w:highlight w:val="none"/>
              </w:rPr>
              <w:t>，超过项目预算，或者无报价响应的，响应无效。</w:t>
            </w:r>
          </w:p>
          <w:p>
            <w:pPr>
              <w:autoSpaceDE w:val="0"/>
              <w:autoSpaceDN w:val="0"/>
              <w:adjustRightInd w:val="0"/>
              <w:snapToGrid w:val="0"/>
              <w:spacing w:line="360" w:lineRule="auto"/>
              <w:jc w:val="left"/>
              <w:rPr>
                <w:rFonts w:hint="eastAsia" w:ascii="宋体" w:hAnsi="宋体" w:cs="宋体"/>
                <w:color w:val="auto"/>
                <w:highlight w:val="none"/>
              </w:rPr>
            </w:pPr>
            <w:r>
              <w:rPr>
                <w:rFonts w:hint="eastAsia" w:ascii="宋体" w:hAnsi="宋体" w:cs="宋体"/>
                <w:color w:val="auto"/>
                <w:highlight w:val="none"/>
              </w:rPr>
              <w:t>3、当报价明显低于其它投标报价时，由磋商小组判定是否低于成本，判定低于成本的，供应商必须提交书面降价说明；未提交书面降价说明，按废标处理。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 w:hRule="atLeast"/>
          <w:jc w:val="center"/>
        </w:trPr>
        <w:tc>
          <w:tcPr>
            <w:tcW w:w="781" w:type="dxa"/>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39</w:t>
            </w:r>
          </w:p>
        </w:tc>
        <w:tc>
          <w:tcPr>
            <w:tcW w:w="2385" w:type="dxa"/>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shd w:val="clear" w:color="auto" w:fill="FFFFFF"/>
              </w:rPr>
              <w:t>履约保证金</w:t>
            </w:r>
          </w:p>
        </w:tc>
        <w:tc>
          <w:tcPr>
            <w:tcW w:w="6509" w:type="dxa"/>
            <w:vAlign w:val="center"/>
          </w:tcPr>
          <w:p>
            <w:pPr>
              <w:autoSpaceDE w:val="0"/>
              <w:autoSpaceDN w:val="0"/>
              <w:adjustRightInd w:val="0"/>
              <w:snapToGrid w:val="0"/>
              <w:spacing w:line="360" w:lineRule="auto"/>
              <w:jc w:val="left"/>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 w:hRule="atLeast"/>
          <w:jc w:val="center"/>
        </w:trPr>
        <w:tc>
          <w:tcPr>
            <w:tcW w:w="781" w:type="dxa"/>
            <w:vAlign w:val="center"/>
          </w:tcPr>
          <w:p>
            <w:pPr>
              <w:autoSpaceDE w:val="0"/>
              <w:autoSpaceDN w:val="0"/>
              <w:adjustRightInd w:val="0"/>
              <w:snapToGrid w:val="0"/>
              <w:spacing w:line="360" w:lineRule="auto"/>
              <w:jc w:val="left"/>
              <w:rPr>
                <w:rFonts w:hint="eastAsia" w:ascii="宋体" w:hAnsi="宋体" w:eastAsia="宋体" w:cs="宋体"/>
                <w:color w:val="auto"/>
                <w:highlight w:val="none"/>
              </w:rPr>
            </w:pPr>
            <w:r>
              <w:rPr>
                <w:rFonts w:hint="eastAsia" w:ascii="宋体" w:hAnsi="宋体" w:eastAsia="宋体" w:cs="宋体"/>
                <w:color w:val="auto"/>
                <w:highlight w:val="none"/>
              </w:rPr>
              <w:t>40</w:t>
            </w:r>
          </w:p>
        </w:tc>
        <w:tc>
          <w:tcPr>
            <w:tcW w:w="2385" w:type="dxa"/>
            <w:vAlign w:val="center"/>
          </w:tcPr>
          <w:p>
            <w:pPr>
              <w:autoSpaceDE w:val="0"/>
              <w:autoSpaceDN w:val="0"/>
              <w:adjustRightInd w:val="0"/>
              <w:snapToGrid w:val="0"/>
              <w:spacing w:line="360" w:lineRule="auto"/>
              <w:jc w:val="left"/>
              <w:rPr>
                <w:rFonts w:hint="eastAsia" w:ascii="宋体" w:hAnsi="宋体" w:eastAsia="宋体" w:cs="宋体"/>
                <w:color w:val="auto"/>
                <w:highlight w:val="none"/>
              </w:rPr>
            </w:pPr>
            <w:r>
              <w:rPr>
                <w:rFonts w:hint="eastAsia" w:ascii="宋体" w:hAnsi="宋体" w:eastAsia="宋体" w:cs="宋体"/>
                <w:color w:val="auto"/>
                <w:highlight w:val="none"/>
              </w:rPr>
              <w:t>需要补充的其他内容</w:t>
            </w:r>
          </w:p>
        </w:tc>
        <w:tc>
          <w:tcPr>
            <w:tcW w:w="6509" w:type="dxa"/>
            <w:vAlign w:val="center"/>
          </w:tcPr>
          <w:p>
            <w:pPr>
              <w:autoSpaceDE w:val="0"/>
              <w:autoSpaceDN w:val="0"/>
              <w:adjustRightInd w:val="0"/>
              <w:snapToGrid w:val="0"/>
              <w:spacing w:line="360" w:lineRule="auto"/>
              <w:jc w:val="left"/>
              <w:rPr>
                <w:rFonts w:hint="eastAsia" w:ascii="宋体" w:hAnsi="宋体" w:eastAsia="宋体" w:cs="宋体"/>
                <w:color w:val="auto"/>
                <w:highlight w:val="none"/>
              </w:rPr>
            </w:pPr>
            <w:r>
              <w:rPr>
                <w:rFonts w:hint="eastAsia" w:ascii="宋体" w:hAnsi="宋体" w:eastAsia="宋体" w:cs="宋体"/>
                <w:color w:val="auto"/>
                <w:highlight w:val="none"/>
              </w:rPr>
              <w:t>1、中标价：取供应商的二次报价为中标价。</w:t>
            </w:r>
          </w:p>
          <w:p>
            <w:pPr>
              <w:autoSpaceDE w:val="0"/>
              <w:autoSpaceDN w:val="0"/>
              <w:adjustRightInd w:val="0"/>
              <w:snapToGrid w:val="0"/>
              <w:spacing w:line="360" w:lineRule="auto"/>
              <w:jc w:val="left"/>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、本项目的招标代理服务费由中标单位支付。中标人应当在领取中标通知书的同时向招标代理公司一次性支付代理服务费。</w:t>
            </w:r>
          </w:p>
        </w:tc>
      </w:tr>
    </w:tbl>
    <w:p>
      <w:pPr>
        <w:autoSpaceDE w:val="0"/>
        <w:autoSpaceDN w:val="0"/>
        <w:adjustRightInd w:val="0"/>
        <w:snapToGrid w:val="0"/>
        <w:spacing w:line="360" w:lineRule="auto"/>
        <w:jc w:val="center"/>
        <w:rPr>
          <w:rFonts w:hint="eastAsia" w:ascii="宋体" w:hAnsi="宋体" w:eastAsia="宋体" w:cs="宋体"/>
          <w:b/>
          <w:bCs/>
          <w:color w:val="auto"/>
          <w:highlight w:val="none"/>
        </w:rPr>
      </w:pPr>
      <w:bookmarkStart w:id="57" w:name="_Toc65828792"/>
      <w:bookmarkStart w:id="58" w:name="_Toc65676943"/>
      <w:bookmarkStart w:id="59" w:name="_Toc65828986"/>
    </w:p>
    <w:p>
      <w:pPr>
        <w:autoSpaceDE w:val="0"/>
        <w:autoSpaceDN w:val="0"/>
        <w:adjustRightInd w:val="0"/>
        <w:snapToGrid w:val="0"/>
        <w:spacing w:line="360" w:lineRule="auto"/>
        <w:jc w:val="center"/>
        <w:rPr>
          <w:rFonts w:hint="eastAsia" w:ascii="宋体" w:hAnsi="宋体" w:eastAsia="宋体" w:cs="宋体"/>
          <w:b/>
          <w:bCs/>
          <w:color w:val="auto"/>
          <w:highlight w:val="none"/>
        </w:rPr>
      </w:pPr>
    </w:p>
    <w:p>
      <w:pPr>
        <w:autoSpaceDE w:val="0"/>
        <w:autoSpaceDN w:val="0"/>
        <w:adjustRightInd w:val="0"/>
        <w:snapToGrid w:val="0"/>
        <w:spacing w:line="360" w:lineRule="auto"/>
        <w:jc w:val="center"/>
        <w:rPr>
          <w:rFonts w:hint="eastAsia" w:ascii="宋体" w:hAnsi="宋体" w:eastAsia="宋体" w:cs="宋体"/>
          <w:b/>
          <w:bCs/>
          <w:color w:val="auto"/>
          <w:highlight w:val="none"/>
        </w:rPr>
      </w:pPr>
    </w:p>
    <w:p>
      <w:pPr>
        <w:pStyle w:val="6"/>
        <w:rPr>
          <w:rFonts w:hint="eastAsia" w:ascii="宋体" w:hAnsi="宋体" w:eastAsia="宋体" w:cs="宋体"/>
          <w:b/>
          <w:bCs/>
          <w:color w:val="auto"/>
          <w:highlight w:val="none"/>
        </w:rPr>
      </w:pPr>
    </w:p>
    <w:p>
      <w:pPr>
        <w:rPr>
          <w:rFonts w:hint="eastAsia" w:ascii="宋体" w:hAnsi="宋体" w:eastAsia="宋体" w:cs="宋体"/>
          <w:b/>
          <w:bCs/>
          <w:color w:val="auto"/>
          <w:highlight w:val="none"/>
        </w:rPr>
      </w:pPr>
    </w:p>
    <w:p>
      <w:pPr>
        <w:pStyle w:val="6"/>
        <w:rPr>
          <w:rFonts w:hint="eastAsia" w:ascii="宋体" w:hAnsi="宋体" w:eastAsia="宋体" w:cs="宋体"/>
          <w:b/>
          <w:bCs/>
          <w:color w:val="auto"/>
          <w:highlight w:val="none"/>
        </w:rPr>
      </w:pPr>
    </w:p>
    <w:p>
      <w:pPr>
        <w:rPr>
          <w:rFonts w:hint="eastAsia" w:ascii="宋体" w:hAnsi="宋体" w:eastAsia="宋体" w:cs="宋体"/>
          <w:b/>
          <w:bCs/>
          <w:color w:val="auto"/>
          <w:highlight w:val="none"/>
        </w:rPr>
      </w:pPr>
    </w:p>
    <w:p>
      <w:pPr>
        <w:pStyle w:val="6"/>
        <w:rPr>
          <w:rFonts w:hint="eastAsia" w:ascii="宋体" w:hAnsi="宋体" w:eastAsia="宋体" w:cs="宋体"/>
          <w:b/>
          <w:bCs/>
          <w:color w:val="auto"/>
          <w:highlight w:val="none"/>
        </w:rPr>
      </w:pPr>
    </w:p>
    <w:p>
      <w:pPr>
        <w:rPr>
          <w:rFonts w:hint="eastAsia"/>
        </w:rPr>
      </w:pPr>
    </w:p>
    <w:p>
      <w:pPr>
        <w:rPr>
          <w:rFonts w:hint="eastAsia"/>
        </w:rPr>
      </w:pPr>
    </w:p>
    <w:p>
      <w:pPr>
        <w:autoSpaceDE w:val="0"/>
        <w:autoSpaceDN w:val="0"/>
        <w:adjustRightInd w:val="0"/>
        <w:snapToGrid w:val="0"/>
        <w:spacing w:line="360" w:lineRule="auto"/>
        <w:jc w:val="center"/>
        <w:rPr>
          <w:rFonts w:hint="eastAsia" w:cs="宋体"/>
          <w:b/>
          <w:bCs/>
          <w:color w:val="auto"/>
          <w:sz w:val="21"/>
          <w:szCs w:val="21"/>
          <w:highlight w:val="none"/>
        </w:rPr>
      </w:pPr>
      <w:r>
        <w:rPr>
          <w:rFonts w:hint="eastAsia" w:ascii="宋体" w:hAnsi="宋体" w:eastAsia="宋体" w:cs="宋体"/>
          <w:b/>
          <w:bCs/>
          <w:color w:val="auto"/>
          <w:highlight w:val="none"/>
        </w:rPr>
        <w:t>一、总  则</w:t>
      </w:r>
      <w:bookmarkEnd w:id="57"/>
      <w:bookmarkEnd w:id="58"/>
      <w:bookmarkEnd w:id="59"/>
    </w:p>
    <w:p>
      <w:pPr>
        <w:pStyle w:val="3"/>
        <w:tabs>
          <w:tab w:val="left" w:pos="900"/>
        </w:tabs>
        <w:adjustRightInd w:val="0"/>
        <w:snapToGrid w:val="0"/>
        <w:spacing w:line="360" w:lineRule="auto"/>
        <w:ind w:firstLine="582" w:firstLineChars="200"/>
        <w:jc w:val="left"/>
        <w:rPr>
          <w:rFonts w:hint="eastAsia" w:cs="宋体"/>
          <w:b/>
          <w:color w:val="auto"/>
          <w:sz w:val="21"/>
          <w:szCs w:val="21"/>
          <w:highlight w:val="none"/>
        </w:rPr>
      </w:pPr>
      <w:bookmarkStart w:id="60" w:name="_Toc65828987"/>
      <w:bookmarkStart w:id="61" w:name="_Toc65676944"/>
      <w:bookmarkStart w:id="62" w:name="_Toc65828793"/>
      <w:bookmarkStart w:id="63" w:name="_Toc58005951"/>
      <w:r>
        <w:rPr>
          <w:rFonts w:hint="eastAsia" w:cs="宋体"/>
          <w:b/>
          <w:color w:val="auto"/>
          <w:sz w:val="21"/>
          <w:szCs w:val="21"/>
          <w:highlight w:val="none"/>
        </w:rPr>
        <w:t>1、总说明</w:t>
      </w:r>
      <w:bookmarkEnd w:id="60"/>
      <w:bookmarkEnd w:id="61"/>
      <w:bookmarkEnd w:id="62"/>
      <w:bookmarkEnd w:id="63"/>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1.1项目名称：</w:t>
      </w:r>
      <w:r>
        <w:rPr>
          <w:rFonts w:hint="eastAsia" w:ascii="宋体" w:hAnsi="宋体" w:cs="宋体"/>
          <w:color w:val="auto"/>
          <w:szCs w:val="21"/>
          <w:highlight w:val="none"/>
          <w:lang w:eastAsia="zh-CN"/>
        </w:rPr>
        <w:t>屯昌县国土空间规划中明确造林绿化空间评估项目政府采购</w:t>
      </w:r>
      <w:r>
        <w:rPr>
          <w:rFonts w:hint="eastAsia" w:ascii="宋体" w:hAnsi="宋体" w:eastAsia="宋体" w:cs="宋体"/>
          <w:color w:val="auto"/>
          <w:szCs w:val="21"/>
          <w:highlight w:val="none"/>
        </w:rPr>
        <w:t>。</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1.2项目概况：详见供应商须知前附表第4项。</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1.3质量要求：详见供应商须知前附表第9项。</w:t>
      </w:r>
    </w:p>
    <w:p>
      <w:pPr>
        <w:pStyle w:val="3"/>
        <w:tabs>
          <w:tab w:val="left" w:pos="900"/>
        </w:tabs>
        <w:adjustRightInd w:val="0"/>
        <w:snapToGrid w:val="0"/>
        <w:spacing w:line="360" w:lineRule="auto"/>
        <w:ind w:firstLine="582" w:firstLineChars="200"/>
        <w:jc w:val="left"/>
        <w:rPr>
          <w:rFonts w:hint="eastAsia" w:cs="宋体"/>
          <w:b/>
          <w:color w:val="auto"/>
          <w:sz w:val="21"/>
          <w:szCs w:val="21"/>
          <w:highlight w:val="none"/>
        </w:rPr>
      </w:pPr>
      <w:bookmarkStart w:id="64" w:name="_Toc65676945"/>
      <w:bookmarkStart w:id="65" w:name="_Toc65828794"/>
      <w:bookmarkStart w:id="66" w:name="_Toc58005952"/>
      <w:bookmarkStart w:id="67" w:name="_Toc65828988"/>
      <w:bookmarkStart w:id="68" w:name="_Toc523756272"/>
      <w:r>
        <w:rPr>
          <w:rFonts w:hint="eastAsia" w:cs="宋体"/>
          <w:b/>
          <w:color w:val="auto"/>
          <w:sz w:val="21"/>
          <w:szCs w:val="21"/>
          <w:highlight w:val="none"/>
        </w:rPr>
        <w:t>2、其他说明</w:t>
      </w:r>
      <w:bookmarkEnd w:id="64"/>
      <w:bookmarkEnd w:id="65"/>
      <w:bookmarkEnd w:id="66"/>
      <w:bookmarkEnd w:id="67"/>
      <w:bookmarkEnd w:id="68"/>
    </w:p>
    <w:p>
      <w:pPr>
        <w:autoSpaceDE w:val="0"/>
        <w:autoSpaceDN w:val="0"/>
        <w:adjustRightInd w:val="0"/>
        <w:snapToGrid w:val="0"/>
        <w:spacing w:line="360" w:lineRule="auto"/>
        <w:ind w:firstLine="420" w:firstLineChars="200"/>
        <w:rPr>
          <w:rFonts w:hint="eastAsia" w:ascii="宋体" w:hAnsi="宋体" w:cs="宋体"/>
          <w:bCs/>
          <w:color w:val="auto"/>
          <w:szCs w:val="21"/>
          <w:highlight w:val="none"/>
        </w:rPr>
      </w:pPr>
      <w:r>
        <w:rPr>
          <w:rFonts w:hint="eastAsia" w:ascii="宋体" w:hAnsi="宋体" w:cs="宋体"/>
          <w:bCs/>
          <w:color w:val="auto"/>
          <w:szCs w:val="21"/>
          <w:highlight w:val="none"/>
        </w:rPr>
        <w:t>2.1 费用</w:t>
      </w:r>
    </w:p>
    <w:p>
      <w:pPr>
        <w:autoSpaceDE w:val="0"/>
        <w:autoSpaceDN w:val="0"/>
        <w:adjustRightInd w:val="0"/>
        <w:snapToGrid w:val="0"/>
        <w:spacing w:line="360" w:lineRule="auto"/>
        <w:ind w:firstLine="420" w:firstLineChars="200"/>
        <w:rPr>
          <w:rFonts w:hint="eastAsia" w:ascii="宋体" w:hAnsi="宋体" w:cs="宋体"/>
          <w:bCs/>
          <w:color w:val="auto"/>
          <w:szCs w:val="21"/>
          <w:highlight w:val="none"/>
        </w:rPr>
      </w:pPr>
      <w:r>
        <w:rPr>
          <w:rFonts w:hint="eastAsia" w:ascii="宋体" w:hAnsi="宋体" w:cs="宋体"/>
          <w:bCs/>
          <w:color w:val="auto"/>
          <w:szCs w:val="21"/>
          <w:highlight w:val="none"/>
        </w:rPr>
        <w:t>无论响应过程中的做法和结果如何，供应商自行承担所有与参加响应活动有关的全部费用，采购代理机构和采购人在任何情况下均无义务和责任承担这些费用；。</w:t>
      </w:r>
    </w:p>
    <w:p>
      <w:pPr>
        <w:autoSpaceDE w:val="0"/>
        <w:autoSpaceDN w:val="0"/>
        <w:adjustRightInd w:val="0"/>
        <w:snapToGrid w:val="0"/>
        <w:spacing w:line="360" w:lineRule="auto"/>
        <w:ind w:firstLine="420" w:firstLineChars="200"/>
        <w:rPr>
          <w:rFonts w:hint="eastAsia" w:ascii="宋体" w:hAnsi="宋体" w:cs="宋体"/>
          <w:bCs/>
          <w:color w:val="auto"/>
          <w:szCs w:val="21"/>
          <w:highlight w:val="none"/>
        </w:rPr>
      </w:pPr>
      <w:r>
        <w:rPr>
          <w:rFonts w:hint="eastAsia" w:ascii="宋体" w:hAnsi="宋体" w:cs="宋体"/>
          <w:bCs/>
          <w:color w:val="auto"/>
          <w:szCs w:val="21"/>
          <w:highlight w:val="none"/>
        </w:rPr>
        <w:t>2.2 采购代理服务费</w:t>
      </w:r>
    </w:p>
    <w:p>
      <w:pPr>
        <w:autoSpaceDE w:val="0"/>
        <w:autoSpaceDN w:val="0"/>
        <w:adjustRightInd w:val="0"/>
        <w:snapToGrid w:val="0"/>
        <w:spacing w:line="360" w:lineRule="auto"/>
        <w:ind w:firstLine="420" w:firstLineChars="200"/>
        <w:rPr>
          <w:rFonts w:hint="eastAsia" w:ascii="宋体" w:hAnsi="宋体" w:cs="宋体"/>
          <w:color w:val="auto"/>
          <w:kern w:val="0"/>
          <w:szCs w:val="21"/>
          <w:highlight w:val="none"/>
        </w:rPr>
      </w:pPr>
      <w:r>
        <w:rPr>
          <w:rFonts w:hint="eastAsia" w:ascii="宋体" w:hAnsi="宋体" w:cs="宋体"/>
          <w:bCs/>
          <w:color w:val="auto"/>
          <w:szCs w:val="21"/>
          <w:highlight w:val="none"/>
        </w:rPr>
        <w:t>本项目采购代理服务费根据招标代理合同由成交供应商</w:t>
      </w:r>
      <w:r>
        <w:rPr>
          <w:rFonts w:hint="eastAsia" w:ascii="宋体" w:hAnsi="宋体" w:cs="宋体"/>
          <w:color w:val="auto"/>
          <w:kern w:val="0"/>
          <w:szCs w:val="21"/>
          <w:highlight w:val="none"/>
        </w:rPr>
        <w:t>支付。</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 3本次项目磋商中，所有供应商提交的成果文件在评审后均不退回。</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2.4凡参加本次采购活动的供应商均被视为承认本文件的所有条款，并按本文件规定条款完成响应文件。如供应商所提交的响应文件不符合本竞争性磋商文件规定的内容、深度等方面的相关要求，将被确认为无效文件，被视为无效文件将不提交评审。</w:t>
      </w:r>
    </w:p>
    <w:p>
      <w:pPr>
        <w:autoSpaceDE w:val="0"/>
        <w:autoSpaceDN w:val="0"/>
        <w:adjustRightInd w:val="0"/>
        <w:snapToGrid w:val="0"/>
        <w:spacing w:line="360" w:lineRule="auto"/>
        <w:ind w:firstLine="420" w:firstLineChars="200"/>
        <w:rPr>
          <w:rFonts w:hint="eastAsia" w:ascii="宋体" w:hAnsi="宋体" w:cs="宋体"/>
          <w:bCs/>
          <w:color w:val="auto"/>
          <w:szCs w:val="21"/>
          <w:highlight w:val="none"/>
        </w:rPr>
      </w:pPr>
      <w:r>
        <w:rPr>
          <w:rFonts w:hint="eastAsia" w:ascii="宋体" w:hAnsi="宋体" w:cs="宋体"/>
          <w:bCs/>
          <w:color w:val="auto"/>
          <w:szCs w:val="21"/>
          <w:highlight w:val="none"/>
        </w:rPr>
        <w:t>2.5定义</w:t>
      </w:r>
    </w:p>
    <w:p>
      <w:pPr>
        <w:autoSpaceDE w:val="0"/>
        <w:autoSpaceDN w:val="0"/>
        <w:adjustRightInd w:val="0"/>
        <w:snapToGrid w:val="0"/>
        <w:spacing w:line="360" w:lineRule="auto"/>
        <w:ind w:firstLine="420" w:firstLineChars="200"/>
        <w:rPr>
          <w:rFonts w:hint="eastAsia" w:ascii="宋体" w:hAnsi="宋体" w:cs="宋体"/>
          <w:bCs/>
          <w:color w:val="auto"/>
          <w:szCs w:val="21"/>
          <w:highlight w:val="none"/>
        </w:rPr>
      </w:pPr>
      <w:r>
        <w:rPr>
          <w:rFonts w:hint="eastAsia" w:ascii="宋体" w:hAnsi="宋体" w:cs="宋体"/>
          <w:bCs/>
          <w:color w:val="auto"/>
          <w:szCs w:val="21"/>
          <w:highlight w:val="none"/>
        </w:rPr>
        <w:t>2.5.1 “采购人”指本项目的具体采购单位，名称详见供应商须知前附表第1条；</w:t>
      </w:r>
    </w:p>
    <w:p>
      <w:pPr>
        <w:autoSpaceDE w:val="0"/>
        <w:autoSpaceDN w:val="0"/>
        <w:adjustRightInd w:val="0"/>
        <w:snapToGrid w:val="0"/>
        <w:spacing w:line="360" w:lineRule="auto"/>
        <w:ind w:firstLine="420" w:firstLineChars="200"/>
        <w:rPr>
          <w:rFonts w:hint="eastAsia" w:ascii="宋体" w:hAnsi="宋体" w:cs="宋体"/>
          <w:bCs/>
          <w:color w:val="auto"/>
          <w:szCs w:val="21"/>
          <w:highlight w:val="none"/>
        </w:rPr>
      </w:pPr>
      <w:r>
        <w:rPr>
          <w:rFonts w:hint="eastAsia" w:ascii="宋体" w:hAnsi="宋体" w:cs="宋体"/>
          <w:bCs/>
          <w:color w:val="auto"/>
          <w:szCs w:val="21"/>
          <w:highlight w:val="none"/>
        </w:rPr>
        <w:t>2.5.2 “服务”指本竞争性磋商文件第四章所述供应商应该履行的承诺和义务；</w:t>
      </w:r>
    </w:p>
    <w:p>
      <w:pPr>
        <w:autoSpaceDE w:val="0"/>
        <w:autoSpaceDN w:val="0"/>
        <w:adjustRightInd w:val="0"/>
        <w:snapToGrid w:val="0"/>
        <w:spacing w:line="360" w:lineRule="auto"/>
        <w:ind w:firstLine="420" w:firstLineChars="200"/>
        <w:rPr>
          <w:rFonts w:hint="eastAsia" w:ascii="宋体" w:hAnsi="宋体" w:cs="宋体"/>
          <w:bCs/>
          <w:color w:val="auto"/>
          <w:szCs w:val="21"/>
          <w:highlight w:val="none"/>
        </w:rPr>
      </w:pPr>
      <w:r>
        <w:rPr>
          <w:rFonts w:hint="eastAsia" w:ascii="宋体" w:hAnsi="宋体" w:cs="宋体"/>
          <w:bCs/>
          <w:color w:val="auto"/>
          <w:szCs w:val="21"/>
          <w:highlight w:val="none"/>
        </w:rPr>
        <w:t>2.5.3 “潜在供应商”指符合本竞争性磋商文件各项规定的合格供应商；</w:t>
      </w:r>
    </w:p>
    <w:p>
      <w:pPr>
        <w:autoSpaceDE w:val="0"/>
        <w:autoSpaceDN w:val="0"/>
        <w:adjustRightInd w:val="0"/>
        <w:snapToGrid w:val="0"/>
        <w:spacing w:line="360" w:lineRule="auto"/>
        <w:ind w:firstLine="420" w:firstLineChars="200"/>
        <w:rPr>
          <w:rFonts w:hint="eastAsia" w:ascii="宋体" w:hAnsi="宋体" w:cs="宋体"/>
          <w:bCs/>
          <w:color w:val="auto"/>
          <w:szCs w:val="21"/>
          <w:highlight w:val="none"/>
        </w:rPr>
      </w:pPr>
      <w:r>
        <w:rPr>
          <w:rFonts w:hint="eastAsia" w:ascii="宋体" w:hAnsi="宋体" w:cs="宋体"/>
          <w:bCs/>
          <w:color w:val="auto"/>
          <w:szCs w:val="21"/>
          <w:highlight w:val="none"/>
        </w:rPr>
        <w:t>2.5.4 “供应商”指符合本竞争性磋商文件规定并参加响应的供应商；</w:t>
      </w:r>
    </w:p>
    <w:p>
      <w:pPr>
        <w:autoSpaceDE w:val="0"/>
        <w:autoSpaceDN w:val="0"/>
        <w:adjustRightInd w:val="0"/>
        <w:snapToGrid w:val="0"/>
        <w:spacing w:line="360" w:lineRule="auto"/>
        <w:ind w:firstLine="420" w:firstLineChars="200"/>
        <w:rPr>
          <w:rFonts w:hint="eastAsia" w:ascii="宋体" w:hAnsi="宋体" w:cs="宋体"/>
          <w:bCs/>
          <w:color w:val="auto"/>
          <w:szCs w:val="21"/>
          <w:highlight w:val="none"/>
        </w:rPr>
      </w:pPr>
      <w:r>
        <w:rPr>
          <w:rFonts w:hint="eastAsia" w:ascii="宋体" w:hAnsi="宋体" w:cs="宋体"/>
          <w:bCs/>
          <w:color w:val="auto"/>
          <w:szCs w:val="21"/>
          <w:highlight w:val="none"/>
        </w:rPr>
        <w:t>2.5.5 本竞争性磋商文件规定按日计算期间的，开始当天不计入，从次日开始计算。期限的最后一日是国家法定节假日的，顺延到节假日后的次日为期限的最后一日。</w:t>
      </w:r>
    </w:p>
    <w:p>
      <w:pPr>
        <w:autoSpaceDE w:val="0"/>
        <w:autoSpaceDN w:val="0"/>
        <w:adjustRightInd w:val="0"/>
        <w:snapToGrid w:val="0"/>
        <w:spacing w:line="360" w:lineRule="auto"/>
        <w:ind w:firstLine="420" w:firstLineChars="200"/>
        <w:rPr>
          <w:rFonts w:hint="eastAsia" w:ascii="宋体" w:hAnsi="宋体" w:cs="宋体"/>
          <w:bCs/>
          <w:color w:val="auto"/>
          <w:szCs w:val="21"/>
          <w:highlight w:val="none"/>
        </w:rPr>
      </w:pPr>
      <w:r>
        <w:rPr>
          <w:rFonts w:hint="eastAsia" w:ascii="宋体" w:hAnsi="宋体" w:cs="宋体"/>
          <w:bCs/>
          <w:color w:val="auto"/>
          <w:szCs w:val="21"/>
          <w:highlight w:val="none"/>
        </w:rPr>
        <w:t>2.5.6供应商若存在任何理解上无法确定之处，均应当按照竞争性磋商文件所规定的澄清等程序提出，否则，可能导致的任何不利后果均应当由供应商自行承担。</w:t>
      </w:r>
    </w:p>
    <w:p>
      <w:pPr>
        <w:autoSpaceDE w:val="0"/>
        <w:autoSpaceDN w:val="0"/>
        <w:adjustRightInd w:val="0"/>
        <w:snapToGrid w:val="0"/>
        <w:spacing w:line="360" w:lineRule="auto"/>
        <w:ind w:firstLine="420" w:firstLineChars="200"/>
        <w:rPr>
          <w:rFonts w:hint="eastAsia" w:ascii="宋体" w:hAnsi="宋体" w:cs="宋体"/>
          <w:bCs/>
          <w:color w:val="auto"/>
          <w:szCs w:val="21"/>
          <w:highlight w:val="none"/>
        </w:rPr>
      </w:pPr>
      <w:r>
        <w:rPr>
          <w:rFonts w:hint="eastAsia" w:ascii="宋体" w:hAnsi="宋体" w:cs="宋体"/>
          <w:bCs/>
          <w:color w:val="auto"/>
          <w:szCs w:val="21"/>
          <w:highlight w:val="none"/>
        </w:rPr>
        <w:t>2.6 关系供应商限制</w:t>
      </w:r>
    </w:p>
    <w:p>
      <w:pPr>
        <w:autoSpaceDE w:val="0"/>
        <w:autoSpaceDN w:val="0"/>
        <w:adjustRightInd w:val="0"/>
        <w:snapToGrid w:val="0"/>
        <w:spacing w:line="360" w:lineRule="auto"/>
        <w:ind w:firstLine="420" w:firstLineChars="200"/>
        <w:rPr>
          <w:rFonts w:hint="eastAsia" w:ascii="宋体" w:hAnsi="宋体" w:cs="宋体"/>
          <w:bCs/>
          <w:color w:val="auto"/>
          <w:szCs w:val="21"/>
          <w:highlight w:val="none"/>
        </w:rPr>
      </w:pPr>
      <w:r>
        <w:rPr>
          <w:rFonts w:hint="eastAsia" w:ascii="宋体" w:hAnsi="宋体" w:cs="宋体"/>
          <w:bCs/>
          <w:color w:val="auto"/>
          <w:szCs w:val="21"/>
          <w:highlight w:val="none"/>
        </w:rPr>
        <w:t>2.6.1 利害关系供应商处理。单位负责人为同一人或者存在直接控股、管理关系的不同供应商不得参加同一合同项下的政府采购活动，否则，其响应文件作为无效处理。</w:t>
      </w:r>
    </w:p>
    <w:p>
      <w:pPr>
        <w:autoSpaceDE w:val="0"/>
        <w:autoSpaceDN w:val="0"/>
        <w:adjustRightInd w:val="0"/>
        <w:snapToGrid w:val="0"/>
        <w:spacing w:line="360" w:lineRule="auto"/>
        <w:ind w:firstLine="420" w:firstLineChars="200"/>
        <w:rPr>
          <w:rFonts w:hint="eastAsia" w:ascii="宋体" w:hAnsi="宋体" w:cs="宋体"/>
          <w:bCs/>
          <w:color w:val="auto"/>
          <w:szCs w:val="21"/>
          <w:highlight w:val="none"/>
        </w:rPr>
      </w:pPr>
      <w:r>
        <w:rPr>
          <w:rFonts w:hint="eastAsia" w:ascii="宋体" w:hAnsi="宋体" w:cs="宋体"/>
          <w:bCs/>
          <w:color w:val="auto"/>
          <w:szCs w:val="21"/>
          <w:highlight w:val="none"/>
        </w:rPr>
        <w:t>2.6.2 前期参与供应商处理。为采购项目提供整体方案、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pPr>
        <w:autoSpaceDE w:val="0"/>
        <w:autoSpaceDN w:val="0"/>
        <w:adjustRightInd w:val="0"/>
        <w:snapToGrid w:val="0"/>
        <w:spacing w:line="360" w:lineRule="auto"/>
        <w:ind w:firstLine="420" w:firstLineChars="200"/>
        <w:rPr>
          <w:rFonts w:hint="eastAsia" w:ascii="宋体" w:hAnsi="宋体" w:cs="宋体"/>
          <w:bCs/>
          <w:color w:val="auto"/>
          <w:szCs w:val="21"/>
          <w:highlight w:val="none"/>
        </w:rPr>
      </w:pPr>
      <w:r>
        <w:rPr>
          <w:rFonts w:hint="eastAsia" w:ascii="宋体" w:hAnsi="宋体" w:cs="宋体"/>
          <w:bCs/>
          <w:color w:val="auto"/>
          <w:szCs w:val="21"/>
          <w:highlight w:val="none"/>
        </w:rPr>
        <w:t>2.6.3 利害关系代理人处理。2家以上的供应商不得在同一合同项下的采购项目中，同时委托同一个自然人、同一家庭的人员、同一单位的人员作为其代理人，否则，其响应文件作为无效处理。</w:t>
      </w:r>
    </w:p>
    <w:p>
      <w:pPr>
        <w:pStyle w:val="3"/>
        <w:tabs>
          <w:tab w:val="left" w:pos="900"/>
        </w:tabs>
        <w:adjustRightInd w:val="0"/>
        <w:snapToGrid w:val="0"/>
        <w:spacing w:line="360" w:lineRule="auto"/>
        <w:ind w:firstLine="582" w:firstLineChars="200"/>
        <w:jc w:val="center"/>
        <w:rPr>
          <w:rFonts w:hint="eastAsia" w:cs="宋体"/>
          <w:b/>
          <w:color w:val="auto"/>
          <w:sz w:val="21"/>
          <w:szCs w:val="21"/>
          <w:highlight w:val="none"/>
        </w:rPr>
      </w:pPr>
      <w:bookmarkStart w:id="69" w:name="_Toc65828795"/>
      <w:bookmarkStart w:id="70" w:name="_Toc65676946"/>
      <w:bookmarkStart w:id="71" w:name="_Toc523756273"/>
      <w:bookmarkStart w:id="72" w:name="_Toc65828989"/>
      <w:r>
        <w:rPr>
          <w:rFonts w:hint="eastAsia" w:cs="宋体"/>
          <w:b/>
          <w:color w:val="auto"/>
          <w:sz w:val="21"/>
          <w:szCs w:val="21"/>
          <w:highlight w:val="none"/>
        </w:rPr>
        <w:t>二、竞争性磋商文件</w:t>
      </w:r>
      <w:bookmarkEnd w:id="69"/>
      <w:bookmarkEnd w:id="70"/>
      <w:bookmarkEnd w:id="71"/>
      <w:bookmarkEnd w:id="72"/>
    </w:p>
    <w:p>
      <w:pPr>
        <w:pStyle w:val="3"/>
        <w:tabs>
          <w:tab w:val="left" w:pos="900"/>
        </w:tabs>
        <w:adjustRightInd w:val="0"/>
        <w:snapToGrid w:val="0"/>
        <w:spacing w:line="360" w:lineRule="auto"/>
        <w:ind w:firstLine="582" w:firstLineChars="200"/>
        <w:jc w:val="left"/>
        <w:rPr>
          <w:rFonts w:hint="eastAsia" w:cs="宋体"/>
          <w:b/>
          <w:color w:val="auto"/>
          <w:sz w:val="21"/>
          <w:szCs w:val="21"/>
          <w:highlight w:val="none"/>
        </w:rPr>
      </w:pPr>
      <w:bookmarkStart w:id="73" w:name="_Toc65828990"/>
      <w:bookmarkStart w:id="74" w:name="_Toc65828796"/>
      <w:bookmarkStart w:id="75" w:name="_Toc58005954"/>
      <w:bookmarkStart w:id="76" w:name="_Toc65676947"/>
      <w:bookmarkStart w:id="77" w:name="_Toc523756274"/>
      <w:r>
        <w:rPr>
          <w:rFonts w:hint="eastAsia" w:cs="宋体"/>
          <w:b/>
          <w:color w:val="auto"/>
          <w:sz w:val="21"/>
          <w:szCs w:val="21"/>
          <w:highlight w:val="none"/>
        </w:rPr>
        <w:t>3、竞争性磋商文件的组成</w:t>
      </w:r>
      <w:bookmarkEnd w:id="73"/>
      <w:bookmarkEnd w:id="74"/>
      <w:bookmarkEnd w:id="75"/>
      <w:bookmarkEnd w:id="76"/>
      <w:bookmarkEnd w:id="77"/>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3.1竞争性磋商文件除以下内容外，采购人在招标期间发出的答疑纪要和其他补充修改函件，均是竞争性磋商文件的组成部分，对供应商起约束作用；</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竞争性磋商文件包括下列内容：</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第一章、竞争性磋商邀请函</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第二章、供应商须知</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第三章、用户需求</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第四章、合同条款</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第五章、评标标准及办法</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第六章、响应文件格式</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3.2供应商按规定的时间购取竞争性磋商文件后，应仔细检查竞争性磋商文件的所有内容，如有残缺应在领到竞争性磋商文件后2日内向采购人提出，否则，由此引起的投标损失自负；供应商同时应认真审阅竞争性磋商文件中所有的事项、格式、条款和规范要求等，如果供应商的响应文件没有按照竞争性磋商文件要求提交全部资料或者响应文件没有对竞争性磋商文件做出实质性响应，其投标将被拒绝。</w:t>
      </w:r>
    </w:p>
    <w:p>
      <w:pPr>
        <w:pStyle w:val="3"/>
        <w:tabs>
          <w:tab w:val="left" w:pos="900"/>
        </w:tabs>
        <w:adjustRightInd w:val="0"/>
        <w:snapToGrid w:val="0"/>
        <w:spacing w:line="360" w:lineRule="auto"/>
        <w:ind w:firstLine="582" w:firstLineChars="200"/>
        <w:jc w:val="left"/>
        <w:rPr>
          <w:rFonts w:hint="eastAsia" w:cs="宋体"/>
          <w:b/>
          <w:color w:val="auto"/>
          <w:sz w:val="21"/>
          <w:szCs w:val="21"/>
          <w:highlight w:val="none"/>
        </w:rPr>
      </w:pPr>
      <w:bookmarkStart w:id="78" w:name="_Toc65828797"/>
      <w:bookmarkStart w:id="79" w:name="_Toc523756275"/>
      <w:bookmarkStart w:id="80" w:name="_Toc58005955"/>
      <w:bookmarkStart w:id="81" w:name="_Toc65828991"/>
      <w:bookmarkStart w:id="82" w:name="_Toc65676948"/>
      <w:r>
        <w:rPr>
          <w:rFonts w:hint="eastAsia" w:cs="宋体"/>
          <w:b/>
          <w:color w:val="auto"/>
          <w:sz w:val="21"/>
          <w:szCs w:val="21"/>
          <w:highlight w:val="none"/>
        </w:rPr>
        <w:t>4、竞争性磋商文件的澄清</w:t>
      </w:r>
      <w:bookmarkEnd w:id="78"/>
      <w:bookmarkEnd w:id="79"/>
      <w:bookmarkEnd w:id="80"/>
      <w:bookmarkEnd w:id="81"/>
      <w:bookmarkEnd w:id="82"/>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4.1供应商应仔细阅读和检查竞争性磋商文件的全部内容。如发现缺页或附件不全，应及时向采购人提出，以便补齐。如有疑问，应在供应商须知前附表规定的时间前以书面形式（包括信函、电报、传真等可以有形地表现所载内容的形式，下同），要求采购人对竞争性磋商文件予以澄清。</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4.2 竞争性磋商文件的澄清将在供应商须知前附表规定的投标截止时间3天前以书面形式发给所有购买竞争性磋商文件的供应商，但不指明澄清问题的来源。如果澄清发出的时间距投标截止时间不足3天，相应延长投标截止时间。</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4.3 供应商在收到澄清后，应在供应商须知前附表规定的时间内以书面形式通知采购人，确认已收到该澄清。</w:t>
      </w:r>
    </w:p>
    <w:p>
      <w:pPr>
        <w:pStyle w:val="3"/>
        <w:tabs>
          <w:tab w:val="left" w:pos="900"/>
        </w:tabs>
        <w:adjustRightInd w:val="0"/>
        <w:snapToGrid w:val="0"/>
        <w:spacing w:line="360" w:lineRule="auto"/>
        <w:ind w:firstLine="582" w:firstLineChars="200"/>
        <w:jc w:val="left"/>
        <w:rPr>
          <w:rFonts w:hint="eastAsia" w:cs="宋体"/>
          <w:b/>
          <w:color w:val="auto"/>
          <w:sz w:val="21"/>
          <w:szCs w:val="21"/>
          <w:highlight w:val="none"/>
        </w:rPr>
      </w:pPr>
      <w:bookmarkStart w:id="83" w:name="_Toc65828798"/>
      <w:bookmarkStart w:id="84" w:name="_Toc523756276"/>
      <w:bookmarkStart w:id="85" w:name="_Toc65676949"/>
      <w:bookmarkStart w:id="86" w:name="_Toc65828992"/>
      <w:bookmarkStart w:id="87" w:name="_Toc58005956"/>
      <w:r>
        <w:rPr>
          <w:rFonts w:hint="eastAsia" w:cs="宋体"/>
          <w:b/>
          <w:color w:val="auto"/>
          <w:sz w:val="21"/>
          <w:szCs w:val="21"/>
          <w:highlight w:val="none"/>
        </w:rPr>
        <w:t>5、竞争性磋商文件的修改</w:t>
      </w:r>
      <w:bookmarkEnd w:id="83"/>
      <w:bookmarkEnd w:id="84"/>
      <w:bookmarkEnd w:id="85"/>
      <w:bookmarkEnd w:id="86"/>
      <w:bookmarkEnd w:id="87"/>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5.1在投标截止时间3天前，采购人可以书面形式修改竞争性磋商文件，并通知所有已购买竞争性磋商文件的供应商。如果修改竞争性磋商文件的时间距投标截止时间不足3天，相应延长投标截止时间。</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5.2竞争性磋商文件修改内容作为竞争性磋商文件的组成部分；</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5.3当竞争性磋商文件、修改补充通知、澄清(答疑)纪要内容相互矛盾时，以最后发出的通知(或纪要)或修改文件为准；</w:t>
      </w:r>
    </w:p>
    <w:p>
      <w:pPr>
        <w:pStyle w:val="3"/>
        <w:tabs>
          <w:tab w:val="left" w:pos="900"/>
        </w:tabs>
        <w:adjustRightInd w:val="0"/>
        <w:snapToGrid w:val="0"/>
        <w:spacing w:line="360" w:lineRule="auto"/>
        <w:ind w:firstLine="582" w:firstLineChars="200"/>
        <w:jc w:val="center"/>
        <w:rPr>
          <w:rFonts w:hint="eastAsia" w:cs="宋体"/>
          <w:b/>
          <w:color w:val="auto"/>
          <w:sz w:val="21"/>
          <w:szCs w:val="21"/>
          <w:highlight w:val="none"/>
        </w:rPr>
      </w:pPr>
      <w:bookmarkStart w:id="88" w:name="_Toc523756277"/>
      <w:bookmarkStart w:id="89" w:name="_Toc65676950"/>
      <w:bookmarkStart w:id="90" w:name="_Toc65828799"/>
      <w:bookmarkStart w:id="91" w:name="_Toc65828993"/>
      <w:r>
        <w:rPr>
          <w:rFonts w:hint="eastAsia" w:cs="宋体"/>
          <w:b/>
          <w:color w:val="auto"/>
          <w:sz w:val="21"/>
          <w:szCs w:val="21"/>
          <w:highlight w:val="none"/>
        </w:rPr>
        <w:t>三、</w:t>
      </w:r>
      <w:bookmarkEnd w:id="88"/>
      <w:r>
        <w:rPr>
          <w:rFonts w:hint="eastAsia" w:cs="宋体"/>
          <w:b/>
          <w:color w:val="auto"/>
          <w:sz w:val="21"/>
          <w:szCs w:val="21"/>
          <w:highlight w:val="none"/>
        </w:rPr>
        <w:t>响应文件</w:t>
      </w:r>
      <w:bookmarkEnd w:id="89"/>
      <w:bookmarkEnd w:id="90"/>
      <w:bookmarkEnd w:id="91"/>
    </w:p>
    <w:p>
      <w:pPr>
        <w:pStyle w:val="3"/>
        <w:tabs>
          <w:tab w:val="left" w:pos="900"/>
        </w:tabs>
        <w:adjustRightInd w:val="0"/>
        <w:snapToGrid w:val="0"/>
        <w:spacing w:line="360" w:lineRule="auto"/>
        <w:ind w:firstLine="582" w:firstLineChars="200"/>
        <w:jc w:val="left"/>
        <w:rPr>
          <w:rFonts w:hint="eastAsia" w:cs="宋体"/>
          <w:b/>
          <w:color w:val="auto"/>
          <w:sz w:val="21"/>
          <w:szCs w:val="21"/>
          <w:highlight w:val="none"/>
        </w:rPr>
      </w:pPr>
      <w:bookmarkStart w:id="92" w:name="_Toc523756278"/>
      <w:bookmarkStart w:id="93" w:name="_Toc65828994"/>
      <w:bookmarkStart w:id="94" w:name="_Toc65676951"/>
      <w:bookmarkStart w:id="95" w:name="_Toc65828800"/>
      <w:bookmarkStart w:id="96" w:name="_Toc58005958"/>
      <w:r>
        <w:rPr>
          <w:rFonts w:hint="eastAsia" w:cs="宋体"/>
          <w:b/>
          <w:color w:val="auto"/>
          <w:sz w:val="21"/>
          <w:szCs w:val="21"/>
          <w:highlight w:val="none"/>
        </w:rPr>
        <w:t>6、响应文件的语言及度量衡单位</w:t>
      </w:r>
      <w:bookmarkEnd w:id="92"/>
      <w:bookmarkEnd w:id="93"/>
      <w:bookmarkEnd w:id="94"/>
      <w:bookmarkEnd w:id="95"/>
      <w:bookmarkEnd w:id="96"/>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6.1供应商与采购人之间与投标有关的所有往来通知、函件和响应文件均使用中文。供应商随响应文件提供的证明文件和资料可以为其它语言，但必须附有权威翻译机构核准的中文译文。解释响应文件，以中文为准；</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6.2除技术规范另有规定外，响应文件使用的度量衡单位，均采用中华人民共和国法定计量单位。</w:t>
      </w:r>
    </w:p>
    <w:p>
      <w:pPr>
        <w:pStyle w:val="3"/>
        <w:tabs>
          <w:tab w:val="left" w:pos="900"/>
        </w:tabs>
        <w:adjustRightInd w:val="0"/>
        <w:snapToGrid w:val="0"/>
        <w:spacing w:line="360" w:lineRule="auto"/>
        <w:ind w:firstLine="582" w:firstLineChars="200"/>
        <w:jc w:val="left"/>
        <w:rPr>
          <w:rFonts w:hint="eastAsia" w:cs="宋体"/>
          <w:b/>
          <w:color w:val="auto"/>
          <w:sz w:val="21"/>
          <w:szCs w:val="21"/>
          <w:highlight w:val="none"/>
        </w:rPr>
      </w:pPr>
      <w:bookmarkStart w:id="97" w:name="_Toc65828801"/>
      <w:bookmarkStart w:id="98" w:name="_Toc65828995"/>
      <w:bookmarkStart w:id="99" w:name="_Toc523756279"/>
      <w:bookmarkStart w:id="100" w:name="_Toc58005959"/>
      <w:bookmarkStart w:id="101" w:name="_Toc65676952"/>
      <w:r>
        <w:rPr>
          <w:rFonts w:hint="eastAsia" w:cs="宋体"/>
          <w:b/>
          <w:color w:val="auto"/>
          <w:sz w:val="21"/>
          <w:szCs w:val="21"/>
          <w:highlight w:val="none"/>
        </w:rPr>
        <w:t>7、响应文件的组成</w:t>
      </w:r>
      <w:bookmarkEnd w:id="97"/>
      <w:bookmarkEnd w:id="98"/>
      <w:bookmarkEnd w:id="99"/>
      <w:bookmarkEnd w:id="100"/>
      <w:bookmarkEnd w:id="101"/>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具体以第六章响应文件格式为准。</w:t>
      </w:r>
    </w:p>
    <w:p>
      <w:pPr>
        <w:adjustRightInd w:val="0"/>
        <w:snapToGrid w:val="0"/>
        <w:spacing w:line="360" w:lineRule="auto"/>
        <w:ind w:firstLine="422" w:firstLineChars="200"/>
        <w:rPr>
          <w:rFonts w:hint="eastAsia" w:ascii="宋体" w:hAnsi="宋体" w:cs="宋体"/>
          <w:b/>
          <w:bCs/>
          <w:color w:val="auto"/>
          <w:szCs w:val="21"/>
          <w:highlight w:val="none"/>
        </w:rPr>
      </w:pPr>
      <w:r>
        <w:rPr>
          <w:rFonts w:hint="eastAsia" w:ascii="宋体" w:hAnsi="宋体" w:cs="宋体"/>
          <w:b/>
          <w:bCs/>
          <w:color w:val="auto"/>
          <w:szCs w:val="21"/>
          <w:highlight w:val="none"/>
        </w:rPr>
        <w:t>关于知识产权的补充说明：</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供应商应保证在本项目使用的任何产品和服务（包括部分使用）时，不会产生因第三方提出侵犯其专利权、商标权或其它知识产权而引起的法律和经济纠纷，如因专利权、商标权或其它知识产权而引起法律和经济纠纷，由供应商承担所有相关责任。</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 xml:space="preserve"> 采购人享有本项目实施过程中产生的知识成果及知识产权。</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 xml:space="preserve"> 供应商如欲在项目实施过程中采用自有知识成果，需在响应文件中声明，并提供相关知识产权证明文件。使用该知识成果后，供应商需提供开发接口和开发手册等技术文档，并承诺提供无限期技术支持，采购人享有永久使用权。</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 xml:space="preserve">如采用供应商所不拥有的知识产权，则在响应报价中必须包括合法获取该知识产权的相关费用。 </w:t>
      </w:r>
    </w:p>
    <w:p>
      <w:pPr>
        <w:pStyle w:val="3"/>
        <w:tabs>
          <w:tab w:val="left" w:pos="900"/>
        </w:tabs>
        <w:adjustRightInd w:val="0"/>
        <w:snapToGrid w:val="0"/>
        <w:spacing w:line="360" w:lineRule="auto"/>
        <w:ind w:firstLine="582" w:firstLineChars="200"/>
        <w:jc w:val="left"/>
        <w:rPr>
          <w:rFonts w:hint="eastAsia" w:cs="宋体"/>
          <w:b/>
          <w:color w:val="auto"/>
          <w:sz w:val="21"/>
          <w:szCs w:val="21"/>
          <w:highlight w:val="none"/>
        </w:rPr>
      </w:pPr>
      <w:bookmarkStart w:id="102" w:name="_Toc523756280"/>
      <w:bookmarkStart w:id="103" w:name="_Toc58005960"/>
      <w:bookmarkStart w:id="104" w:name="_Toc65676953"/>
      <w:bookmarkStart w:id="105" w:name="_Toc65828996"/>
      <w:bookmarkStart w:id="106" w:name="_Toc65828802"/>
      <w:r>
        <w:rPr>
          <w:rFonts w:hint="eastAsia" w:cs="宋体"/>
          <w:b/>
          <w:color w:val="auto"/>
          <w:sz w:val="21"/>
          <w:szCs w:val="21"/>
          <w:highlight w:val="none"/>
        </w:rPr>
        <w:t>8、</w:t>
      </w:r>
      <w:bookmarkEnd w:id="102"/>
      <w:r>
        <w:rPr>
          <w:rFonts w:hint="eastAsia" w:cs="宋体"/>
          <w:b/>
          <w:color w:val="auto"/>
          <w:sz w:val="21"/>
          <w:szCs w:val="21"/>
          <w:highlight w:val="none"/>
        </w:rPr>
        <w:t>响应报价</w:t>
      </w:r>
      <w:bookmarkEnd w:id="103"/>
      <w:bookmarkEnd w:id="104"/>
      <w:bookmarkEnd w:id="105"/>
      <w:bookmarkEnd w:id="106"/>
    </w:p>
    <w:p>
      <w:pPr>
        <w:adjustRightInd w:val="0"/>
        <w:snapToGrid w:val="0"/>
        <w:spacing w:line="360" w:lineRule="auto"/>
        <w:ind w:firstLine="420" w:firstLineChars="200"/>
        <w:rPr>
          <w:rFonts w:hint="eastAsia" w:ascii="宋体" w:hAnsi="宋体" w:cs="宋体"/>
          <w:color w:val="auto"/>
          <w:szCs w:val="21"/>
          <w:highlight w:val="none"/>
        </w:rPr>
      </w:pPr>
      <w:bookmarkStart w:id="107" w:name="_Toc523756281"/>
      <w:r>
        <w:rPr>
          <w:rFonts w:hint="eastAsia" w:ascii="宋体" w:hAnsi="宋体" w:cs="宋体"/>
          <w:color w:val="auto"/>
          <w:szCs w:val="21"/>
          <w:highlight w:val="none"/>
        </w:rPr>
        <w:t>8.11 响应报价要求</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8.1.1所有响应报价均以人民币元为计算单位。只要投报了一个确定数额的总价，无论分项价格是否全部填报了相应的金额或免费字样，报价应被视为已经包含了但并不限于各项购买服务及相关服务等的费用和所需缴纳的所有价格、税、费。在其他情况下，由于分项报价填报不完整、不清楚或存在其他任何失误，所导致的任何不利后果均应当由供应商自行承担。</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8.1.2供应商应按第六章分项报价明细表的内容填写服务内容、总价及其他事项。开标一览表中价格填报处不应有空白，如无费用可填报“/”。</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8.1.3供应商对响应报价若有说明应在开标一览表显著处注明，</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8.1.4响应的报价优惠应对应开标一览表提供相应的明细清单。除报价优惠外，任何超出竞争性磋商文件要求而额外赠送的货物、免费培训等其他形式的优惠，在评标时将不具有竞争优势。</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8.1.5对于有分项及特殊需求的服务内容，应由供应商自行提供相关格式。供应商按照上述要求分类报价，其目的是便于评标，但在任何情况下并不限制代理机构或采购人以其他条款签订合同的权利。</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8.2最低报价不能作为成交的保证。</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8.3 响应文件报价出现前后不一致的，按照下列规定修正：</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 xml:space="preserve">（1）响应文件中开标一览表内容与响应文件中相应内容不一致的，以开标一览表为准； </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（2）大写金额和小写金额不一致的，以大写金额为准；</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（3）单价金额小数点或者百分比有明显错位的，以开标一览表的总价为准，并修改单价；</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（4）总价金额与按单价汇总金额不一致的，以单价金额计算结果为准。</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同时出现两种以上不一致的，按照前款规定的顺序修正。修正后的报价按照23.9条的规定经供应商确认后产生约束力，供应商不确认的，其响应无效。</w:t>
      </w:r>
    </w:p>
    <w:p>
      <w:pPr>
        <w:pStyle w:val="3"/>
        <w:tabs>
          <w:tab w:val="left" w:pos="900"/>
        </w:tabs>
        <w:adjustRightInd w:val="0"/>
        <w:snapToGrid w:val="0"/>
        <w:spacing w:line="360" w:lineRule="auto"/>
        <w:ind w:firstLine="582" w:firstLineChars="200"/>
        <w:jc w:val="left"/>
        <w:rPr>
          <w:rFonts w:hint="eastAsia" w:cs="宋体"/>
          <w:b/>
          <w:color w:val="auto"/>
          <w:sz w:val="21"/>
          <w:szCs w:val="21"/>
          <w:highlight w:val="none"/>
        </w:rPr>
      </w:pPr>
      <w:bookmarkStart w:id="108" w:name="_Toc65676954"/>
      <w:bookmarkStart w:id="109" w:name="_Toc65828803"/>
      <w:bookmarkStart w:id="110" w:name="_Toc58005961"/>
      <w:bookmarkStart w:id="111" w:name="_Toc65828997"/>
      <w:r>
        <w:rPr>
          <w:rFonts w:hint="eastAsia" w:cs="宋体"/>
          <w:b/>
          <w:color w:val="auto"/>
          <w:sz w:val="21"/>
          <w:szCs w:val="21"/>
          <w:highlight w:val="none"/>
        </w:rPr>
        <w:t>9、投标货币</w:t>
      </w:r>
      <w:bookmarkEnd w:id="107"/>
      <w:bookmarkEnd w:id="108"/>
      <w:bookmarkEnd w:id="109"/>
      <w:bookmarkEnd w:id="110"/>
      <w:bookmarkEnd w:id="111"/>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本项目统一使用人民币报价。</w:t>
      </w:r>
    </w:p>
    <w:p>
      <w:pPr>
        <w:pStyle w:val="3"/>
        <w:tabs>
          <w:tab w:val="left" w:pos="900"/>
        </w:tabs>
        <w:adjustRightInd w:val="0"/>
        <w:snapToGrid w:val="0"/>
        <w:spacing w:line="360" w:lineRule="auto"/>
        <w:ind w:firstLine="582" w:firstLineChars="200"/>
        <w:jc w:val="left"/>
        <w:rPr>
          <w:rFonts w:hint="eastAsia" w:cs="宋体"/>
          <w:b/>
          <w:color w:val="auto"/>
          <w:sz w:val="21"/>
          <w:szCs w:val="21"/>
          <w:highlight w:val="none"/>
        </w:rPr>
      </w:pPr>
      <w:bookmarkStart w:id="112" w:name="_Toc523756282"/>
      <w:bookmarkStart w:id="113" w:name="_Toc65676955"/>
      <w:bookmarkStart w:id="114" w:name="_Toc65828998"/>
      <w:bookmarkStart w:id="115" w:name="_Toc58005962"/>
      <w:bookmarkStart w:id="116" w:name="_Toc65828804"/>
      <w:r>
        <w:rPr>
          <w:rFonts w:hint="eastAsia" w:cs="宋体"/>
          <w:b/>
          <w:color w:val="auto"/>
          <w:sz w:val="21"/>
          <w:szCs w:val="21"/>
          <w:highlight w:val="none"/>
        </w:rPr>
        <w:t>10、</w:t>
      </w:r>
      <w:bookmarkEnd w:id="112"/>
      <w:r>
        <w:rPr>
          <w:rFonts w:hint="eastAsia" w:cs="宋体"/>
          <w:b/>
          <w:color w:val="auto"/>
          <w:sz w:val="21"/>
          <w:szCs w:val="21"/>
          <w:highlight w:val="none"/>
        </w:rPr>
        <w:t>磋商有效期</w:t>
      </w:r>
      <w:bookmarkEnd w:id="113"/>
      <w:bookmarkEnd w:id="114"/>
      <w:bookmarkEnd w:id="115"/>
      <w:bookmarkEnd w:id="116"/>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10.1磋商有效期为</w:t>
      </w:r>
      <w:r>
        <w:rPr>
          <w:rFonts w:hint="eastAsia" w:ascii="宋体" w:hAnsi="宋体" w:cs="宋体"/>
          <w:color w:val="auto"/>
          <w:szCs w:val="21"/>
          <w:highlight w:val="none"/>
          <w:lang w:val="en-US" w:eastAsia="zh-CN"/>
        </w:rPr>
        <w:t>6</w:t>
      </w:r>
      <w:r>
        <w:rPr>
          <w:rFonts w:hint="eastAsia" w:ascii="宋体" w:hAnsi="宋体" w:cs="宋体"/>
          <w:color w:val="auto"/>
          <w:szCs w:val="21"/>
          <w:highlight w:val="none"/>
        </w:rPr>
        <w:t>0日历天（从投标截止之日算起），在此期限内所有响应文件均保持有效；</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10.2在原定磋商有效期满之前如遇特殊情况，采购人以书面形式向供应商提出延长磋商有效期的要求，对此要求供应商须以书面形式予以答复，供应商可以拒绝采购人这种要求，而不被没收磋商保证金；同意延长磋商有效期的供应商，既不能要求也不允许修改其响应文件，但需要相应的延长投标担保的有效期，在延长的磋商有效期内本须知正文第11条关于磋商保证金的退还与没收的规定仍然适用。</w:t>
      </w:r>
    </w:p>
    <w:p>
      <w:pPr>
        <w:pStyle w:val="3"/>
        <w:tabs>
          <w:tab w:val="left" w:pos="900"/>
        </w:tabs>
        <w:adjustRightInd w:val="0"/>
        <w:snapToGrid w:val="0"/>
        <w:spacing w:line="360" w:lineRule="auto"/>
        <w:ind w:firstLine="582" w:firstLineChars="200"/>
        <w:jc w:val="left"/>
        <w:rPr>
          <w:rFonts w:hint="eastAsia" w:cs="宋体"/>
          <w:b/>
          <w:color w:val="auto"/>
          <w:sz w:val="21"/>
          <w:szCs w:val="21"/>
          <w:highlight w:val="none"/>
        </w:rPr>
      </w:pPr>
      <w:bookmarkStart w:id="117" w:name="_Toc523756283"/>
      <w:bookmarkStart w:id="118" w:name="_Toc58005963"/>
      <w:bookmarkStart w:id="119" w:name="_Toc65828999"/>
      <w:bookmarkStart w:id="120" w:name="_Toc65676956"/>
      <w:bookmarkStart w:id="121" w:name="_Toc65828805"/>
      <w:r>
        <w:rPr>
          <w:rFonts w:hint="eastAsia" w:cs="宋体"/>
          <w:b/>
          <w:color w:val="auto"/>
          <w:sz w:val="21"/>
          <w:szCs w:val="21"/>
          <w:highlight w:val="none"/>
        </w:rPr>
        <w:t>11、</w:t>
      </w:r>
      <w:bookmarkEnd w:id="117"/>
      <w:r>
        <w:rPr>
          <w:rFonts w:hint="eastAsia" w:cs="宋体"/>
          <w:b/>
          <w:color w:val="auto"/>
          <w:sz w:val="21"/>
          <w:szCs w:val="21"/>
          <w:highlight w:val="none"/>
        </w:rPr>
        <w:t>磋商保证金</w:t>
      </w:r>
      <w:bookmarkEnd w:id="118"/>
      <w:bookmarkEnd w:id="119"/>
      <w:bookmarkEnd w:id="120"/>
      <w:bookmarkEnd w:id="121"/>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11.1供应商应按供应商须知前附表第22项要求提交磋商保证金；</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11.2对于未能按要求提交磋商保证金的响应文件，采购人将视为不响应竞争性磋商文件而予以拒绝；</w:t>
      </w:r>
    </w:p>
    <w:p>
      <w:pPr>
        <w:pStyle w:val="6"/>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11.3磋商保证金的退还</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采购人或采购代理机构应当自成交通知书发出之日起5个工作日内退还未成交供应商的磋商保证金，自签订合同之日起5个工作日内退还成交供应商的磋商保证金或者转化为成交供应商的履约保证金。由于供应商的自身原因未及时办理磋商保证金退还的，其责任和由此造成的后果由供应商自行承担。</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11.4如有下列任何情况发生时，磋商保证金将被没收：</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（1）在竞争性磋商文件规定的响应截止时间后撤回响应的；</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（2）在采购人确定成交供应商以前放弃成交候选资格的；</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（3）成交后放弃成交、不领取或者不接收成交通知书的；</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（4）由于成交供应商的原因未能按照竞争性磋商文件的规定与采购人签订合同的；</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（5）由于成交供应商的原因未能按照竞争性磋商文件的规定交纳履约保证金的；</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（6）供应商提供虚假资料的；</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（7）响应有效期内，供应商在政府采购活动中有违法、违规、违纪行为。</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（8）响应有效期内，供应商撤销响应文件的。</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上述不予退还磋商保证金的情况给采购代理机构造成损失的，还要承担赔偿责任。</w:t>
      </w:r>
    </w:p>
    <w:p>
      <w:pPr>
        <w:pStyle w:val="3"/>
        <w:tabs>
          <w:tab w:val="left" w:pos="900"/>
        </w:tabs>
        <w:adjustRightInd w:val="0"/>
        <w:snapToGrid w:val="0"/>
        <w:spacing w:line="360" w:lineRule="auto"/>
        <w:ind w:firstLine="582" w:firstLineChars="200"/>
        <w:jc w:val="left"/>
        <w:rPr>
          <w:rFonts w:hint="eastAsia" w:cs="宋体"/>
          <w:b/>
          <w:color w:val="auto"/>
          <w:sz w:val="21"/>
          <w:szCs w:val="21"/>
          <w:highlight w:val="none"/>
        </w:rPr>
      </w:pPr>
      <w:bookmarkStart w:id="122" w:name="_Toc58005964"/>
      <w:bookmarkStart w:id="123" w:name="_Toc65828806"/>
      <w:bookmarkStart w:id="124" w:name="_Toc65829000"/>
      <w:bookmarkStart w:id="125" w:name="_Toc523756284"/>
      <w:bookmarkStart w:id="126" w:name="_Toc65676957"/>
      <w:r>
        <w:rPr>
          <w:rFonts w:hint="eastAsia" w:cs="宋体"/>
          <w:b/>
          <w:color w:val="auto"/>
          <w:sz w:val="21"/>
          <w:szCs w:val="21"/>
          <w:highlight w:val="none"/>
        </w:rPr>
        <w:t>12、响应文件的份数和签署</w:t>
      </w:r>
      <w:bookmarkEnd w:id="122"/>
      <w:bookmarkEnd w:id="123"/>
      <w:bookmarkEnd w:id="124"/>
      <w:bookmarkEnd w:id="125"/>
      <w:bookmarkEnd w:id="126"/>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12.1纸制版响应文件一式</w:t>
      </w:r>
      <w:r>
        <w:rPr>
          <w:rFonts w:hint="eastAsia" w:ascii="宋体" w:hAnsi="宋体" w:cs="宋体"/>
          <w:color w:val="auto"/>
          <w:szCs w:val="21"/>
          <w:highlight w:val="none"/>
          <w:lang w:val="en-US" w:eastAsia="zh-CN"/>
        </w:rPr>
        <w:t>叁</w:t>
      </w:r>
      <w:r>
        <w:rPr>
          <w:rFonts w:hint="eastAsia" w:ascii="宋体" w:hAnsi="宋体" w:cs="宋体"/>
          <w:color w:val="auto"/>
          <w:szCs w:val="21"/>
          <w:highlight w:val="none"/>
        </w:rPr>
        <w:t>份，其中正本壹份，副本</w:t>
      </w:r>
      <w:r>
        <w:rPr>
          <w:rFonts w:hint="eastAsia" w:ascii="宋体" w:hAnsi="宋体" w:cs="宋体"/>
          <w:color w:val="auto"/>
          <w:szCs w:val="21"/>
          <w:highlight w:val="none"/>
          <w:lang w:val="en-US" w:eastAsia="zh-CN"/>
        </w:rPr>
        <w:t>贰</w:t>
      </w:r>
      <w:r>
        <w:rPr>
          <w:rFonts w:hint="eastAsia" w:ascii="宋体" w:hAnsi="宋体" w:cs="宋体"/>
          <w:color w:val="auto"/>
          <w:szCs w:val="21"/>
          <w:highlight w:val="none"/>
        </w:rPr>
        <w:t>份；</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12.2响应文件的正本和副本均须装订成册，打印或使用不褪色的墨水笔书写，字迹应清晰易于辨认。正本和副本如有不一致之处，以正本为准；</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12.3响应文件应按竞争性磋商文件规定格式要求盖章、签字。由委托代理人签字或盖章的，在提交响应文件的同时必须提交响应文件签署授权委托书。响应文件正、副本均须加盖骑缝章。响应文件签署授权委托书格式、签字、盖章及内容均应符合要求，否则响应文件签署授权委托书无效；</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12.4除供应商对错误处必须修改外，响应文件应无涂改或行间插字和增删，如有修改，修改处应由响应文件签字人签字或盖章。</w:t>
      </w:r>
    </w:p>
    <w:p>
      <w:pPr>
        <w:pStyle w:val="3"/>
        <w:tabs>
          <w:tab w:val="left" w:pos="900"/>
        </w:tabs>
        <w:adjustRightInd w:val="0"/>
        <w:snapToGrid w:val="0"/>
        <w:spacing w:line="360" w:lineRule="auto"/>
        <w:ind w:firstLine="582" w:firstLineChars="200"/>
        <w:jc w:val="left"/>
        <w:rPr>
          <w:rFonts w:hint="eastAsia" w:cs="宋体"/>
          <w:b/>
          <w:color w:val="auto"/>
          <w:sz w:val="21"/>
          <w:szCs w:val="21"/>
          <w:highlight w:val="none"/>
        </w:rPr>
      </w:pPr>
      <w:bookmarkStart w:id="127" w:name="_Toc65676958"/>
      <w:bookmarkStart w:id="128" w:name="_Toc65829001"/>
      <w:bookmarkStart w:id="129" w:name="_Toc523756285"/>
      <w:bookmarkStart w:id="130" w:name="_Toc58005965"/>
      <w:bookmarkStart w:id="131" w:name="_Toc65828807"/>
      <w:r>
        <w:rPr>
          <w:rFonts w:hint="eastAsia" w:cs="宋体"/>
          <w:b/>
          <w:color w:val="auto"/>
          <w:sz w:val="21"/>
          <w:szCs w:val="21"/>
          <w:highlight w:val="none"/>
        </w:rPr>
        <w:t>13、响应文件的密封和标记</w:t>
      </w:r>
      <w:bookmarkEnd w:id="127"/>
      <w:bookmarkEnd w:id="128"/>
      <w:bookmarkEnd w:id="129"/>
      <w:bookmarkEnd w:id="130"/>
      <w:bookmarkEnd w:id="131"/>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13.1响应文件的正本和副本应一起密封，并应在密封袋正面注明“响应文件”字样；响应文件电子版（U盘1份）单独密封，密封袋正面注明“响应文件电子版”字样。（正本、副本一包，电子版（U盘）一包，共两个包）</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13.2封袋上应写明采购人名称、项目名称、项目编号、供应商的名称（加盖单位公章），要求写明的其余内容见本须知前附表第28项规定；</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13.3响应文件密封袋的封口处加盖单位公章；</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13.4响应文件未按本须知规定加写标记和密封的，其响应文件将被拒收；</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13.5因密封不严、标记不明而造成过早启封、失密等情况，采购人概不负责。</w:t>
      </w:r>
    </w:p>
    <w:p>
      <w:pPr>
        <w:pStyle w:val="3"/>
        <w:tabs>
          <w:tab w:val="left" w:pos="900"/>
        </w:tabs>
        <w:adjustRightInd w:val="0"/>
        <w:snapToGrid w:val="0"/>
        <w:spacing w:line="360" w:lineRule="auto"/>
        <w:ind w:firstLine="582" w:firstLineChars="200"/>
        <w:jc w:val="left"/>
        <w:rPr>
          <w:rFonts w:hint="eastAsia" w:cs="宋体"/>
          <w:b/>
          <w:color w:val="auto"/>
          <w:sz w:val="21"/>
          <w:szCs w:val="21"/>
          <w:highlight w:val="none"/>
        </w:rPr>
      </w:pPr>
      <w:bookmarkStart w:id="132" w:name="_Toc523756286"/>
      <w:bookmarkStart w:id="133" w:name="_Toc65829002"/>
      <w:bookmarkStart w:id="134" w:name="_Toc58005966"/>
      <w:bookmarkStart w:id="135" w:name="_Toc65828808"/>
      <w:bookmarkStart w:id="136" w:name="_Toc65676959"/>
      <w:r>
        <w:rPr>
          <w:rFonts w:hint="eastAsia" w:cs="宋体"/>
          <w:b/>
          <w:color w:val="auto"/>
          <w:sz w:val="21"/>
          <w:szCs w:val="21"/>
          <w:highlight w:val="none"/>
        </w:rPr>
        <w:t>14、响应文件的提交及补充修改、撤回</w:t>
      </w:r>
      <w:bookmarkEnd w:id="132"/>
      <w:bookmarkEnd w:id="133"/>
      <w:bookmarkEnd w:id="134"/>
      <w:bookmarkEnd w:id="135"/>
      <w:bookmarkEnd w:id="136"/>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14.1</w:t>
      </w:r>
      <w:r>
        <w:rPr>
          <w:rFonts w:hint="eastAsia" w:ascii="宋体" w:hAnsi="宋体" w:cs="宋体"/>
          <w:color w:val="auto"/>
          <w:kern w:val="0"/>
          <w:szCs w:val="21"/>
          <w:highlight w:val="none"/>
        </w:rPr>
        <w:t>响应文件的提交地点及截止时间</w:t>
      </w:r>
      <w:r>
        <w:rPr>
          <w:rFonts w:hint="eastAsia" w:ascii="宋体" w:hAnsi="宋体" w:cs="宋体"/>
          <w:color w:val="auto"/>
          <w:szCs w:val="21"/>
          <w:highlight w:val="none"/>
        </w:rPr>
        <w:t>见供应商须知前附表第17、31项规定。</w:t>
      </w:r>
    </w:p>
    <w:p>
      <w:pPr>
        <w:adjustRightInd w:val="0"/>
        <w:snapToGrid w:val="0"/>
        <w:spacing w:line="360" w:lineRule="auto"/>
        <w:ind w:firstLine="420" w:firstLineChars="200"/>
        <w:rPr>
          <w:rFonts w:hint="eastAsia" w:ascii="宋体" w:hAnsi="宋体" w:cs="宋体"/>
          <w:color w:val="auto"/>
          <w:kern w:val="0"/>
          <w:szCs w:val="21"/>
          <w:highlight w:val="none"/>
        </w:rPr>
      </w:pPr>
      <w:r>
        <w:rPr>
          <w:rFonts w:hint="eastAsia" w:ascii="宋体" w:hAnsi="宋体" w:cs="宋体"/>
          <w:color w:val="auto"/>
          <w:szCs w:val="21"/>
          <w:highlight w:val="none"/>
        </w:rPr>
        <w:t>14.2</w:t>
      </w:r>
      <w:r>
        <w:rPr>
          <w:rFonts w:hint="eastAsia" w:ascii="宋体" w:hAnsi="宋体" w:cs="宋体"/>
          <w:color w:val="auto"/>
          <w:kern w:val="0"/>
          <w:szCs w:val="21"/>
          <w:highlight w:val="none"/>
        </w:rPr>
        <w:t>采购人在</w:t>
      </w:r>
      <w:r>
        <w:rPr>
          <w:rFonts w:hint="eastAsia" w:ascii="宋体" w:hAnsi="宋体" w:cs="宋体"/>
          <w:color w:val="auto"/>
          <w:szCs w:val="21"/>
          <w:highlight w:val="none"/>
        </w:rPr>
        <w:t>供应商须知前附表第17</w:t>
      </w:r>
      <w:r>
        <w:rPr>
          <w:rFonts w:hint="eastAsia" w:ascii="宋体" w:hAnsi="宋体" w:cs="宋体"/>
          <w:color w:val="auto"/>
          <w:kern w:val="0"/>
          <w:szCs w:val="21"/>
          <w:highlight w:val="none"/>
        </w:rPr>
        <w:t>条规定的投标截止时间以后收到响应文件，将被拒绝并退回给供应商。</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kern w:val="0"/>
          <w:szCs w:val="21"/>
          <w:highlight w:val="none"/>
        </w:rPr>
        <w:t>14.3</w:t>
      </w:r>
      <w:r>
        <w:rPr>
          <w:rFonts w:hint="eastAsia" w:ascii="宋体" w:hAnsi="宋体" w:cs="宋体"/>
          <w:color w:val="auto"/>
          <w:szCs w:val="21"/>
          <w:highlight w:val="none"/>
        </w:rPr>
        <w:t>响应文件必须由专人按竞争性磋商文件规定的时间、地点送交，以电报、电话、传真形式的投标概不接受。</w:t>
      </w:r>
    </w:p>
    <w:p>
      <w:pPr>
        <w:adjustRightInd w:val="0"/>
        <w:snapToGrid w:val="0"/>
        <w:spacing w:line="360" w:lineRule="auto"/>
        <w:ind w:firstLine="420" w:firstLineChars="200"/>
        <w:rPr>
          <w:rFonts w:hint="eastAsia" w:ascii="宋体" w:hAnsi="宋体" w:cs="宋体"/>
          <w:color w:val="auto"/>
          <w:kern w:val="0"/>
          <w:szCs w:val="21"/>
          <w:highlight w:val="none"/>
        </w:rPr>
      </w:pPr>
      <w:r>
        <w:rPr>
          <w:rFonts w:hint="eastAsia" w:ascii="宋体" w:hAnsi="宋体" w:cs="宋体"/>
          <w:color w:val="auto"/>
          <w:szCs w:val="21"/>
          <w:highlight w:val="none"/>
        </w:rPr>
        <w:t>14.4</w:t>
      </w:r>
      <w:r>
        <w:rPr>
          <w:rFonts w:hint="eastAsia" w:ascii="宋体" w:hAnsi="宋体" w:cs="宋体"/>
          <w:color w:val="auto"/>
          <w:kern w:val="0"/>
          <w:szCs w:val="21"/>
          <w:highlight w:val="none"/>
        </w:rPr>
        <w:t>在送交响应文件截止时间以前，供应商可以以书面形式补充修改或撤回已提交的响应文件，并以书面形式通知采购人，补充、修改的内容为响应文件的组成部分。</w:t>
      </w:r>
    </w:p>
    <w:p>
      <w:pPr>
        <w:adjustRightInd w:val="0"/>
        <w:snapToGrid w:val="0"/>
        <w:spacing w:line="360"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14.5 供应商对响应文件的补充、修改应同样按照响应文件送交规定的要求进行编制、密封、标记和提交，并在密封袋上清楚的标明“补充、修改”或“撤回”字样。</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kern w:val="0"/>
          <w:szCs w:val="21"/>
          <w:highlight w:val="none"/>
        </w:rPr>
        <w:t>14.6 在投标截止时间之后，供应商不得补充、修改响应文件。</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14.7在磋商有效期内，供应商不得撤回其响应文件。</w:t>
      </w:r>
    </w:p>
    <w:p>
      <w:pPr>
        <w:pStyle w:val="3"/>
        <w:tabs>
          <w:tab w:val="left" w:pos="900"/>
        </w:tabs>
        <w:adjustRightInd w:val="0"/>
        <w:snapToGrid w:val="0"/>
        <w:spacing w:line="360" w:lineRule="auto"/>
        <w:ind w:firstLine="582" w:firstLineChars="200"/>
        <w:jc w:val="center"/>
        <w:rPr>
          <w:rFonts w:hint="eastAsia" w:cs="宋体"/>
          <w:b/>
          <w:color w:val="auto"/>
          <w:sz w:val="21"/>
          <w:szCs w:val="21"/>
          <w:highlight w:val="none"/>
        </w:rPr>
      </w:pPr>
      <w:bookmarkStart w:id="137" w:name="_Toc65676960"/>
      <w:bookmarkStart w:id="138" w:name="_Toc523756287"/>
      <w:bookmarkStart w:id="139" w:name="_Toc65828809"/>
      <w:bookmarkStart w:id="140" w:name="_Toc65829003"/>
      <w:r>
        <w:rPr>
          <w:rFonts w:hint="eastAsia" w:cs="宋体"/>
          <w:b/>
          <w:color w:val="auto"/>
          <w:sz w:val="21"/>
          <w:szCs w:val="21"/>
          <w:highlight w:val="none"/>
        </w:rPr>
        <w:t>四、开标与评标</w:t>
      </w:r>
      <w:bookmarkEnd w:id="137"/>
      <w:bookmarkEnd w:id="138"/>
      <w:bookmarkEnd w:id="139"/>
      <w:bookmarkEnd w:id="140"/>
    </w:p>
    <w:p>
      <w:pPr>
        <w:pStyle w:val="3"/>
        <w:tabs>
          <w:tab w:val="left" w:pos="900"/>
        </w:tabs>
        <w:adjustRightInd w:val="0"/>
        <w:snapToGrid w:val="0"/>
        <w:spacing w:line="360" w:lineRule="auto"/>
        <w:ind w:firstLine="582" w:firstLineChars="200"/>
        <w:jc w:val="left"/>
        <w:rPr>
          <w:rFonts w:hint="eastAsia" w:cs="宋体"/>
          <w:b/>
          <w:color w:val="auto"/>
          <w:sz w:val="21"/>
          <w:szCs w:val="21"/>
          <w:highlight w:val="none"/>
        </w:rPr>
      </w:pPr>
      <w:bookmarkStart w:id="141" w:name="_Toc497648320"/>
      <w:bookmarkStart w:id="142" w:name="_Toc475524877"/>
      <w:bookmarkStart w:id="143" w:name="_Toc65829004"/>
      <w:bookmarkStart w:id="144" w:name="_Toc65828810"/>
      <w:bookmarkStart w:id="145" w:name="_Toc523756288"/>
      <w:bookmarkStart w:id="146" w:name="_Toc58005968"/>
      <w:bookmarkStart w:id="147" w:name="_Toc65676961"/>
      <w:r>
        <w:rPr>
          <w:rFonts w:hint="eastAsia" w:cs="宋体"/>
          <w:b/>
          <w:color w:val="auto"/>
          <w:sz w:val="21"/>
          <w:szCs w:val="21"/>
          <w:highlight w:val="none"/>
        </w:rPr>
        <w:t>15、开标</w:t>
      </w:r>
      <w:bookmarkEnd w:id="141"/>
      <w:bookmarkEnd w:id="142"/>
      <w:bookmarkEnd w:id="143"/>
      <w:bookmarkEnd w:id="144"/>
      <w:bookmarkEnd w:id="145"/>
      <w:bookmarkEnd w:id="146"/>
      <w:bookmarkEnd w:id="147"/>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15.1采购人将按照供应商须知前附表第31条所规定的时间和地点在有关行政管理部门的监督下公开举行开标会议，并邀请所有供应商代表参加开标会议。</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15.2采购人依法组建磋商小组，专家组成详见“供应商须知前附表”第33条。</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15.3供应商的法定代表人或其委托代理人参加开标会议时应携带本人身份证，以证明其身份。</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15.4按规定提交了“撤回通知”和逾期送达的响应文件不予开封，并及时退给供应商。</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15.5开标会议由采购代理机构主持。</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15.6</w:t>
      </w:r>
      <w:r>
        <w:rPr>
          <w:rFonts w:hint="eastAsia" w:ascii="宋体" w:hAnsi="宋体" w:cs="宋体"/>
          <w:color w:val="auto"/>
          <w:kern w:val="0"/>
          <w:szCs w:val="21"/>
          <w:highlight w:val="none"/>
        </w:rPr>
        <w:t>由供应商推选的代表检查响应文件的密封情况, 也可以由采购人或监督单位检查，</w:t>
      </w:r>
      <w:r>
        <w:rPr>
          <w:rFonts w:hint="eastAsia" w:ascii="宋体" w:hAnsi="宋体" w:cs="宋体"/>
          <w:color w:val="auto"/>
          <w:szCs w:val="21"/>
          <w:highlight w:val="none"/>
        </w:rPr>
        <w:t>并当众公布检验结果。</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15.7</w:t>
      </w:r>
      <w:r>
        <w:rPr>
          <w:rFonts w:hint="eastAsia" w:ascii="宋体" w:hAnsi="宋体" w:cs="宋体"/>
          <w:color w:val="auto"/>
          <w:kern w:val="0"/>
          <w:szCs w:val="21"/>
          <w:highlight w:val="none"/>
        </w:rPr>
        <w:t>经确认无误后,由有关工作人员当众拆封,宣读供应商名称、投标价格和响应文件的其他主要内容，</w:t>
      </w:r>
      <w:r>
        <w:rPr>
          <w:rFonts w:hint="eastAsia" w:ascii="宋体" w:hAnsi="宋体" w:cs="宋体"/>
          <w:color w:val="auto"/>
          <w:szCs w:val="21"/>
          <w:highlight w:val="none"/>
        </w:rPr>
        <w:t>并记录在案；</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15.8供应商代表、采购人代表、监标人、记录人等有关人员在开标记录上签字确认。</w:t>
      </w:r>
    </w:p>
    <w:p>
      <w:pPr>
        <w:pStyle w:val="3"/>
        <w:tabs>
          <w:tab w:val="left" w:pos="900"/>
        </w:tabs>
        <w:adjustRightInd w:val="0"/>
        <w:snapToGrid w:val="0"/>
        <w:spacing w:line="360" w:lineRule="auto"/>
        <w:ind w:firstLine="582" w:firstLineChars="200"/>
        <w:jc w:val="left"/>
        <w:rPr>
          <w:rFonts w:hint="eastAsia" w:cs="宋体"/>
          <w:b/>
          <w:color w:val="auto"/>
          <w:sz w:val="21"/>
          <w:szCs w:val="21"/>
          <w:highlight w:val="none"/>
        </w:rPr>
      </w:pPr>
      <w:bookmarkStart w:id="148" w:name="_Toc65829005"/>
      <w:bookmarkStart w:id="149" w:name="_Toc58005969"/>
      <w:bookmarkStart w:id="150" w:name="_Toc65676962"/>
      <w:bookmarkStart w:id="151" w:name="_Toc475524878"/>
      <w:bookmarkStart w:id="152" w:name="_Toc523756289"/>
      <w:bookmarkStart w:id="153" w:name="_Toc65828811"/>
      <w:bookmarkStart w:id="154" w:name="_Toc497648321"/>
      <w:r>
        <w:rPr>
          <w:rFonts w:hint="eastAsia" w:cs="宋体"/>
          <w:b/>
          <w:color w:val="auto"/>
          <w:sz w:val="21"/>
          <w:szCs w:val="21"/>
          <w:highlight w:val="none"/>
        </w:rPr>
        <w:t>16、评标</w:t>
      </w:r>
      <w:bookmarkEnd w:id="148"/>
      <w:bookmarkEnd w:id="149"/>
      <w:bookmarkEnd w:id="150"/>
      <w:bookmarkEnd w:id="151"/>
      <w:bookmarkEnd w:id="152"/>
      <w:bookmarkEnd w:id="153"/>
      <w:bookmarkEnd w:id="154"/>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当响应文件或者供应商出现下列情形之一的将按废标处理，不得进入评审：</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（1）响应文件未装订成册；</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（2）供应商未按照竞争性磋商文件的要求提交磋商保证金；</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16.1资格评审</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资格评审标准见第六章评审标准及办法的附表1。</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16.2供应商有下列情形之一的,评标委员会认定为供应商串通响应，其响应无效，书面报告财政部门：</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（1）不同供应商的响应文件由同一单位或者个人编制；</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（2）不同供应商委托同一单位或者个人办理响应事宜；</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（3）不同供应商的响应文件载明的项目管理成员或者联系人员为同一人；</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（4）不同供应商的响应文件异常一致或者响应报价呈规律性差异；</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（5）不同供应商的响应文件相互混装；</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（6）不同供应商的磋商保证金从同一个单位或者个人账户转出。</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16.3 供应商存在下列情形之一的，响应无效：</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（1）未按照竞争性磋商文件的规定提交磋商保证金的；</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（2）响应文件未按照竞争性磋商文件要求签署、盖章的；</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（3）不具备竞争性磋商文件规定的资格要求的；</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（4）报价超过竞争性磋商文件规定的预算金额或者最高限价的；</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（5）响应文件含有采购人不能接受的附加条件的；</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（6）法律、法规和竞争性磋商文件规定的其他无效情形。</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16.4在评标期间，供应商企图影响采购人、采购代理机构或评标委员会评审公正性的任何活动，将导致响应无效，并由其承担相应的法律责任。</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16.5详细评审</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磋商小组对已通过资格评审的响应文件进行详细评审，按第五章评审标准及办法中附表2的规定进行评分。</w:t>
      </w:r>
    </w:p>
    <w:p>
      <w:pPr>
        <w:pStyle w:val="3"/>
        <w:tabs>
          <w:tab w:val="left" w:pos="900"/>
        </w:tabs>
        <w:adjustRightInd w:val="0"/>
        <w:snapToGrid w:val="0"/>
        <w:spacing w:line="360" w:lineRule="auto"/>
        <w:ind w:firstLine="582" w:firstLineChars="200"/>
        <w:jc w:val="left"/>
        <w:rPr>
          <w:rFonts w:hint="eastAsia" w:cs="宋体"/>
          <w:b/>
          <w:color w:val="auto"/>
          <w:sz w:val="21"/>
          <w:szCs w:val="21"/>
          <w:highlight w:val="none"/>
        </w:rPr>
      </w:pPr>
      <w:bookmarkStart w:id="155" w:name="_Toc497648322"/>
      <w:bookmarkStart w:id="156" w:name="_Toc65828812"/>
      <w:bookmarkStart w:id="157" w:name="_Toc523756290"/>
      <w:bookmarkStart w:id="158" w:name="_Toc65829006"/>
      <w:bookmarkStart w:id="159" w:name="_Toc475524879"/>
      <w:bookmarkStart w:id="160" w:name="_Toc65676963"/>
      <w:bookmarkStart w:id="161" w:name="_Toc58005970"/>
      <w:r>
        <w:rPr>
          <w:rFonts w:hint="eastAsia" w:cs="宋体"/>
          <w:b/>
          <w:color w:val="auto"/>
          <w:sz w:val="21"/>
          <w:szCs w:val="21"/>
          <w:highlight w:val="none"/>
        </w:rPr>
        <w:t>17、定标</w:t>
      </w:r>
      <w:bookmarkEnd w:id="155"/>
      <w:bookmarkEnd w:id="156"/>
      <w:bookmarkEnd w:id="157"/>
      <w:bookmarkEnd w:id="158"/>
      <w:bookmarkEnd w:id="159"/>
      <w:bookmarkEnd w:id="160"/>
      <w:bookmarkEnd w:id="161"/>
    </w:p>
    <w:p>
      <w:pPr>
        <w:adjustRightInd w:val="0"/>
        <w:snapToGrid w:val="0"/>
        <w:spacing w:line="360" w:lineRule="auto"/>
        <w:ind w:firstLine="420" w:firstLineChars="200"/>
        <w:rPr>
          <w:rFonts w:hint="eastAsia" w:ascii="宋体" w:hAnsi="宋体" w:cs="宋体"/>
          <w:b/>
          <w:color w:val="auto"/>
          <w:szCs w:val="21"/>
          <w:highlight w:val="none"/>
        </w:rPr>
      </w:pPr>
      <w:r>
        <w:rPr>
          <w:rFonts w:hint="eastAsia" w:ascii="宋体" w:hAnsi="宋体" w:cs="宋体"/>
          <w:snapToGrid w:val="0"/>
          <w:color w:val="auto"/>
          <w:kern w:val="0"/>
          <w:szCs w:val="21"/>
          <w:highlight w:val="none"/>
        </w:rPr>
        <w:t>17.1评标方法：</w:t>
      </w:r>
      <w:r>
        <w:rPr>
          <w:rFonts w:hint="eastAsia" w:ascii="宋体" w:hAnsi="宋体" w:cs="宋体"/>
          <w:b/>
          <w:snapToGrid w:val="0"/>
          <w:color w:val="auto"/>
          <w:kern w:val="0"/>
          <w:szCs w:val="21"/>
          <w:highlight w:val="none"/>
        </w:rPr>
        <w:t>采用综合评分法</w:t>
      </w:r>
      <w:r>
        <w:rPr>
          <w:rFonts w:hint="eastAsia" w:ascii="宋体" w:hAnsi="宋体" w:cs="宋体"/>
          <w:snapToGrid w:val="0"/>
          <w:color w:val="auto"/>
          <w:kern w:val="0"/>
          <w:szCs w:val="21"/>
          <w:highlight w:val="none"/>
        </w:rPr>
        <w:t>。</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snapToGrid w:val="0"/>
          <w:color w:val="auto"/>
          <w:kern w:val="0"/>
          <w:szCs w:val="21"/>
          <w:highlight w:val="none"/>
        </w:rPr>
        <w:t>17.2在特殊情况下，招标机构和采购人保留在授标之前拒绝任何投标以及宣布招标程序无效或拒绝所有投标的权力。</w:t>
      </w:r>
      <w:r>
        <w:rPr>
          <w:rFonts w:hint="eastAsia" w:ascii="宋体" w:hAnsi="宋体" w:cs="宋体"/>
          <w:color w:val="auto"/>
          <w:szCs w:val="21"/>
          <w:highlight w:val="none"/>
        </w:rPr>
        <w:t>磋商小组按供应商得分由高到低的顺序推荐排名前三名作为第一、二、三中标候选供应商，并确定第一中标候选供应商为成交供应商。如该成交供应商放弃中标或者因不可抗力提出不能履行合同，或出现竞争性磋商文件规定的取消成交供应商资格的其他情形，采购人可以确定排名第二的中标候选供应商为成交供应商。若排名第二的中标候选供应商也因前款规定的同样原因不能依约签订和履行合同，采购人可以确定排名第三的中标候选供应商为成交供应商。</w:t>
      </w:r>
    </w:p>
    <w:p>
      <w:pPr>
        <w:adjustRightInd w:val="0"/>
        <w:snapToGrid w:val="0"/>
        <w:spacing w:line="360" w:lineRule="auto"/>
        <w:ind w:firstLine="420" w:firstLineChars="200"/>
        <w:rPr>
          <w:rFonts w:hint="eastAsia" w:ascii="宋体" w:hAnsi="宋体" w:cs="宋体"/>
          <w:bCs/>
          <w:color w:val="auto"/>
          <w:highlight w:val="none"/>
        </w:rPr>
      </w:pPr>
      <w:r>
        <w:rPr>
          <w:rFonts w:hint="eastAsia" w:ascii="宋体" w:hAnsi="宋体" w:cs="宋体"/>
          <w:color w:val="auto"/>
          <w:szCs w:val="21"/>
          <w:highlight w:val="none"/>
        </w:rPr>
        <w:t>如果供应商综合评分相等时，则由现场由专家投票确定。</w:t>
      </w:r>
    </w:p>
    <w:p>
      <w:pPr>
        <w:pStyle w:val="3"/>
        <w:tabs>
          <w:tab w:val="left" w:pos="900"/>
        </w:tabs>
        <w:adjustRightInd w:val="0"/>
        <w:snapToGrid w:val="0"/>
        <w:spacing w:line="360" w:lineRule="auto"/>
        <w:ind w:firstLine="582" w:firstLineChars="200"/>
        <w:jc w:val="left"/>
        <w:rPr>
          <w:rFonts w:hint="eastAsia" w:cs="宋体"/>
          <w:b/>
          <w:color w:val="auto"/>
          <w:sz w:val="21"/>
          <w:szCs w:val="21"/>
          <w:highlight w:val="none"/>
        </w:rPr>
      </w:pPr>
      <w:bookmarkStart w:id="162" w:name="_Toc65676964"/>
      <w:bookmarkStart w:id="163" w:name="_Toc523756291"/>
      <w:bookmarkStart w:id="164" w:name="_Toc497648323"/>
      <w:bookmarkStart w:id="165" w:name="_Toc475524880"/>
      <w:bookmarkStart w:id="166" w:name="_Toc65828813"/>
      <w:bookmarkStart w:id="167" w:name="_Toc65829007"/>
      <w:bookmarkStart w:id="168" w:name="_Toc58005971"/>
      <w:r>
        <w:rPr>
          <w:rFonts w:hint="eastAsia" w:cs="宋体"/>
          <w:b/>
          <w:color w:val="auto"/>
          <w:sz w:val="21"/>
          <w:szCs w:val="21"/>
          <w:highlight w:val="none"/>
        </w:rPr>
        <w:t>18、评标过程的保密</w:t>
      </w:r>
      <w:bookmarkEnd w:id="162"/>
      <w:bookmarkEnd w:id="163"/>
      <w:bookmarkEnd w:id="164"/>
      <w:bookmarkEnd w:id="165"/>
      <w:bookmarkEnd w:id="166"/>
      <w:bookmarkEnd w:id="167"/>
      <w:bookmarkEnd w:id="168"/>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18.1公开开标后，直到授予成交供应商合同为止，凡属于对响应文件的审查、澄清、评价和比较的有关资料、中标候选供应商的推荐以及与评标有关的其他情况均应严格保密。</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18.2在响应文件的评审与比较、中标候选供应商的推荐以及授予合同的整个过程中，供应商试图向采购人和磋商小组施加影响的任何行为，都将会导致其投标被拒绝。</w:t>
      </w:r>
    </w:p>
    <w:p>
      <w:pPr>
        <w:pStyle w:val="3"/>
        <w:tabs>
          <w:tab w:val="left" w:pos="900"/>
        </w:tabs>
        <w:adjustRightInd w:val="0"/>
        <w:snapToGrid w:val="0"/>
        <w:spacing w:line="360" w:lineRule="auto"/>
        <w:ind w:firstLine="582" w:firstLineChars="200"/>
        <w:jc w:val="left"/>
        <w:rPr>
          <w:rFonts w:hint="eastAsia" w:cs="宋体"/>
          <w:b/>
          <w:color w:val="auto"/>
          <w:sz w:val="21"/>
          <w:szCs w:val="21"/>
          <w:highlight w:val="none"/>
        </w:rPr>
      </w:pPr>
      <w:bookmarkStart w:id="169" w:name="_Toc523756292"/>
      <w:bookmarkStart w:id="170" w:name="_Toc65829008"/>
      <w:bookmarkStart w:id="171" w:name="_Toc65828814"/>
      <w:bookmarkStart w:id="172" w:name="_Toc58005972"/>
      <w:bookmarkStart w:id="173" w:name="_Toc475524881"/>
      <w:bookmarkStart w:id="174" w:name="_Toc497648324"/>
      <w:bookmarkStart w:id="175" w:name="_Toc65676965"/>
      <w:r>
        <w:rPr>
          <w:rFonts w:hint="eastAsia" w:cs="宋体"/>
          <w:b/>
          <w:color w:val="auto"/>
          <w:sz w:val="21"/>
          <w:szCs w:val="21"/>
          <w:highlight w:val="none"/>
        </w:rPr>
        <w:t>19、响应文件的澄清</w:t>
      </w:r>
      <w:bookmarkEnd w:id="169"/>
      <w:bookmarkEnd w:id="170"/>
      <w:bookmarkEnd w:id="171"/>
      <w:bookmarkEnd w:id="172"/>
      <w:bookmarkEnd w:id="173"/>
      <w:bookmarkEnd w:id="174"/>
      <w:bookmarkEnd w:id="175"/>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为了有助于响应文件的审查、评价和比较，磋商小组可以用书面形式要求供应商对响应文件中含义不明确的内容作出必要的澄清或者说明。有关澄清、说明与答复，供应商应以书面形式进行。但对投标报价和实质性的内容不得更改。</w:t>
      </w:r>
    </w:p>
    <w:p>
      <w:pPr>
        <w:pStyle w:val="3"/>
        <w:tabs>
          <w:tab w:val="left" w:pos="900"/>
        </w:tabs>
        <w:adjustRightInd w:val="0"/>
        <w:snapToGrid w:val="0"/>
        <w:spacing w:line="360" w:lineRule="auto"/>
        <w:ind w:firstLine="582" w:firstLineChars="200"/>
        <w:jc w:val="left"/>
        <w:rPr>
          <w:rFonts w:hint="eastAsia" w:cs="宋体"/>
          <w:b/>
          <w:color w:val="auto"/>
          <w:sz w:val="21"/>
          <w:szCs w:val="21"/>
          <w:highlight w:val="none"/>
        </w:rPr>
      </w:pPr>
      <w:bookmarkStart w:id="176" w:name="_Toc475524882"/>
      <w:bookmarkStart w:id="177" w:name="_Toc58005973"/>
      <w:bookmarkStart w:id="178" w:name="_Toc65829009"/>
      <w:bookmarkStart w:id="179" w:name="_Toc497648325"/>
      <w:bookmarkStart w:id="180" w:name="_Toc65676966"/>
      <w:bookmarkStart w:id="181" w:name="_Toc65828815"/>
      <w:bookmarkStart w:id="182" w:name="_Toc523756293"/>
      <w:r>
        <w:rPr>
          <w:rFonts w:hint="eastAsia" w:cs="宋体"/>
          <w:b/>
          <w:color w:val="auto"/>
          <w:sz w:val="21"/>
          <w:szCs w:val="21"/>
          <w:highlight w:val="none"/>
        </w:rPr>
        <w:t>20、错误的修正</w:t>
      </w:r>
      <w:bookmarkEnd w:id="176"/>
      <w:bookmarkEnd w:id="177"/>
      <w:bookmarkEnd w:id="178"/>
      <w:bookmarkEnd w:id="179"/>
      <w:bookmarkEnd w:id="180"/>
      <w:bookmarkEnd w:id="181"/>
      <w:bookmarkEnd w:id="182"/>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20.1磋商小组将对确定为实质上响应竞争性磋商文件要求的响应文件进行校核，看其是否有计算上、累计上或表达上的错误，修正错误的原则如下：</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20.1.1当数字与文字表示的金额不一致时，应以文字表示为准。</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20.1.2 总价和单价不相符时，评标时以总价为准，合同签订时以低者为准。</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20.2任何由于此类错误所引起的后果均由供应商承担。</w:t>
      </w:r>
    </w:p>
    <w:p>
      <w:pPr>
        <w:pStyle w:val="3"/>
        <w:tabs>
          <w:tab w:val="left" w:pos="900"/>
        </w:tabs>
        <w:adjustRightInd w:val="0"/>
        <w:snapToGrid w:val="0"/>
        <w:spacing w:line="360" w:lineRule="auto"/>
        <w:ind w:firstLine="582" w:firstLineChars="200"/>
        <w:jc w:val="left"/>
        <w:rPr>
          <w:rFonts w:hint="eastAsia" w:cs="宋体"/>
          <w:b/>
          <w:color w:val="auto"/>
          <w:sz w:val="21"/>
          <w:szCs w:val="21"/>
          <w:highlight w:val="none"/>
        </w:rPr>
      </w:pPr>
      <w:bookmarkStart w:id="183" w:name="_Toc65828816"/>
      <w:bookmarkStart w:id="184" w:name="_Toc65676967"/>
      <w:bookmarkStart w:id="185" w:name="_Toc497648326"/>
      <w:bookmarkStart w:id="186" w:name="_Toc65829010"/>
      <w:bookmarkStart w:id="187" w:name="_Toc475524883"/>
      <w:bookmarkStart w:id="188" w:name="_Toc523756294"/>
      <w:bookmarkStart w:id="189" w:name="_Toc58005974"/>
      <w:r>
        <w:rPr>
          <w:rFonts w:hint="eastAsia" w:cs="宋体"/>
          <w:b/>
          <w:color w:val="auto"/>
          <w:sz w:val="21"/>
          <w:szCs w:val="21"/>
          <w:highlight w:val="none"/>
        </w:rPr>
        <w:t>21、响应文件的评审和比较</w:t>
      </w:r>
      <w:bookmarkEnd w:id="183"/>
      <w:bookmarkEnd w:id="184"/>
      <w:bookmarkEnd w:id="185"/>
      <w:bookmarkEnd w:id="186"/>
      <w:bookmarkEnd w:id="187"/>
      <w:bookmarkEnd w:id="188"/>
      <w:bookmarkEnd w:id="189"/>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21.1磋商小组将按照本须知正文第16条规定，仅对实质上响应竞争性磋商文件要求的响应文件进行评审和比较；</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21.2磋商小组依据本竞争性磋商文件规定的评标方法进行评审和比较，结束时向采购人提交评标报告。</w:t>
      </w:r>
    </w:p>
    <w:p>
      <w:pPr>
        <w:pStyle w:val="3"/>
        <w:tabs>
          <w:tab w:val="left" w:pos="900"/>
        </w:tabs>
        <w:adjustRightInd w:val="0"/>
        <w:snapToGrid w:val="0"/>
        <w:spacing w:line="360" w:lineRule="auto"/>
        <w:ind w:firstLine="582" w:firstLineChars="200"/>
        <w:jc w:val="left"/>
        <w:rPr>
          <w:rFonts w:hint="eastAsia" w:cs="宋体"/>
          <w:b/>
          <w:color w:val="auto"/>
          <w:sz w:val="21"/>
          <w:szCs w:val="21"/>
          <w:highlight w:val="none"/>
        </w:rPr>
      </w:pPr>
      <w:bookmarkStart w:id="190" w:name="_Toc65676968"/>
      <w:bookmarkStart w:id="191" w:name="_Toc65828817"/>
      <w:bookmarkStart w:id="192" w:name="_Toc65829011"/>
      <w:r>
        <w:rPr>
          <w:rFonts w:hint="eastAsia" w:cs="宋体"/>
          <w:b/>
          <w:color w:val="auto"/>
          <w:sz w:val="21"/>
          <w:szCs w:val="21"/>
          <w:highlight w:val="none"/>
        </w:rPr>
        <w:t>五、合同的授予</w:t>
      </w:r>
      <w:bookmarkEnd w:id="190"/>
      <w:bookmarkEnd w:id="191"/>
      <w:bookmarkEnd w:id="192"/>
    </w:p>
    <w:p>
      <w:pPr>
        <w:pStyle w:val="3"/>
        <w:tabs>
          <w:tab w:val="left" w:pos="900"/>
        </w:tabs>
        <w:adjustRightInd w:val="0"/>
        <w:snapToGrid w:val="0"/>
        <w:spacing w:line="360" w:lineRule="auto"/>
        <w:ind w:firstLine="582" w:firstLineChars="200"/>
        <w:jc w:val="left"/>
        <w:rPr>
          <w:rFonts w:hint="eastAsia" w:cs="宋体"/>
          <w:b/>
          <w:color w:val="auto"/>
          <w:sz w:val="21"/>
          <w:szCs w:val="21"/>
          <w:highlight w:val="none"/>
        </w:rPr>
      </w:pPr>
      <w:bookmarkStart w:id="193" w:name="_Toc65676969"/>
      <w:bookmarkStart w:id="194" w:name="_Toc58005976"/>
      <w:bookmarkStart w:id="195" w:name="_Toc497648327"/>
      <w:bookmarkStart w:id="196" w:name="_Toc523756295"/>
      <w:bookmarkStart w:id="197" w:name="_Toc65828818"/>
      <w:bookmarkStart w:id="198" w:name="_Toc475524884"/>
      <w:bookmarkStart w:id="199" w:name="_Toc65829012"/>
      <w:r>
        <w:rPr>
          <w:rFonts w:hint="eastAsia" w:cs="宋体"/>
          <w:b/>
          <w:color w:val="auto"/>
          <w:sz w:val="21"/>
          <w:szCs w:val="21"/>
          <w:highlight w:val="none"/>
        </w:rPr>
        <w:t>22、合同授予标准</w:t>
      </w:r>
      <w:bookmarkEnd w:id="193"/>
      <w:bookmarkEnd w:id="194"/>
      <w:bookmarkEnd w:id="195"/>
      <w:bookmarkEnd w:id="196"/>
      <w:bookmarkEnd w:id="197"/>
      <w:bookmarkEnd w:id="198"/>
      <w:bookmarkEnd w:id="199"/>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本项目的合同将授予本次招标所确定的成交供应商。</w:t>
      </w:r>
    </w:p>
    <w:p>
      <w:pPr>
        <w:pStyle w:val="3"/>
        <w:tabs>
          <w:tab w:val="left" w:pos="900"/>
        </w:tabs>
        <w:adjustRightInd w:val="0"/>
        <w:snapToGrid w:val="0"/>
        <w:spacing w:line="360" w:lineRule="auto"/>
        <w:ind w:firstLine="582" w:firstLineChars="200"/>
        <w:jc w:val="left"/>
        <w:rPr>
          <w:rFonts w:hint="eastAsia" w:cs="宋体"/>
          <w:b/>
          <w:color w:val="auto"/>
          <w:sz w:val="21"/>
          <w:szCs w:val="21"/>
          <w:highlight w:val="none"/>
        </w:rPr>
      </w:pPr>
      <w:bookmarkStart w:id="200" w:name="_Toc523756296"/>
      <w:bookmarkStart w:id="201" w:name="_Toc475524885"/>
      <w:bookmarkStart w:id="202" w:name="_Toc497648328"/>
      <w:bookmarkStart w:id="203" w:name="_Toc65676970"/>
      <w:bookmarkStart w:id="204" w:name="_Toc65828819"/>
      <w:bookmarkStart w:id="205" w:name="_Toc65829013"/>
      <w:bookmarkStart w:id="206" w:name="_Toc58005977"/>
      <w:r>
        <w:rPr>
          <w:rFonts w:hint="eastAsia" w:cs="宋体"/>
          <w:b/>
          <w:color w:val="auto"/>
          <w:sz w:val="21"/>
          <w:szCs w:val="21"/>
          <w:highlight w:val="none"/>
        </w:rPr>
        <w:t>23、</w:t>
      </w:r>
      <w:bookmarkEnd w:id="200"/>
      <w:bookmarkEnd w:id="201"/>
      <w:bookmarkEnd w:id="202"/>
      <w:r>
        <w:rPr>
          <w:rFonts w:hint="eastAsia" w:cs="宋体"/>
          <w:b/>
          <w:color w:val="auto"/>
          <w:sz w:val="21"/>
          <w:szCs w:val="21"/>
          <w:highlight w:val="none"/>
        </w:rPr>
        <w:t>成交通知书</w:t>
      </w:r>
      <w:bookmarkEnd w:id="203"/>
      <w:bookmarkEnd w:id="204"/>
      <w:bookmarkEnd w:id="205"/>
      <w:bookmarkEnd w:id="206"/>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23.1在磋商有效期内，采购人将向成交供应商发出成交通知书；</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23.2对未中标的供应商不作任何未中标原因的解释；</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23.3成交通知书将是技术咨询合同的组成部分。</w:t>
      </w:r>
    </w:p>
    <w:p>
      <w:pPr>
        <w:pStyle w:val="3"/>
        <w:tabs>
          <w:tab w:val="left" w:pos="900"/>
        </w:tabs>
        <w:adjustRightInd w:val="0"/>
        <w:snapToGrid w:val="0"/>
        <w:spacing w:line="360" w:lineRule="auto"/>
        <w:ind w:firstLine="582" w:firstLineChars="200"/>
        <w:jc w:val="left"/>
        <w:rPr>
          <w:rFonts w:hint="eastAsia" w:cs="宋体"/>
          <w:b/>
          <w:color w:val="auto"/>
          <w:sz w:val="21"/>
          <w:szCs w:val="21"/>
          <w:highlight w:val="none"/>
        </w:rPr>
      </w:pPr>
      <w:bookmarkStart w:id="207" w:name="_Toc65676971"/>
      <w:bookmarkStart w:id="208" w:name="_Toc65828820"/>
      <w:bookmarkStart w:id="209" w:name="_Toc65829014"/>
      <w:r>
        <w:rPr>
          <w:rFonts w:hint="eastAsia" w:cs="宋体"/>
          <w:b/>
          <w:color w:val="auto"/>
          <w:sz w:val="21"/>
          <w:szCs w:val="21"/>
          <w:highlight w:val="none"/>
        </w:rPr>
        <w:t>六、采购项目终止</w:t>
      </w:r>
      <w:bookmarkEnd w:id="207"/>
      <w:bookmarkEnd w:id="208"/>
      <w:bookmarkEnd w:id="209"/>
    </w:p>
    <w:p>
      <w:pPr>
        <w:pStyle w:val="3"/>
        <w:tabs>
          <w:tab w:val="left" w:pos="900"/>
        </w:tabs>
        <w:adjustRightInd w:val="0"/>
        <w:snapToGrid w:val="0"/>
        <w:spacing w:line="360" w:lineRule="auto"/>
        <w:ind w:firstLine="582" w:firstLineChars="200"/>
        <w:jc w:val="left"/>
        <w:rPr>
          <w:rFonts w:hint="eastAsia" w:cs="宋体"/>
          <w:b/>
          <w:color w:val="auto"/>
          <w:sz w:val="21"/>
          <w:szCs w:val="21"/>
          <w:highlight w:val="none"/>
        </w:rPr>
      </w:pPr>
      <w:bookmarkStart w:id="210" w:name="_Toc497648329"/>
      <w:bookmarkStart w:id="211" w:name="_Toc475524886"/>
      <w:bookmarkStart w:id="212" w:name="_Toc523756297"/>
      <w:bookmarkStart w:id="213" w:name="_Toc65829015"/>
      <w:bookmarkStart w:id="214" w:name="_Toc58005979"/>
      <w:bookmarkStart w:id="215" w:name="_Toc65828821"/>
      <w:bookmarkStart w:id="216" w:name="_Toc65676972"/>
      <w:r>
        <w:rPr>
          <w:rFonts w:hint="eastAsia" w:cs="宋体"/>
          <w:b/>
          <w:color w:val="auto"/>
          <w:sz w:val="21"/>
          <w:szCs w:val="21"/>
          <w:highlight w:val="none"/>
        </w:rPr>
        <w:t>24、</w:t>
      </w:r>
      <w:bookmarkEnd w:id="210"/>
      <w:bookmarkEnd w:id="211"/>
      <w:bookmarkEnd w:id="212"/>
      <w:r>
        <w:rPr>
          <w:rFonts w:hint="eastAsia" w:cs="宋体"/>
          <w:b/>
          <w:color w:val="auto"/>
          <w:sz w:val="21"/>
          <w:szCs w:val="21"/>
          <w:highlight w:val="none"/>
        </w:rPr>
        <w:t>采购项目终止</w:t>
      </w:r>
      <w:bookmarkEnd w:id="213"/>
      <w:bookmarkEnd w:id="214"/>
      <w:bookmarkEnd w:id="215"/>
      <w:bookmarkEnd w:id="216"/>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24.1在磋商过程中，磋商小组发现有下列情形之一的，应当终止竞争性磋商采购活动,发布项目终止公告并说明原因，重新开展采购活动：</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（1）因情况变化，不再符合规定的竞争性磋商采购方式适用情形的；</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（2）出现影响采购公正的违法、违规行为的；</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（3）除《政府采购竞争性磋商采购方式管理暂行办法》第二十一条第三款规定的情形外，在采购过程中符合要求的供应商或者报价未超过采购预算的供应商不足3家的。</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竞争性磋商采购活动终止后，磋商小组应作出书面报告。</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24.2在采购活动中因重大变故，采购任务取消的，采购人或者采购代理机构应当终止采购活动，通知所有参加采购活动的响应人，并将项目实施情况和采购任务取消原因报送本级财政部门。</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24.3.终止采购活动后，采购代理机构应当将终止采购活动原因通知所有响应人。</w:t>
      </w:r>
    </w:p>
    <w:p>
      <w:pPr>
        <w:pStyle w:val="3"/>
        <w:tabs>
          <w:tab w:val="left" w:pos="900"/>
        </w:tabs>
        <w:adjustRightInd w:val="0"/>
        <w:snapToGrid w:val="0"/>
        <w:spacing w:line="360" w:lineRule="auto"/>
        <w:ind w:firstLine="582" w:firstLineChars="200"/>
        <w:jc w:val="left"/>
        <w:rPr>
          <w:rFonts w:hint="eastAsia" w:cs="宋体"/>
          <w:b/>
          <w:color w:val="auto"/>
          <w:sz w:val="21"/>
          <w:szCs w:val="21"/>
          <w:highlight w:val="none"/>
        </w:rPr>
      </w:pPr>
      <w:bookmarkStart w:id="217" w:name="_Toc65829016"/>
      <w:bookmarkStart w:id="218" w:name="_Toc65828822"/>
      <w:bookmarkStart w:id="219" w:name="_Toc65676973"/>
      <w:r>
        <w:rPr>
          <w:rFonts w:hint="eastAsia" w:cs="宋体"/>
          <w:b/>
          <w:color w:val="auto"/>
          <w:sz w:val="21"/>
          <w:szCs w:val="21"/>
          <w:highlight w:val="none"/>
        </w:rPr>
        <w:t>七、其他说明：</w:t>
      </w:r>
      <w:bookmarkEnd w:id="217"/>
      <w:bookmarkEnd w:id="218"/>
      <w:bookmarkEnd w:id="219"/>
    </w:p>
    <w:p>
      <w:pPr>
        <w:pStyle w:val="3"/>
        <w:tabs>
          <w:tab w:val="left" w:pos="900"/>
        </w:tabs>
        <w:adjustRightInd w:val="0"/>
        <w:snapToGrid w:val="0"/>
        <w:spacing w:line="360" w:lineRule="auto"/>
        <w:ind w:firstLine="582" w:firstLineChars="200"/>
        <w:jc w:val="left"/>
        <w:rPr>
          <w:rFonts w:hint="eastAsia" w:cs="宋体"/>
          <w:b/>
          <w:color w:val="auto"/>
          <w:sz w:val="21"/>
          <w:szCs w:val="21"/>
          <w:highlight w:val="none"/>
        </w:rPr>
      </w:pPr>
      <w:bookmarkStart w:id="220" w:name="_Toc65829017"/>
      <w:bookmarkStart w:id="221" w:name="_Toc65676974"/>
      <w:bookmarkStart w:id="222" w:name="_Toc58005981"/>
      <w:bookmarkStart w:id="223" w:name="_Toc65828823"/>
      <w:r>
        <w:rPr>
          <w:rFonts w:hint="eastAsia" w:cs="宋体"/>
          <w:b/>
          <w:color w:val="auto"/>
          <w:sz w:val="21"/>
          <w:szCs w:val="21"/>
          <w:highlight w:val="none"/>
          <w:lang w:val="en-US"/>
        </w:rPr>
        <w:t>25</w:t>
      </w:r>
      <w:r>
        <w:rPr>
          <w:rFonts w:hint="eastAsia" w:cs="宋体"/>
          <w:b/>
          <w:color w:val="auto"/>
          <w:sz w:val="21"/>
          <w:szCs w:val="21"/>
          <w:highlight w:val="none"/>
        </w:rPr>
        <w:t>.质疑提出</w:t>
      </w:r>
      <w:bookmarkEnd w:id="220"/>
      <w:bookmarkEnd w:id="221"/>
      <w:bookmarkEnd w:id="222"/>
      <w:bookmarkEnd w:id="223"/>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25.1供应商认为竞争性磋商文件、采购过程和成交结果使自己的合法权益受到损害的，可以在知道或者应知其权益受到损害之日起七个工作日内，以书面形式向采购人、采购代理机构提出质疑。</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25.2供应商在法定质疑期内须一次性提出针对同一采购程序环节的质疑，采购人、采购代理机构在任何情况下有权拒绝接受供应商在法定质疑期多次性提出针对同一采购程序环节的质疑。</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25.3供应商可以委托代理人进行质疑和投诉。其授权委托书应当载明代理人的姓名或者名称、代理事项、具体权限、期限和相关事项。供应商为自然人的，应当由本人签字；供应商为法人或者其他组织的，应当由法定代表人、负责人签字或者盖章，并加盖公章。</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代理人提出质疑和投诉，应当提交供应商签署的授权委托书。</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25.4.质疑函</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25.4.1 质疑函须使用财政部制定的政府采购供应商质疑函范本进行编写。</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25.4.2质疑函包括下列内容：</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（1）供应商的姓名或者名称、地址、邮编、联系人及联系电话；</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（2）质疑项目的名称、编号；</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（3）具体、明确的质疑事项和与质疑事项相关的请求；</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（4）事实依据；</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（5）必要的法律依据；</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（6）提出质疑的日期。</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按照“谁主张、谁举证”的原则，质疑书应当附上相关证明材料，否则质疑将视为无有效证据支持，将被予以驳回。</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25.4.3供应商为自然人的，应当由本人签字；供应商为法人或者其他组织的，应当由法定代表人、负责人，或者其响应代表签字或者盖章，并加盖单位公章，不得加盖合同专用章、响应专用章等各种形式的专用章。</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25.5.质疑受理</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25.5.1质疑书原件可采取当面递交或邮寄、快递的方式送达代理机构。以邮寄、快递方式递交的，质疑提起日期以邮寄件上的戳记日期、邮政快递件上的戳记日期或非邮政快递件上的签注之日计算，受理日期则以代理机构收到质疑函原件之日计算。</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以邮寄、快递方式递交质疑函的，质疑人可以在质疑有效期内以清晰扫描及时将质疑事项告知代理机构，并提供邮寄件、快递件的有效查询方式。</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25.5.2 质疑函接收信息</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详见供应商须知前附表第2项。</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25.5.3有下列情形之一的，属于无效质疑，采购人或采购代理机构可不予受理：</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（1）未在有效期限内提出质疑的；</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（2）质疑未以书面形式提出的；</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（3）所提交材料未明示属于质疑材料的；</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（4）质疑事项已经进入投诉或者诉讼程序的；</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（5）其它不符合受理条件的情形。</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25.6质疑函的形式有下列情形之一的，采购人或采购代理机构应当一次性告知质疑人在法定质疑期内修改后重新提交。法定质疑期内质疑人未重新提交，或者重新提交的质疑仍不符合形式规定的，代理机构不予受理：</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（1）质疑函未按照供应商须知正文25.3条要求提供的；</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（2）质疑函未按照供应商须知正文25.4条要求签署和盖章的；</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（3）质疑函未使用财政部制定的政府采购供应商质疑函范本进行编写的；</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（4）质疑函内容不全的。</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25.7代理机构应于收到质疑函后一个工作日内对质疑函的形式进行审查，符合条件的质疑，应当受理并向质疑人发出质疑签收单。收到质疑函原件并向质疑人发出质疑签收单之日，为质疑正式受理之日。</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质疑函在质疑有效期内需要修改、补充的，以提交修改或补充的质疑函原件并发出质疑签收单之日作为质疑正式受理之日。</w:t>
      </w:r>
    </w:p>
    <w:p>
      <w:pPr>
        <w:pStyle w:val="3"/>
        <w:tabs>
          <w:tab w:val="left" w:pos="900"/>
        </w:tabs>
        <w:adjustRightInd w:val="0"/>
        <w:snapToGrid w:val="0"/>
        <w:spacing w:line="360" w:lineRule="auto"/>
        <w:ind w:firstLine="582" w:firstLineChars="200"/>
        <w:jc w:val="left"/>
        <w:rPr>
          <w:rFonts w:hint="eastAsia" w:cs="宋体"/>
          <w:b/>
          <w:color w:val="auto"/>
          <w:sz w:val="21"/>
          <w:szCs w:val="21"/>
          <w:highlight w:val="none"/>
        </w:rPr>
      </w:pPr>
      <w:bookmarkStart w:id="224" w:name="_Toc523756298"/>
      <w:bookmarkStart w:id="225" w:name="_Toc58005982"/>
      <w:bookmarkStart w:id="226" w:name="_Toc475524887"/>
      <w:bookmarkStart w:id="227" w:name="_Toc497648330"/>
      <w:bookmarkStart w:id="228" w:name="_Toc65828824"/>
      <w:bookmarkStart w:id="229" w:name="_Toc65676975"/>
      <w:bookmarkStart w:id="230" w:name="_Toc65829018"/>
      <w:r>
        <w:rPr>
          <w:rFonts w:hint="eastAsia" w:cs="宋体"/>
          <w:b/>
          <w:color w:val="auto"/>
          <w:sz w:val="21"/>
          <w:szCs w:val="21"/>
          <w:highlight w:val="none"/>
        </w:rPr>
        <w:t>2</w:t>
      </w:r>
      <w:r>
        <w:rPr>
          <w:rFonts w:hint="eastAsia" w:cs="宋体"/>
          <w:b/>
          <w:color w:val="auto"/>
          <w:sz w:val="21"/>
          <w:szCs w:val="21"/>
          <w:highlight w:val="none"/>
          <w:lang w:val="en-US"/>
        </w:rPr>
        <w:t>6</w:t>
      </w:r>
      <w:r>
        <w:rPr>
          <w:rFonts w:hint="eastAsia" w:cs="宋体"/>
          <w:b/>
          <w:color w:val="auto"/>
          <w:sz w:val="21"/>
          <w:szCs w:val="21"/>
          <w:highlight w:val="none"/>
        </w:rPr>
        <w:t>、政策优惠条件及要求</w:t>
      </w:r>
      <w:bookmarkEnd w:id="224"/>
      <w:bookmarkEnd w:id="225"/>
      <w:bookmarkEnd w:id="226"/>
      <w:bookmarkEnd w:id="227"/>
      <w:r>
        <w:rPr>
          <w:rFonts w:hint="eastAsia" w:cs="宋体"/>
          <w:b/>
          <w:color w:val="auto"/>
          <w:sz w:val="21"/>
          <w:szCs w:val="21"/>
          <w:highlight w:val="none"/>
        </w:rPr>
        <w:t>：</w:t>
      </w:r>
      <w:bookmarkEnd w:id="228"/>
      <w:bookmarkEnd w:id="229"/>
      <w:bookmarkEnd w:id="230"/>
    </w:p>
    <w:p>
      <w:pPr>
        <w:snapToGrid w:val="0"/>
        <w:spacing w:line="360" w:lineRule="auto"/>
        <w:ind w:firstLine="424" w:firstLineChars="202"/>
        <w:rPr>
          <w:rFonts w:hint="eastAsia" w:ascii="宋体" w:hAnsi="宋体" w:cs="宋体"/>
          <w:color w:val="auto"/>
          <w:szCs w:val="21"/>
          <w:highlight w:val="none"/>
        </w:rPr>
      </w:pPr>
      <w:bookmarkStart w:id="231" w:name="_Toc58005983"/>
      <w:bookmarkStart w:id="232" w:name="_Toc65829019"/>
      <w:bookmarkStart w:id="233" w:name="_Toc65828825"/>
      <w:bookmarkStart w:id="234" w:name="_Toc65676976"/>
      <w:bookmarkStart w:id="235" w:name="_Toc523756299"/>
      <w:r>
        <w:rPr>
          <w:rFonts w:hint="eastAsia" w:ascii="宋体" w:hAnsi="宋体" w:cs="宋体"/>
          <w:color w:val="auto"/>
          <w:szCs w:val="21"/>
          <w:highlight w:val="none"/>
        </w:rPr>
        <w:t>根据财政部、工业和信息化部关于《政府采购促进中小企业发展管理办法》（财库〔2020〕46 号）的要求，以及政府关于强制采购节能产品、信息安全产品和优先采购环境标志产品的实施意见，政府采购项目的政策优惠条件及要求如下。</w:t>
      </w:r>
    </w:p>
    <w:p>
      <w:pPr>
        <w:spacing w:line="360" w:lineRule="auto"/>
        <w:ind w:firstLine="424" w:firstLineChars="202"/>
        <w:rPr>
          <w:rFonts w:hint="eastAsia" w:ascii="宋体" w:hAnsi="宋体" w:cs="宋体"/>
          <w:color w:val="auto"/>
          <w:szCs w:val="21"/>
          <w:highlight w:val="none"/>
        </w:rPr>
      </w:pPr>
      <w:r>
        <w:rPr>
          <w:rFonts w:hint="eastAsia" w:ascii="宋体" w:hAnsi="宋体" w:cs="宋体"/>
          <w:color w:val="auto"/>
          <w:szCs w:val="21"/>
          <w:highlight w:val="none"/>
        </w:rPr>
        <w:t>26.1关于小微企业（供应商）产品参与投标</w:t>
      </w:r>
    </w:p>
    <w:p>
      <w:pPr>
        <w:spacing w:line="360" w:lineRule="auto"/>
        <w:ind w:firstLine="514" w:firstLineChars="245"/>
        <w:rPr>
          <w:rFonts w:hint="eastAsia" w:ascii="宋体" w:hAnsi="宋体" w:cs="宋体"/>
          <w:color w:val="auto"/>
          <w:szCs w:val="21"/>
          <w:highlight w:val="none"/>
        </w:rPr>
      </w:pPr>
      <w:r>
        <w:rPr>
          <w:rFonts w:hint="eastAsia" w:ascii="宋体" w:hAnsi="宋体" w:cs="宋体"/>
          <w:color w:val="auto"/>
          <w:szCs w:val="21"/>
          <w:highlight w:val="none"/>
        </w:rPr>
        <w:t>根据财政部、工业和信息化部关于《政府采购促进中小企业发展管理办法》（财库〔2020〕46 号）的要求，对于非专门面对中小企业的项目，对小型和微型企业产品的价格给予6%的扣除，用扣除后的价格参与评审。</w:t>
      </w:r>
    </w:p>
    <w:p>
      <w:pPr>
        <w:spacing w:line="360" w:lineRule="auto"/>
        <w:ind w:firstLine="514" w:firstLineChars="245"/>
        <w:rPr>
          <w:rFonts w:hint="eastAsia" w:ascii="宋体" w:hAnsi="宋体" w:cs="宋体"/>
          <w:color w:val="auto"/>
          <w:szCs w:val="21"/>
          <w:highlight w:val="none"/>
        </w:rPr>
      </w:pPr>
      <w:r>
        <w:rPr>
          <w:rFonts w:hint="eastAsia" w:ascii="宋体" w:hAnsi="宋体" w:cs="宋体"/>
          <w:color w:val="auto"/>
          <w:szCs w:val="21"/>
          <w:highlight w:val="none"/>
        </w:rPr>
        <w:t>享受政策优惠的小型、微型供应商须提供合法有效的“中小企业声明函”原件；提供其他企业制造的货物的，须提供其他企业合法有效的“中小企业声明函”原件，未提供的，视为放弃享受小微企业价格扣除优惠政策。</w:t>
      </w:r>
    </w:p>
    <w:p>
      <w:pPr>
        <w:spacing w:line="360" w:lineRule="auto"/>
        <w:ind w:firstLine="514" w:firstLineChars="245"/>
        <w:rPr>
          <w:rFonts w:hint="eastAsia" w:ascii="宋体" w:hAnsi="宋体" w:cs="宋体"/>
          <w:color w:val="auto"/>
          <w:szCs w:val="21"/>
          <w:highlight w:val="none"/>
        </w:rPr>
      </w:pPr>
      <w:r>
        <w:rPr>
          <w:rFonts w:hint="eastAsia" w:ascii="宋体" w:hAnsi="宋体" w:cs="宋体"/>
          <w:color w:val="auto"/>
          <w:szCs w:val="21"/>
          <w:highlight w:val="none"/>
        </w:rPr>
        <w:t>小微企业（供应商）是指符合《小企业划型标准规定》的供应商，通过投标提供该企业制造的货物，由该企业承担工程、提供服务，或者提供其他小微企业制造的货物。本项所指货物不包括使用大型、中型企业注册商标的货物。</w:t>
      </w:r>
    </w:p>
    <w:p>
      <w:pPr>
        <w:spacing w:line="360" w:lineRule="auto"/>
        <w:ind w:firstLine="514" w:firstLineChars="245"/>
        <w:rPr>
          <w:rFonts w:hint="eastAsia" w:ascii="宋体" w:hAnsi="宋体" w:cs="宋体"/>
          <w:color w:val="auto"/>
          <w:szCs w:val="21"/>
          <w:highlight w:val="none"/>
        </w:rPr>
      </w:pPr>
      <w:r>
        <w:rPr>
          <w:rFonts w:hint="eastAsia" w:ascii="宋体" w:hAnsi="宋体" w:cs="宋体"/>
          <w:color w:val="auto"/>
          <w:szCs w:val="21"/>
          <w:highlight w:val="none"/>
        </w:rPr>
        <w:t>小型、微型企业提供中型企业制造的货物的，视同为中型企业。</w:t>
      </w:r>
    </w:p>
    <w:p>
      <w:pPr>
        <w:spacing w:line="360" w:lineRule="auto"/>
        <w:ind w:firstLine="514" w:firstLineChars="245"/>
        <w:rPr>
          <w:rFonts w:hint="eastAsia" w:ascii="宋体" w:hAnsi="宋体" w:cs="宋体"/>
          <w:color w:val="auto"/>
          <w:szCs w:val="21"/>
          <w:highlight w:val="none"/>
        </w:rPr>
      </w:pPr>
      <w:r>
        <w:rPr>
          <w:rFonts w:hint="eastAsia" w:ascii="宋体" w:hAnsi="宋体" w:cs="宋体"/>
          <w:color w:val="auto"/>
          <w:szCs w:val="21"/>
          <w:highlight w:val="none"/>
        </w:rPr>
        <w:t xml:space="preserve">大中型企业和其他自然人、法人或者其他组织与小型、微型企业组成联合体共同参加非专门面向中小企业的政府采购活动的，联合体投标协议中约定，小型、微型企业的协议合同金额占到联合体投标协议合同总金额30%以上的，可给予联合体2%的价格扣除。 </w:t>
      </w:r>
    </w:p>
    <w:p>
      <w:pPr>
        <w:spacing w:line="360" w:lineRule="auto"/>
        <w:ind w:firstLine="514" w:firstLineChars="245"/>
        <w:rPr>
          <w:rFonts w:hint="eastAsia" w:ascii="宋体" w:hAnsi="宋体" w:cs="宋体"/>
          <w:color w:val="auto"/>
          <w:szCs w:val="21"/>
          <w:highlight w:val="none"/>
        </w:rPr>
      </w:pPr>
      <w:r>
        <w:rPr>
          <w:rFonts w:hint="eastAsia" w:ascii="宋体" w:hAnsi="宋体" w:cs="宋体"/>
          <w:color w:val="auto"/>
          <w:szCs w:val="21"/>
          <w:highlight w:val="none"/>
        </w:rPr>
        <w:t>联合体各方均为小型、微型企业的，联合体视同为小型、微型企业享受规定的扶持政策。组成联合体的大中型企业和其他自然人、法人或者其他组织，与小型、微型企业之间不得存在投资关系。</w:t>
      </w:r>
    </w:p>
    <w:p>
      <w:pPr>
        <w:spacing w:line="360" w:lineRule="auto"/>
        <w:ind w:firstLine="514" w:firstLineChars="245"/>
        <w:rPr>
          <w:rFonts w:hint="eastAsia" w:ascii="宋体" w:hAnsi="宋体" w:cs="宋体"/>
          <w:color w:val="auto"/>
          <w:szCs w:val="21"/>
          <w:highlight w:val="none"/>
        </w:rPr>
      </w:pPr>
      <w:r>
        <w:rPr>
          <w:rFonts w:hint="eastAsia" w:ascii="宋体" w:hAnsi="宋体" w:cs="宋体"/>
          <w:color w:val="auto"/>
          <w:szCs w:val="21"/>
          <w:highlight w:val="none"/>
        </w:rPr>
        <w:t>参加政府采购活动的残疾人福利性单位应当提供《残疾人福利性单位声明函》原件，未提供的，视为放弃享受小微企业价格扣除优惠政策。</w:t>
      </w:r>
    </w:p>
    <w:p>
      <w:pPr>
        <w:spacing w:line="360" w:lineRule="auto"/>
        <w:ind w:firstLine="514" w:firstLineChars="245"/>
        <w:rPr>
          <w:rFonts w:hint="eastAsia" w:ascii="宋体" w:hAnsi="宋体" w:cs="宋体"/>
          <w:color w:val="auto"/>
          <w:szCs w:val="21"/>
          <w:highlight w:val="none"/>
        </w:rPr>
      </w:pPr>
      <w:r>
        <w:rPr>
          <w:rFonts w:hint="eastAsia" w:ascii="宋体" w:hAnsi="宋体" w:cs="宋体"/>
          <w:color w:val="auto"/>
          <w:szCs w:val="21"/>
          <w:highlight w:val="none"/>
        </w:rPr>
        <w:t>根据《司法部关于政府采购支持监狱企业发展有关问题的通知》（财库[2014]68号）的规定，在政府采购活动中，监狱企业视同小型、微型企业。（提供由省级以上监狱管理局、戒毒管理局（含新疆生产建设兵团）出具的属于监狱企业的证明文件）。</w:t>
      </w:r>
    </w:p>
    <w:p>
      <w:pPr>
        <w:spacing w:line="360" w:lineRule="auto"/>
        <w:ind w:firstLine="424" w:firstLineChars="202"/>
        <w:rPr>
          <w:rFonts w:hint="eastAsia" w:ascii="宋体" w:hAnsi="宋体" w:cs="宋体"/>
          <w:color w:val="auto"/>
          <w:szCs w:val="21"/>
          <w:highlight w:val="none"/>
        </w:rPr>
      </w:pPr>
      <w:r>
        <w:rPr>
          <w:rFonts w:hint="eastAsia" w:ascii="宋体" w:hAnsi="宋体" w:cs="宋体"/>
          <w:color w:val="auto"/>
          <w:szCs w:val="21"/>
          <w:highlight w:val="none"/>
        </w:rPr>
        <w:t>26.2 关于强制采购节能产品、信息安全产品和优先采购环境标志产品的要求</w:t>
      </w:r>
    </w:p>
    <w:p>
      <w:pPr>
        <w:spacing w:line="360" w:lineRule="auto"/>
        <w:ind w:firstLine="424" w:firstLineChars="202"/>
        <w:rPr>
          <w:rFonts w:hint="eastAsia" w:ascii="宋体" w:hAnsi="宋体" w:cs="宋体"/>
          <w:color w:val="auto"/>
          <w:szCs w:val="21"/>
          <w:highlight w:val="none"/>
        </w:rPr>
      </w:pPr>
      <w:r>
        <w:rPr>
          <w:rFonts w:hint="eastAsia" w:ascii="宋体" w:hAnsi="宋体" w:cs="宋体"/>
          <w:color w:val="auto"/>
          <w:szCs w:val="21"/>
          <w:highlight w:val="none"/>
        </w:rPr>
        <w:t>26.2.1节能产品是指列入财政部、国家发展和改革委员会制定的《节能产品政府采购清单》(中国政府采购网（http://www.ccgp.gov.cn/）等网站发布)，且经过认定的节能产品；信息安全产品是指列入国家质检总局、财政部、认监委《信息安全产品强制性认证目录》，并获得中国国家信息安全产品认证证书的产品；环境标志产品是指列入财政部、国家环保总局制定的《环境标志产品政府采购清单》(中国政府采购网（http://www.ccgp.gov.cn/）等网站发布)，且经过认证的环境标志产品。</w:t>
      </w:r>
    </w:p>
    <w:p>
      <w:pPr>
        <w:spacing w:line="360" w:lineRule="auto"/>
        <w:ind w:firstLine="424" w:firstLineChars="202"/>
        <w:rPr>
          <w:rFonts w:hint="eastAsia" w:ascii="宋体" w:hAnsi="宋体" w:cs="宋体"/>
          <w:color w:val="auto"/>
          <w:szCs w:val="21"/>
          <w:highlight w:val="none"/>
        </w:rPr>
      </w:pPr>
      <w:r>
        <w:rPr>
          <w:rFonts w:hint="eastAsia" w:ascii="宋体" w:hAnsi="宋体" w:cs="宋体"/>
          <w:color w:val="auto"/>
          <w:szCs w:val="21"/>
          <w:highlight w:val="none"/>
        </w:rPr>
        <w:t>26.2.2提供的产品属于信息安全产品的，供应商应当选择经国家认证的信息安全产品投标，并提供有效的中国国家信息安全产品认证证书复印件。</w:t>
      </w:r>
    </w:p>
    <w:p>
      <w:pPr>
        <w:spacing w:line="360" w:lineRule="auto"/>
        <w:ind w:firstLine="424" w:firstLineChars="202"/>
        <w:rPr>
          <w:rFonts w:hint="eastAsia" w:ascii="宋体" w:hAnsi="宋体" w:cs="宋体"/>
          <w:color w:val="auto"/>
          <w:szCs w:val="21"/>
          <w:highlight w:val="none"/>
        </w:rPr>
      </w:pPr>
      <w:r>
        <w:rPr>
          <w:rFonts w:hint="eastAsia" w:ascii="宋体" w:hAnsi="宋体" w:cs="宋体"/>
          <w:color w:val="auto"/>
          <w:szCs w:val="21"/>
          <w:highlight w:val="none"/>
        </w:rPr>
        <w:t>26.2.3提供的产品属于政府强制采购节能产品的，供应商应当选择《节能产品政府采购清单》中的产品投标，并提供有效的节能产品认证证书复印件。</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26.2.4 提供的产品属于优先采购环境标志产品的，供应商应当选择《环境标志产品政府采购清单》中的产品投标，并提供有效的环境标志产品认证证书复印件。</w:t>
      </w:r>
    </w:p>
    <w:p>
      <w:pPr>
        <w:pStyle w:val="3"/>
        <w:tabs>
          <w:tab w:val="left" w:pos="900"/>
        </w:tabs>
        <w:adjustRightInd w:val="0"/>
        <w:snapToGrid w:val="0"/>
        <w:spacing w:line="360" w:lineRule="auto"/>
        <w:ind w:firstLine="582" w:firstLineChars="200"/>
        <w:jc w:val="left"/>
        <w:rPr>
          <w:rFonts w:hint="eastAsia" w:cs="宋体"/>
          <w:b/>
          <w:color w:val="auto"/>
          <w:sz w:val="21"/>
          <w:szCs w:val="21"/>
          <w:highlight w:val="none"/>
        </w:rPr>
      </w:pPr>
      <w:r>
        <w:rPr>
          <w:rFonts w:hint="eastAsia" w:cs="宋体"/>
          <w:b/>
          <w:color w:val="auto"/>
          <w:sz w:val="21"/>
          <w:szCs w:val="21"/>
          <w:highlight w:val="none"/>
        </w:rPr>
        <w:t>2</w:t>
      </w:r>
      <w:r>
        <w:rPr>
          <w:rFonts w:hint="eastAsia" w:cs="宋体"/>
          <w:b/>
          <w:color w:val="auto"/>
          <w:sz w:val="21"/>
          <w:szCs w:val="21"/>
          <w:highlight w:val="none"/>
          <w:lang w:val="en-US"/>
        </w:rPr>
        <w:t>7</w:t>
      </w:r>
      <w:r>
        <w:rPr>
          <w:rFonts w:hint="eastAsia" w:cs="宋体"/>
          <w:b/>
          <w:color w:val="auto"/>
          <w:sz w:val="21"/>
          <w:szCs w:val="21"/>
          <w:highlight w:val="none"/>
        </w:rPr>
        <w:t>、注意事项</w:t>
      </w:r>
      <w:bookmarkEnd w:id="231"/>
      <w:bookmarkEnd w:id="232"/>
      <w:bookmarkEnd w:id="233"/>
      <w:bookmarkEnd w:id="234"/>
      <w:bookmarkEnd w:id="235"/>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27.1竞争性磋商文件《用户需求书》中列明标的物的技术要求是采购人基于实际工作需要而提出的基本需求，如果有专利、商标、品牌、规格型号等信息的，仅起技术说明、参考作用，不具有任何限制型，投标产品响应其指标性能要求即可。</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27.2 国家规定的优先、强制采购范围。本项目采购需求中涉及国家规定的强制采购范围内产品，均应按照国家相关要求进行审核。不管竞争性磋商文件是否要求，供应商必须提供相关证明材料；若未提供，供应商自行承担由此带来的后果，其响应文件作无效响应处理。优先采购范围内的产品按竞争性磋商文件约定执行。</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27.3如果没有特别声明或要求，供应商被视为充分熟悉本招标项目所在地与履行合同有关的各种情况，包括自然环境、气候条件、劳动力及公用设施等，本竞争性磋商文件不再对上述情况进行描述。</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cs="宋体"/>
          <w:color w:val="auto"/>
          <w:szCs w:val="21"/>
          <w:highlight w:val="none"/>
        </w:rPr>
        <w:t>27.4对与本项目有关的通知，采购人或采购代理机构将以书面（包括书面材料、手机短信、电子邮件、信函、传真、网上公告等方式，下同）或在本次招标公告刊登的媒体上发布公告的一种或多种形式，向潜在供应商发出，手机号码、地址、传真、邮箱等以潜在供应商登记的为准。如供应商信息登记有误、手机信号故障、传真线路故障、潜在供应商手机无法接通等原因，或其他任何意外情形，导致所发出的通知延迟送达或无法到达供应商，除非有充足的证据表明采购人或采购代理机构已经明知应当通知的事项并未实际有效到达，且采购人或采购代理机构认为仍有条件和必要及时再次补发通知而故意拖延或不予补发，采购人或采购代理机构不因此承担任何责任，有关的招标活动可以继续有效地进</w:t>
      </w:r>
    </w:p>
    <w:p>
      <w:pPr>
        <w:adjustRightInd w:val="0"/>
        <w:snapToGrid w:val="0"/>
        <w:spacing w:line="360" w:lineRule="auto"/>
        <w:ind w:firstLine="420" w:firstLineChars="200"/>
        <w:rPr>
          <w:rFonts w:hint="eastAsia" w:ascii="宋体" w:hAnsi="宋体" w:cs="宋体"/>
          <w:color w:val="auto"/>
          <w:szCs w:val="21"/>
          <w:highlight w:val="none"/>
        </w:rPr>
      </w:pPr>
    </w:p>
    <w:p>
      <w:pPr>
        <w:pStyle w:val="6"/>
        <w:rPr>
          <w:rFonts w:hint="eastAsia" w:ascii="宋体" w:hAnsi="宋体" w:cs="宋体"/>
          <w:color w:val="auto"/>
          <w:szCs w:val="21"/>
          <w:highlight w:val="none"/>
        </w:rPr>
      </w:pPr>
    </w:p>
    <w:p>
      <w:pPr>
        <w:rPr>
          <w:rFonts w:hint="eastAsia" w:ascii="宋体" w:hAnsi="宋体" w:cs="宋体"/>
          <w:color w:val="auto"/>
          <w:szCs w:val="21"/>
          <w:highlight w:val="none"/>
        </w:rPr>
      </w:pPr>
    </w:p>
    <w:p>
      <w:pPr>
        <w:pStyle w:val="6"/>
        <w:rPr>
          <w:rFonts w:hint="eastAsia" w:ascii="宋体" w:hAnsi="宋体" w:cs="宋体"/>
          <w:color w:val="auto"/>
          <w:szCs w:val="21"/>
          <w:highlight w:val="none"/>
        </w:rPr>
      </w:pPr>
    </w:p>
    <w:p>
      <w:pPr>
        <w:rPr>
          <w:rFonts w:hint="eastAsia" w:ascii="宋体" w:hAnsi="宋体" w:cs="宋体"/>
          <w:color w:val="auto"/>
          <w:szCs w:val="21"/>
          <w:highlight w:val="none"/>
        </w:rPr>
      </w:pPr>
    </w:p>
    <w:p>
      <w:pPr>
        <w:pStyle w:val="6"/>
        <w:rPr>
          <w:rFonts w:hint="eastAsia" w:ascii="宋体" w:hAnsi="宋体" w:cs="宋体"/>
          <w:color w:val="auto"/>
          <w:szCs w:val="21"/>
          <w:highlight w:val="none"/>
        </w:rPr>
      </w:pPr>
    </w:p>
    <w:p>
      <w:pPr>
        <w:rPr>
          <w:rFonts w:hint="eastAsia" w:ascii="宋体" w:hAnsi="宋体" w:cs="宋体"/>
          <w:color w:val="auto"/>
          <w:szCs w:val="21"/>
          <w:highlight w:val="none"/>
        </w:rPr>
      </w:pPr>
    </w:p>
    <w:p>
      <w:pPr>
        <w:pStyle w:val="6"/>
        <w:rPr>
          <w:rFonts w:hint="eastAsia" w:ascii="宋体" w:hAnsi="宋体" w:cs="宋体"/>
          <w:color w:val="auto"/>
          <w:szCs w:val="21"/>
          <w:highlight w:val="none"/>
        </w:rPr>
      </w:pPr>
    </w:p>
    <w:p>
      <w:pPr>
        <w:rPr>
          <w:rFonts w:hint="eastAsia" w:ascii="宋体" w:hAnsi="宋体" w:cs="宋体"/>
          <w:color w:val="auto"/>
          <w:szCs w:val="21"/>
          <w:highlight w:val="none"/>
        </w:rPr>
      </w:pPr>
    </w:p>
    <w:p>
      <w:pPr>
        <w:pStyle w:val="6"/>
        <w:rPr>
          <w:rFonts w:hint="eastAsia" w:ascii="宋体" w:hAnsi="宋体" w:cs="宋体"/>
          <w:color w:val="auto"/>
          <w:szCs w:val="21"/>
          <w:highlight w:val="none"/>
        </w:rPr>
      </w:pPr>
    </w:p>
    <w:p>
      <w:pPr>
        <w:rPr>
          <w:rFonts w:hint="eastAsia" w:ascii="宋体" w:hAnsi="宋体" w:cs="宋体"/>
          <w:color w:val="auto"/>
          <w:szCs w:val="21"/>
          <w:highlight w:val="none"/>
        </w:rPr>
      </w:pPr>
    </w:p>
    <w:p>
      <w:pPr>
        <w:pStyle w:val="6"/>
        <w:rPr>
          <w:rFonts w:hint="eastAsia" w:ascii="宋体" w:hAnsi="宋体" w:cs="宋体"/>
          <w:color w:val="auto"/>
          <w:szCs w:val="21"/>
          <w:highlight w:val="none"/>
        </w:rPr>
      </w:pPr>
    </w:p>
    <w:p>
      <w:pPr>
        <w:rPr>
          <w:rFonts w:hint="eastAsia" w:ascii="宋体" w:hAnsi="宋体" w:cs="宋体"/>
          <w:color w:val="auto"/>
          <w:szCs w:val="21"/>
          <w:highlight w:val="none"/>
        </w:rPr>
      </w:pPr>
    </w:p>
    <w:p>
      <w:pPr>
        <w:pStyle w:val="6"/>
        <w:rPr>
          <w:rFonts w:hint="eastAsia" w:ascii="宋体" w:hAnsi="宋体" w:cs="宋体"/>
          <w:color w:val="auto"/>
          <w:szCs w:val="21"/>
          <w:highlight w:val="none"/>
        </w:rPr>
      </w:pPr>
    </w:p>
    <w:p>
      <w:pPr>
        <w:rPr>
          <w:rFonts w:hint="eastAsia" w:ascii="宋体" w:hAnsi="宋体" w:cs="宋体"/>
          <w:color w:val="auto"/>
          <w:szCs w:val="21"/>
          <w:highlight w:val="none"/>
        </w:rPr>
      </w:pPr>
    </w:p>
    <w:p>
      <w:pPr>
        <w:pStyle w:val="6"/>
        <w:rPr>
          <w:rFonts w:hint="eastAsia" w:ascii="宋体" w:hAnsi="宋体" w:cs="宋体"/>
          <w:color w:val="auto"/>
          <w:szCs w:val="21"/>
          <w:highlight w:val="none"/>
        </w:rPr>
      </w:pPr>
    </w:p>
    <w:p>
      <w:pPr>
        <w:rPr>
          <w:rFonts w:hint="eastAsia" w:ascii="宋体" w:hAnsi="宋体" w:cs="宋体"/>
          <w:color w:val="auto"/>
          <w:szCs w:val="21"/>
          <w:highlight w:val="none"/>
        </w:rPr>
      </w:pPr>
    </w:p>
    <w:p>
      <w:pPr>
        <w:pStyle w:val="6"/>
        <w:rPr>
          <w:rFonts w:hint="eastAsia" w:ascii="宋体" w:hAnsi="宋体" w:cs="宋体"/>
          <w:color w:val="auto"/>
          <w:szCs w:val="21"/>
          <w:highlight w:val="none"/>
        </w:rPr>
      </w:pPr>
    </w:p>
    <w:p>
      <w:pPr>
        <w:rPr>
          <w:rFonts w:hint="eastAsia" w:ascii="宋体" w:hAnsi="宋体" w:cs="宋体"/>
          <w:color w:val="auto"/>
          <w:szCs w:val="21"/>
          <w:highlight w:val="none"/>
        </w:rPr>
      </w:pPr>
    </w:p>
    <w:p>
      <w:pPr>
        <w:pStyle w:val="6"/>
        <w:rPr>
          <w:rFonts w:hint="eastAsia"/>
        </w:rPr>
      </w:pPr>
    </w:p>
    <w:bookmarkEnd w:id="3"/>
    <w:p>
      <w:pPr>
        <w:snapToGrid w:val="0"/>
        <w:spacing w:line="500" w:lineRule="exact"/>
        <w:jc w:val="center"/>
        <w:outlineLvl w:val="0"/>
        <w:rPr>
          <w:rFonts w:hint="eastAsia" w:ascii="仿宋_GB2312" w:hAnsi="仿宋_GB2312" w:eastAsia="仿宋_GB2312" w:cs="仿宋_GB2312"/>
          <w:b/>
          <w:sz w:val="32"/>
          <w:szCs w:val="32"/>
          <w:lang w:val="en-US" w:eastAsia="zh-CN"/>
        </w:rPr>
      </w:pPr>
      <w:bookmarkStart w:id="236" w:name="_Toc65829021"/>
    </w:p>
    <w:p>
      <w:pPr>
        <w:snapToGrid w:val="0"/>
        <w:spacing w:line="500" w:lineRule="exact"/>
        <w:jc w:val="center"/>
        <w:outlineLvl w:val="0"/>
        <w:rPr>
          <w:rFonts w:ascii="仿宋_GB2312" w:hAnsi="仿宋_GB2312" w:eastAsia="仿宋_GB2312" w:cs="仿宋_GB2312"/>
          <w:b/>
          <w:sz w:val="32"/>
          <w:szCs w:val="32"/>
        </w:rPr>
      </w:pPr>
      <w:r>
        <w:rPr>
          <w:rFonts w:hint="eastAsia" w:ascii="仿宋_GB2312" w:hAnsi="仿宋_GB2312" w:eastAsia="仿宋_GB2312" w:cs="仿宋_GB2312"/>
          <w:b/>
          <w:sz w:val="32"/>
          <w:szCs w:val="32"/>
          <w:lang w:val="en-US" w:eastAsia="zh-CN"/>
        </w:rPr>
        <w:t xml:space="preserve">第三章    </w:t>
      </w:r>
      <w:r>
        <w:rPr>
          <w:rFonts w:hint="eastAsia" w:ascii="仿宋_GB2312" w:hAnsi="仿宋_GB2312" w:eastAsia="仿宋_GB2312" w:cs="仿宋_GB2312"/>
          <w:b/>
          <w:sz w:val="32"/>
          <w:szCs w:val="32"/>
        </w:rPr>
        <w:t>采购需求</w:t>
      </w:r>
    </w:p>
    <w:p>
      <w:pPr>
        <w:numPr>
          <w:ilvl w:val="0"/>
          <w:numId w:val="0"/>
        </w:numPr>
        <w:jc w:val="center"/>
        <w:rPr>
          <w:rFonts w:hint="eastAsia"/>
          <w:b/>
          <w:bCs/>
          <w:sz w:val="36"/>
          <w:szCs w:val="36"/>
          <w:lang w:val="en-US" w:eastAsia="zh-CN"/>
        </w:rPr>
      </w:pPr>
    </w:p>
    <w:p>
      <w:pPr>
        <w:snapToGrid w:val="0"/>
        <w:spacing w:line="500" w:lineRule="exact"/>
        <w:jc w:val="center"/>
        <w:outlineLvl w:val="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b/>
          <w:sz w:val="32"/>
          <w:szCs w:val="32"/>
        </w:rPr>
        <w:t>屯昌县国土空间规划中明确造林绿化空间评估项目</w:t>
      </w:r>
      <w:r>
        <w:rPr>
          <w:rFonts w:hint="eastAsia" w:ascii="仿宋_GB2312" w:hAnsi="仿宋_GB2312" w:eastAsia="仿宋_GB2312" w:cs="仿宋_GB2312"/>
          <w:b/>
          <w:sz w:val="32"/>
          <w:szCs w:val="32"/>
          <w:lang w:eastAsia="zh-CN"/>
        </w:rPr>
        <w:t>）</w:t>
      </w:r>
    </w:p>
    <w:p>
      <w:pPr>
        <w:snapToGrid w:val="0"/>
        <w:spacing w:line="500" w:lineRule="exact"/>
        <w:outlineLvl w:val="0"/>
        <w:rPr>
          <w:rFonts w:ascii="仿宋_GB2312" w:hAnsi="仿宋_GB2312" w:eastAsia="仿宋_GB2312" w:cs="仿宋_GB2312"/>
          <w:b/>
          <w:sz w:val="24"/>
          <w:szCs w:val="24"/>
        </w:rPr>
      </w:pPr>
    </w:p>
    <w:p>
      <w:pPr>
        <w:snapToGrid w:val="0"/>
        <w:spacing w:line="360" w:lineRule="auto"/>
        <w:outlineLvl w:val="0"/>
        <w:rPr>
          <w:rFonts w:ascii="仿宋_GB2312" w:hAnsi="仿宋_GB2312" w:eastAsia="仿宋_GB2312" w:cs="仿宋_GB2312"/>
          <w:sz w:val="24"/>
          <w:szCs w:val="24"/>
        </w:rPr>
      </w:pPr>
      <w:r>
        <w:rPr>
          <w:rFonts w:hint="eastAsia" w:ascii="仿宋_GB2312" w:hAnsi="仿宋_GB2312" w:eastAsia="仿宋_GB2312" w:cs="仿宋_GB2312"/>
          <w:b/>
          <w:sz w:val="24"/>
          <w:szCs w:val="24"/>
        </w:rPr>
        <w:t>一、项目概述</w:t>
      </w:r>
    </w:p>
    <w:p>
      <w:pPr>
        <w:pStyle w:val="22"/>
        <w:spacing w:line="360" w:lineRule="auto"/>
        <w:ind w:firstLine="560"/>
        <w:rPr>
          <w:rFonts w:ascii="仿宋_GB2312" w:hAnsi="仿宋_GB2312" w:eastAsia="仿宋_GB2312" w:cs="仿宋_GB2312"/>
          <w:bCs/>
          <w:sz w:val="24"/>
          <w:szCs w:val="24"/>
          <w:lang w:val="zh-CN"/>
        </w:rPr>
      </w:pPr>
      <w:r>
        <w:rPr>
          <w:rFonts w:hint="eastAsia" w:ascii="仿宋_GB2312" w:hAnsi="仿宋_GB2312" w:eastAsia="仿宋_GB2312" w:cs="仿宋_GB2312"/>
          <w:bCs/>
          <w:sz w:val="24"/>
          <w:szCs w:val="24"/>
          <w:lang w:val="zh-CN"/>
        </w:rPr>
        <w:t>为进一步贯彻落实《自然资源部国家林业和草原局关于在国土空间规划中明确造林绿化空间的通知》（自然资发〔2021〕198号，根据《海南省自然资源和规划厅 海南省林业局关于切实做好在国土空间规划中明确造林绿化空间工作的通知》（琼自然资函〔2022〕427号）及《海南省自然资源和规划厅关于配合做好在国土空间规划中明确造林绿化空间工作的通知》（琼自然资函〔2022〕492号）要求，屯昌县需开展国土空间规划中明确造林绿化空间工作。</w:t>
      </w:r>
    </w:p>
    <w:p>
      <w:pPr>
        <w:pStyle w:val="15"/>
        <w:spacing w:line="360" w:lineRule="auto"/>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二、服务需求</w:t>
      </w:r>
    </w:p>
    <w:p>
      <w:pPr>
        <w:spacing w:line="360" w:lineRule="auto"/>
        <w:ind w:firstLine="480" w:firstLineChars="200"/>
        <w:jc w:val="left"/>
        <w:rPr>
          <w:rFonts w:ascii="仿宋_GB2312" w:hAnsi="仿宋_GB2312" w:eastAsia="仿宋_GB2312" w:cs="仿宋_GB2312"/>
          <w:bCs/>
          <w:sz w:val="24"/>
          <w:szCs w:val="24"/>
          <w:lang w:val="zh-CN"/>
        </w:rPr>
      </w:pPr>
      <w:r>
        <w:rPr>
          <w:rFonts w:hint="eastAsia" w:ascii="仿宋_GB2312" w:hAnsi="仿宋_GB2312" w:eastAsia="仿宋_GB2312" w:cs="仿宋_GB2312"/>
          <w:bCs/>
          <w:sz w:val="24"/>
          <w:szCs w:val="24"/>
        </w:rPr>
        <w:t>（一）</w:t>
      </w:r>
      <w:r>
        <w:rPr>
          <w:rFonts w:hint="eastAsia" w:ascii="仿宋_GB2312" w:hAnsi="仿宋_GB2312" w:eastAsia="仿宋_GB2312" w:cs="仿宋_GB2312"/>
          <w:bCs/>
          <w:sz w:val="24"/>
          <w:szCs w:val="24"/>
          <w:lang w:val="zh-CN"/>
        </w:rPr>
        <w:t>、</w:t>
      </w:r>
      <w:r>
        <w:rPr>
          <w:rFonts w:hint="eastAsia" w:ascii="仿宋_GB2312" w:hAnsi="仿宋_GB2312" w:eastAsia="仿宋_GB2312" w:cs="仿宋_GB2312"/>
          <w:bCs/>
          <w:sz w:val="24"/>
          <w:szCs w:val="24"/>
        </w:rPr>
        <w:t>工作目标</w:t>
      </w:r>
    </w:p>
    <w:p>
      <w:pPr>
        <w:spacing w:line="360" w:lineRule="auto"/>
        <w:ind w:firstLine="480" w:firstLineChars="20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为贯彻落实党中央、国务院关于坚决制止耕地“非农化”、防止耕地“非粮化”、科学绿化、保护修复等系列决策部署，充分运用第三次全国国土调查（以下简称“三调”）和最新年度国土变更调查成果，加强规划统筹，带位置下达绿化任务。根据省、市县资规和林业部门工作部署，对县里下发的1.2万个绿化空间图斑（面积约3571公顷），坚持“宜乔则乔、宜灌则灌、宣草则草、宜湿则湿、宜荒则荒”的原则，按照《海南省造林绿化空间调查评估技术方案》实事求是开展适宜性评估，将适宜造林的地块列入造林绿化空间，同时结合国土空间规划编制等工作，将造林绿化空间明确落实到屯昌县国土空间规划中并上图入库。</w:t>
      </w:r>
    </w:p>
    <w:p>
      <w:pPr>
        <w:spacing w:line="360" w:lineRule="auto"/>
        <w:ind w:firstLine="480" w:firstLineChars="20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（二）、调查评估范围</w:t>
      </w:r>
    </w:p>
    <w:p>
      <w:pPr>
        <w:spacing w:line="360" w:lineRule="auto"/>
        <w:ind w:firstLine="480" w:firstLineChars="200"/>
        <w:jc w:val="left"/>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省林业局下发的图斑范围，即：以第三次全国国土调查（以下简称“三调”）及最新年度变更调查成果确定的四种地类为基础，主要包括：“其他土地”中适宜造林绿化的盐碱地、沙地、裸土地，林地中适宜造林绿化的“灌木林地”、“其他林地”，以及其他地类中符合国家有关规定并适宜造林绿化的土地。</w:t>
      </w:r>
    </w:p>
    <w:p>
      <w:pPr>
        <w:spacing w:line="360" w:lineRule="auto"/>
        <w:ind w:firstLine="480" w:firstLineChars="200"/>
        <w:jc w:val="left"/>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（三）、工作内容</w:t>
      </w:r>
    </w:p>
    <w:p>
      <w:pPr>
        <w:spacing w:line="360" w:lineRule="auto"/>
        <w:ind w:firstLine="480" w:firstLineChars="20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根据省专班下发的图班，开展造林绿化空间适宜性评估等相关工作。</w:t>
      </w:r>
    </w:p>
    <w:p>
      <w:pPr>
        <w:spacing w:line="360" w:lineRule="auto"/>
        <w:ind w:firstLine="480" w:firstLineChars="20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3.1制作底图。根据省专班下发的图斑，结合屯昌县实际情况对图斑补充完善后，形成工作底图。</w:t>
      </w:r>
    </w:p>
    <w:p>
      <w:pPr>
        <w:spacing w:line="360" w:lineRule="auto"/>
        <w:ind w:firstLine="480" w:firstLineChars="20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3.2调查评估。参考《海南省造林绿化空间调查评估技术方案》技术标准对下发图斑和补充图斑，按照实地调查和内业结合，全部进行评估，需举证图斑使用“国土调查云”提供照片、文件等举证材料。</w:t>
      </w:r>
    </w:p>
    <w:p>
      <w:pPr>
        <w:spacing w:line="360" w:lineRule="auto"/>
        <w:ind w:firstLine="480" w:firstLineChars="20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3.3上图入库。协助市县林业局、市县资规局对适宜造林绿化空间的合理性、协调性把关，研究提出的2025年、2030年、2035年的森林覆盖率和林地保有量目标。</w:t>
      </w:r>
    </w:p>
    <w:p>
      <w:pPr>
        <w:spacing w:line="360" w:lineRule="auto"/>
        <w:ind w:firstLine="480" w:firstLineChars="200"/>
        <w:jc w:val="left"/>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（四）成果提交</w:t>
      </w:r>
    </w:p>
    <w:p>
      <w:pPr>
        <w:spacing w:line="360" w:lineRule="auto"/>
        <w:ind w:firstLine="480" w:firstLineChars="20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4.1成果内容。规划造林绿化空间调查评估数据库、统计表、成果报告。</w:t>
      </w:r>
    </w:p>
    <w:p>
      <w:pPr>
        <w:spacing w:line="360" w:lineRule="auto"/>
        <w:ind w:firstLine="480" w:firstLineChars="20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4.2成果要求。按《海南省造林绿化空间调查评估技术方案》要求执行。</w:t>
      </w:r>
    </w:p>
    <w:p>
      <w:pPr>
        <w:spacing w:line="360" w:lineRule="auto"/>
        <w:rPr>
          <w:rFonts w:ascii="仿宋_GB2312" w:hAnsi="仿宋_GB2312" w:eastAsia="仿宋_GB2312" w:cs="仿宋_GB2312"/>
          <w:b/>
          <w:sz w:val="22"/>
        </w:rPr>
      </w:pPr>
      <w:r>
        <w:rPr>
          <w:rFonts w:hint="eastAsia" w:ascii="仿宋_GB2312" w:hAnsi="仿宋_GB2312" w:eastAsia="仿宋_GB2312" w:cs="仿宋_GB2312"/>
          <w:b/>
          <w:sz w:val="22"/>
        </w:rPr>
        <w:t>三、商务要求</w:t>
      </w:r>
    </w:p>
    <w:p>
      <w:pPr>
        <w:spacing w:line="360" w:lineRule="auto"/>
        <w:ind w:firstLine="480" w:firstLineChars="20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1、项目地点：采购人指定地点；</w:t>
      </w:r>
    </w:p>
    <w:p>
      <w:pPr>
        <w:spacing w:line="360" w:lineRule="auto"/>
        <w:ind w:firstLine="480" w:firstLineChars="20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2、服务期限：合同签订之日起90天内。</w:t>
      </w:r>
    </w:p>
    <w:p>
      <w:pPr>
        <w:spacing w:line="360" w:lineRule="auto"/>
        <w:ind w:firstLine="480" w:firstLineChars="20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3、付款方式：具体以合同约定为准；</w:t>
      </w:r>
    </w:p>
    <w:p>
      <w:pPr>
        <w:spacing w:line="360" w:lineRule="auto"/>
        <w:ind w:firstLine="480" w:firstLineChars="20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4、验收：项目结束后，成交单位须配合采购单位做好项目验收工作。</w:t>
      </w:r>
    </w:p>
    <w:p>
      <w:pPr>
        <w:spacing w:line="360" w:lineRule="auto"/>
        <w:rPr>
          <w:rFonts w:ascii="仿宋_GB2312" w:hAnsi="仿宋_GB2312" w:eastAsia="仿宋_GB2312" w:cs="仿宋_GB2312"/>
          <w:sz w:val="22"/>
        </w:rPr>
      </w:pPr>
      <w:r>
        <w:rPr>
          <w:rFonts w:hint="eastAsia" w:ascii="仿宋_GB2312" w:hAnsi="仿宋_GB2312" w:eastAsia="仿宋_GB2312" w:cs="仿宋_GB2312"/>
          <w:b/>
          <w:sz w:val="22"/>
        </w:rPr>
        <w:t>五、其他</w:t>
      </w:r>
    </w:p>
    <w:p>
      <w:pPr>
        <w:spacing w:line="360" w:lineRule="auto"/>
        <w:ind w:firstLine="480" w:firstLineChars="20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1、供应商须以保证优质的服务质量为服务目标，不得恶意低价竞标。评标委员会认为供应商的报价明显低于其他通过符合性审查供应商的报价，有可能影响服务质量或者不能诚信履约的，将要求其在评标现场合理的时间内提供书面说明，必要时提交相关证明材料；供应商不能证明其报价合理性的，响应将作为无效响应处理；</w:t>
      </w:r>
    </w:p>
    <w:p>
      <w:r>
        <w:rPr>
          <w:rFonts w:hint="eastAsia" w:ascii="仿宋_GB2312" w:hAnsi="仿宋_GB2312" w:eastAsia="仿宋_GB2312" w:cs="仿宋_GB2312"/>
          <w:bCs/>
          <w:sz w:val="24"/>
          <w:szCs w:val="24"/>
        </w:rPr>
        <w:t>2、其他未尽事宜以合同约定为准。</w:t>
      </w:r>
    </w:p>
    <w:p>
      <w:pPr>
        <w:pStyle w:val="3"/>
        <w:tabs>
          <w:tab w:val="left" w:pos="900"/>
        </w:tabs>
        <w:spacing w:line="360" w:lineRule="auto"/>
        <w:jc w:val="both"/>
        <w:rPr>
          <w:rFonts w:hint="eastAsia" w:cs="宋体"/>
          <w:b/>
          <w:color w:val="auto"/>
          <w:sz w:val="44"/>
          <w:szCs w:val="44"/>
          <w:highlight w:val="none"/>
        </w:rPr>
      </w:pPr>
    </w:p>
    <w:p>
      <w:pPr>
        <w:pStyle w:val="3"/>
        <w:tabs>
          <w:tab w:val="left" w:pos="900"/>
        </w:tabs>
        <w:spacing w:line="360" w:lineRule="auto"/>
        <w:ind w:left="304" w:hanging="360" w:hangingChars="69"/>
        <w:jc w:val="center"/>
        <w:rPr>
          <w:rFonts w:hint="eastAsia" w:cs="宋体"/>
          <w:b/>
          <w:color w:val="auto"/>
          <w:sz w:val="44"/>
          <w:szCs w:val="44"/>
          <w:highlight w:val="none"/>
        </w:rPr>
      </w:pPr>
    </w:p>
    <w:p>
      <w:pPr>
        <w:pStyle w:val="3"/>
        <w:tabs>
          <w:tab w:val="left" w:pos="900"/>
        </w:tabs>
        <w:spacing w:line="360" w:lineRule="auto"/>
        <w:ind w:left="304" w:hanging="360" w:hangingChars="69"/>
        <w:jc w:val="center"/>
        <w:rPr>
          <w:rFonts w:hint="eastAsia" w:cs="宋体"/>
          <w:b/>
          <w:color w:val="auto"/>
          <w:sz w:val="44"/>
          <w:szCs w:val="44"/>
          <w:highlight w:val="none"/>
        </w:rPr>
      </w:pPr>
      <w:r>
        <w:rPr>
          <w:rFonts w:hint="eastAsia" w:cs="宋体"/>
          <w:b/>
          <w:color w:val="auto"/>
          <w:sz w:val="44"/>
          <w:szCs w:val="44"/>
          <w:highlight w:val="none"/>
        </w:rPr>
        <w:t>第四章 合同条款</w:t>
      </w:r>
      <w:bookmarkEnd w:id="236"/>
      <w:bookmarkStart w:id="237" w:name="_Toc65829023"/>
    </w:p>
    <w:p>
      <w:pPr>
        <w:pStyle w:val="3"/>
        <w:tabs>
          <w:tab w:val="left" w:pos="900"/>
        </w:tabs>
        <w:spacing w:line="360" w:lineRule="auto"/>
        <w:ind w:left="193" w:hanging="249" w:hangingChars="69"/>
        <w:jc w:val="center"/>
        <w:rPr>
          <w:rFonts w:hint="eastAsia" w:eastAsia="宋体" w:cs="宋体"/>
          <w:b/>
          <w:color w:val="auto"/>
          <w:sz w:val="28"/>
          <w:szCs w:val="28"/>
          <w:highlight w:val="none"/>
          <w:lang w:val="en-US" w:eastAsia="zh-CN"/>
        </w:rPr>
      </w:pPr>
      <w:r>
        <w:rPr>
          <w:rFonts w:hint="eastAsia" w:eastAsia="宋体" w:cs="宋体"/>
          <w:b/>
          <w:color w:val="auto"/>
          <w:sz w:val="28"/>
          <w:szCs w:val="28"/>
          <w:highlight w:val="none"/>
          <w:lang w:val="en-US" w:eastAsia="zh-CN"/>
        </w:rPr>
        <w:t>（业主与中标方约定）</w:t>
      </w:r>
    </w:p>
    <w:p>
      <w:pPr>
        <w:pStyle w:val="3"/>
        <w:tabs>
          <w:tab w:val="left" w:pos="900"/>
        </w:tabs>
        <w:spacing w:line="360" w:lineRule="auto"/>
        <w:ind w:left="304" w:hanging="360" w:hangingChars="69"/>
        <w:jc w:val="center"/>
        <w:rPr>
          <w:rFonts w:hint="eastAsia" w:cs="宋体"/>
          <w:b/>
          <w:color w:val="auto"/>
          <w:sz w:val="44"/>
          <w:szCs w:val="44"/>
          <w:highlight w:val="none"/>
        </w:rPr>
      </w:pPr>
    </w:p>
    <w:p>
      <w:pPr>
        <w:pStyle w:val="3"/>
        <w:tabs>
          <w:tab w:val="left" w:pos="900"/>
        </w:tabs>
        <w:spacing w:line="360" w:lineRule="auto"/>
        <w:ind w:left="304" w:hanging="360" w:hangingChars="69"/>
        <w:jc w:val="center"/>
        <w:rPr>
          <w:rFonts w:hint="eastAsia" w:cs="宋体"/>
          <w:b/>
          <w:color w:val="auto"/>
          <w:sz w:val="44"/>
          <w:szCs w:val="44"/>
          <w:highlight w:val="none"/>
        </w:rPr>
      </w:pPr>
    </w:p>
    <w:p>
      <w:pPr>
        <w:pStyle w:val="3"/>
        <w:tabs>
          <w:tab w:val="left" w:pos="900"/>
        </w:tabs>
        <w:spacing w:line="360" w:lineRule="auto"/>
        <w:ind w:left="304" w:hanging="360" w:hangingChars="69"/>
        <w:jc w:val="center"/>
        <w:rPr>
          <w:rFonts w:hint="eastAsia" w:cs="宋体"/>
          <w:b/>
          <w:color w:val="auto"/>
          <w:sz w:val="44"/>
          <w:szCs w:val="44"/>
          <w:highlight w:val="none"/>
        </w:rPr>
      </w:pPr>
    </w:p>
    <w:p>
      <w:pPr>
        <w:pStyle w:val="3"/>
        <w:tabs>
          <w:tab w:val="left" w:pos="900"/>
        </w:tabs>
        <w:spacing w:line="360" w:lineRule="auto"/>
        <w:ind w:left="304" w:hanging="360" w:hangingChars="69"/>
        <w:jc w:val="center"/>
        <w:rPr>
          <w:rFonts w:hint="eastAsia" w:cs="宋体"/>
          <w:b/>
          <w:color w:val="auto"/>
          <w:sz w:val="44"/>
          <w:szCs w:val="44"/>
          <w:highlight w:val="none"/>
        </w:rPr>
      </w:pPr>
    </w:p>
    <w:p>
      <w:pPr>
        <w:pStyle w:val="3"/>
        <w:tabs>
          <w:tab w:val="left" w:pos="900"/>
        </w:tabs>
        <w:spacing w:line="360" w:lineRule="auto"/>
        <w:ind w:left="304" w:hanging="360" w:hangingChars="69"/>
        <w:jc w:val="center"/>
        <w:rPr>
          <w:rFonts w:hint="eastAsia" w:cs="宋体"/>
          <w:b/>
          <w:color w:val="auto"/>
          <w:sz w:val="44"/>
          <w:szCs w:val="44"/>
          <w:highlight w:val="none"/>
        </w:rPr>
      </w:pPr>
    </w:p>
    <w:p>
      <w:pPr>
        <w:pStyle w:val="3"/>
        <w:tabs>
          <w:tab w:val="left" w:pos="900"/>
        </w:tabs>
        <w:spacing w:line="360" w:lineRule="auto"/>
        <w:ind w:left="304" w:hanging="360" w:hangingChars="69"/>
        <w:jc w:val="center"/>
        <w:rPr>
          <w:rFonts w:hint="eastAsia" w:cs="宋体"/>
          <w:b/>
          <w:color w:val="auto"/>
          <w:sz w:val="44"/>
          <w:szCs w:val="44"/>
          <w:highlight w:val="none"/>
        </w:rPr>
      </w:pPr>
    </w:p>
    <w:p>
      <w:pPr>
        <w:pStyle w:val="3"/>
        <w:tabs>
          <w:tab w:val="left" w:pos="900"/>
        </w:tabs>
        <w:spacing w:line="360" w:lineRule="auto"/>
        <w:ind w:left="304" w:hanging="360" w:hangingChars="69"/>
        <w:jc w:val="center"/>
        <w:rPr>
          <w:rFonts w:hint="eastAsia" w:cs="宋体"/>
          <w:b/>
          <w:color w:val="auto"/>
          <w:sz w:val="44"/>
          <w:szCs w:val="44"/>
          <w:highlight w:val="none"/>
        </w:rPr>
      </w:pPr>
    </w:p>
    <w:p>
      <w:pPr>
        <w:pStyle w:val="3"/>
        <w:tabs>
          <w:tab w:val="left" w:pos="900"/>
        </w:tabs>
        <w:spacing w:line="360" w:lineRule="auto"/>
        <w:ind w:left="304" w:hanging="360" w:hangingChars="69"/>
        <w:jc w:val="center"/>
        <w:rPr>
          <w:rFonts w:hint="eastAsia" w:cs="宋体"/>
          <w:b/>
          <w:color w:val="auto"/>
          <w:sz w:val="44"/>
          <w:szCs w:val="44"/>
          <w:highlight w:val="none"/>
        </w:rPr>
      </w:pPr>
    </w:p>
    <w:p>
      <w:pPr>
        <w:pStyle w:val="3"/>
        <w:tabs>
          <w:tab w:val="left" w:pos="900"/>
        </w:tabs>
        <w:spacing w:line="360" w:lineRule="auto"/>
        <w:ind w:left="304" w:hanging="360" w:hangingChars="69"/>
        <w:jc w:val="center"/>
        <w:rPr>
          <w:rFonts w:hint="eastAsia" w:cs="宋体"/>
          <w:b/>
          <w:color w:val="auto"/>
          <w:sz w:val="44"/>
          <w:szCs w:val="44"/>
          <w:highlight w:val="none"/>
        </w:rPr>
      </w:pPr>
    </w:p>
    <w:p>
      <w:pPr>
        <w:pStyle w:val="3"/>
        <w:tabs>
          <w:tab w:val="left" w:pos="900"/>
        </w:tabs>
        <w:spacing w:line="360" w:lineRule="auto"/>
        <w:ind w:left="304" w:hanging="360" w:hangingChars="69"/>
        <w:jc w:val="center"/>
        <w:rPr>
          <w:rFonts w:hint="eastAsia" w:cs="宋体"/>
          <w:b/>
          <w:color w:val="auto"/>
          <w:sz w:val="44"/>
          <w:szCs w:val="44"/>
          <w:highlight w:val="none"/>
        </w:rPr>
      </w:pPr>
    </w:p>
    <w:p>
      <w:pPr>
        <w:pStyle w:val="3"/>
        <w:tabs>
          <w:tab w:val="left" w:pos="900"/>
        </w:tabs>
        <w:spacing w:line="360" w:lineRule="auto"/>
        <w:ind w:left="304" w:hanging="360" w:hangingChars="69"/>
        <w:jc w:val="center"/>
        <w:rPr>
          <w:rFonts w:hint="eastAsia" w:cs="宋体"/>
          <w:b/>
          <w:color w:val="auto"/>
          <w:sz w:val="44"/>
          <w:szCs w:val="44"/>
          <w:highlight w:val="none"/>
        </w:rPr>
      </w:pPr>
    </w:p>
    <w:p>
      <w:pPr>
        <w:pStyle w:val="3"/>
        <w:tabs>
          <w:tab w:val="left" w:pos="900"/>
        </w:tabs>
        <w:spacing w:line="360" w:lineRule="auto"/>
        <w:jc w:val="both"/>
        <w:rPr>
          <w:rFonts w:hint="eastAsia" w:cs="宋体"/>
          <w:b/>
          <w:color w:val="auto"/>
          <w:sz w:val="44"/>
          <w:szCs w:val="44"/>
          <w:highlight w:val="none"/>
        </w:rPr>
      </w:pPr>
    </w:p>
    <w:p>
      <w:pPr>
        <w:pStyle w:val="3"/>
        <w:tabs>
          <w:tab w:val="left" w:pos="900"/>
        </w:tabs>
        <w:spacing w:line="360" w:lineRule="auto"/>
        <w:ind w:left="304" w:hanging="360" w:hangingChars="69"/>
        <w:jc w:val="center"/>
        <w:rPr>
          <w:rFonts w:hint="eastAsia" w:cs="宋体"/>
          <w:b/>
          <w:color w:val="auto"/>
          <w:sz w:val="44"/>
          <w:szCs w:val="44"/>
          <w:highlight w:val="none"/>
        </w:rPr>
      </w:pPr>
    </w:p>
    <w:p>
      <w:pPr>
        <w:rPr>
          <w:rFonts w:hint="eastAsia" w:cs="宋体"/>
          <w:b/>
          <w:color w:val="auto"/>
          <w:sz w:val="44"/>
          <w:szCs w:val="44"/>
          <w:highlight w:val="none"/>
        </w:rPr>
      </w:pPr>
    </w:p>
    <w:p>
      <w:pPr>
        <w:rPr>
          <w:rFonts w:hint="eastAsia" w:cs="宋体"/>
          <w:b/>
          <w:color w:val="auto"/>
          <w:sz w:val="44"/>
          <w:szCs w:val="44"/>
          <w:highlight w:val="none"/>
        </w:rPr>
      </w:pPr>
    </w:p>
    <w:p>
      <w:pPr>
        <w:pStyle w:val="6"/>
        <w:rPr>
          <w:rFonts w:hint="eastAsia"/>
        </w:rPr>
      </w:pPr>
    </w:p>
    <w:p>
      <w:pPr>
        <w:pStyle w:val="3"/>
        <w:tabs>
          <w:tab w:val="left" w:pos="900"/>
        </w:tabs>
        <w:spacing w:line="360" w:lineRule="auto"/>
        <w:ind w:left="304" w:hanging="360" w:hangingChars="69"/>
        <w:jc w:val="center"/>
        <w:rPr>
          <w:rFonts w:hint="eastAsia" w:cs="宋体"/>
          <w:b/>
          <w:color w:val="auto"/>
          <w:sz w:val="44"/>
          <w:szCs w:val="44"/>
          <w:highlight w:val="none"/>
        </w:rPr>
      </w:pPr>
      <w:r>
        <w:rPr>
          <w:rFonts w:hint="eastAsia" w:cs="宋体"/>
          <w:b/>
          <w:color w:val="auto"/>
          <w:sz w:val="44"/>
          <w:szCs w:val="44"/>
          <w:highlight w:val="none"/>
        </w:rPr>
        <w:t>第五章 评审标准及办法</w:t>
      </w:r>
      <w:bookmarkEnd w:id="237"/>
    </w:p>
    <w:p>
      <w:pPr>
        <w:pStyle w:val="2"/>
        <w:tabs>
          <w:tab w:val="left" w:pos="795"/>
        </w:tabs>
        <w:ind w:left="435"/>
        <w:jc w:val="center"/>
        <w:rPr>
          <w:rFonts w:hint="eastAsia" w:ascii="宋体" w:hAnsi="宋体" w:cs="宋体"/>
          <w:color w:val="auto"/>
          <w:sz w:val="30"/>
          <w:szCs w:val="30"/>
          <w:highlight w:val="none"/>
        </w:rPr>
      </w:pPr>
      <w:bookmarkStart w:id="238" w:name="_Toc65829024"/>
      <w:bookmarkStart w:id="239" w:name="_Toc58005987"/>
      <w:bookmarkStart w:id="240" w:name="_Toc65676980"/>
      <w:r>
        <w:rPr>
          <w:rFonts w:hint="eastAsia" w:ascii="宋体" w:hAnsi="宋体" w:cs="宋体"/>
          <w:color w:val="auto"/>
          <w:sz w:val="30"/>
          <w:szCs w:val="30"/>
          <w:highlight w:val="none"/>
        </w:rPr>
        <w:t>磋商程序</w:t>
      </w:r>
      <w:bookmarkEnd w:id="238"/>
      <w:bookmarkEnd w:id="239"/>
      <w:bookmarkEnd w:id="240"/>
    </w:p>
    <w:p>
      <w:pPr>
        <w:pStyle w:val="2"/>
        <w:tabs>
          <w:tab w:val="left" w:pos="795"/>
        </w:tabs>
        <w:ind w:left="435"/>
        <w:rPr>
          <w:rFonts w:hint="eastAsia" w:ascii="仿宋_GB2312" w:hAnsi="仿宋_GB2312" w:eastAsia="仿宋_GB2312" w:cs="仿宋_GB2312"/>
          <w:b/>
          <w:bCs w:val="0"/>
          <w:spacing w:val="0"/>
          <w:kern w:val="2"/>
          <w:sz w:val="24"/>
          <w:szCs w:val="24"/>
          <w:lang w:val="en-US" w:eastAsia="zh-CN" w:bidi="ar-SA"/>
        </w:rPr>
      </w:pPr>
      <w:bookmarkStart w:id="241" w:name="_Toc65829025"/>
      <w:bookmarkStart w:id="242" w:name="_Toc65676981"/>
      <w:bookmarkStart w:id="243" w:name="_Toc58005988"/>
      <w:r>
        <w:rPr>
          <w:rFonts w:hint="eastAsia" w:ascii="仿宋_GB2312" w:hAnsi="仿宋_GB2312" w:eastAsia="仿宋_GB2312" w:cs="仿宋_GB2312"/>
          <w:b/>
          <w:bCs w:val="0"/>
          <w:spacing w:val="0"/>
          <w:kern w:val="2"/>
          <w:sz w:val="24"/>
          <w:szCs w:val="24"/>
          <w:lang w:val="en-US" w:eastAsia="zh-CN" w:bidi="ar-SA"/>
        </w:rPr>
        <w:t>一、评审原则</w:t>
      </w:r>
      <w:bookmarkEnd w:id="241"/>
      <w:bookmarkEnd w:id="242"/>
      <w:bookmarkEnd w:id="243"/>
    </w:p>
    <w:p>
      <w:pPr>
        <w:spacing w:line="360" w:lineRule="auto"/>
        <w:ind w:firstLine="480" w:firstLineChars="20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1、本次采购采用竞争性磋商方式进行，评审由依法组成的磋商小组负责完成。评审基本原则：评审工作应依据《中华人民共和国政府采购法》以及国家和地方政府采购的有关规定，遵循“公开、公平、公正、择优、诚实信用”的原则。</w:t>
      </w:r>
    </w:p>
    <w:p>
      <w:pPr>
        <w:spacing w:line="360" w:lineRule="auto"/>
        <w:ind w:firstLine="480" w:firstLineChars="20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2、本次竞争性磋商采购的评审采用综合评分法。</w:t>
      </w:r>
    </w:p>
    <w:p>
      <w:pPr>
        <w:pStyle w:val="2"/>
        <w:tabs>
          <w:tab w:val="left" w:pos="795"/>
        </w:tabs>
        <w:ind w:left="435"/>
        <w:rPr>
          <w:rFonts w:hint="eastAsia" w:ascii="仿宋_GB2312" w:hAnsi="仿宋_GB2312" w:eastAsia="仿宋_GB2312" w:cs="仿宋_GB2312"/>
          <w:b/>
          <w:bCs w:val="0"/>
          <w:spacing w:val="0"/>
          <w:kern w:val="2"/>
          <w:sz w:val="24"/>
          <w:szCs w:val="24"/>
          <w:lang w:val="en-US" w:eastAsia="zh-CN" w:bidi="ar-SA"/>
        </w:rPr>
      </w:pPr>
      <w:bookmarkStart w:id="244" w:name="_Toc65676982"/>
      <w:bookmarkStart w:id="245" w:name="_Toc65829026"/>
      <w:bookmarkStart w:id="246" w:name="_Toc58005989"/>
      <w:r>
        <w:rPr>
          <w:rFonts w:hint="eastAsia" w:ascii="仿宋_GB2312" w:hAnsi="仿宋_GB2312" w:eastAsia="仿宋_GB2312" w:cs="仿宋_GB2312"/>
          <w:b/>
          <w:bCs w:val="0"/>
          <w:spacing w:val="0"/>
          <w:kern w:val="2"/>
          <w:sz w:val="24"/>
          <w:szCs w:val="24"/>
          <w:lang w:val="en-US" w:eastAsia="zh-CN" w:bidi="ar-SA"/>
        </w:rPr>
        <w:t>二、磋商程序和评审方法</w:t>
      </w:r>
      <w:bookmarkEnd w:id="244"/>
      <w:bookmarkEnd w:id="245"/>
      <w:bookmarkEnd w:id="246"/>
    </w:p>
    <w:p>
      <w:pPr>
        <w:spacing w:line="360" w:lineRule="auto"/>
        <w:ind w:firstLine="480" w:firstLineChars="20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1、磋商小组对响应文件的有效性、完整性和响应程度进行审查，如发现响应文件中含义不明确、同类问题表述不一致或者有明显文字和计算错误的等内容，可以要求供应商作出必要的澄清、说明或者更正。供应商的澄清、说明或者更正不得超出响应文件的范围或者改变响应文件的实质性内容。</w:t>
      </w:r>
    </w:p>
    <w:p>
      <w:pPr>
        <w:spacing w:line="360" w:lineRule="auto"/>
        <w:ind w:firstLine="480" w:firstLineChars="20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2、磋商小组根据附表1的内容，对响应文件进行初步评审，只有通过初步评审的供应商才能继续进行磋商程序。</w:t>
      </w:r>
    </w:p>
    <w:p>
      <w:pPr>
        <w:spacing w:line="360" w:lineRule="auto"/>
        <w:ind w:firstLine="480" w:firstLineChars="20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 xml:space="preserve">除符合“政府采购竞争性磋商采购方式管理暂行办法”第三条第四项情形的，通过初步评审的供应商必须不少于2家，否则磋商失败。 </w:t>
      </w:r>
    </w:p>
    <w:p>
      <w:pPr>
        <w:spacing w:line="360" w:lineRule="auto"/>
        <w:ind w:firstLine="480" w:firstLineChars="20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3、磋商小组所有成员应当集中与单一供应商分别进行磋商。</w:t>
      </w:r>
    </w:p>
    <w:p>
      <w:pPr>
        <w:spacing w:line="360" w:lineRule="auto"/>
        <w:ind w:firstLine="480" w:firstLineChars="20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4、磋商结束后，磋商小组应当要求所有实质性响应的供应商在规定时间内提交最后报价。最后报价是供应商响应文件的有效组成部分。</w:t>
      </w:r>
    </w:p>
    <w:p>
      <w:pPr>
        <w:spacing w:line="360" w:lineRule="auto"/>
        <w:ind w:firstLine="480" w:firstLineChars="20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已提交响应文件的供应商，在提交最后报价之前，可以根据磋商情况退出磋商。</w:t>
      </w:r>
    </w:p>
    <w:p>
      <w:pPr>
        <w:spacing w:line="360" w:lineRule="auto"/>
        <w:ind w:firstLine="480" w:firstLineChars="20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 xml:space="preserve">供应商不得以低于成本的报价竞标。如果磋商小组发现供应商的报价明显低于其他投标报价，使得其投标报价可能低于其个别成本的，将要求该供应商作书面说明并提供相关证明材料。供应商不能合理说明或不能提供相关证明材料的，磋商小组将认定该供应商以低于成本报价竞标，其投标作无效投标处理。 </w:t>
      </w:r>
    </w:p>
    <w:p>
      <w:pPr>
        <w:spacing w:line="360" w:lineRule="auto"/>
        <w:ind w:firstLine="480" w:firstLineChars="20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5、经磋商确定最终采购需求和提交最后报价的供应商后，由磋商小组采用综合评分法对提交最后报价的供应商的响应文件和最后报价进行综合评分。</w:t>
      </w:r>
    </w:p>
    <w:p>
      <w:pPr>
        <w:spacing w:line="360" w:lineRule="auto"/>
        <w:ind w:firstLine="480" w:firstLineChars="20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6.综合评分具体评审的内容详见（附表2），技术、商务及价格权重分配如下：</w:t>
      </w:r>
    </w:p>
    <w:tbl>
      <w:tblPr>
        <w:tblStyle w:val="3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270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1800" w:type="dxa"/>
            <w:vAlign w:val="center"/>
          </w:tcPr>
          <w:p>
            <w:pPr>
              <w:spacing w:line="360" w:lineRule="auto"/>
              <w:ind w:firstLine="482" w:firstLineChars="200"/>
              <w:rPr>
                <w:rFonts w:hint="eastAsia" w:ascii="仿宋_GB2312" w:hAnsi="仿宋_GB2312" w:eastAsia="仿宋_GB2312" w:cs="仿宋_GB2312"/>
                <w:b/>
                <w:bCs w:val="0"/>
                <w:sz w:val="24"/>
                <w:szCs w:val="24"/>
              </w:rPr>
            </w:pPr>
            <w:r>
              <w:rPr>
                <w:rFonts w:hint="eastAsia" w:ascii="仿宋_GB2312" w:hAnsi="仿宋_GB2312" w:eastAsia="仿宋_GB2312" w:cs="仿宋_GB2312"/>
                <w:b/>
                <w:bCs w:val="0"/>
                <w:sz w:val="24"/>
                <w:szCs w:val="24"/>
              </w:rPr>
              <w:t>类别</w:t>
            </w:r>
          </w:p>
        </w:tc>
        <w:tc>
          <w:tcPr>
            <w:tcW w:w="2700" w:type="dxa"/>
            <w:vAlign w:val="center"/>
          </w:tcPr>
          <w:p>
            <w:pPr>
              <w:spacing w:line="360" w:lineRule="auto"/>
              <w:ind w:firstLine="482" w:firstLineChars="200"/>
              <w:rPr>
                <w:rFonts w:hint="eastAsia" w:ascii="仿宋_GB2312" w:hAnsi="仿宋_GB2312" w:eastAsia="仿宋_GB2312" w:cs="仿宋_GB2312"/>
                <w:b/>
                <w:bCs w:val="0"/>
                <w:sz w:val="24"/>
                <w:szCs w:val="24"/>
              </w:rPr>
            </w:pPr>
            <w:r>
              <w:rPr>
                <w:rFonts w:hint="eastAsia" w:ascii="仿宋_GB2312" w:hAnsi="仿宋_GB2312" w:eastAsia="仿宋_GB2312" w:cs="仿宋_GB2312"/>
                <w:b/>
                <w:bCs w:val="0"/>
                <w:sz w:val="24"/>
                <w:szCs w:val="24"/>
              </w:rPr>
              <w:t>技术、商务</w:t>
            </w:r>
          </w:p>
        </w:tc>
        <w:tc>
          <w:tcPr>
            <w:tcW w:w="1260" w:type="dxa"/>
            <w:vAlign w:val="center"/>
          </w:tcPr>
          <w:p>
            <w:pPr>
              <w:spacing w:line="360" w:lineRule="auto"/>
              <w:ind w:firstLine="482" w:firstLineChars="200"/>
              <w:rPr>
                <w:rFonts w:hint="eastAsia" w:ascii="仿宋_GB2312" w:hAnsi="仿宋_GB2312" w:eastAsia="仿宋_GB2312" w:cs="仿宋_GB2312"/>
                <w:b/>
                <w:bCs w:val="0"/>
                <w:sz w:val="24"/>
                <w:szCs w:val="24"/>
              </w:rPr>
            </w:pPr>
            <w:r>
              <w:rPr>
                <w:rFonts w:hint="eastAsia" w:ascii="仿宋_GB2312" w:hAnsi="仿宋_GB2312" w:eastAsia="仿宋_GB2312" w:cs="仿宋_GB2312"/>
                <w:b/>
                <w:bCs w:val="0"/>
                <w:sz w:val="24"/>
                <w:szCs w:val="24"/>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800" w:type="dxa"/>
            <w:vAlign w:val="center"/>
          </w:tcPr>
          <w:p>
            <w:pPr>
              <w:spacing w:line="360" w:lineRule="auto"/>
              <w:ind w:firstLine="480" w:firstLineChars="20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权重</w:t>
            </w:r>
          </w:p>
        </w:tc>
        <w:tc>
          <w:tcPr>
            <w:tcW w:w="2700" w:type="dxa"/>
            <w:vAlign w:val="center"/>
          </w:tcPr>
          <w:p>
            <w:pPr>
              <w:spacing w:line="360" w:lineRule="auto"/>
              <w:ind w:firstLine="480" w:firstLineChars="20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lang w:val="en-US" w:eastAsia="zh-CN"/>
              </w:rPr>
              <w:t>9</w:t>
            </w:r>
            <w:r>
              <w:rPr>
                <w:rFonts w:hint="eastAsia" w:ascii="仿宋_GB2312" w:hAnsi="仿宋_GB2312" w:eastAsia="仿宋_GB2312" w:cs="仿宋_GB2312"/>
                <w:bCs/>
                <w:sz w:val="24"/>
                <w:szCs w:val="24"/>
              </w:rPr>
              <w:t>0%</w:t>
            </w:r>
          </w:p>
        </w:tc>
        <w:tc>
          <w:tcPr>
            <w:tcW w:w="1260" w:type="dxa"/>
            <w:vAlign w:val="center"/>
          </w:tcPr>
          <w:p>
            <w:pPr>
              <w:spacing w:line="360" w:lineRule="auto"/>
              <w:ind w:firstLine="480" w:firstLineChars="20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lang w:val="en-US" w:eastAsia="zh-CN"/>
              </w:rPr>
              <w:t>10</w:t>
            </w:r>
            <w:r>
              <w:rPr>
                <w:rFonts w:hint="eastAsia" w:ascii="仿宋_GB2312" w:hAnsi="仿宋_GB2312" w:eastAsia="仿宋_GB2312" w:cs="仿宋_GB2312"/>
                <w:bCs/>
                <w:sz w:val="24"/>
                <w:szCs w:val="24"/>
              </w:rPr>
              <w:t>%</w:t>
            </w:r>
          </w:p>
        </w:tc>
      </w:tr>
    </w:tbl>
    <w:p>
      <w:pPr>
        <w:spacing w:line="360" w:lineRule="auto"/>
        <w:ind w:firstLine="480" w:firstLineChars="20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7.价格分计算方法：</w:t>
      </w:r>
    </w:p>
    <w:p>
      <w:pPr>
        <w:spacing w:line="360" w:lineRule="auto"/>
        <w:ind w:firstLine="480" w:firstLineChars="20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满足磋商文件要求且最终报价最低的报价为基准价，价格分统一按照下列公式计算：价格分=(基准价／最终报价)×价格权值×100</w:t>
      </w:r>
    </w:p>
    <w:p>
      <w:pPr>
        <w:spacing w:line="360" w:lineRule="auto"/>
        <w:ind w:firstLine="480" w:firstLineChars="20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7.1关于政策性加分</w:t>
      </w:r>
    </w:p>
    <w:p>
      <w:pPr>
        <w:spacing w:line="360" w:lineRule="auto"/>
        <w:ind w:firstLine="480" w:firstLineChars="20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 xml:space="preserve">7.1.1所投分包(如不分包则指本项目)的所有投标产品进入当期节能清单的，其评标价=投标报价*（1-2%）；供应商所投产品满足此规定的，必须提供声明函并提供相关证明文件。 </w:t>
      </w:r>
    </w:p>
    <w:p>
      <w:pPr>
        <w:spacing w:line="360" w:lineRule="auto"/>
        <w:ind w:firstLine="480" w:firstLineChars="20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7.1.2所投分包(如不分包则指本项目)的所有投标产品进入当期环保清单的，其评标价=投标报价*（1-1%）；供应商所投产品满足此规定的，必须提供声明函并提供相关证明文件。</w:t>
      </w:r>
    </w:p>
    <w:p>
      <w:pPr>
        <w:spacing w:line="360" w:lineRule="auto"/>
        <w:ind w:firstLine="480" w:firstLineChars="20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7.1.3供应商为小型和微型企业（含联合体）的情况：</w:t>
      </w:r>
    </w:p>
    <w:p>
      <w:pPr>
        <w:spacing w:line="360" w:lineRule="auto"/>
        <w:ind w:firstLine="480" w:firstLineChars="20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7.1.3.1中小企业的认定标准：</w:t>
      </w:r>
    </w:p>
    <w:p>
      <w:pPr>
        <w:spacing w:line="360" w:lineRule="auto"/>
        <w:ind w:firstLine="480" w:firstLineChars="20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1）提供本企业制造的货物、承担的工程或者服务，或者提供其他中小企业制造的货物，不包括提供或使用大型企业注册商标的货物；</w:t>
      </w:r>
    </w:p>
    <w:p>
      <w:pPr>
        <w:spacing w:line="360" w:lineRule="auto"/>
        <w:ind w:firstLine="480" w:firstLineChars="20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2）本规定所称中小企业划分标准，是指国务院有关部门根据企业从业人员、营业收入、资产总额等指标制定的中小企业划型标准（工信部联企业〔2011〕300号）；</w:t>
      </w:r>
    </w:p>
    <w:p>
      <w:pPr>
        <w:spacing w:line="360" w:lineRule="auto"/>
        <w:ind w:firstLine="480" w:firstLineChars="20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3）小型、微型企业提供有中型企业制造的货物的，视同为中型企业；小型、微型、中型企业提供有大型企业制造的货物的，视同为大型企业。</w:t>
      </w:r>
    </w:p>
    <w:p>
      <w:pPr>
        <w:spacing w:line="360" w:lineRule="auto"/>
        <w:ind w:firstLine="480" w:firstLineChars="20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4）监狱企业视同为小型、微型企业。</w:t>
      </w:r>
    </w:p>
    <w:p>
      <w:pPr>
        <w:spacing w:line="360" w:lineRule="auto"/>
        <w:ind w:firstLine="480" w:firstLineChars="20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（供应商为小型、微型企业，同时所投产品为小型、微型企业生产的才能享受政策性优惠）</w:t>
      </w:r>
    </w:p>
    <w:p>
      <w:pPr>
        <w:spacing w:line="360" w:lineRule="auto"/>
        <w:ind w:firstLine="480" w:firstLineChars="20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7.1.3.2具体评审价说明：</w:t>
      </w:r>
    </w:p>
    <w:p>
      <w:pPr>
        <w:spacing w:line="360" w:lineRule="auto"/>
        <w:ind w:firstLine="480" w:firstLineChars="20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1）供应商为小型或微型企业，其评审价=最终报价*</w:t>
      </w:r>
      <w:r>
        <w:rPr>
          <w:rFonts w:hint="eastAsia" w:ascii="仿宋_GB2312" w:hAnsi="仿宋_GB2312" w:eastAsia="仿宋_GB2312" w:cs="仿宋_GB2312"/>
          <w:bCs/>
          <w:sz w:val="24"/>
          <w:szCs w:val="24"/>
          <w:lang w:eastAsia="zh-CN"/>
        </w:rPr>
        <w:t>（</w:t>
      </w:r>
      <w:r>
        <w:rPr>
          <w:rFonts w:hint="eastAsia" w:ascii="仿宋_GB2312" w:hAnsi="仿宋_GB2312" w:eastAsia="仿宋_GB2312" w:cs="仿宋_GB2312"/>
          <w:bCs/>
          <w:sz w:val="24"/>
          <w:szCs w:val="24"/>
          <w:lang w:val="en-US" w:eastAsia="zh-CN"/>
        </w:rPr>
        <w:t>1-10</w:t>
      </w:r>
      <w:r>
        <w:rPr>
          <w:rFonts w:hint="eastAsia" w:ascii="仿宋_GB2312" w:hAnsi="仿宋_GB2312" w:eastAsia="仿宋_GB2312" w:cs="仿宋_GB2312"/>
          <w:bCs/>
          <w:sz w:val="24"/>
          <w:szCs w:val="24"/>
        </w:rPr>
        <w:t>%</w:t>
      </w:r>
      <w:r>
        <w:rPr>
          <w:rFonts w:hint="eastAsia" w:ascii="仿宋_GB2312" w:hAnsi="仿宋_GB2312" w:eastAsia="仿宋_GB2312" w:cs="仿宋_GB2312"/>
          <w:bCs/>
          <w:sz w:val="24"/>
          <w:szCs w:val="24"/>
          <w:lang w:eastAsia="zh-CN"/>
        </w:rPr>
        <w:t>）</w:t>
      </w:r>
      <w:r>
        <w:rPr>
          <w:rFonts w:hint="eastAsia" w:ascii="仿宋_GB2312" w:hAnsi="仿宋_GB2312" w:eastAsia="仿宋_GB2312" w:cs="仿宋_GB2312"/>
          <w:bCs/>
          <w:sz w:val="24"/>
          <w:szCs w:val="24"/>
        </w:rPr>
        <w:t>；</w:t>
      </w:r>
    </w:p>
    <w:p>
      <w:pPr>
        <w:spacing w:line="360" w:lineRule="auto"/>
        <w:ind w:firstLine="480" w:firstLineChars="20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2）供应商为联合体投标，联合体中有小型或微型企业且联合协议中约定小型、微型企业的协议合同金额占到联合体协议合同总金额30％以上的，其评审价=最终报价*（1-2%）。</w:t>
      </w:r>
    </w:p>
    <w:p>
      <w:pPr>
        <w:spacing w:line="360" w:lineRule="auto"/>
        <w:ind w:firstLine="480" w:firstLineChars="20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7.1.3.3 供应商为工信部联企业〔2011〕300号文规定的小型和微型企业（含联合体）的，必须如实填写“中小企业声明函”（内容、格式见财库〔2020〕46 号），否则无效。如有虚假骗取政策性加分，将依法承担相应责任。</w:t>
      </w:r>
    </w:p>
    <w:p>
      <w:pPr>
        <w:spacing w:line="360" w:lineRule="auto"/>
        <w:ind w:firstLine="480" w:firstLineChars="20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8. 综合评分及其统计：磋商小组成员对各供应商评分的算术平均值为该供应商的综合评分。综合得分最高的供应商为第一中标候选供应商，综合得分次高的供应商为第二中标候选供应商，以此类推。综合得分相同的，按投标报价由低到高顺序排列。综合得分和投标报价均相同的，按技术指标由优至劣顺序排列。</w:t>
      </w:r>
    </w:p>
    <w:p>
      <w:pPr>
        <w:pStyle w:val="2"/>
        <w:tabs>
          <w:tab w:val="left" w:pos="795"/>
        </w:tabs>
        <w:ind w:left="435"/>
        <w:rPr>
          <w:rFonts w:hint="eastAsia" w:ascii="仿宋_GB2312" w:hAnsi="仿宋_GB2312" w:eastAsia="仿宋_GB2312" w:cs="仿宋_GB2312"/>
          <w:b/>
          <w:bCs w:val="0"/>
          <w:spacing w:val="0"/>
          <w:kern w:val="2"/>
          <w:sz w:val="24"/>
          <w:szCs w:val="24"/>
          <w:lang w:val="en-US" w:eastAsia="zh-CN" w:bidi="ar-SA"/>
        </w:rPr>
      </w:pPr>
      <w:bookmarkStart w:id="247" w:name="_Toc58005990"/>
      <w:bookmarkStart w:id="248" w:name="_Toc65829027"/>
      <w:bookmarkStart w:id="249" w:name="_Toc65676983"/>
      <w:r>
        <w:rPr>
          <w:rFonts w:hint="eastAsia" w:ascii="仿宋_GB2312" w:hAnsi="仿宋_GB2312" w:eastAsia="仿宋_GB2312" w:cs="仿宋_GB2312"/>
          <w:b/>
          <w:bCs w:val="0"/>
          <w:spacing w:val="0"/>
          <w:kern w:val="2"/>
          <w:sz w:val="24"/>
          <w:szCs w:val="24"/>
          <w:lang w:val="en-US" w:eastAsia="zh-CN" w:bidi="ar-SA"/>
        </w:rPr>
        <w:t>三、磋商、评审过程的保密性</w:t>
      </w:r>
      <w:bookmarkEnd w:id="247"/>
      <w:bookmarkEnd w:id="248"/>
      <w:bookmarkEnd w:id="249"/>
    </w:p>
    <w:p>
      <w:pPr>
        <w:spacing w:line="360" w:lineRule="auto"/>
        <w:ind w:firstLine="480" w:firstLineChars="20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1、接受报价后，直至成交供应商与采购人签订合同后止，凡与磋商、审查、澄清、评价、比较、确定成交供应商意见有关的内容，任何人均不得向供应商及与磋商、评审无关的其他人透露。</w:t>
      </w:r>
    </w:p>
    <w:p>
      <w:pPr>
        <w:spacing w:line="360" w:lineRule="auto"/>
        <w:ind w:firstLine="480" w:firstLineChars="20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2、从报价递交截止时间起到确定成交供应商日止，供应商不得与参加磋商、评审的有关人员私下接触。在磋商评审过程中，如果供应商试图在响应文件审查、澄清、比较及推荐成交供应商方面向参与磋商、评审的有关人员和采购人施加任何影响，其报价将被拒绝。</w:t>
      </w:r>
    </w:p>
    <w:p>
      <w:pPr>
        <w:pStyle w:val="2"/>
        <w:tabs>
          <w:tab w:val="left" w:pos="795"/>
        </w:tabs>
        <w:ind w:left="435"/>
        <w:rPr>
          <w:rFonts w:hint="eastAsia" w:ascii="仿宋_GB2312" w:hAnsi="仿宋_GB2312" w:eastAsia="仿宋_GB2312" w:cs="仿宋_GB2312"/>
          <w:b/>
          <w:bCs w:val="0"/>
          <w:spacing w:val="0"/>
          <w:kern w:val="2"/>
          <w:sz w:val="24"/>
          <w:szCs w:val="24"/>
          <w:lang w:val="en-US" w:eastAsia="zh-CN" w:bidi="ar-SA"/>
        </w:rPr>
      </w:pPr>
      <w:bookmarkStart w:id="250" w:name="_Toc65676984"/>
      <w:bookmarkStart w:id="251" w:name="_Toc58005991"/>
      <w:bookmarkStart w:id="252" w:name="_Toc65829028"/>
      <w:r>
        <w:rPr>
          <w:rFonts w:hint="eastAsia" w:ascii="仿宋_GB2312" w:hAnsi="仿宋_GB2312" w:eastAsia="仿宋_GB2312" w:cs="仿宋_GB2312"/>
          <w:b/>
          <w:bCs w:val="0"/>
          <w:spacing w:val="0"/>
          <w:kern w:val="2"/>
          <w:sz w:val="24"/>
          <w:szCs w:val="24"/>
          <w:lang w:val="en-US" w:eastAsia="zh-CN" w:bidi="ar-SA"/>
        </w:rPr>
        <w:t>四、接受和拒绝任何或所有报价的权利</w:t>
      </w:r>
      <w:bookmarkEnd w:id="250"/>
      <w:bookmarkEnd w:id="251"/>
      <w:bookmarkEnd w:id="252"/>
    </w:p>
    <w:p>
      <w:pPr>
        <w:spacing w:line="360" w:lineRule="auto"/>
        <w:ind w:firstLine="480" w:firstLineChars="20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采购代理机构和采购人保留在成交之前任何时候接受或拒绝任何报价，以及宣布竞争性磋商无效或拒绝所有报价的权力，对受影响的供应商不承担任何责任。</w:t>
      </w:r>
    </w:p>
    <w:p>
      <w:pPr>
        <w:spacing w:line="360" w:lineRule="auto"/>
        <w:ind w:firstLine="482" w:firstLineChars="200"/>
        <w:rPr>
          <w:rFonts w:hint="eastAsia" w:ascii="仿宋_GB2312" w:hAnsi="仿宋_GB2312" w:eastAsia="仿宋_GB2312" w:cs="仿宋_GB2312"/>
          <w:b/>
          <w:bCs w:val="0"/>
          <w:sz w:val="24"/>
          <w:szCs w:val="24"/>
        </w:rPr>
      </w:pPr>
      <w:bookmarkStart w:id="253" w:name="_Toc58005992"/>
      <w:bookmarkStart w:id="254" w:name="_Toc65829029"/>
      <w:bookmarkStart w:id="255" w:name="_Toc65676985"/>
      <w:r>
        <w:rPr>
          <w:rFonts w:hint="eastAsia" w:ascii="仿宋_GB2312" w:hAnsi="仿宋_GB2312" w:eastAsia="仿宋_GB2312" w:cs="仿宋_GB2312"/>
          <w:b/>
          <w:bCs w:val="0"/>
          <w:sz w:val="24"/>
          <w:szCs w:val="24"/>
        </w:rPr>
        <w:t>五、变更技术方案的权利</w:t>
      </w:r>
      <w:bookmarkEnd w:id="253"/>
      <w:bookmarkEnd w:id="254"/>
      <w:bookmarkEnd w:id="255"/>
    </w:p>
    <w:p>
      <w:pPr>
        <w:spacing w:line="360" w:lineRule="auto"/>
        <w:ind w:firstLine="480" w:firstLineChars="20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在竞争性磋商过程中，采购人有权变更技术方案或采购数量，如果供应商根据采购人提出的变更要求调整方案或价格后未能获得合同，采购人和采购代理机构不承担任何责任。</w:t>
      </w:r>
    </w:p>
    <w:p>
      <w:pPr>
        <w:rPr>
          <w:rFonts w:hint="eastAsia" w:ascii="宋体" w:hAnsi="宋体" w:cs="宋体"/>
          <w:color w:val="auto"/>
          <w:szCs w:val="21"/>
          <w:highlight w:val="none"/>
        </w:rPr>
      </w:pPr>
    </w:p>
    <w:p>
      <w:pPr>
        <w:spacing w:line="360" w:lineRule="auto"/>
        <w:ind w:firstLine="422" w:firstLineChars="200"/>
        <w:rPr>
          <w:rFonts w:hint="eastAsia" w:ascii="宋体" w:hAnsi="宋体" w:cs="宋体"/>
          <w:b/>
          <w:color w:val="auto"/>
          <w:sz w:val="28"/>
          <w:szCs w:val="28"/>
          <w:highlight w:val="none"/>
        </w:rPr>
      </w:pPr>
      <w:r>
        <w:rPr>
          <w:rFonts w:hint="eastAsia" w:ascii="宋体" w:hAnsi="宋体" w:cs="宋体"/>
          <w:b/>
          <w:color w:val="auto"/>
          <w:szCs w:val="21"/>
          <w:highlight w:val="none"/>
        </w:rPr>
        <w:br w:type="page"/>
      </w:r>
      <w:r>
        <w:rPr>
          <w:rFonts w:hint="eastAsia" w:ascii="宋体" w:hAnsi="宋体" w:cs="宋体"/>
          <w:b/>
          <w:color w:val="auto"/>
          <w:sz w:val="28"/>
          <w:szCs w:val="28"/>
          <w:highlight w:val="none"/>
        </w:rPr>
        <w:t>附表1</w:t>
      </w:r>
    </w:p>
    <w:p>
      <w:pPr>
        <w:pStyle w:val="4"/>
        <w:numPr>
          <w:ilvl w:val="0"/>
          <w:numId w:val="0"/>
        </w:numPr>
        <w:ind w:left="1279" w:leftChars="609" w:firstLine="1687" w:firstLineChars="600"/>
        <w:rPr>
          <w:rFonts w:hint="eastAsia" w:cs="宋体"/>
          <w:color w:val="auto"/>
          <w:highlight w:val="none"/>
        </w:rPr>
      </w:pPr>
      <w:bookmarkStart w:id="256" w:name="_Toc65676986"/>
      <w:bookmarkStart w:id="257" w:name="_Toc58005993"/>
      <w:bookmarkStart w:id="258" w:name="_Toc65829030"/>
      <w:bookmarkStart w:id="259" w:name="_Toc452457443"/>
      <w:r>
        <w:rPr>
          <w:rFonts w:hint="eastAsia" w:cs="宋体"/>
          <w:color w:val="auto"/>
          <w:highlight w:val="none"/>
        </w:rPr>
        <w:t>一、初步审查表</w:t>
      </w:r>
      <w:bookmarkEnd w:id="256"/>
      <w:bookmarkEnd w:id="257"/>
      <w:bookmarkEnd w:id="258"/>
      <w:bookmarkEnd w:id="259"/>
    </w:p>
    <w:p>
      <w:pPr>
        <w:spacing w:after="156" w:afterLines="50" w:line="360" w:lineRule="auto"/>
        <w:rPr>
          <w:rFonts w:hint="eastAsia" w:ascii="宋体" w:hAnsi="宋体" w:cs="宋体"/>
          <w:color w:val="auto"/>
          <w:sz w:val="24"/>
          <w:highlight w:val="none"/>
          <w:lang w:eastAsia="zh-CN"/>
        </w:rPr>
      </w:pPr>
      <w:r>
        <w:rPr>
          <w:rFonts w:hint="eastAsia" w:ascii="宋体" w:hAnsi="宋体" w:cs="宋体"/>
          <w:color w:val="auto"/>
          <w:sz w:val="24"/>
          <w:highlight w:val="none"/>
        </w:rPr>
        <w:t>项目名称：</w:t>
      </w:r>
      <w:r>
        <w:rPr>
          <w:rFonts w:hint="eastAsia" w:ascii="宋体" w:hAnsi="宋体" w:cs="宋体"/>
          <w:color w:val="auto"/>
          <w:sz w:val="24"/>
          <w:highlight w:val="none"/>
          <w:lang w:eastAsia="zh-CN"/>
        </w:rPr>
        <w:t>屯昌县国土空间规划中明确造林绿化空间评估项目政府采购</w:t>
      </w:r>
    </w:p>
    <w:p>
      <w:pPr>
        <w:spacing w:after="156" w:afterLines="50" w:line="360" w:lineRule="auto"/>
        <w:rPr>
          <w:rFonts w:hint="default" w:ascii="宋体" w:hAnsi="宋体" w:eastAsia="宋体" w:cs="宋体"/>
          <w:color w:val="auto"/>
          <w:sz w:val="24"/>
          <w:highlight w:val="none"/>
          <w:lang w:val="en-US" w:eastAsia="zh-CN"/>
        </w:rPr>
      </w:pPr>
      <w:r>
        <w:rPr>
          <w:rFonts w:hint="eastAsia" w:ascii="宋体" w:hAnsi="宋体" w:cs="宋体"/>
          <w:color w:val="auto"/>
          <w:sz w:val="24"/>
          <w:highlight w:val="none"/>
        </w:rPr>
        <w:t xml:space="preserve">项目编号: </w:t>
      </w:r>
      <w:r>
        <w:rPr>
          <w:rFonts w:hint="eastAsia" w:ascii="宋体" w:hAnsi="宋体" w:cs="宋体"/>
          <w:b/>
          <w:color w:val="auto"/>
          <w:sz w:val="24"/>
          <w:highlight w:val="none"/>
          <w:lang w:eastAsia="zh-CN"/>
        </w:rPr>
        <w:t>HNCY-2022-029</w:t>
      </w:r>
    </w:p>
    <w:tbl>
      <w:tblPr>
        <w:tblStyle w:val="38"/>
        <w:tblW w:w="0" w:type="auto"/>
        <w:tblInd w:w="-25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20"/>
        <w:gridCol w:w="1800"/>
        <w:gridCol w:w="3600"/>
        <w:gridCol w:w="1021"/>
        <w:gridCol w:w="1021"/>
        <w:gridCol w:w="102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720" w:type="dxa"/>
            <w:tcBorders>
              <w:top w:val="single" w:color="auto" w:sz="4" w:space="0"/>
              <w:bottom w:val="single" w:color="auto" w:sz="4" w:space="0"/>
              <w:right w:val="single" w:color="auto" w:sz="4" w:space="0"/>
            </w:tcBorders>
          </w:tcPr>
          <w:p>
            <w:pPr>
              <w:spacing w:line="480" w:lineRule="exact"/>
              <w:jc w:val="center"/>
              <w:rPr>
                <w:rFonts w:hint="eastAsia" w:ascii="仿宋_GB2312" w:hAnsi="仿宋_GB2312" w:eastAsia="仿宋_GB2312" w:cs="仿宋_GB2312"/>
                <w:b/>
                <w:bCs w:val="0"/>
                <w:spacing w:val="0"/>
                <w:kern w:val="2"/>
                <w:sz w:val="21"/>
                <w:szCs w:val="21"/>
                <w:lang w:val="en-US" w:eastAsia="zh-CN" w:bidi="ar-SA"/>
              </w:rPr>
            </w:pPr>
            <w:r>
              <w:rPr>
                <w:rFonts w:hint="eastAsia" w:ascii="仿宋_GB2312" w:hAnsi="仿宋_GB2312" w:eastAsia="仿宋_GB2312" w:cs="仿宋_GB2312"/>
                <w:b/>
                <w:bCs w:val="0"/>
                <w:spacing w:val="0"/>
                <w:kern w:val="2"/>
                <w:sz w:val="21"/>
                <w:szCs w:val="21"/>
                <w:lang w:val="en-US" w:eastAsia="zh-CN" w:bidi="ar-SA"/>
              </w:rPr>
              <w:t>序号</w:t>
            </w:r>
          </w:p>
        </w:tc>
        <w:tc>
          <w:tcPr>
            <w:tcW w:w="1800" w:type="dxa"/>
            <w:tcBorders>
              <w:top w:val="single" w:color="auto" w:sz="4" w:space="0"/>
              <w:left w:val="single" w:color="auto" w:sz="4" w:space="0"/>
              <w:bottom w:val="single" w:color="auto" w:sz="4" w:space="0"/>
              <w:right w:val="single" w:color="auto" w:sz="4" w:space="0"/>
            </w:tcBorders>
          </w:tcPr>
          <w:p>
            <w:pPr>
              <w:spacing w:line="480" w:lineRule="exact"/>
              <w:jc w:val="center"/>
              <w:rPr>
                <w:rFonts w:hint="eastAsia" w:ascii="仿宋_GB2312" w:hAnsi="仿宋_GB2312" w:eastAsia="仿宋_GB2312" w:cs="仿宋_GB2312"/>
                <w:b/>
                <w:bCs w:val="0"/>
                <w:spacing w:val="0"/>
                <w:kern w:val="2"/>
                <w:sz w:val="21"/>
                <w:szCs w:val="21"/>
                <w:lang w:val="en-US" w:eastAsia="zh-CN" w:bidi="ar-SA"/>
              </w:rPr>
            </w:pPr>
            <w:r>
              <w:rPr>
                <w:rFonts w:hint="eastAsia" w:ascii="仿宋_GB2312" w:hAnsi="仿宋_GB2312" w:eastAsia="仿宋_GB2312" w:cs="仿宋_GB2312"/>
                <w:b/>
                <w:bCs w:val="0"/>
                <w:spacing w:val="0"/>
                <w:kern w:val="2"/>
                <w:sz w:val="21"/>
                <w:szCs w:val="21"/>
                <w:lang w:val="en-US" w:eastAsia="zh-CN" w:bidi="ar-SA"/>
              </w:rPr>
              <w:t>审查项目</w:t>
            </w:r>
          </w:p>
        </w:tc>
        <w:tc>
          <w:tcPr>
            <w:tcW w:w="3600" w:type="dxa"/>
            <w:tcBorders>
              <w:top w:val="single" w:color="auto" w:sz="4" w:space="0"/>
              <w:left w:val="single" w:color="auto" w:sz="4" w:space="0"/>
              <w:bottom w:val="single" w:color="auto" w:sz="4" w:space="0"/>
              <w:right w:val="single" w:color="auto" w:sz="4" w:space="0"/>
            </w:tcBorders>
          </w:tcPr>
          <w:p>
            <w:pPr>
              <w:spacing w:line="480" w:lineRule="exact"/>
              <w:jc w:val="center"/>
              <w:rPr>
                <w:rFonts w:hint="eastAsia" w:ascii="仿宋_GB2312" w:hAnsi="仿宋_GB2312" w:eastAsia="仿宋_GB2312" w:cs="仿宋_GB2312"/>
                <w:b/>
                <w:bCs w:val="0"/>
                <w:spacing w:val="0"/>
                <w:kern w:val="2"/>
                <w:sz w:val="21"/>
                <w:szCs w:val="21"/>
                <w:lang w:val="en-US" w:eastAsia="zh-CN" w:bidi="ar-SA"/>
              </w:rPr>
            </w:pPr>
            <w:r>
              <w:rPr>
                <w:rFonts w:hint="eastAsia" w:ascii="仿宋_GB2312" w:hAnsi="仿宋_GB2312" w:eastAsia="仿宋_GB2312" w:cs="仿宋_GB2312"/>
                <w:b/>
                <w:bCs w:val="0"/>
                <w:spacing w:val="0"/>
                <w:kern w:val="2"/>
                <w:sz w:val="21"/>
                <w:szCs w:val="21"/>
                <w:lang w:val="en-US" w:eastAsia="zh-CN" w:bidi="ar-SA"/>
              </w:rPr>
              <w:t>评议内容（无效报价认定条件）</w:t>
            </w:r>
          </w:p>
        </w:tc>
        <w:tc>
          <w:tcPr>
            <w:tcW w:w="1021" w:type="dxa"/>
            <w:tcBorders>
              <w:top w:val="single" w:color="auto" w:sz="4" w:space="0"/>
              <w:left w:val="single" w:color="auto" w:sz="4" w:space="0"/>
              <w:bottom w:val="single" w:color="auto" w:sz="4" w:space="0"/>
              <w:right w:val="single" w:color="auto" w:sz="4" w:space="0"/>
            </w:tcBorders>
          </w:tcPr>
          <w:p>
            <w:pPr>
              <w:spacing w:line="480" w:lineRule="exact"/>
              <w:jc w:val="center"/>
              <w:rPr>
                <w:rFonts w:hint="eastAsia" w:ascii="仿宋_GB2312" w:hAnsi="仿宋_GB2312" w:eastAsia="仿宋_GB2312" w:cs="仿宋_GB2312"/>
                <w:b/>
                <w:bCs w:val="0"/>
                <w:spacing w:val="0"/>
                <w:kern w:val="2"/>
                <w:sz w:val="21"/>
                <w:szCs w:val="21"/>
                <w:lang w:val="en-US" w:eastAsia="zh-CN" w:bidi="ar-SA"/>
              </w:rPr>
            </w:pPr>
            <w:r>
              <w:rPr>
                <w:rFonts w:hint="eastAsia" w:ascii="仿宋_GB2312" w:hAnsi="仿宋_GB2312" w:eastAsia="仿宋_GB2312" w:cs="仿宋_GB2312"/>
                <w:b/>
                <w:bCs w:val="0"/>
                <w:spacing w:val="0"/>
                <w:kern w:val="2"/>
                <w:sz w:val="21"/>
                <w:szCs w:val="21"/>
                <w:lang w:val="en-US" w:eastAsia="zh-CN" w:bidi="ar-SA"/>
              </w:rPr>
              <w:t>供应商1</w:t>
            </w:r>
          </w:p>
        </w:tc>
        <w:tc>
          <w:tcPr>
            <w:tcW w:w="1021" w:type="dxa"/>
            <w:tcBorders>
              <w:top w:val="single" w:color="auto" w:sz="4" w:space="0"/>
              <w:left w:val="single" w:color="auto" w:sz="4" w:space="0"/>
              <w:bottom w:val="single" w:color="auto" w:sz="4" w:space="0"/>
              <w:right w:val="single" w:color="auto" w:sz="4" w:space="0"/>
            </w:tcBorders>
          </w:tcPr>
          <w:p>
            <w:pPr>
              <w:spacing w:line="480" w:lineRule="exact"/>
              <w:jc w:val="center"/>
              <w:rPr>
                <w:rFonts w:hint="eastAsia" w:ascii="仿宋_GB2312" w:hAnsi="仿宋_GB2312" w:eastAsia="仿宋_GB2312" w:cs="仿宋_GB2312"/>
                <w:b/>
                <w:bCs w:val="0"/>
                <w:spacing w:val="0"/>
                <w:kern w:val="2"/>
                <w:sz w:val="21"/>
                <w:szCs w:val="21"/>
                <w:lang w:val="en-US" w:eastAsia="zh-CN" w:bidi="ar-SA"/>
              </w:rPr>
            </w:pPr>
            <w:r>
              <w:rPr>
                <w:rFonts w:hint="eastAsia" w:ascii="仿宋_GB2312" w:hAnsi="仿宋_GB2312" w:eastAsia="仿宋_GB2312" w:cs="仿宋_GB2312"/>
                <w:b/>
                <w:bCs w:val="0"/>
                <w:spacing w:val="0"/>
                <w:kern w:val="2"/>
                <w:sz w:val="21"/>
                <w:szCs w:val="21"/>
                <w:lang w:val="en-US" w:eastAsia="zh-CN" w:bidi="ar-SA"/>
              </w:rPr>
              <w:t>供应商2</w:t>
            </w:r>
          </w:p>
        </w:tc>
        <w:tc>
          <w:tcPr>
            <w:tcW w:w="1021" w:type="dxa"/>
            <w:tcBorders>
              <w:top w:val="single" w:color="auto" w:sz="4" w:space="0"/>
              <w:left w:val="single" w:color="auto" w:sz="4" w:space="0"/>
              <w:bottom w:val="single" w:color="auto" w:sz="4" w:space="0"/>
            </w:tcBorders>
          </w:tcPr>
          <w:p>
            <w:pPr>
              <w:spacing w:line="480" w:lineRule="exact"/>
              <w:jc w:val="center"/>
              <w:rPr>
                <w:rFonts w:hint="eastAsia" w:ascii="仿宋_GB2312" w:hAnsi="仿宋_GB2312" w:eastAsia="仿宋_GB2312" w:cs="仿宋_GB2312"/>
                <w:b/>
                <w:bCs w:val="0"/>
                <w:spacing w:val="0"/>
                <w:kern w:val="2"/>
                <w:sz w:val="21"/>
                <w:szCs w:val="21"/>
                <w:lang w:val="en-US" w:eastAsia="zh-CN" w:bidi="ar-SA"/>
              </w:rPr>
            </w:pPr>
            <w:r>
              <w:rPr>
                <w:rFonts w:hint="eastAsia" w:ascii="仿宋_GB2312" w:hAnsi="仿宋_GB2312" w:eastAsia="仿宋_GB2312" w:cs="仿宋_GB2312"/>
                <w:b/>
                <w:bCs w:val="0"/>
                <w:spacing w:val="0"/>
                <w:kern w:val="2"/>
                <w:sz w:val="21"/>
                <w:szCs w:val="21"/>
                <w:lang w:val="en-US" w:eastAsia="zh-CN" w:bidi="ar-SA"/>
              </w:rPr>
              <w:t>供应商3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20" w:type="dxa"/>
            <w:tcBorders>
              <w:top w:val="single" w:color="auto" w:sz="4" w:space="0"/>
              <w:bottom w:val="single" w:color="auto" w:sz="4" w:space="0"/>
              <w:right w:val="single" w:color="auto" w:sz="4" w:space="0"/>
            </w:tcBorders>
            <w:vAlign w:val="center"/>
          </w:tcPr>
          <w:p>
            <w:pPr>
              <w:spacing w:line="360" w:lineRule="auto"/>
              <w:ind w:firstLine="480" w:firstLineChars="20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1</w:t>
            </w:r>
          </w:p>
        </w:tc>
        <w:tc>
          <w:tcPr>
            <w:tcW w:w="18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供应商的资格</w:t>
            </w:r>
          </w:p>
        </w:tc>
        <w:tc>
          <w:tcPr>
            <w:tcW w:w="360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是否符合供应商资格要求</w:t>
            </w:r>
          </w:p>
        </w:tc>
        <w:tc>
          <w:tcPr>
            <w:tcW w:w="1021" w:type="dxa"/>
            <w:tcBorders>
              <w:top w:val="single" w:color="auto" w:sz="4" w:space="0"/>
              <w:left w:val="single" w:color="auto" w:sz="4" w:space="0"/>
              <w:bottom w:val="single" w:color="auto" w:sz="4" w:space="0"/>
              <w:right w:val="single" w:color="auto" w:sz="4" w:space="0"/>
            </w:tcBorders>
          </w:tcPr>
          <w:p>
            <w:pPr>
              <w:spacing w:line="360" w:lineRule="auto"/>
              <w:ind w:firstLine="480" w:firstLineChars="20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 </w:t>
            </w:r>
          </w:p>
        </w:tc>
        <w:tc>
          <w:tcPr>
            <w:tcW w:w="1021" w:type="dxa"/>
            <w:tcBorders>
              <w:top w:val="single" w:color="auto" w:sz="4" w:space="0"/>
              <w:left w:val="single" w:color="auto" w:sz="4" w:space="0"/>
              <w:bottom w:val="single" w:color="auto" w:sz="4" w:space="0"/>
              <w:right w:val="single" w:color="auto" w:sz="4" w:space="0"/>
            </w:tcBorders>
          </w:tcPr>
          <w:p>
            <w:pPr>
              <w:spacing w:line="360" w:lineRule="auto"/>
              <w:ind w:firstLine="480" w:firstLineChars="20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 </w:t>
            </w:r>
          </w:p>
        </w:tc>
        <w:tc>
          <w:tcPr>
            <w:tcW w:w="1021" w:type="dxa"/>
            <w:tcBorders>
              <w:top w:val="single" w:color="auto" w:sz="4" w:space="0"/>
              <w:left w:val="single" w:color="auto" w:sz="4" w:space="0"/>
              <w:bottom w:val="single" w:color="auto" w:sz="4" w:space="0"/>
            </w:tcBorders>
          </w:tcPr>
          <w:p>
            <w:pPr>
              <w:spacing w:line="360" w:lineRule="auto"/>
              <w:ind w:firstLine="480" w:firstLineChars="20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20" w:type="dxa"/>
            <w:tcBorders>
              <w:top w:val="single" w:color="auto" w:sz="4" w:space="0"/>
              <w:bottom w:val="single" w:color="auto" w:sz="4" w:space="0"/>
              <w:right w:val="single" w:color="auto" w:sz="4" w:space="0"/>
            </w:tcBorders>
            <w:vAlign w:val="center"/>
          </w:tcPr>
          <w:p>
            <w:pPr>
              <w:spacing w:line="360" w:lineRule="auto"/>
              <w:ind w:firstLine="480" w:firstLineChars="20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2</w:t>
            </w:r>
          </w:p>
        </w:tc>
        <w:tc>
          <w:tcPr>
            <w:tcW w:w="18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响应文件的有效性、完整性</w:t>
            </w:r>
          </w:p>
        </w:tc>
        <w:tc>
          <w:tcPr>
            <w:tcW w:w="360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是否符合磋商文件的式样和签署要求且内容完整无缺漏</w:t>
            </w:r>
          </w:p>
        </w:tc>
        <w:tc>
          <w:tcPr>
            <w:tcW w:w="1021" w:type="dxa"/>
            <w:tcBorders>
              <w:top w:val="single" w:color="auto" w:sz="4" w:space="0"/>
              <w:left w:val="single" w:color="auto" w:sz="4" w:space="0"/>
              <w:bottom w:val="single" w:color="auto" w:sz="4" w:space="0"/>
              <w:right w:val="single" w:color="auto" w:sz="4" w:space="0"/>
            </w:tcBorders>
          </w:tcPr>
          <w:p>
            <w:pPr>
              <w:spacing w:line="360" w:lineRule="auto"/>
              <w:ind w:firstLine="480" w:firstLineChars="20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 </w:t>
            </w:r>
          </w:p>
        </w:tc>
        <w:tc>
          <w:tcPr>
            <w:tcW w:w="1021" w:type="dxa"/>
            <w:tcBorders>
              <w:top w:val="single" w:color="auto" w:sz="4" w:space="0"/>
              <w:left w:val="single" w:color="auto" w:sz="4" w:space="0"/>
              <w:bottom w:val="single" w:color="auto" w:sz="4" w:space="0"/>
              <w:right w:val="single" w:color="auto" w:sz="4" w:space="0"/>
            </w:tcBorders>
          </w:tcPr>
          <w:p>
            <w:pPr>
              <w:spacing w:line="360" w:lineRule="auto"/>
              <w:ind w:firstLine="480" w:firstLineChars="20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 </w:t>
            </w:r>
          </w:p>
        </w:tc>
        <w:tc>
          <w:tcPr>
            <w:tcW w:w="1021" w:type="dxa"/>
            <w:tcBorders>
              <w:top w:val="single" w:color="auto" w:sz="4" w:space="0"/>
              <w:left w:val="single" w:color="auto" w:sz="4" w:space="0"/>
              <w:bottom w:val="single" w:color="auto" w:sz="4" w:space="0"/>
            </w:tcBorders>
          </w:tcPr>
          <w:p>
            <w:pPr>
              <w:spacing w:line="360" w:lineRule="auto"/>
              <w:ind w:firstLine="480" w:firstLineChars="20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3</w:t>
            </w:r>
          </w:p>
        </w:tc>
        <w:tc>
          <w:tcPr>
            <w:tcW w:w="1800"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报价</w:t>
            </w:r>
          </w:p>
        </w:tc>
        <w:tc>
          <w:tcPr>
            <w:tcW w:w="360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_GB2312" w:hAnsi="仿宋_GB2312" w:eastAsia="仿宋_GB2312" w:cs="仿宋_GB2312"/>
                <w:bCs/>
                <w:sz w:val="24"/>
                <w:szCs w:val="24"/>
              </w:rPr>
            </w:pPr>
            <w:r>
              <w:rPr>
                <w:rFonts w:hint="eastAsia" w:ascii="仿宋_GB2312" w:hAnsi="仿宋_GB2312" w:eastAsia="仿宋_GB2312" w:cs="仿宋_GB2312"/>
                <w:bCs/>
                <w:sz w:val="21"/>
                <w:szCs w:val="21"/>
              </w:rPr>
              <w:t>是否对本项目内所有的内容进行报价，报价是否符合磋商文件要求</w:t>
            </w:r>
          </w:p>
        </w:tc>
        <w:tc>
          <w:tcPr>
            <w:tcW w:w="1021" w:type="dxa"/>
            <w:tcBorders>
              <w:top w:val="single" w:color="auto" w:sz="4" w:space="0"/>
              <w:left w:val="single" w:color="auto" w:sz="4" w:space="0"/>
              <w:bottom w:val="single" w:color="auto" w:sz="4" w:space="0"/>
              <w:right w:val="single" w:color="auto" w:sz="4" w:space="0"/>
            </w:tcBorders>
          </w:tcPr>
          <w:p>
            <w:pPr>
              <w:spacing w:line="360" w:lineRule="auto"/>
              <w:ind w:firstLine="480" w:firstLineChars="20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 </w:t>
            </w:r>
          </w:p>
        </w:tc>
        <w:tc>
          <w:tcPr>
            <w:tcW w:w="1021" w:type="dxa"/>
            <w:tcBorders>
              <w:top w:val="single" w:color="auto" w:sz="4" w:space="0"/>
              <w:left w:val="single" w:color="auto" w:sz="4" w:space="0"/>
              <w:bottom w:val="single" w:color="auto" w:sz="4" w:space="0"/>
              <w:right w:val="single" w:color="auto" w:sz="4" w:space="0"/>
            </w:tcBorders>
          </w:tcPr>
          <w:p>
            <w:pPr>
              <w:spacing w:line="360" w:lineRule="auto"/>
              <w:ind w:firstLine="480" w:firstLineChars="20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 </w:t>
            </w:r>
          </w:p>
        </w:tc>
        <w:tc>
          <w:tcPr>
            <w:tcW w:w="1021" w:type="dxa"/>
            <w:tcBorders>
              <w:top w:val="single" w:color="auto" w:sz="4" w:space="0"/>
              <w:left w:val="single" w:color="auto" w:sz="4" w:space="0"/>
              <w:bottom w:val="single" w:color="auto" w:sz="4" w:space="0"/>
              <w:right w:val="single" w:color="auto" w:sz="4" w:space="0"/>
            </w:tcBorders>
          </w:tcPr>
          <w:p>
            <w:pPr>
              <w:spacing w:line="360" w:lineRule="auto"/>
              <w:ind w:firstLine="480" w:firstLineChars="20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2" w:hRule="atLeast"/>
        </w:trPr>
        <w:tc>
          <w:tcPr>
            <w:tcW w:w="720" w:type="dxa"/>
            <w:tcBorders>
              <w:top w:val="single" w:color="auto" w:sz="4" w:space="0"/>
              <w:bottom w:val="single" w:color="auto" w:sz="4" w:space="0"/>
              <w:right w:val="single" w:color="auto" w:sz="4" w:space="0"/>
            </w:tcBorders>
            <w:vAlign w:val="center"/>
          </w:tcPr>
          <w:p>
            <w:pPr>
              <w:spacing w:line="360" w:lineRule="auto"/>
              <w:ind w:firstLine="480" w:firstLineChars="20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4</w:t>
            </w:r>
          </w:p>
        </w:tc>
        <w:tc>
          <w:tcPr>
            <w:tcW w:w="18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响应文件递交情况</w:t>
            </w:r>
          </w:p>
        </w:tc>
        <w:tc>
          <w:tcPr>
            <w:tcW w:w="360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正本和副本的数量是否符合磋商文件要求</w:t>
            </w:r>
          </w:p>
        </w:tc>
        <w:tc>
          <w:tcPr>
            <w:tcW w:w="1021" w:type="dxa"/>
            <w:tcBorders>
              <w:top w:val="single" w:color="auto" w:sz="4" w:space="0"/>
              <w:left w:val="single" w:color="auto" w:sz="4" w:space="0"/>
              <w:bottom w:val="single" w:color="auto" w:sz="4" w:space="0"/>
              <w:right w:val="single" w:color="auto" w:sz="4" w:space="0"/>
            </w:tcBorders>
          </w:tcPr>
          <w:p>
            <w:pPr>
              <w:spacing w:line="360" w:lineRule="auto"/>
              <w:ind w:firstLine="480" w:firstLineChars="200"/>
              <w:rPr>
                <w:rFonts w:hint="eastAsia" w:ascii="仿宋_GB2312" w:hAnsi="仿宋_GB2312" w:eastAsia="仿宋_GB2312" w:cs="仿宋_GB2312"/>
                <w:bCs/>
                <w:sz w:val="24"/>
                <w:szCs w:val="24"/>
              </w:rPr>
            </w:pPr>
          </w:p>
        </w:tc>
        <w:tc>
          <w:tcPr>
            <w:tcW w:w="1021" w:type="dxa"/>
            <w:tcBorders>
              <w:top w:val="single" w:color="auto" w:sz="4" w:space="0"/>
              <w:left w:val="single" w:color="auto" w:sz="4" w:space="0"/>
              <w:bottom w:val="single" w:color="auto" w:sz="4" w:space="0"/>
              <w:right w:val="single" w:color="auto" w:sz="4" w:space="0"/>
            </w:tcBorders>
          </w:tcPr>
          <w:p>
            <w:pPr>
              <w:spacing w:line="360" w:lineRule="auto"/>
              <w:ind w:firstLine="480" w:firstLineChars="200"/>
              <w:rPr>
                <w:rFonts w:hint="eastAsia" w:ascii="仿宋_GB2312" w:hAnsi="仿宋_GB2312" w:eastAsia="仿宋_GB2312" w:cs="仿宋_GB2312"/>
                <w:bCs/>
                <w:sz w:val="24"/>
                <w:szCs w:val="24"/>
              </w:rPr>
            </w:pPr>
          </w:p>
        </w:tc>
        <w:tc>
          <w:tcPr>
            <w:tcW w:w="1021" w:type="dxa"/>
            <w:tcBorders>
              <w:top w:val="single" w:color="auto" w:sz="4" w:space="0"/>
              <w:left w:val="single" w:color="auto" w:sz="4" w:space="0"/>
              <w:bottom w:val="single" w:color="auto" w:sz="4" w:space="0"/>
            </w:tcBorders>
          </w:tcPr>
          <w:p>
            <w:pPr>
              <w:spacing w:line="360" w:lineRule="auto"/>
              <w:ind w:firstLine="480" w:firstLineChars="200"/>
              <w:rPr>
                <w:rFonts w:hint="eastAsia"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20" w:type="dxa"/>
            <w:tcBorders>
              <w:top w:val="single" w:color="auto" w:sz="4" w:space="0"/>
              <w:bottom w:val="single" w:color="auto" w:sz="4" w:space="0"/>
              <w:right w:val="single" w:color="auto" w:sz="4" w:space="0"/>
            </w:tcBorders>
            <w:vAlign w:val="center"/>
          </w:tcPr>
          <w:p>
            <w:pPr>
              <w:spacing w:line="360" w:lineRule="auto"/>
              <w:ind w:firstLine="480" w:firstLineChars="20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5</w:t>
            </w:r>
          </w:p>
        </w:tc>
        <w:tc>
          <w:tcPr>
            <w:tcW w:w="18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磋商保证金</w:t>
            </w:r>
          </w:p>
        </w:tc>
        <w:tc>
          <w:tcPr>
            <w:tcW w:w="360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是否提交磋商保证金</w:t>
            </w:r>
          </w:p>
        </w:tc>
        <w:tc>
          <w:tcPr>
            <w:tcW w:w="1021" w:type="dxa"/>
            <w:tcBorders>
              <w:top w:val="single" w:color="auto" w:sz="4" w:space="0"/>
              <w:left w:val="single" w:color="auto" w:sz="4" w:space="0"/>
              <w:bottom w:val="single" w:color="auto" w:sz="4" w:space="0"/>
              <w:right w:val="single" w:color="auto" w:sz="4" w:space="0"/>
            </w:tcBorders>
          </w:tcPr>
          <w:p>
            <w:pPr>
              <w:spacing w:line="360" w:lineRule="auto"/>
              <w:ind w:firstLine="480" w:firstLineChars="20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 </w:t>
            </w:r>
          </w:p>
        </w:tc>
        <w:tc>
          <w:tcPr>
            <w:tcW w:w="1021" w:type="dxa"/>
            <w:tcBorders>
              <w:top w:val="single" w:color="auto" w:sz="4" w:space="0"/>
              <w:left w:val="single" w:color="auto" w:sz="4" w:space="0"/>
              <w:bottom w:val="single" w:color="auto" w:sz="4" w:space="0"/>
              <w:right w:val="single" w:color="auto" w:sz="4" w:space="0"/>
            </w:tcBorders>
          </w:tcPr>
          <w:p>
            <w:pPr>
              <w:spacing w:line="360" w:lineRule="auto"/>
              <w:ind w:firstLine="480" w:firstLineChars="20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 </w:t>
            </w:r>
          </w:p>
        </w:tc>
        <w:tc>
          <w:tcPr>
            <w:tcW w:w="1021" w:type="dxa"/>
            <w:tcBorders>
              <w:top w:val="single" w:color="auto" w:sz="4" w:space="0"/>
              <w:left w:val="single" w:color="auto" w:sz="4" w:space="0"/>
              <w:bottom w:val="single" w:color="auto" w:sz="4" w:space="0"/>
            </w:tcBorders>
          </w:tcPr>
          <w:p>
            <w:pPr>
              <w:spacing w:line="360" w:lineRule="auto"/>
              <w:ind w:firstLine="480" w:firstLineChars="20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20" w:type="dxa"/>
            <w:tcBorders>
              <w:top w:val="single" w:color="auto" w:sz="4" w:space="0"/>
              <w:bottom w:val="single" w:color="auto" w:sz="4" w:space="0"/>
              <w:right w:val="single" w:color="auto" w:sz="4" w:space="0"/>
            </w:tcBorders>
            <w:vAlign w:val="center"/>
          </w:tcPr>
          <w:p>
            <w:pPr>
              <w:spacing w:line="360" w:lineRule="auto"/>
              <w:ind w:firstLine="480" w:firstLineChars="20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6</w:t>
            </w:r>
          </w:p>
        </w:tc>
        <w:tc>
          <w:tcPr>
            <w:tcW w:w="18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报价有效期</w:t>
            </w:r>
          </w:p>
        </w:tc>
        <w:tc>
          <w:tcPr>
            <w:tcW w:w="360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是否满足磋商文件要求</w:t>
            </w:r>
          </w:p>
        </w:tc>
        <w:tc>
          <w:tcPr>
            <w:tcW w:w="1021" w:type="dxa"/>
            <w:tcBorders>
              <w:top w:val="single" w:color="auto" w:sz="4" w:space="0"/>
              <w:left w:val="single" w:color="auto" w:sz="4" w:space="0"/>
              <w:bottom w:val="single" w:color="auto" w:sz="4" w:space="0"/>
              <w:right w:val="single" w:color="auto" w:sz="4" w:space="0"/>
            </w:tcBorders>
          </w:tcPr>
          <w:p>
            <w:pPr>
              <w:spacing w:line="360" w:lineRule="auto"/>
              <w:ind w:firstLine="480" w:firstLineChars="20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 </w:t>
            </w:r>
          </w:p>
        </w:tc>
        <w:tc>
          <w:tcPr>
            <w:tcW w:w="1021" w:type="dxa"/>
            <w:tcBorders>
              <w:top w:val="single" w:color="auto" w:sz="4" w:space="0"/>
              <w:left w:val="single" w:color="auto" w:sz="4" w:space="0"/>
              <w:bottom w:val="single" w:color="auto" w:sz="4" w:space="0"/>
              <w:right w:val="single" w:color="auto" w:sz="4" w:space="0"/>
            </w:tcBorders>
          </w:tcPr>
          <w:p>
            <w:pPr>
              <w:spacing w:line="360" w:lineRule="auto"/>
              <w:ind w:firstLine="480" w:firstLineChars="20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 </w:t>
            </w:r>
          </w:p>
        </w:tc>
        <w:tc>
          <w:tcPr>
            <w:tcW w:w="1021" w:type="dxa"/>
            <w:tcBorders>
              <w:top w:val="single" w:color="auto" w:sz="4" w:space="0"/>
              <w:left w:val="single" w:color="auto" w:sz="4" w:space="0"/>
              <w:bottom w:val="single" w:color="auto" w:sz="4" w:space="0"/>
            </w:tcBorders>
          </w:tcPr>
          <w:p>
            <w:pPr>
              <w:spacing w:line="360" w:lineRule="auto"/>
              <w:ind w:firstLine="480" w:firstLineChars="20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20" w:type="dxa"/>
            <w:tcBorders>
              <w:top w:val="single" w:color="auto" w:sz="4" w:space="0"/>
              <w:bottom w:val="single" w:color="auto" w:sz="4" w:space="0"/>
              <w:right w:val="single" w:color="auto" w:sz="4" w:space="0"/>
            </w:tcBorders>
            <w:vAlign w:val="center"/>
          </w:tcPr>
          <w:p>
            <w:pPr>
              <w:spacing w:line="360" w:lineRule="auto"/>
              <w:ind w:firstLine="480" w:firstLineChars="20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7</w:t>
            </w:r>
          </w:p>
        </w:tc>
        <w:tc>
          <w:tcPr>
            <w:tcW w:w="18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计划服务期</w:t>
            </w:r>
          </w:p>
        </w:tc>
        <w:tc>
          <w:tcPr>
            <w:tcW w:w="360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是否满足磋商文件要求</w:t>
            </w:r>
          </w:p>
        </w:tc>
        <w:tc>
          <w:tcPr>
            <w:tcW w:w="1021" w:type="dxa"/>
            <w:tcBorders>
              <w:top w:val="single" w:color="auto" w:sz="4" w:space="0"/>
              <w:left w:val="single" w:color="auto" w:sz="4" w:space="0"/>
              <w:bottom w:val="single" w:color="auto" w:sz="4" w:space="0"/>
              <w:right w:val="single" w:color="auto" w:sz="4" w:space="0"/>
            </w:tcBorders>
          </w:tcPr>
          <w:p>
            <w:pPr>
              <w:spacing w:line="360" w:lineRule="auto"/>
              <w:ind w:firstLine="480" w:firstLineChars="200"/>
              <w:rPr>
                <w:rFonts w:hint="eastAsia" w:ascii="仿宋_GB2312" w:hAnsi="仿宋_GB2312" w:eastAsia="仿宋_GB2312" w:cs="仿宋_GB2312"/>
                <w:bCs/>
                <w:sz w:val="24"/>
                <w:szCs w:val="24"/>
              </w:rPr>
            </w:pPr>
          </w:p>
        </w:tc>
        <w:tc>
          <w:tcPr>
            <w:tcW w:w="1021" w:type="dxa"/>
            <w:tcBorders>
              <w:top w:val="single" w:color="auto" w:sz="4" w:space="0"/>
              <w:left w:val="single" w:color="auto" w:sz="4" w:space="0"/>
              <w:bottom w:val="single" w:color="auto" w:sz="4" w:space="0"/>
              <w:right w:val="single" w:color="auto" w:sz="4" w:space="0"/>
            </w:tcBorders>
          </w:tcPr>
          <w:p>
            <w:pPr>
              <w:spacing w:line="360" w:lineRule="auto"/>
              <w:ind w:firstLine="480" w:firstLineChars="20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 </w:t>
            </w:r>
          </w:p>
        </w:tc>
        <w:tc>
          <w:tcPr>
            <w:tcW w:w="1021" w:type="dxa"/>
            <w:tcBorders>
              <w:top w:val="single" w:color="auto" w:sz="4" w:space="0"/>
              <w:left w:val="single" w:color="auto" w:sz="4" w:space="0"/>
              <w:bottom w:val="single" w:color="auto" w:sz="4" w:space="0"/>
            </w:tcBorders>
          </w:tcPr>
          <w:p>
            <w:pPr>
              <w:spacing w:line="360" w:lineRule="auto"/>
              <w:ind w:firstLine="480" w:firstLineChars="20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20" w:type="dxa"/>
            <w:tcBorders>
              <w:top w:val="single" w:color="auto" w:sz="4" w:space="0"/>
              <w:bottom w:val="single" w:color="auto" w:sz="4" w:space="0"/>
              <w:right w:val="single" w:color="auto" w:sz="4" w:space="0"/>
            </w:tcBorders>
            <w:vAlign w:val="center"/>
          </w:tcPr>
          <w:p>
            <w:pPr>
              <w:spacing w:line="360" w:lineRule="auto"/>
              <w:ind w:firstLine="480" w:firstLineChars="20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8</w:t>
            </w:r>
          </w:p>
        </w:tc>
        <w:tc>
          <w:tcPr>
            <w:tcW w:w="1800"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both"/>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lang w:val="en-US" w:eastAsia="zh-CN"/>
              </w:rPr>
              <w:t>验收</w:t>
            </w:r>
            <w:r>
              <w:rPr>
                <w:rFonts w:hint="eastAsia" w:ascii="仿宋_GB2312" w:hAnsi="仿宋_GB2312" w:eastAsia="仿宋_GB2312" w:cs="仿宋_GB2312"/>
                <w:bCs/>
                <w:sz w:val="24"/>
                <w:szCs w:val="24"/>
              </w:rPr>
              <w:t>标准</w:t>
            </w:r>
          </w:p>
        </w:tc>
        <w:tc>
          <w:tcPr>
            <w:tcW w:w="360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是否满足磋商文件要求</w:t>
            </w:r>
          </w:p>
        </w:tc>
        <w:tc>
          <w:tcPr>
            <w:tcW w:w="1021" w:type="dxa"/>
            <w:tcBorders>
              <w:top w:val="single" w:color="auto" w:sz="4" w:space="0"/>
              <w:left w:val="single" w:color="auto" w:sz="4" w:space="0"/>
              <w:bottom w:val="single" w:color="auto" w:sz="4" w:space="0"/>
              <w:right w:val="single" w:color="auto" w:sz="4" w:space="0"/>
            </w:tcBorders>
          </w:tcPr>
          <w:p>
            <w:pPr>
              <w:spacing w:line="360" w:lineRule="auto"/>
              <w:ind w:firstLine="480" w:firstLineChars="200"/>
              <w:rPr>
                <w:rFonts w:hint="eastAsia" w:ascii="仿宋_GB2312" w:hAnsi="仿宋_GB2312" w:eastAsia="仿宋_GB2312" w:cs="仿宋_GB2312"/>
                <w:bCs/>
                <w:sz w:val="24"/>
                <w:szCs w:val="24"/>
              </w:rPr>
            </w:pPr>
          </w:p>
        </w:tc>
        <w:tc>
          <w:tcPr>
            <w:tcW w:w="1021" w:type="dxa"/>
            <w:tcBorders>
              <w:top w:val="single" w:color="auto" w:sz="4" w:space="0"/>
              <w:left w:val="single" w:color="auto" w:sz="4" w:space="0"/>
              <w:bottom w:val="single" w:color="auto" w:sz="4" w:space="0"/>
              <w:right w:val="single" w:color="auto" w:sz="4" w:space="0"/>
            </w:tcBorders>
          </w:tcPr>
          <w:p>
            <w:pPr>
              <w:spacing w:line="360" w:lineRule="auto"/>
              <w:ind w:firstLine="480" w:firstLineChars="200"/>
              <w:rPr>
                <w:rFonts w:hint="eastAsia" w:ascii="仿宋_GB2312" w:hAnsi="仿宋_GB2312" w:eastAsia="仿宋_GB2312" w:cs="仿宋_GB2312"/>
                <w:bCs/>
                <w:sz w:val="24"/>
                <w:szCs w:val="24"/>
              </w:rPr>
            </w:pPr>
          </w:p>
        </w:tc>
        <w:tc>
          <w:tcPr>
            <w:tcW w:w="1021" w:type="dxa"/>
            <w:tcBorders>
              <w:top w:val="single" w:color="auto" w:sz="4" w:space="0"/>
              <w:left w:val="single" w:color="auto" w:sz="4" w:space="0"/>
              <w:bottom w:val="single" w:color="auto" w:sz="4" w:space="0"/>
            </w:tcBorders>
          </w:tcPr>
          <w:p>
            <w:pPr>
              <w:spacing w:line="360" w:lineRule="auto"/>
              <w:ind w:firstLine="480" w:firstLineChars="200"/>
              <w:rPr>
                <w:rFonts w:hint="eastAsia"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20" w:type="dxa"/>
            <w:tcBorders>
              <w:top w:val="single" w:color="auto" w:sz="4" w:space="0"/>
              <w:bottom w:val="single" w:color="auto" w:sz="4" w:space="0"/>
              <w:right w:val="single" w:color="auto" w:sz="4" w:space="0"/>
            </w:tcBorders>
            <w:vAlign w:val="center"/>
          </w:tcPr>
          <w:p>
            <w:pPr>
              <w:spacing w:line="360" w:lineRule="auto"/>
              <w:ind w:firstLine="480" w:firstLineChars="20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9</w:t>
            </w:r>
          </w:p>
        </w:tc>
        <w:tc>
          <w:tcPr>
            <w:tcW w:w="1800"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both"/>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其它</w:t>
            </w:r>
          </w:p>
        </w:tc>
        <w:tc>
          <w:tcPr>
            <w:tcW w:w="360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无其它无效报价认定条件</w:t>
            </w:r>
          </w:p>
        </w:tc>
        <w:tc>
          <w:tcPr>
            <w:tcW w:w="1021" w:type="dxa"/>
            <w:tcBorders>
              <w:top w:val="single" w:color="auto" w:sz="4" w:space="0"/>
              <w:left w:val="single" w:color="auto" w:sz="4" w:space="0"/>
              <w:bottom w:val="single" w:color="auto" w:sz="4" w:space="0"/>
              <w:right w:val="single" w:color="auto" w:sz="4" w:space="0"/>
            </w:tcBorders>
          </w:tcPr>
          <w:p>
            <w:pPr>
              <w:spacing w:line="360" w:lineRule="auto"/>
              <w:ind w:firstLine="480" w:firstLineChars="200"/>
              <w:rPr>
                <w:rFonts w:hint="eastAsia" w:ascii="仿宋_GB2312" w:hAnsi="仿宋_GB2312" w:eastAsia="仿宋_GB2312" w:cs="仿宋_GB2312"/>
                <w:bCs/>
                <w:sz w:val="24"/>
                <w:szCs w:val="24"/>
              </w:rPr>
            </w:pPr>
          </w:p>
        </w:tc>
        <w:tc>
          <w:tcPr>
            <w:tcW w:w="1021" w:type="dxa"/>
            <w:tcBorders>
              <w:top w:val="single" w:color="auto" w:sz="4" w:space="0"/>
              <w:left w:val="single" w:color="auto" w:sz="4" w:space="0"/>
              <w:bottom w:val="single" w:color="auto" w:sz="4" w:space="0"/>
              <w:right w:val="single" w:color="auto" w:sz="4" w:space="0"/>
            </w:tcBorders>
          </w:tcPr>
          <w:p>
            <w:pPr>
              <w:spacing w:line="360" w:lineRule="auto"/>
              <w:ind w:firstLine="480" w:firstLineChars="200"/>
              <w:rPr>
                <w:rFonts w:hint="eastAsia" w:ascii="仿宋_GB2312" w:hAnsi="仿宋_GB2312" w:eastAsia="仿宋_GB2312" w:cs="仿宋_GB2312"/>
                <w:bCs/>
                <w:sz w:val="24"/>
                <w:szCs w:val="24"/>
              </w:rPr>
            </w:pPr>
          </w:p>
        </w:tc>
        <w:tc>
          <w:tcPr>
            <w:tcW w:w="1021" w:type="dxa"/>
            <w:tcBorders>
              <w:top w:val="single" w:color="auto" w:sz="4" w:space="0"/>
              <w:left w:val="single" w:color="auto" w:sz="4" w:space="0"/>
              <w:bottom w:val="single" w:color="auto" w:sz="4" w:space="0"/>
            </w:tcBorders>
          </w:tcPr>
          <w:p>
            <w:pPr>
              <w:spacing w:line="360" w:lineRule="auto"/>
              <w:ind w:firstLine="480" w:firstLineChars="200"/>
              <w:rPr>
                <w:rFonts w:hint="eastAsia"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120" w:type="dxa"/>
            <w:gridSpan w:val="3"/>
            <w:tcBorders>
              <w:top w:val="single" w:color="auto" w:sz="4" w:space="0"/>
              <w:bottom w:val="single" w:color="auto" w:sz="4" w:space="0"/>
              <w:right w:val="single" w:color="auto" w:sz="4" w:space="0"/>
            </w:tcBorders>
          </w:tcPr>
          <w:p>
            <w:pPr>
              <w:spacing w:line="480" w:lineRule="exact"/>
              <w:rPr>
                <w:rFonts w:hint="eastAsia" w:ascii="宋体" w:hAnsi="宋体" w:cs="宋体"/>
                <w:color w:val="auto"/>
                <w:highlight w:val="none"/>
              </w:rPr>
            </w:pPr>
            <w:r>
              <w:rPr>
                <w:rFonts w:hint="eastAsia" w:ascii="仿宋_GB2312" w:hAnsi="仿宋_GB2312" w:eastAsia="仿宋_GB2312" w:cs="仿宋_GB2312"/>
                <w:b/>
                <w:bCs w:val="0"/>
                <w:spacing w:val="0"/>
                <w:kern w:val="2"/>
                <w:sz w:val="21"/>
                <w:szCs w:val="21"/>
                <w:lang w:val="en-US" w:eastAsia="zh-CN" w:bidi="ar-SA"/>
              </w:rPr>
              <w:t>结论</w:t>
            </w:r>
          </w:p>
        </w:tc>
        <w:tc>
          <w:tcPr>
            <w:tcW w:w="1021" w:type="dxa"/>
            <w:tcBorders>
              <w:top w:val="single" w:color="auto" w:sz="4" w:space="0"/>
              <w:left w:val="single" w:color="auto" w:sz="4" w:space="0"/>
              <w:bottom w:val="single" w:color="auto" w:sz="4" w:space="0"/>
              <w:right w:val="single" w:color="auto" w:sz="4" w:space="0"/>
            </w:tcBorders>
          </w:tcPr>
          <w:p>
            <w:pPr>
              <w:spacing w:line="480" w:lineRule="exact"/>
              <w:jc w:val="center"/>
              <w:rPr>
                <w:rFonts w:hint="eastAsia" w:ascii="宋体" w:hAnsi="宋体" w:cs="宋体"/>
                <w:b/>
                <w:color w:val="auto"/>
                <w:highlight w:val="none"/>
              </w:rPr>
            </w:pPr>
            <w:r>
              <w:rPr>
                <w:rFonts w:hint="eastAsia" w:ascii="宋体" w:hAnsi="宋体" w:cs="宋体"/>
                <w:b/>
                <w:color w:val="auto"/>
                <w:highlight w:val="none"/>
              </w:rPr>
              <w:t> </w:t>
            </w:r>
          </w:p>
        </w:tc>
        <w:tc>
          <w:tcPr>
            <w:tcW w:w="1021" w:type="dxa"/>
            <w:tcBorders>
              <w:top w:val="single" w:color="auto" w:sz="4" w:space="0"/>
              <w:left w:val="single" w:color="auto" w:sz="4" w:space="0"/>
              <w:bottom w:val="single" w:color="auto" w:sz="4" w:space="0"/>
              <w:right w:val="single" w:color="auto" w:sz="4" w:space="0"/>
            </w:tcBorders>
          </w:tcPr>
          <w:p>
            <w:pPr>
              <w:spacing w:line="480" w:lineRule="exact"/>
              <w:jc w:val="center"/>
              <w:rPr>
                <w:rFonts w:hint="eastAsia" w:ascii="宋体" w:hAnsi="宋体" w:cs="宋体"/>
                <w:b/>
                <w:color w:val="auto"/>
                <w:highlight w:val="none"/>
              </w:rPr>
            </w:pPr>
            <w:r>
              <w:rPr>
                <w:rFonts w:hint="eastAsia" w:ascii="宋体" w:hAnsi="宋体" w:cs="宋体"/>
                <w:b/>
                <w:color w:val="auto"/>
                <w:highlight w:val="none"/>
              </w:rPr>
              <w:t> </w:t>
            </w:r>
          </w:p>
        </w:tc>
        <w:tc>
          <w:tcPr>
            <w:tcW w:w="1021" w:type="dxa"/>
            <w:tcBorders>
              <w:top w:val="single" w:color="auto" w:sz="4" w:space="0"/>
              <w:left w:val="single" w:color="auto" w:sz="4" w:space="0"/>
              <w:bottom w:val="single" w:color="auto" w:sz="4" w:space="0"/>
            </w:tcBorders>
          </w:tcPr>
          <w:p>
            <w:pPr>
              <w:spacing w:line="480" w:lineRule="exact"/>
              <w:jc w:val="center"/>
              <w:rPr>
                <w:rFonts w:hint="eastAsia" w:ascii="宋体" w:hAnsi="宋体" w:cs="宋体"/>
                <w:b/>
                <w:color w:val="auto"/>
                <w:highlight w:val="none"/>
              </w:rPr>
            </w:pPr>
            <w:r>
              <w:rPr>
                <w:rFonts w:hint="eastAsia" w:ascii="宋体" w:hAnsi="宋体" w:cs="宋体"/>
                <w:b/>
                <w:color w:val="auto"/>
                <w:highlight w:val="none"/>
              </w:rPr>
              <w:t> </w:t>
            </w:r>
          </w:p>
        </w:tc>
      </w:tr>
    </w:tbl>
    <w:p>
      <w:pPr>
        <w:spacing w:line="360" w:lineRule="auto"/>
        <w:rPr>
          <w:rFonts w:hint="eastAsia" w:ascii="宋体" w:hAnsi="宋体" w:cs="宋体"/>
          <w:color w:val="auto"/>
          <w:szCs w:val="21"/>
          <w:highlight w:val="none"/>
        </w:rPr>
      </w:pPr>
    </w:p>
    <w:p>
      <w:pPr>
        <w:spacing w:after="156" w:afterLines="50" w:line="360" w:lineRule="auto"/>
        <w:rPr>
          <w:rFonts w:hint="eastAsia" w:ascii="宋体" w:hAnsi="宋体" w:cs="宋体"/>
          <w:color w:val="auto"/>
          <w:sz w:val="24"/>
          <w:highlight w:val="none"/>
          <w:lang w:eastAsia="zh-CN"/>
        </w:rPr>
      </w:pPr>
      <w:r>
        <w:rPr>
          <w:rFonts w:hint="eastAsia" w:ascii="宋体" w:hAnsi="宋体" w:cs="宋体"/>
          <w:color w:val="auto"/>
          <w:sz w:val="24"/>
          <w:highlight w:val="none"/>
          <w:lang w:eastAsia="zh-CN"/>
        </w:rPr>
        <w:t>1、表中只需填写“√/通过”或“×/不通过”。</w:t>
      </w:r>
    </w:p>
    <w:p>
      <w:pPr>
        <w:spacing w:after="156" w:afterLines="50" w:line="360" w:lineRule="auto"/>
        <w:rPr>
          <w:rFonts w:hint="eastAsia" w:ascii="宋体" w:hAnsi="宋体" w:cs="宋体"/>
          <w:color w:val="auto"/>
          <w:sz w:val="24"/>
          <w:highlight w:val="none"/>
          <w:lang w:eastAsia="zh-CN"/>
        </w:rPr>
      </w:pPr>
      <w:r>
        <w:rPr>
          <w:rFonts w:hint="eastAsia" w:ascii="宋体" w:hAnsi="宋体" w:cs="宋体"/>
          <w:color w:val="auto"/>
          <w:sz w:val="24"/>
          <w:highlight w:val="none"/>
          <w:lang w:eastAsia="zh-CN"/>
        </w:rPr>
        <w:t>2、在结论中按“一项否决”的原则，只有全部是√/通过的，填写“合格”；只要其中有一项是×/不通过的，填写“不合格”。</w:t>
      </w:r>
    </w:p>
    <w:p>
      <w:pPr>
        <w:spacing w:after="156" w:afterLines="50" w:line="360" w:lineRule="auto"/>
        <w:rPr>
          <w:rFonts w:hint="eastAsia" w:ascii="宋体" w:hAnsi="宋体" w:cs="宋体"/>
          <w:color w:val="auto"/>
          <w:sz w:val="24"/>
          <w:highlight w:val="none"/>
          <w:lang w:eastAsia="zh-CN"/>
        </w:rPr>
      </w:pPr>
      <w:r>
        <w:rPr>
          <w:rFonts w:hint="eastAsia" w:ascii="宋体" w:hAnsi="宋体" w:cs="宋体"/>
          <w:color w:val="auto"/>
          <w:sz w:val="24"/>
          <w:highlight w:val="none"/>
          <w:lang w:eastAsia="zh-CN"/>
        </w:rPr>
        <w:t>3、结论是合格的，才能进入下一轮；不合格的被淘汰。</w:t>
      </w:r>
    </w:p>
    <w:p>
      <w:pPr>
        <w:spacing w:after="156" w:afterLines="50" w:line="360" w:lineRule="auto"/>
        <w:rPr>
          <w:rFonts w:hint="eastAsia" w:ascii="宋体" w:hAnsi="宋体" w:cs="宋体"/>
          <w:color w:val="auto"/>
          <w:sz w:val="24"/>
          <w:highlight w:val="none"/>
          <w:lang w:eastAsia="zh-CN"/>
        </w:rPr>
      </w:pPr>
      <w:r>
        <w:rPr>
          <w:rFonts w:hint="eastAsia" w:ascii="宋体" w:hAnsi="宋体" w:cs="宋体"/>
          <w:color w:val="auto"/>
          <w:sz w:val="24"/>
          <w:highlight w:val="none"/>
          <w:lang w:eastAsia="zh-CN"/>
        </w:rPr>
        <w:t>评委：                                              日期：</w:t>
      </w:r>
    </w:p>
    <w:p>
      <w:pPr>
        <w:spacing w:after="156" w:afterLines="50" w:line="360" w:lineRule="auto"/>
        <w:rPr>
          <w:rFonts w:hint="eastAsia" w:ascii="宋体" w:hAnsi="宋体" w:cs="宋体"/>
          <w:color w:val="auto"/>
          <w:sz w:val="24"/>
          <w:highlight w:val="none"/>
          <w:lang w:eastAsia="zh-CN"/>
        </w:rPr>
      </w:pPr>
    </w:p>
    <w:p>
      <w:pPr>
        <w:shd w:val="clear" w:color="auto" w:fill="FFFFFF"/>
        <w:spacing w:line="360" w:lineRule="auto"/>
        <w:rPr>
          <w:rFonts w:hint="eastAsia" w:ascii="宋体" w:hAnsi="宋体" w:cs="宋体"/>
          <w:b/>
          <w:color w:val="auto"/>
          <w:sz w:val="28"/>
          <w:szCs w:val="28"/>
          <w:highlight w:val="none"/>
        </w:rPr>
      </w:pPr>
      <w:r>
        <w:rPr>
          <w:rFonts w:hint="eastAsia" w:ascii="宋体" w:hAnsi="宋体" w:cs="宋体"/>
          <w:b/>
          <w:color w:val="auto"/>
          <w:highlight w:val="none"/>
        </w:rPr>
        <w:br w:type="page"/>
      </w:r>
      <w:r>
        <w:rPr>
          <w:rFonts w:hint="eastAsia" w:ascii="宋体" w:hAnsi="宋体" w:cs="宋体"/>
          <w:b/>
          <w:color w:val="auto"/>
          <w:sz w:val="28"/>
          <w:szCs w:val="28"/>
          <w:highlight w:val="none"/>
        </w:rPr>
        <w:t xml:space="preserve">附表2  </w:t>
      </w:r>
    </w:p>
    <w:p>
      <w:pPr>
        <w:pStyle w:val="4"/>
        <w:numPr>
          <w:ilvl w:val="0"/>
          <w:numId w:val="0"/>
        </w:numPr>
        <w:ind w:left="1279" w:leftChars="609" w:firstLine="1687" w:firstLineChars="600"/>
        <w:rPr>
          <w:rFonts w:hint="eastAsia" w:cs="宋体"/>
          <w:color w:val="auto"/>
          <w:highlight w:val="none"/>
        </w:rPr>
      </w:pPr>
      <w:bookmarkStart w:id="260" w:name="_Toc58005994"/>
      <w:bookmarkStart w:id="261" w:name="_Toc65829031"/>
      <w:bookmarkStart w:id="262" w:name="_Toc417386194"/>
      <w:bookmarkStart w:id="263" w:name="_Toc65676987"/>
      <w:bookmarkStart w:id="264" w:name="_Toc452457444"/>
      <w:r>
        <w:rPr>
          <w:rFonts w:hint="eastAsia" w:cs="宋体"/>
          <w:color w:val="auto"/>
          <w:highlight w:val="none"/>
        </w:rPr>
        <w:t>二、详细评分表</w:t>
      </w:r>
      <w:bookmarkEnd w:id="260"/>
      <w:bookmarkEnd w:id="261"/>
      <w:bookmarkEnd w:id="262"/>
      <w:bookmarkEnd w:id="263"/>
      <w:bookmarkEnd w:id="264"/>
    </w:p>
    <w:p>
      <w:pPr>
        <w:spacing w:line="360" w:lineRule="auto"/>
        <w:rPr>
          <w:rFonts w:hint="eastAsia" w:ascii="仿宋_GB2312" w:hAnsi="仿宋_GB2312" w:eastAsia="仿宋_GB2312" w:cs="仿宋_GB2312"/>
          <w:bCs/>
          <w:sz w:val="24"/>
          <w:szCs w:val="24"/>
          <w:lang w:eastAsia="zh-CN"/>
        </w:rPr>
      </w:pPr>
      <w:r>
        <w:rPr>
          <w:rFonts w:hint="eastAsia" w:ascii="仿宋_GB2312" w:hAnsi="仿宋_GB2312" w:eastAsia="仿宋_GB2312" w:cs="仿宋_GB2312"/>
          <w:bCs/>
          <w:sz w:val="24"/>
          <w:szCs w:val="24"/>
        </w:rPr>
        <w:t>项目名称：</w:t>
      </w:r>
      <w:r>
        <w:rPr>
          <w:rFonts w:hint="eastAsia" w:ascii="仿宋_GB2312" w:hAnsi="仿宋_GB2312" w:eastAsia="仿宋_GB2312" w:cs="仿宋_GB2312"/>
          <w:bCs/>
          <w:sz w:val="24"/>
          <w:szCs w:val="24"/>
          <w:lang w:eastAsia="zh-CN"/>
        </w:rPr>
        <w:t>屯昌县国土空间规划中明确造林绿化空间评估项目政府采购</w:t>
      </w:r>
    </w:p>
    <w:p>
      <w:pPr>
        <w:spacing w:line="360" w:lineRule="auto"/>
        <w:rPr>
          <w:rFonts w:hint="default" w:ascii="仿宋_GB2312" w:hAnsi="仿宋_GB2312" w:eastAsia="仿宋_GB2312" w:cs="仿宋_GB2312"/>
          <w:bCs/>
          <w:sz w:val="24"/>
          <w:szCs w:val="24"/>
          <w:lang w:val="en-US" w:eastAsia="zh-CN"/>
        </w:rPr>
      </w:pPr>
      <w:r>
        <w:rPr>
          <w:rFonts w:hint="eastAsia" w:ascii="仿宋_GB2312" w:hAnsi="仿宋_GB2312" w:eastAsia="仿宋_GB2312" w:cs="仿宋_GB2312"/>
          <w:bCs/>
          <w:sz w:val="24"/>
          <w:szCs w:val="24"/>
        </w:rPr>
        <w:t>项目编号：</w:t>
      </w:r>
      <w:r>
        <w:rPr>
          <w:rFonts w:hint="eastAsia" w:ascii="仿宋_GB2312" w:hAnsi="仿宋_GB2312" w:eastAsia="仿宋_GB2312" w:cs="仿宋_GB2312"/>
          <w:bCs/>
          <w:sz w:val="24"/>
          <w:szCs w:val="24"/>
          <w:lang w:eastAsia="zh-CN"/>
        </w:rPr>
        <w:t>HNCY-2022-029</w:t>
      </w:r>
    </w:p>
    <w:tbl>
      <w:tblPr>
        <w:tblStyle w:val="3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5"/>
        <w:gridCol w:w="1335"/>
        <w:gridCol w:w="5681"/>
        <w:gridCol w:w="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 w:hRule="atLeast"/>
        </w:trPr>
        <w:tc>
          <w:tcPr>
            <w:tcW w:w="615" w:type="dxa"/>
            <w:vAlign w:val="center"/>
          </w:tcPr>
          <w:p>
            <w:pPr>
              <w:spacing w:line="276" w:lineRule="auto"/>
              <w:jc w:val="center"/>
              <w:rPr>
                <w:rFonts w:hint="eastAsia" w:ascii="宋体" w:hAnsi="宋体" w:cs="宋体"/>
                <w:color w:val="auto"/>
                <w:sz w:val="24"/>
                <w:highlight w:val="none"/>
              </w:rPr>
            </w:pPr>
            <w:r>
              <w:rPr>
                <w:rFonts w:hint="eastAsia" w:ascii="宋体" w:hAnsi="宋体" w:cs="宋体"/>
                <w:color w:val="auto"/>
                <w:sz w:val="24"/>
                <w:highlight w:val="none"/>
              </w:rPr>
              <w:t>序号</w:t>
            </w:r>
          </w:p>
        </w:tc>
        <w:tc>
          <w:tcPr>
            <w:tcW w:w="1335" w:type="dxa"/>
            <w:vAlign w:val="center"/>
          </w:tcPr>
          <w:p>
            <w:pPr>
              <w:spacing w:line="276" w:lineRule="auto"/>
              <w:rPr>
                <w:rFonts w:hint="eastAsia" w:ascii="宋体" w:hAnsi="宋体" w:cs="宋体"/>
                <w:color w:val="auto"/>
                <w:sz w:val="24"/>
                <w:highlight w:val="none"/>
              </w:rPr>
            </w:pPr>
            <w:r>
              <w:rPr>
                <w:rFonts w:hint="eastAsia" w:ascii="宋体" w:hAnsi="宋体" w:cs="宋体"/>
                <w:color w:val="auto"/>
                <w:sz w:val="24"/>
                <w:highlight w:val="none"/>
              </w:rPr>
              <w:t>评审要素</w:t>
            </w:r>
          </w:p>
        </w:tc>
        <w:tc>
          <w:tcPr>
            <w:tcW w:w="5681" w:type="dxa"/>
            <w:vAlign w:val="center"/>
          </w:tcPr>
          <w:p>
            <w:pPr>
              <w:spacing w:line="276" w:lineRule="auto"/>
              <w:jc w:val="center"/>
              <w:rPr>
                <w:rFonts w:hint="eastAsia" w:ascii="宋体" w:hAnsi="宋体" w:cs="宋体"/>
                <w:color w:val="auto"/>
                <w:sz w:val="24"/>
                <w:highlight w:val="none"/>
              </w:rPr>
            </w:pPr>
            <w:r>
              <w:rPr>
                <w:rFonts w:hint="eastAsia" w:ascii="宋体" w:hAnsi="宋体" w:cs="宋体"/>
                <w:color w:val="auto"/>
                <w:sz w:val="24"/>
                <w:highlight w:val="none"/>
              </w:rPr>
              <w:t>评分标准</w:t>
            </w:r>
          </w:p>
        </w:tc>
        <w:tc>
          <w:tcPr>
            <w:tcW w:w="555" w:type="dxa"/>
            <w:vAlign w:val="center"/>
          </w:tcPr>
          <w:p>
            <w:pPr>
              <w:spacing w:line="276" w:lineRule="auto"/>
              <w:jc w:val="center"/>
              <w:rPr>
                <w:rFonts w:hint="eastAsia" w:ascii="宋体" w:hAnsi="宋体" w:cs="宋体"/>
                <w:color w:val="auto"/>
                <w:sz w:val="24"/>
                <w:highlight w:val="none"/>
              </w:rPr>
            </w:pPr>
            <w:r>
              <w:rPr>
                <w:rFonts w:hint="eastAsia" w:ascii="宋体" w:hAnsi="宋体" w:cs="宋体"/>
                <w:color w:val="auto"/>
                <w:sz w:val="24"/>
                <w:highlight w:val="none"/>
                <w:lang w:val="en-US" w:eastAsia="zh-CN"/>
              </w:rPr>
              <w:t>满</w:t>
            </w:r>
            <w:r>
              <w:rPr>
                <w:rFonts w:hint="eastAsia" w:ascii="宋体" w:hAnsi="宋体" w:cs="宋体"/>
                <w:color w:val="auto"/>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 w:hRule="atLeast"/>
        </w:trPr>
        <w:tc>
          <w:tcPr>
            <w:tcW w:w="615" w:type="dxa"/>
            <w:vAlign w:val="center"/>
          </w:tcPr>
          <w:p>
            <w:pPr>
              <w:spacing w:line="360" w:lineRule="auto"/>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1</w:t>
            </w:r>
          </w:p>
        </w:tc>
        <w:tc>
          <w:tcPr>
            <w:tcW w:w="1335" w:type="dxa"/>
            <w:vAlign w:val="center"/>
          </w:tcPr>
          <w:p>
            <w:pPr>
              <w:spacing w:line="360" w:lineRule="auto"/>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企业业绩</w:t>
            </w:r>
          </w:p>
        </w:tc>
        <w:tc>
          <w:tcPr>
            <w:tcW w:w="5681" w:type="dxa"/>
            <w:vAlign w:val="center"/>
          </w:tcPr>
          <w:p>
            <w:pPr>
              <w:spacing w:line="360" w:lineRule="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至投标截止时间为止，投标人承担过调查类项目业绩，每提供一个5分，本项满分15分。</w:t>
            </w:r>
          </w:p>
          <w:p>
            <w:pPr>
              <w:spacing w:line="360" w:lineRule="auto"/>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证明材料：响应文件中提供相关合同的复印件并加盖公章（时间以合同签定时间为准）。</w:t>
            </w:r>
          </w:p>
        </w:tc>
        <w:tc>
          <w:tcPr>
            <w:tcW w:w="555" w:type="dxa"/>
            <w:vAlign w:val="center"/>
          </w:tcPr>
          <w:p>
            <w:pPr>
              <w:spacing w:line="360" w:lineRule="auto"/>
              <w:rPr>
                <w:rFonts w:hint="default" w:ascii="仿宋_GB2312" w:hAnsi="仿宋_GB2312" w:eastAsia="仿宋_GB2312" w:cs="仿宋_GB2312"/>
                <w:bCs/>
                <w:sz w:val="21"/>
                <w:szCs w:val="21"/>
                <w:lang w:val="en-US"/>
              </w:rPr>
            </w:pPr>
            <w:r>
              <w:rPr>
                <w:rFonts w:hint="eastAsia" w:ascii="仿宋_GB2312" w:hAnsi="仿宋_GB2312" w:eastAsia="仿宋_GB2312" w:cs="仿宋_GB2312"/>
                <w:bCs/>
                <w:sz w:val="21"/>
                <w:szCs w:val="21"/>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 w:hRule="atLeast"/>
        </w:trPr>
        <w:tc>
          <w:tcPr>
            <w:tcW w:w="615" w:type="dxa"/>
            <w:vAlign w:val="center"/>
          </w:tcPr>
          <w:p>
            <w:pPr>
              <w:spacing w:line="360" w:lineRule="auto"/>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2</w:t>
            </w:r>
          </w:p>
        </w:tc>
        <w:tc>
          <w:tcPr>
            <w:tcW w:w="1335" w:type="dxa"/>
            <w:vAlign w:val="center"/>
          </w:tcPr>
          <w:p>
            <w:pPr>
              <w:spacing w:line="360" w:lineRule="auto"/>
              <w:rPr>
                <w:rFonts w:hint="default"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拟投入人员</w:t>
            </w:r>
          </w:p>
        </w:tc>
        <w:tc>
          <w:tcPr>
            <w:tcW w:w="5681" w:type="dxa"/>
            <w:vAlign w:val="center"/>
          </w:tcPr>
          <w:p>
            <w:pPr>
              <w:spacing w:line="360" w:lineRule="auto"/>
              <w:rPr>
                <w:rFonts w:hint="default" w:ascii="仿宋_GB2312" w:hAnsi="仿宋_GB2312" w:eastAsia="仿宋_GB2312" w:cs="仿宋_GB2312"/>
                <w:bCs/>
                <w:sz w:val="21"/>
                <w:szCs w:val="21"/>
                <w:lang w:val="en-US" w:eastAsia="zh-CN"/>
              </w:rPr>
            </w:pPr>
            <w:r>
              <w:rPr>
                <w:rFonts w:hint="default" w:ascii="仿宋_GB2312" w:hAnsi="仿宋_GB2312" w:eastAsia="仿宋_GB2312" w:cs="仿宋_GB2312"/>
                <w:bCs/>
                <w:sz w:val="21"/>
                <w:szCs w:val="21"/>
                <w:lang w:val="en-US" w:eastAsia="zh-CN"/>
              </w:rPr>
              <w:t>1、项目负责人1 名：①具有林业专业等相关专业高级技术职称的得</w:t>
            </w:r>
            <w:r>
              <w:rPr>
                <w:rFonts w:hint="eastAsia" w:ascii="仿宋_GB2312" w:hAnsi="仿宋_GB2312" w:eastAsia="仿宋_GB2312" w:cs="仿宋_GB2312"/>
                <w:bCs/>
                <w:sz w:val="21"/>
                <w:szCs w:val="21"/>
                <w:lang w:val="en-US" w:eastAsia="zh-CN"/>
              </w:rPr>
              <w:t>5</w:t>
            </w:r>
            <w:r>
              <w:rPr>
                <w:rFonts w:hint="default" w:ascii="仿宋_GB2312" w:hAnsi="仿宋_GB2312" w:eastAsia="仿宋_GB2312" w:cs="仿宋_GB2312"/>
                <w:bCs/>
                <w:sz w:val="21"/>
                <w:szCs w:val="21"/>
                <w:lang w:val="en-US" w:eastAsia="zh-CN"/>
              </w:rPr>
              <w:t>分，具有林业及林业相关专业中级及以上职称得3 分；具有林业及林业相关专业初级职称得2分；未提供或不满足不得分，本小项最多得</w:t>
            </w:r>
            <w:r>
              <w:rPr>
                <w:rFonts w:hint="eastAsia" w:ascii="仿宋_GB2312" w:hAnsi="仿宋_GB2312" w:eastAsia="仿宋_GB2312" w:cs="仿宋_GB2312"/>
                <w:bCs/>
                <w:sz w:val="21"/>
                <w:szCs w:val="21"/>
                <w:lang w:val="en-US" w:eastAsia="zh-CN"/>
              </w:rPr>
              <w:t>5</w:t>
            </w:r>
            <w:r>
              <w:rPr>
                <w:rFonts w:hint="default" w:ascii="仿宋_GB2312" w:hAnsi="仿宋_GB2312" w:eastAsia="仿宋_GB2312" w:cs="仿宋_GB2312"/>
                <w:bCs/>
                <w:sz w:val="21"/>
                <w:szCs w:val="21"/>
                <w:lang w:val="en-US" w:eastAsia="zh-CN"/>
              </w:rPr>
              <w:t xml:space="preserve"> 分。</w:t>
            </w:r>
          </w:p>
          <w:p>
            <w:pPr>
              <w:spacing w:line="360" w:lineRule="auto"/>
              <w:rPr>
                <w:rFonts w:hint="default" w:ascii="仿宋_GB2312" w:hAnsi="仿宋_GB2312" w:eastAsia="仿宋_GB2312" w:cs="仿宋_GB2312"/>
                <w:bCs/>
                <w:sz w:val="21"/>
                <w:szCs w:val="21"/>
                <w:lang w:val="en-US" w:eastAsia="zh-CN"/>
              </w:rPr>
            </w:pPr>
            <w:r>
              <w:rPr>
                <w:rFonts w:hint="default" w:ascii="仿宋_GB2312" w:hAnsi="仿宋_GB2312" w:eastAsia="仿宋_GB2312" w:cs="仿宋_GB2312"/>
                <w:bCs/>
                <w:sz w:val="21"/>
                <w:szCs w:val="21"/>
                <w:lang w:val="en-US" w:eastAsia="zh-CN"/>
              </w:rPr>
              <w:t>2、技术负责人1 名：①具有林业专业等相关专业高级技术职称的得4 分，具有林业及林业相关专业中级及以上职称得3 分；具有林业及林业相关专业初级职称得2分；未提供或不满足不得分，本小项最多得4 分。</w:t>
            </w:r>
          </w:p>
          <w:p>
            <w:pPr>
              <w:spacing w:line="360" w:lineRule="auto"/>
              <w:rPr>
                <w:rFonts w:hint="default" w:ascii="仿宋_GB2312" w:hAnsi="仿宋_GB2312" w:eastAsia="仿宋_GB2312" w:cs="仿宋_GB2312"/>
                <w:bCs/>
                <w:sz w:val="21"/>
                <w:szCs w:val="21"/>
                <w:lang w:val="en-US" w:eastAsia="zh-CN"/>
              </w:rPr>
            </w:pPr>
            <w:r>
              <w:rPr>
                <w:rFonts w:hint="default" w:ascii="仿宋_GB2312" w:hAnsi="仿宋_GB2312" w:eastAsia="仿宋_GB2312" w:cs="仿宋_GB2312"/>
                <w:bCs/>
                <w:sz w:val="21"/>
                <w:szCs w:val="21"/>
                <w:lang w:val="en-US" w:eastAsia="zh-CN"/>
              </w:rPr>
              <w:t>3、其他专业技术人员3 名：①具有林业专业等相关专业高级技术职称的，每有1个得4 分，本条最多得4 分；未提供或不满足不得分。②具有林业专业等相关专业中级技术职称的每有1 个得3 分，本条最多得3 分；未提供或不满足不得分。③具有林业专业等相关专业初级技术职称的每有1 个得2 分，本条最多得2 分；未提供或不满足不得分。本项最多得9 分。</w:t>
            </w:r>
          </w:p>
          <w:p>
            <w:pPr>
              <w:spacing w:line="360" w:lineRule="auto"/>
              <w:rPr>
                <w:rFonts w:hint="default" w:ascii="仿宋_GB2312" w:hAnsi="仿宋_GB2312" w:eastAsia="仿宋_GB2312" w:cs="仿宋_GB2312"/>
                <w:bCs/>
                <w:sz w:val="21"/>
                <w:szCs w:val="21"/>
                <w:lang w:val="en-US" w:eastAsia="zh-CN"/>
              </w:rPr>
            </w:pPr>
            <w:r>
              <w:rPr>
                <w:rFonts w:hint="default" w:ascii="仿宋_GB2312" w:hAnsi="仿宋_GB2312" w:eastAsia="仿宋_GB2312" w:cs="仿宋_GB2312"/>
                <w:bCs/>
                <w:sz w:val="21"/>
                <w:szCs w:val="21"/>
                <w:lang w:val="en-US" w:eastAsia="zh-CN"/>
              </w:rPr>
              <w:t>以上人员不重复计分。需提供职称资格证明材料复印件加盖投标人鲜章。</w:t>
            </w:r>
          </w:p>
        </w:tc>
        <w:tc>
          <w:tcPr>
            <w:tcW w:w="555" w:type="dxa"/>
            <w:vAlign w:val="center"/>
          </w:tcPr>
          <w:p>
            <w:pPr>
              <w:spacing w:line="360" w:lineRule="auto"/>
              <w:rPr>
                <w:rFonts w:hint="default"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trPr>
        <w:tc>
          <w:tcPr>
            <w:tcW w:w="615" w:type="dxa"/>
            <w:vAlign w:val="center"/>
          </w:tcPr>
          <w:p>
            <w:pPr>
              <w:spacing w:line="360" w:lineRule="auto"/>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3</w:t>
            </w:r>
          </w:p>
        </w:tc>
        <w:tc>
          <w:tcPr>
            <w:tcW w:w="1335" w:type="dxa"/>
            <w:vAlign w:val="center"/>
          </w:tcPr>
          <w:p>
            <w:pPr>
              <w:spacing w:line="360" w:lineRule="auto"/>
              <w:rPr>
                <w:rFonts w:hint="default"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技术方案</w:t>
            </w:r>
          </w:p>
        </w:tc>
        <w:tc>
          <w:tcPr>
            <w:tcW w:w="5681" w:type="dxa"/>
            <w:vAlign w:val="center"/>
          </w:tcPr>
          <w:p>
            <w:pPr>
              <w:spacing w:line="360" w:lineRule="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根据供应商对本项目所提供的技术方案，方案包括但不限于：①项目情况整体目标分析；</w:t>
            </w:r>
          </w:p>
          <w:p>
            <w:pPr>
              <w:spacing w:line="360" w:lineRule="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②项目组织机构；</w:t>
            </w:r>
          </w:p>
          <w:p>
            <w:pPr>
              <w:spacing w:line="360" w:lineRule="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③职责分工；</w:t>
            </w:r>
          </w:p>
          <w:p>
            <w:pPr>
              <w:spacing w:line="360" w:lineRule="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④管理运行机制；</w:t>
            </w:r>
          </w:p>
          <w:p>
            <w:pPr>
              <w:spacing w:line="360" w:lineRule="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⑤规划依据；</w:t>
            </w:r>
          </w:p>
          <w:p>
            <w:pPr>
              <w:spacing w:line="360" w:lineRule="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⑥规划范围划分；</w:t>
            </w:r>
          </w:p>
          <w:p>
            <w:pPr>
              <w:spacing w:line="360" w:lineRule="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⑦规划内容；</w:t>
            </w:r>
          </w:p>
          <w:p>
            <w:pPr>
              <w:spacing w:line="360" w:lineRule="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⑧编制流程；</w:t>
            </w:r>
          </w:p>
          <w:p>
            <w:pPr>
              <w:spacing w:line="360" w:lineRule="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⑨项目各阶段任务划分。</w:t>
            </w:r>
          </w:p>
          <w:p>
            <w:pPr>
              <w:spacing w:line="360" w:lineRule="auto"/>
              <w:rPr>
                <w:rFonts w:hint="default"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以上每项内容符合磋商文件要求，符合项目实际需求、描述详尽且有利于项目实施的得27分；每有一项缺失、漏项的扣3分；每有一项存在偏差/不足/缺陷或与本项目无关或内容错误（内容错误指：项目名称、实施地点、涉及的规范、标准与本项目要求不一致；进度计划超期；不切实际的凭空编造；前后矛盾无逻辑性等。）扣1.5分，扣完为止；未提供不得分。</w:t>
            </w:r>
          </w:p>
        </w:tc>
        <w:tc>
          <w:tcPr>
            <w:tcW w:w="555" w:type="dxa"/>
            <w:vAlign w:val="center"/>
          </w:tcPr>
          <w:p>
            <w:pPr>
              <w:spacing w:line="360" w:lineRule="auto"/>
              <w:rPr>
                <w:rFonts w:hint="default"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15" w:type="dxa"/>
            <w:vAlign w:val="center"/>
          </w:tcPr>
          <w:p>
            <w:pPr>
              <w:spacing w:line="360" w:lineRule="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4</w:t>
            </w:r>
          </w:p>
        </w:tc>
        <w:tc>
          <w:tcPr>
            <w:tcW w:w="1335" w:type="dxa"/>
            <w:vAlign w:val="center"/>
          </w:tcPr>
          <w:p>
            <w:pPr>
              <w:spacing w:line="360" w:lineRule="auto"/>
              <w:rPr>
                <w:rFonts w:hint="default"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实施方案</w:t>
            </w:r>
          </w:p>
        </w:tc>
        <w:tc>
          <w:tcPr>
            <w:tcW w:w="5681" w:type="dxa"/>
            <w:vAlign w:val="center"/>
          </w:tcPr>
          <w:p>
            <w:pPr>
              <w:spacing w:line="360" w:lineRule="auto"/>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根据供应商对本项目所提供的项目保障方案，方案包括但不限于：</w:t>
            </w:r>
          </w:p>
          <w:p>
            <w:pPr>
              <w:spacing w:line="360" w:lineRule="auto"/>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①进度保障措施；</w:t>
            </w:r>
          </w:p>
          <w:p>
            <w:pPr>
              <w:spacing w:line="360" w:lineRule="auto"/>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②环境保护措施；</w:t>
            </w:r>
          </w:p>
          <w:p>
            <w:pPr>
              <w:spacing w:line="360" w:lineRule="auto"/>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③项目实施过程中的应急预案。</w:t>
            </w:r>
          </w:p>
          <w:p>
            <w:pPr>
              <w:spacing w:line="360" w:lineRule="auto"/>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以上每项内容符合磋商文件要求，符合项目实际需求、描述详尽且有利于项目实施的得15分；每有一项缺失、漏项的扣5分；每有一项存在偏差/不足/缺陷或与本项目无关或内容错误（内容错误指：项目名称、实施地点、涉及的规范、标准与本项目要求不一致；进度计划超期等。）</w:t>
            </w:r>
          </w:p>
          <w:p>
            <w:pPr>
              <w:spacing w:line="360" w:lineRule="auto"/>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扣2.5分，扣完为止；未提供不得分。</w:t>
            </w:r>
          </w:p>
        </w:tc>
        <w:tc>
          <w:tcPr>
            <w:tcW w:w="555" w:type="dxa"/>
            <w:vAlign w:val="center"/>
          </w:tcPr>
          <w:p>
            <w:pPr>
              <w:spacing w:line="360" w:lineRule="auto"/>
              <w:rPr>
                <w:rFonts w:hint="default"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15" w:type="dxa"/>
            <w:vAlign w:val="center"/>
          </w:tcPr>
          <w:p>
            <w:pPr>
              <w:spacing w:line="360" w:lineRule="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5</w:t>
            </w:r>
          </w:p>
        </w:tc>
        <w:tc>
          <w:tcPr>
            <w:tcW w:w="1335" w:type="dxa"/>
            <w:vAlign w:val="center"/>
          </w:tcPr>
          <w:p>
            <w:pPr>
              <w:spacing w:line="360" w:lineRule="auto"/>
              <w:rPr>
                <w:rFonts w:hint="default"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售后服务</w:t>
            </w:r>
          </w:p>
        </w:tc>
        <w:tc>
          <w:tcPr>
            <w:tcW w:w="5681" w:type="dxa"/>
            <w:vAlign w:val="center"/>
          </w:tcPr>
          <w:p>
            <w:pPr>
              <w:spacing w:line="360" w:lineRule="auto"/>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根据供应商提供分售后服务方案进行综合评分，包括但不限于：</w:t>
            </w:r>
          </w:p>
          <w:p>
            <w:pPr>
              <w:spacing w:line="360" w:lineRule="auto"/>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①后期材料修改和业务咨询；</w:t>
            </w:r>
          </w:p>
          <w:p>
            <w:pPr>
              <w:spacing w:line="360" w:lineRule="auto"/>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②后期技术理论指导；</w:t>
            </w:r>
          </w:p>
          <w:p>
            <w:pPr>
              <w:spacing w:line="360" w:lineRule="auto"/>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③售后服务应急预案；</w:t>
            </w:r>
          </w:p>
          <w:p>
            <w:pPr>
              <w:spacing w:line="360" w:lineRule="auto"/>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④售后服务人员配置；</w:t>
            </w:r>
          </w:p>
          <w:p>
            <w:pPr>
              <w:spacing w:line="360" w:lineRule="auto"/>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⑤售后服务响应时间等。以上每项内容符合磋商文件要求，符合项目实际需求、描述详尽且有利于项目实施的得15 分；每有一项缺失、漏项的扣3 分；每有一项存在偏差/不足/缺陷或与本项目无关或内容错误（内容错误指：前后矛盾无逻辑性等）扣1.5分，扣完为止；未提供不得分。</w:t>
            </w:r>
          </w:p>
        </w:tc>
        <w:tc>
          <w:tcPr>
            <w:tcW w:w="555" w:type="dxa"/>
            <w:vAlign w:val="center"/>
          </w:tcPr>
          <w:p>
            <w:pPr>
              <w:spacing w:line="360" w:lineRule="auto"/>
              <w:rPr>
                <w:rFonts w:hint="default"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15" w:type="dxa"/>
            <w:vAlign w:val="center"/>
          </w:tcPr>
          <w:p>
            <w:pPr>
              <w:spacing w:line="360" w:lineRule="auto"/>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4</w:t>
            </w:r>
          </w:p>
        </w:tc>
        <w:tc>
          <w:tcPr>
            <w:tcW w:w="1335" w:type="dxa"/>
            <w:vAlign w:val="center"/>
          </w:tcPr>
          <w:p>
            <w:pPr>
              <w:spacing w:line="360" w:lineRule="auto"/>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价格分</w:t>
            </w:r>
          </w:p>
        </w:tc>
        <w:tc>
          <w:tcPr>
            <w:tcW w:w="5681" w:type="dxa"/>
            <w:vAlign w:val="center"/>
          </w:tcPr>
          <w:p>
            <w:pPr>
              <w:spacing w:line="360" w:lineRule="auto"/>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满足磋商文件要求且价格最低的最终报价为基准价，价格分统一按照下列公式计算：价格分=(基准价／最终报价)×价格权值×100</w:t>
            </w:r>
          </w:p>
        </w:tc>
        <w:tc>
          <w:tcPr>
            <w:tcW w:w="555" w:type="dxa"/>
            <w:vAlign w:val="center"/>
          </w:tcPr>
          <w:p>
            <w:pPr>
              <w:spacing w:line="360" w:lineRule="auto"/>
              <w:rPr>
                <w:rFonts w:hint="default"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615" w:type="dxa"/>
            <w:vAlign w:val="center"/>
          </w:tcPr>
          <w:p>
            <w:pPr>
              <w:spacing w:line="360" w:lineRule="auto"/>
              <w:rPr>
                <w:rFonts w:hint="eastAsia" w:ascii="仿宋_GB2312" w:hAnsi="仿宋_GB2312" w:eastAsia="仿宋_GB2312" w:cs="仿宋_GB2312"/>
                <w:bCs/>
                <w:sz w:val="21"/>
                <w:szCs w:val="21"/>
              </w:rPr>
            </w:pPr>
          </w:p>
        </w:tc>
        <w:tc>
          <w:tcPr>
            <w:tcW w:w="1335" w:type="dxa"/>
            <w:vAlign w:val="center"/>
          </w:tcPr>
          <w:p>
            <w:pPr>
              <w:spacing w:line="360" w:lineRule="auto"/>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合计</w:t>
            </w:r>
          </w:p>
        </w:tc>
        <w:tc>
          <w:tcPr>
            <w:tcW w:w="5681" w:type="dxa"/>
            <w:vAlign w:val="center"/>
          </w:tcPr>
          <w:p>
            <w:pPr>
              <w:spacing w:line="360" w:lineRule="auto"/>
              <w:rPr>
                <w:rFonts w:hint="eastAsia" w:ascii="仿宋_GB2312" w:hAnsi="仿宋_GB2312" w:eastAsia="仿宋_GB2312" w:cs="仿宋_GB2312"/>
                <w:bCs/>
                <w:sz w:val="21"/>
                <w:szCs w:val="21"/>
              </w:rPr>
            </w:pPr>
          </w:p>
        </w:tc>
        <w:tc>
          <w:tcPr>
            <w:tcW w:w="555" w:type="dxa"/>
            <w:vAlign w:val="center"/>
          </w:tcPr>
          <w:p>
            <w:pPr>
              <w:spacing w:line="360" w:lineRule="auto"/>
              <w:rPr>
                <w:rFonts w:hint="default"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100</w:t>
            </w:r>
          </w:p>
        </w:tc>
      </w:tr>
    </w:tbl>
    <w:p>
      <w:pPr>
        <w:spacing w:line="360" w:lineRule="auto"/>
        <w:rPr>
          <w:rFonts w:hint="eastAsia" w:ascii="仿宋_GB2312" w:hAnsi="仿宋_GB2312" w:eastAsia="仿宋_GB2312" w:cs="仿宋_GB2312"/>
          <w:bCs/>
          <w:sz w:val="21"/>
          <w:szCs w:val="21"/>
        </w:rPr>
      </w:pPr>
    </w:p>
    <w:p>
      <w:pPr>
        <w:rPr>
          <w:color w:val="auto"/>
          <w:sz w:val="21"/>
          <w:szCs w:val="21"/>
          <w:highlight w:val="none"/>
          <w:lang w:val="en-US"/>
        </w:rPr>
      </w:pPr>
    </w:p>
    <w:p>
      <w:pPr>
        <w:spacing w:line="360" w:lineRule="auto"/>
        <w:jc w:val="center"/>
        <w:rPr>
          <w:rFonts w:hint="eastAsia" w:ascii="宋体" w:hAnsi="宋体" w:cs="宋体"/>
          <w:b/>
          <w:color w:val="auto"/>
          <w:spacing w:val="40"/>
          <w:sz w:val="21"/>
          <w:szCs w:val="21"/>
          <w:highlight w:val="none"/>
          <w:lang w:val="en-GB"/>
        </w:rPr>
      </w:pPr>
      <w:bookmarkStart w:id="265" w:name="_Toc65829032"/>
    </w:p>
    <w:p>
      <w:pPr>
        <w:spacing w:line="360" w:lineRule="auto"/>
        <w:jc w:val="center"/>
        <w:rPr>
          <w:rFonts w:hint="eastAsia" w:ascii="宋体" w:hAnsi="宋体" w:cs="宋体"/>
          <w:b/>
          <w:color w:val="auto"/>
          <w:spacing w:val="40"/>
          <w:sz w:val="44"/>
          <w:szCs w:val="44"/>
          <w:highlight w:val="none"/>
          <w:lang w:val="en-GB"/>
        </w:rPr>
      </w:pPr>
    </w:p>
    <w:p>
      <w:pPr>
        <w:spacing w:line="360" w:lineRule="auto"/>
        <w:jc w:val="center"/>
        <w:rPr>
          <w:rFonts w:hint="eastAsia" w:ascii="宋体" w:hAnsi="宋体" w:cs="宋体"/>
          <w:b/>
          <w:color w:val="auto"/>
          <w:spacing w:val="40"/>
          <w:sz w:val="44"/>
          <w:szCs w:val="44"/>
          <w:highlight w:val="none"/>
          <w:lang w:val="en-GB"/>
        </w:rPr>
      </w:pPr>
    </w:p>
    <w:p>
      <w:pPr>
        <w:spacing w:line="360" w:lineRule="auto"/>
        <w:jc w:val="center"/>
        <w:rPr>
          <w:rFonts w:hint="eastAsia" w:ascii="宋体" w:hAnsi="宋体" w:cs="宋体"/>
          <w:b/>
          <w:color w:val="auto"/>
          <w:spacing w:val="40"/>
          <w:sz w:val="44"/>
          <w:szCs w:val="44"/>
          <w:highlight w:val="none"/>
          <w:lang w:val="en-GB"/>
        </w:rPr>
      </w:pPr>
    </w:p>
    <w:p>
      <w:pPr>
        <w:spacing w:line="360" w:lineRule="auto"/>
        <w:jc w:val="center"/>
        <w:rPr>
          <w:rFonts w:hint="eastAsia" w:ascii="宋体" w:hAnsi="宋体" w:cs="宋体"/>
          <w:b/>
          <w:color w:val="auto"/>
          <w:spacing w:val="40"/>
          <w:sz w:val="44"/>
          <w:szCs w:val="44"/>
          <w:highlight w:val="none"/>
          <w:lang w:val="en-GB"/>
        </w:rPr>
      </w:pPr>
    </w:p>
    <w:p>
      <w:pPr>
        <w:spacing w:line="360" w:lineRule="auto"/>
        <w:jc w:val="center"/>
        <w:rPr>
          <w:rFonts w:hint="eastAsia" w:ascii="宋体" w:hAnsi="宋体" w:cs="宋体"/>
          <w:b/>
          <w:color w:val="auto"/>
          <w:spacing w:val="40"/>
          <w:sz w:val="44"/>
          <w:szCs w:val="44"/>
          <w:highlight w:val="none"/>
          <w:lang w:val="en-GB"/>
        </w:rPr>
      </w:pPr>
    </w:p>
    <w:p>
      <w:pPr>
        <w:spacing w:line="360" w:lineRule="auto"/>
        <w:jc w:val="center"/>
        <w:rPr>
          <w:rFonts w:hint="eastAsia" w:ascii="宋体" w:hAnsi="宋体" w:cs="宋体"/>
          <w:b/>
          <w:color w:val="auto"/>
          <w:spacing w:val="40"/>
          <w:sz w:val="44"/>
          <w:szCs w:val="44"/>
          <w:highlight w:val="none"/>
          <w:lang w:val="en-GB"/>
        </w:rPr>
      </w:pPr>
    </w:p>
    <w:p>
      <w:pPr>
        <w:spacing w:line="360" w:lineRule="auto"/>
        <w:jc w:val="center"/>
        <w:rPr>
          <w:rFonts w:hint="eastAsia" w:ascii="宋体" w:hAnsi="宋体" w:cs="宋体"/>
          <w:b/>
          <w:color w:val="auto"/>
          <w:spacing w:val="40"/>
          <w:sz w:val="44"/>
          <w:szCs w:val="44"/>
          <w:highlight w:val="none"/>
          <w:lang w:val="en-GB"/>
        </w:rPr>
      </w:pPr>
    </w:p>
    <w:p>
      <w:pPr>
        <w:spacing w:line="360" w:lineRule="auto"/>
        <w:jc w:val="center"/>
        <w:rPr>
          <w:rFonts w:hint="eastAsia" w:ascii="宋体" w:hAnsi="宋体" w:cs="宋体"/>
          <w:b/>
          <w:color w:val="auto"/>
          <w:spacing w:val="40"/>
          <w:sz w:val="44"/>
          <w:szCs w:val="44"/>
          <w:highlight w:val="none"/>
          <w:lang w:val="en-GB"/>
        </w:rPr>
      </w:pPr>
    </w:p>
    <w:p>
      <w:pPr>
        <w:spacing w:line="360" w:lineRule="auto"/>
        <w:jc w:val="center"/>
        <w:rPr>
          <w:rFonts w:hint="eastAsia" w:ascii="宋体" w:hAnsi="宋体" w:cs="宋体"/>
          <w:b/>
          <w:color w:val="auto"/>
          <w:spacing w:val="40"/>
          <w:sz w:val="44"/>
          <w:szCs w:val="44"/>
          <w:highlight w:val="none"/>
          <w:lang w:val="en-GB"/>
        </w:rPr>
      </w:pPr>
    </w:p>
    <w:p>
      <w:pPr>
        <w:spacing w:line="360" w:lineRule="auto"/>
        <w:jc w:val="center"/>
        <w:rPr>
          <w:rFonts w:hint="eastAsia" w:ascii="宋体" w:hAnsi="宋体" w:cs="宋体"/>
          <w:b/>
          <w:color w:val="auto"/>
          <w:spacing w:val="40"/>
          <w:sz w:val="44"/>
          <w:szCs w:val="44"/>
          <w:highlight w:val="none"/>
          <w:lang w:val="en-GB"/>
        </w:rPr>
      </w:pPr>
    </w:p>
    <w:p>
      <w:pPr>
        <w:spacing w:line="360" w:lineRule="auto"/>
        <w:jc w:val="center"/>
        <w:rPr>
          <w:rFonts w:hint="eastAsia" w:ascii="宋体" w:hAnsi="宋体" w:cs="宋体"/>
          <w:b/>
          <w:color w:val="auto"/>
          <w:spacing w:val="40"/>
          <w:sz w:val="44"/>
          <w:szCs w:val="44"/>
          <w:highlight w:val="none"/>
          <w:lang w:val="en-GB"/>
        </w:rPr>
      </w:pPr>
    </w:p>
    <w:p>
      <w:pPr>
        <w:spacing w:line="360" w:lineRule="auto"/>
        <w:jc w:val="center"/>
        <w:rPr>
          <w:rFonts w:hint="eastAsia" w:ascii="宋体" w:hAnsi="宋体" w:cs="宋体"/>
          <w:b/>
          <w:color w:val="auto"/>
          <w:spacing w:val="40"/>
          <w:sz w:val="44"/>
          <w:szCs w:val="44"/>
          <w:highlight w:val="none"/>
          <w:lang w:val="en-GB"/>
        </w:rPr>
      </w:pPr>
    </w:p>
    <w:p>
      <w:pPr>
        <w:spacing w:line="360" w:lineRule="auto"/>
        <w:jc w:val="center"/>
        <w:rPr>
          <w:rFonts w:hint="eastAsia" w:ascii="宋体" w:hAnsi="宋体" w:cs="宋体"/>
          <w:b/>
          <w:color w:val="auto"/>
          <w:spacing w:val="40"/>
          <w:sz w:val="44"/>
          <w:szCs w:val="44"/>
          <w:highlight w:val="none"/>
          <w:lang w:val="en-GB"/>
        </w:rPr>
      </w:pPr>
    </w:p>
    <w:p>
      <w:pPr>
        <w:spacing w:line="360" w:lineRule="auto"/>
        <w:jc w:val="center"/>
        <w:rPr>
          <w:rFonts w:hint="eastAsia" w:ascii="宋体" w:hAnsi="宋体" w:cs="宋体"/>
          <w:b/>
          <w:color w:val="auto"/>
          <w:spacing w:val="40"/>
          <w:sz w:val="44"/>
          <w:szCs w:val="44"/>
          <w:highlight w:val="none"/>
          <w:lang w:val="en-GB"/>
        </w:rPr>
      </w:pPr>
    </w:p>
    <w:p>
      <w:pPr>
        <w:spacing w:line="360" w:lineRule="auto"/>
        <w:jc w:val="center"/>
        <w:rPr>
          <w:rFonts w:hint="eastAsia" w:ascii="宋体" w:hAnsi="宋体" w:cs="宋体"/>
          <w:color w:val="auto"/>
          <w:sz w:val="24"/>
          <w:highlight w:val="none"/>
        </w:rPr>
      </w:pPr>
      <w:r>
        <w:rPr>
          <w:rFonts w:hint="eastAsia" w:ascii="宋体" w:hAnsi="宋体" w:cs="宋体"/>
          <w:b/>
          <w:color w:val="auto"/>
          <w:spacing w:val="40"/>
          <w:sz w:val="44"/>
          <w:szCs w:val="44"/>
          <w:highlight w:val="none"/>
          <w:lang w:val="en-GB"/>
        </w:rPr>
        <w:t>第六章 响应文件格式</w:t>
      </w:r>
      <w:bookmarkEnd w:id="265"/>
    </w:p>
    <w:p>
      <w:pPr>
        <w:spacing w:line="360" w:lineRule="auto"/>
        <w:jc w:val="center"/>
        <w:rPr>
          <w:rFonts w:hint="eastAsia" w:ascii="宋体" w:hAnsi="宋体" w:cs="宋体"/>
          <w:b/>
          <w:bCs/>
          <w:color w:val="auto"/>
          <w:sz w:val="24"/>
          <w:highlight w:val="none"/>
        </w:rPr>
      </w:pPr>
    </w:p>
    <w:p>
      <w:pPr>
        <w:spacing w:line="360" w:lineRule="auto"/>
        <w:rPr>
          <w:rFonts w:hint="eastAsia" w:ascii="宋体" w:hAnsi="宋体" w:cs="宋体"/>
          <w:b/>
          <w:color w:val="auto"/>
          <w:sz w:val="32"/>
          <w:highlight w:val="none"/>
        </w:rPr>
      </w:pPr>
    </w:p>
    <w:p>
      <w:pPr>
        <w:spacing w:line="360" w:lineRule="auto"/>
        <w:jc w:val="center"/>
        <w:rPr>
          <w:rFonts w:hint="eastAsia" w:ascii="宋体" w:hAnsi="宋体" w:cs="宋体"/>
          <w:b/>
          <w:color w:val="auto"/>
          <w:sz w:val="32"/>
          <w:highlight w:val="none"/>
        </w:rPr>
      </w:pPr>
      <w:r>
        <w:rPr>
          <w:rFonts w:hint="eastAsia" w:ascii="宋体" w:hAnsi="宋体" w:cs="宋体"/>
          <w:b/>
          <w:snapToGrid w:val="0"/>
          <w:color w:val="auto"/>
          <w:sz w:val="28"/>
          <w:szCs w:val="52"/>
          <w:highlight w:val="none"/>
          <w:lang w:eastAsia="zh-CN"/>
        </w:rPr>
        <w:t>屯昌县国土空间规划中明确造林绿化空间评估项目政府采购</w:t>
      </w:r>
    </w:p>
    <w:p>
      <w:pPr>
        <w:spacing w:line="360" w:lineRule="auto"/>
        <w:rPr>
          <w:rFonts w:hint="eastAsia" w:ascii="宋体" w:hAnsi="宋体" w:cs="宋体"/>
          <w:b/>
          <w:color w:val="auto"/>
          <w:sz w:val="32"/>
          <w:highlight w:val="none"/>
          <w:u w:val="single"/>
        </w:rPr>
      </w:pPr>
    </w:p>
    <w:p>
      <w:pPr>
        <w:spacing w:line="360" w:lineRule="auto"/>
        <w:rPr>
          <w:rFonts w:hint="eastAsia" w:ascii="宋体" w:hAnsi="宋体" w:cs="宋体"/>
          <w:b/>
          <w:color w:val="auto"/>
          <w:sz w:val="32"/>
          <w:highlight w:val="none"/>
          <w:u w:val="single"/>
        </w:rPr>
      </w:pPr>
    </w:p>
    <w:p>
      <w:pPr>
        <w:spacing w:line="360" w:lineRule="auto"/>
        <w:rPr>
          <w:rFonts w:hint="eastAsia" w:ascii="宋体" w:hAnsi="宋体" w:cs="宋体"/>
          <w:b/>
          <w:color w:val="auto"/>
          <w:sz w:val="32"/>
          <w:highlight w:val="none"/>
          <w:u w:val="single"/>
        </w:rPr>
      </w:pPr>
    </w:p>
    <w:p>
      <w:pPr>
        <w:spacing w:line="360" w:lineRule="auto"/>
        <w:jc w:val="center"/>
        <w:rPr>
          <w:rFonts w:hint="eastAsia" w:ascii="宋体" w:hAnsi="宋体" w:cs="宋体"/>
          <w:b/>
          <w:color w:val="auto"/>
          <w:sz w:val="52"/>
          <w:szCs w:val="52"/>
          <w:highlight w:val="none"/>
        </w:rPr>
      </w:pPr>
      <w:r>
        <w:rPr>
          <w:rFonts w:hint="eastAsia" w:ascii="宋体" w:hAnsi="宋体" w:cs="宋体"/>
          <w:b/>
          <w:color w:val="auto"/>
          <w:sz w:val="52"/>
          <w:szCs w:val="52"/>
          <w:highlight w:val="none"/>
        </w:rPr>
        <w:t>响  应  文  件</w:t>
      </w:r>
    </w:p>
    <w:p>
      <w:pPr>
        <w:spacing w:line="360" w:lineRule="auto"/>
        <w:jc w:val="center"/>
        <w:rPr>
          <w:rFonts w:hint="eastAsia" w:ascii="宋体" w:hAnsi="宋体" w:cs="宋体"/>
          <w:color w:val="auto"/>
          <w:sz w:val="32"/>
          <w:highlight w:val="none"/>
        </w:rPr>
      </w:pPr>
    </w:p>
    <w:p>
      <w:pPr>
        <w:spacing w:line="360" w:lineRule="auto"/>
        <w:rPr>
          <w:rFonts w:hint="eastAsia" w:ascii="宋体" w:hAnsi="宋体" w:cs="宋体"/>
          <w:color w:val="auto"/>
          <w:sz w:val="32"/>
          <w:highlight w:val="none"/>
        </w:rPr>
      </w:pPr>
    </w:p>
    <w:p>
      <w:pPr>
        <w:spacing w:line="360" w:lineRule="auto"/>
        <w:rPr>
          <w:rFonts w:hint="eastAsia" w:ascii="宋体" w:hAnsi="宋体" w:cs="宋体"/>
          <w:b/>
          <w:color w:val="auto"/>
          <w:sz w:val="36"/>
          <w:highlight w:val="none"/>
        </w:rPr>
      </w:pPr>
    </w:p>
    <w:p>
      <w:pPr>
        <w:spacing w:line="360" w:lineRule="auto"/>
        <w:rPr>
          <w:rFonts w:hint="eastAsia" w:ascii="宋体" w:hAnsi="宋体" w:cs="宋体"/>
          <w:b/>
          <w:color w:val="auto"/>
          <w:sz w:val="36"/>
          <w:highlight w:val="none"/>
        </w:rPr>
      </w:pPr>
    </w:p>
    <w:p>
      <w:pPr>
        <w:spacing w:line="360" w:lineRule="auto"/>
        <w:rPr>
          <w:rFonts w:hint="eastAsia" w:ascii="宋体" w:hAnsi="宋体" w:cs="宋体"/>
          <w:b/>
          <w:color w:val="auto"/>
          <w:sz w:val="36"/>
          <w:highlight w:val="none"/>
          <w:u w:val="single"/>
        </w:rPr>
      </w:pPr>
    </w:p>
    <w:p>
      <w:pPr>
        <w:spacing w:line="360" w:lineRule="auto"/>
        <w:jc w:val="center"/>
        <w:rPr>
          <w:rFonts w:hint="eastAsia" w:ascii="宋体" w:hAnsi="宋体" w:cs="宋体"/>
          <w:color w:val="auto"/>
          <w:sz w:val="28"/>
          <w:highlight w:val="none"/>
        </w:rPr>
      </w:pPr>
      <w:r>
        <w:rPr>
          <w:rFonts w:hint="eastAsia" w:ascii="宋体" w:hAnsi="宋体" w:cs="宋体"/>
          <w:color w:val="auto"/>
          <w:sz w:val="28"/>
          <w:highlight w:val="none"/>
        </w:rPr>
        <w:t>供应商：</w:t>
      </w:r>
      <w:r>
        <w:rPr>
          <w:rFonts w:hint="eastAsia" w:ascii="宋体" w:hAnsi="宋体" w:cs="宋体"/>
          <w:color w:val="auto"/>
          <w:sz w:val="28"/>
          <w:highlight w:val="none"/>
          <w:u w:val="single"/>
        </w:rPr>
        <w:t xml:space="preserve">                </w:t>
      </w:r>
      <w:r>
        <w:rPr>
          <w:rFonts w:hint="eastAsia" w:ascii="宋体" w:hAnsi="宋体" w:cs="宋体"/>
          <w:color w:val="auto"/>
          <w:sz w:val="28"/>
          <w:highlight w:val="none"/>
        </w:rPr>
        <w:t>（盖单位章）</w:t>
      </w:r>
    </w:p>
    <w:p>
      <w:pPr>
        <w:spacing w:line="360" w:lineRule="auto"/>
        <w:jc w:val="center"/>
        <w:rPr>
          <w:rFonts w:hint="eastAsia" w:ascii="宋体" w:hAnsi="宋体" w:cs="宋体"/>
          <w:color w:val="auto"/>
          <w:sz w:val="28"/>
          <w:highlight w:val="none"/>
        </w:rPr>
      </w:pPr>
    </w:p>
    <w:p>
      <w:pPr>
        <w:spacing w:line="360" w:lineRule="auto"/>
        <w:jc w:val="center"/>
        <w:rPr>
          <w:rFonts w:hint="eastAsia" w:ascii="宋体" w:hAnsi="宋体" w:cs="宋体"/>
          <w:color w:val="auto"/>
          <w:sz w:val="28"/>
          <w:highlight w:val="none"/>
        </w:rPr>
      </w:pPr>
      <w:r>
        <w:rPr>
          <w:rFonts w:hint="eastAsia" w:ascii="宋体" w:hAnsi="宋体" w:cs="宋体"/>
          <w:color w:val="auto"/>
          <w:sz w:val="28"/>
          <w:highlight w:val="none"/>
        </w:rPr>
        <w:t>法定代表人或其委托代理人</w:t>
      </w:r>
      <w:r>
        <w:rPr>
          <w:rFonts w:hint="eastAsia" w:ascii="宋体" w:hAnsi="宋体" w:cs="宋体"/>
          <w:color w:val="auto"/>
          <w:sz w:val="28"/>
          <w:highlight w:val="none"/>
          <w:u w:val="single"/>
        </w:rPr>
        <w:t xml:space="preserve">    </w:t>
      </w:r>
      <w:r>
        <w:rPr>
          <w:rFonts w:hint="eastAsia" w:ascii="宋体" w:hAnsi="宋体" w:cs="宋体"/>
          <w:color w:val="auto"/>
          <w:sz w:val="28"/>
          <w:highlight w:val="none"/>
        </w:rPr>
        <w:t>（签字或盖章）</w:t>
      </w:r>
    </w:p>
    <w:p>
      <w:pPr>
        <w:spacing w:line="360" w:lineRule="auto"/>
        <w:jc w:val="center"/>
        <w:rPr>
          <w:rFonts w:hint="eastAsia" w:ascii="宋体" w:hAnsi="宋体" w:cs="宋体"/>
          <w:color w:val="auto"/>
          <w:sz w:val="28"/>
          <w:highlight w:val="none"/>
        </w:rPr>
      </w:pPr>
    </w:p>
    <w:p>
      <w:pPr>
        <w:spacing w:line="360" w:lineRule="auto"/>
        <w:ind w:firstLine="140" w:firstLineChars="50"/>
        <w:jc w:val="center"/>
        <w:rPr>
          <w:rFonts w:hint="eastAsia" w:ascii="宋体" w:hAnsi="宋体" w:cs="宋体"/>
          <w:color w:val="auto"/>
          <w:sz w:val="28"/>
          <w:highlight w:val="none"/>
        </w:rPr>
      </w:pPr>
      <w:r>
        <w:rPr>
          <w:rFonts w:hint="eastAsia" w:ascii="宋体" w:hAnsi="宋体" w:cs="宋体"/>
          <w:color w:val="auto"/>
          <w:sz w:val="28"/>
          <w:highlight w:val="none"/>
        </w:rPr>
        <w:t>年    月    日</w:t>
      </w:r>
    </w:p>
    <w:p>
      <w:pPr>
        <w:spacing w:line="360" w:lineRule="auto"/>
        <w:ind w:firstLine="566"/>
        <w:jc w:val="center"/>
        <w:rPr>
          <w:rFonts w:hint="eastAsia" w:ascii="宋体" w:hAnsi="宋体" w:cs="宋体"/>
          <w:b/>
          <w:color w:val="auto"/>
          <w:sz w:val="28"/>
          <w:szCs w:val="28"/>
          <w:highlight w:val="none"/>
        </w:rPr>
      </w:pPr>
    </w:p>
    <w:p>
      <w:pPr>
        <w:spacing w:line="360" w:lineRule="auto"/>
        <w:ind w:firstLine="566"/>
        <w:jc w:val="center"/>
        <w:rPr>
          <w:rFonts w:hint="eastAsia" w:ascii="宋体" w:hAnsi="宋体" w:cs="宋体"/>
          <w:b/>
          <w:color w:val="auto"/>
          <w:sz w:val="28"/>
          <w:szCs w:val="28"/>
          <w:highlight w:val="none"/>
        </w:rPr>
      </w:pPr>
    </w:p>
    <w:p>
      <w:pPr>
        <w:spacing w:line="360" w:lineRule="auto"/>
        <w:ind w:firstLine="566"/>
        <w:jc w:val="center"/>
        <w:rPr>
          <w:rFonts w:hint="eastAsia" w:ascii="宋体" w:hAnsi="宋体" w:cs="宋体"/>
          <w:b/>
          <w:color w:val="auto"/>
          <w:sz w:val="28"/>
          <w:szCs w:val="28"/>
          <w:highlight w:val="none"/>
        </w:rPr>
      </w:pPr>
      <w:r>
        <w:rPr>
          <w:rFonts w:hint="eastAsia" w:ascii="宋体" w:hAnsi="宋体" w:cs="宋体"/>
          <w:b/>
          <w:color w:val="auto"/>
          <w:sz w:val="28"/>
          <w:szCs w:val="28"/>
          <w:highlight w:val="none"/>
        </w:rPr>
        <w:t>（目录自拟）</w:t>
      </w:r>
    </w:p>
    <w:p>
      <w:pPr>
        <w:spacing w:line="360" w:lineRule="auto"/>
        <w:jc w:val="center"/>
        <w:rPr>
          <w:rFonts w:hint="eastAsia" w:ascii="宋体" w:hAnsi="宋体" w:cs="宋体"/>
          <w:b/>
          <w:bCs/>
          <w:color w:val="auto"/>
          <w:sz w:val="32"/>
          <w:highlight w:val="none"/>
        </w:rPr>
      </w:pPr>
    </w:p>
    <w:p>
      <w:pPr>
        <w:spacing w:line="360" w:lineRule="auto"/>
        <w:rPr>
          <w:rFonts w:hint="eastAsia" w:ascii="宋体" w:hAnsi="宋体" w:cs="宋体"/>
          <w:color w:val="auto"/>
          <w:highlight w:val="none"/>
        </w:rPr>
      </w:pPr>
    </w:p>
    <w:p>
      <w:pPr>
        <w:pStyle w:val="5"/>
        <w:numPr>
          <w:ilvl w:val="0"/>
          <w:numId w:val="0"/>
        </w:numPr>
        <w:spacing w:line="360" w:lineRule="auto"/>
        <w:ind w:left="600"/>
        <w:jc w:val="center"/>
        <w:rPr>
          <w:rFonts w:hint="eastAsia" w:ascii="仿宋" w:hAnsi="仿宋" w:eastAsia="仿宋" w:cs="仿宋"/>
          <w:b/>
          <w:color w:val="auto"/>
          <w:highlight w:val="none"/>
        </w:rPr>
      </w:pPr>
      <w:bookmarkStart w:id="266" w:name="_Toc65829033"/>
      <w:bookmarkStart w:id="267" w:name="_Toc65676989"/>
      <w:bookmarkStart w:id="268" w:name="_Toc58005996"/>
      <w:r>
        <w:rPr>
          <w:rFonts w:hint="eastAsia" w:ascii="仿宋" w:hAnsi="仿宋" w:eastAsia="仿宋" w:cs="仿宋"/>
          <w:b/>
          <w:color w:val="auto"/>
          <w:highlight w:val="none"/>
        </w:rPr>
        <w:t>一、法定代表人身份证明书</w:t>
      </w:r>
      <w:bookmarkEnd w:id="266"/>
      <w:bookmarkEnd w:id="267"/>
      <w:bookmarkEnd w:id="268"/>
    </w:p>
    <w:p>
      <w:pPr>
        <w:spacing w:line="360" w:lineRule="auto"/>
        <w:jc w:val="center"/>
        <w:rPr>
          <w:rFonts w:hint="eastAsia" w:ascii="宋体" w:hAnsi="宋体" w:cs="宋体"/>
          <w:color w:val="auto"/>
          <w:sz w:val="44"/>
          <w:highlight w:val="none"/>
        </w:rPr>
      </w:pPr>
    </w:p>
    <w:p>
      <w:pPr>
        <w:spacing w:line="360" w:lineRule="auto"/>
        <w:jc w:val="center"/>
        <w:rPr>
          <w:rFonts w:hint="eastAsia" w:ascii="宋体" w:hAnsi="宋体" w:cs="宋体"/>
          <w:color w:val="auto"/>
          <w:sz w:val="44"/>
          <w:highlight w:val="none"/>
        </w:rPr>
      </w:pPr>
    </w:p>
    <w:p>
      <w:pPr>
        <w:spacing w:line="360" w:lineRule="auto"/>
        <w:rPr>
          <w:rFonts w:hint="eastAsia" w:ascii="宋体" w:hAnsi="宋体" w:cs="宋体"/>
          <w:color w:val="auto"/>
          <w:sz w:val="24"/>
          <w:highlight w:val="none"/>
        </w:rPr>
      </w:pP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供应商名称：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xml:space="preserve"> </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地址：</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xml:space="preserve"> </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成立时间：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日</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经营期限：</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xml:space="preserve"> </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姓名：</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性别：</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年龄：</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职务：</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_</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系</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（供应商名称）的法定代表人。</w:t>
      </w:r>
    </w:p>
    <w:p>
      <w:pPr>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特此证明。</w:t>
      </w:r>
    </w:p>
    <w:p>
      <w:pPr>
        <w:spacing w:line="360" w:lineRule="auto"/>
        <w:ind w:firstLine="480" w:firstLineChars="200"/>
        <w:rPr>
          <w:rFonts w:hint="eastAsia" w:ascii="仿宋" w:hAnsi="仿宋" w:eastAsia="仿宋" w:cs="仿宋"/>
          <w:color w:val="auto"/>
          <w:sz w:val="24"/>
          <w:highlight w:val="none"/>
        </w:rPr>
      </w:pPr>
    </w:p>
    <w:p>
      <w:pPr>
        <w:spacing w:line="360" w:lineRule="auto"/>
        <w:ind w:firstLine="480" w:firstLineChars="200"/>
        <w:rPr>
          <w:rFonts w:hint="eastAsia" w:ascii="仿宋" w:hAnsi="仿宋" w:eastAsia="仿宋" w:cs="仿宋"/>
          <w:color w:val="auto"/>
          <w:sz w:val="24"/>
          <w:highlight w:val="none"/>
        </w:rPr>
      </w:pPr>
    </w:p>
    <w:p>
      <w:pPr>
        <w:spacing w:line="360" w:lineRule="auto"/>
        <w:ind w:firstLine="480" w:firstLineChars="200"/>
        <w:rPr>
          <w:rFonts w:hint="eastAsia" w:ascii="仿宋" w:hAnsi="仿宋" w:eastAsia="仿宋" w:cs="仿宋"/>
          <w:color w:val="auto"/>
          <w:sz w:val="24"/>
          <w:highlight w:val="none"/>
        </w:rPr>
      </w:pPr>
    </w:p>
    <w:p>
      <w:pPr>
        <w:spacing w:line="360" w:lineRule="auto"/>
        <w:jc w:val="right"/>
        <w:rPr>
          <w:rFonts w:hint="eastAsia" w:ascii="仿宋" w:hAnsi="仿宋" w:eastAsia="仿宋" w:cs="仿宋"/>
          <w:color w:val="auto"/>
          <w:sz w:val="24"/>
          <w:highlight w:val="none"/>
        </w:rPr>
      </w:pPr>
      <w:r>
        <w:rPr>
          <w:rFonts w:hint="eastAsia" w:ascii="仿宋" w:hAnsi="仿宋" w:eastAsia="仿宋" w:cs="仿宋"/>
          <w:color w:val="auto"/>
          <w:sz w:val="24"/>
          <w:highlight w:val="none"/>
        </w:rPr>
        <w:t>供应商：</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（盖单位章）</w:t>
      </w:r>
    </w:p>
    <w:p>
      <w:pPr>
        <w:spacing w:line="360" w:lineRule="auto"/>
        <w:ind w:firstLine="5160" w:firstLineChars="2150"/>
        <w:rPr>
          <w:rFonts w:hint="eastAsia" w:ascii="仿宋" w:hAnsi="仿宋" w:eastAsia="仿宋" w:cs="仿宋"/>
          <w:color w:val="auto"/>
          <w:sz w:val="24"/>
          <w:highlight w:val="none"/>
          <w:u w:val="single"/>
        </w:rPr>
      </w:pPr>
    </w:p>
    <w:p>
      <w:pPr>
        <w:spacing w:line="360" w:lineRule="auto"/>
        <w:jc w:val="right"/>
        <w:rPr>
          <w:rFonts w:hint="eastAsia" w:ascii="仿宋" w:hAnsi="仿宋" w:eastAsia="仿宋" w:cs="仿宋"/>
          <w:color w:val="auto"/>
          <w:sz w:val="24"/>
          <w:highlight w:val="none"/>
        </w:rPr>
      </w:pP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日</w:t>
      </w:r>
    </w:p>
    <w:p>
      <w:pPr>
        <w:spacing w:line="360" w:lineRule="auto"/>
        <w:rPr>
          <w:rFonts w:hint="eastAsia" w:ascii="宋体" w:hAnsi="宋体" w:cs="宋体"/>
          <w:color w:val="auto"/>
          <w:sz w:val="28"/>
          <w:szCs w:val="28"/>
          <w:highlight w:val="none"/>
          <w:u w:val="single"/>
        </w:rPr>
      </w:pPr>
    </w:p>
    <w:p>
      <w:pPr>
        <w:spacing w:line="360" w:lineRule="auto"/>
        <w:rPr>
          <w:rFonts w:hint="eastAsia" w:ascii="宋体" w:hAnsi="宋体" w:cs="宋体"/>
          <w:color w:val="auto"/>
          <w:sz w:val="28"/>
          <w:highlight w:val="none"/>
        </w:rPr>
      </w:pPr>
    </w:p>
    <w:p>
      <w:pPr>
        <w:spacing w:line="360" w:lineRule="auto"/>
        <w:jc w:val="center"/>
        <w:rPr>
          <w:rFonts w:hint="eastAsia" w:ascii="宋体" w:hAnsi="宋体" w:cs="宋体"/>
          <w:color w:val="auto"/>
          <w:sz w:val="28"/>
          <w:highlight w:val="none"/>
        </w:rPr>
      </w:pPr>
    </w:p>
    <w:p>
      <w:pPr>
        <w:spacing w:line="360" w:lineRule="auto"/>
        <w:jc w:val="center"/>
        <w:rPr>
          <w:rFonts w:hint="eastAsia" w:ascii="宋体" w:hAnsi="宋体" w:cs="宋体"/>
          <w:color w:val="auto"/>
          <w:sz w:val="28"/>
          <w:highlight w:val="none"/>
        </w:rPr>
      </w:pPr>
    </w:p>
    <w:p>
      <w:pPr>
        <w:spacing w:line="360" w:lineRule="auto"/>
        <w:jc w:val="center"/>
        <w:rPr>
          <w:rFonts w:hint="eastAsia" w:ascii="宋体" w:hAnsi="宋体" w:cs="宋体"/>
          <w:color w:val="auto"/>
          <w:sz w:val="28"/>
          <w:highlight w:val="none"/>
        </w:rPr>
      </w:pPr>
    </w:p>
    <w:p>
      <w:pPr>
        <w:spacing w:line="360" w:lineRule="auto"/>
        <w:rPr>
          <w:rFonts w:hint="eastAsia" w:ascii="宋体" w:hAnsi="宋体" w:cs="宋体"/>
          <w:color w:val="auto"/>
          <w:sz w:val="28"/>
          <w:highlight w:val="none"/>
        </w:rPr>
      </w:pPr>
    </w:p>
    <w:p>
      <w:pPr>
        <w:spacing w:line="360" w:lineRule="auto"/>
        <w:rPr>
          <w:rFonts w:hint="eastAsia" w:ascii="宋体" w:hAnsi="宋体" w:cs="宋体"/>
          <w:color w:val="auto"/>
          <w:sz w:val="28"/>
          <w:highlight w:val="none"/>
        </w:rPr>
      </w:pPr>
    </w:p>
    <w:p>
      <w:pPr>
        <w:spacing w:line="360" w:lineRule="auto"/>
        <w:jc w:val="center"/>
        <w:rPr>
          <w:rFonts w:hint="eastAsia" w:ascii="宋体" w:hAnsi="宋体" w:cs="宋体"/>
          <w:color w:val="auto"/>
          <w:sz w:val="44"/>
          <w:highlight w:val="none"/>
        </w:rPr>
      </w:pPr>
      <w:r>
        <w:rPr>
          <w:rFonts w:hint="eastAsia" w:ascii="宋体" w:hAnsi="宋体" w:cs="宋体"/>
          <w:color w:val="auto"/>
          <w:sz w:val="44"/>
          <w:highlight w:val="none"/>
        </w:rPr>
        <w:br w:type="page"/>
      </w:r>
    </w:p>
    <w:p>
      <w:pPr>
        <w:pStyle w:val="5"/>
        <w:numPr>
          <w:ilvl w:val="0"/>
          <w:numId w:val="0"/>
        </w:numPr>
        <w:spacing w:line="360" w:lineRule="auto"/>
        <w:ind w:left="600"/>
        <w:jc w:val="center"/>
        <w:rPr>
          <w:rFonts w:hint="eastAsia" w:ascii="仿宋" w:hAnsi="仿宋" w:eastAsia="仿宋" w:cs="仿宋"/>
          <w:b/>
          <w:color w:val="auto"/>
          <w:highlight w:val="none"/>
        </w:rPr>
      </w:pPr>
      <w:bookmarkStart w:id="269" w:name="_Toc65676990"/>
      <w:bookmarkStart w:id="270" w:name="_Toc58005997"/>
      <w:bookmarkStart w:id="271" w:name="_Toc65829034"/>
      <w:r>
        <w:rPr>
          <w:rFonts w:hint="eastAsia" w:ascii="仿宋" w:hAnsi="仿宋" w:eastAsia="仿宋" w:cs="仿宋"/>
          <w:b/>
          <w:color w:val="auto"/>
          <w:highlight w:val="none"/>
        </w:rPr>
        <w:t>二、法定代表人授权委托书</w:t>
      </w:r>
      <w:bookmarkEnd w:id="269"/>
      <w:bookmarkEnd w:id="270"/>
      <w:bookmarkEnd w:id="271"/>
    </w:p>
    <w:p>
      <w:pPr>
        <w:spacing w:line="360" w:lineRule="auto"/>
        <w:rPr>
          <w:rFonts w:hint="eastAsia" w:ascii="宋体" w:hAnsi="宋体" w:cs="宋体"/>
          <w:color w:val="auto"/>
          <w:sz w:val="28"/>
          <w:highlight w:val="none"/>
        </w:rPr>
      </w:pP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（姓名）系</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（供应商名称）的法定代表人，现委托</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（姓名）为我方代理人。代理人根据授权，以我方名义签署、澄清、说明、补正、递交、撤回、修改</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（项目名称）响应文件、签订合同和处理有关事宜，其法律后果由我方承担。</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委托期限：</w:t>
      </w:r>
      <w:r>
        <w:rPr>
          <w:rFonts w:hint="eastAsia" w:ascii="仿宋" w:hAnsi="仿宋" w:eastAsia="仿宋" w:cs="仿宋"/>
          <w:color w:val="auto"/>
          <w:sz w:val="24"/>
          <w:highlight w:val="none"/>
          <w:u w:val="single"/>
        </w:rPr>
        <w:t>60日历天（从投标截止之日算起）</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代理人无转委托权。</w:t>
      </w:r>
    </w:p>
    <w:p>
      <w:pPr>
        <w:spacing w:line="360" w:lineRule="auto"/>
        <w:ind w:firstLine="480" w:firstLineChars="200"/>
        <w:rPr>
          <w:rFonts w:hint="eastAsia" w:ascii="仿宋" w:hAnsi="仿宋" w:eastAsia="仿宋" w:cs="仿宋"/>
          <w:color w:val="auto"/>
          <w:sz w:val="24"/>
          <w:highlight w:val="none"/>
        </w:rPr>
      </w:pPr>
    </w:p>
    <w:p>
      <w:pPr>
        <w:spacing w:line="360" w:lineRule="auto"/>
        <w:ind w:firstLine="480" w:firstLineChars="200"/>
        <w:rPr>
          <w:rFonts w:hint="eastAsia" w:ascii="仿宋" w:hAnsi="仿宋" w:eastAsia="仿宋" w:cs="仿宋"/>
          <w:color w:val="auto"/>
          <w:sz w:val="24"/>
          <w:highlight w:val="none"/>
        </w:rPr>
      </w:pPr>
    </w:p>
    <w:p>
      <w:pPr>
        <w:spacing w:line="360" w:lineRule="auto"/>
        <w:jc w:val="right"/>
        <w:rPr>
          <w:rFonts w:hint="eastAsia" w:ascii="仿宋" w:hAnsi="仿宋" w:eastAsia="仿宋" w:cs="仿宋"/>
          <w:color w:val="auto"/>
          <w:sz w:val="24"/>
          <w:highlight w:val="none"/>
        </w:rPr>
      </w:pPr>
      <w:r>
        <w:rPr>
          <w:rFonts w:hint="eastAsia" w:ascii="仿宋" w:hAnsi="仿宋" w:eastAsia="仿宋" w:cs="仿宋"/>
          <w:color w:val="auto"/>
          <w:sz w:val="24"/>
          <w:highlight w:val="none"/>
        </w:rPr>
        <w:t>供  应  商：</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（盖单位章）</w:t>
      </w:r>
    </w:p>
    <w:p>
      <w:pPr>
        <w:spacing w:line="360" w:lineRule="auto"/>
        <w:ind w:firstLine="480" w:firstLineChars="200"/>
        <w:rPr>
          <w:rFonts w:hint="eastAsia" w:ascii="仿宋" w:hAnsi="仿宋" w:eastAsia="仿宋" w:cs="仿宋"/>
          <w:color w:val="auto"/>
          <w:sz w:val="24"/>
          <w:highlight w:val="none"/>
        </w:rPr>
      </w:pPr>
    </w:p>
    <w:p>
      <w:pPr>
        <w:spacing w:line="360" w:lineRule="auto"/>
        <w:jc w:val="right"/>
        <w:rPr>
          <w:rFonts w:hint="eastAsia" w:ascii="仿宋" w:hAnsi="仿宋" w:eastAsia="仿宋" w:cs="仿宋"/>
          <w:color w:val="auto"/>
          <w:sz w:val="24"/>
          <w:highlight w:val="none"/>
        </w:rPr>
      </w:pPr>
      <w:r>
        <w:rPr>
          <w:rFonts w:hint="eastAsia" w:ascii="仿宋" w:hAnsi="仿宋" w:eastAsia="仿宋" w:cs="仿宋"/>
          <w:color w:val="auto"/>
          <w:sz w:val="24"/>
          <w:highlight w:val="none"/>
        </w:rPr>
        <w:t>法定代表人：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（签字/签章）</w:t>
      </w:r>
    </w:p>
    <w:p>
      <w:pPr>
        <w:spacing w:line="360" w:lineRule="auto"/>
        <w:ind w:firstLine="480" w:firstLineChars="200"/>
        <w:rPr>
          <w:rFonts w:hint="eastAsia" w:ascii="仿宋" w:hAnsi="仿宋" w:eastAsia="仿宋" w:cs="仿宋"/>
          <w:color w:val="auto"/>
          <w:sz w:val="24"/>
          <w:highlight w:val="none"/>
        </w:rPr>
      </w:pPr>
    </w:p>
    <w:p>
      <w:pPr>
        <w:spacing w:line="360" w:lineRule="auto"/>
        <w:ind w:firstLine="3720" w:firstLineChars="155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身份证号码：</w:t>
      </w:r>
      <w:r>
        <w:rPr>
          <w:rFonts w:hint="eastAsia" w:ascii="仿宋" w:hAnsi="仿宋" w:eastAsia="仿宋" w:cs="仿宋"/>
          <w:color w:val="auto"/>
          <w:sz w:val="24"/>
          <w:highlight w:val="none"/>
          <w:u w:val="single"/>
        </w:rPr>
        <w:t xml:space="preserve">                          </w:t>
      </w:r>
    </w:p>
    <w:p>
      <w:pPr>
        <w:spacing w:line="360" w:lineRule="auto"/>
        <w:ind w:firstLine="480" w:firstLineChars="200"/>
        <w:rPr>
          <w:rFonts w:hint="eastAsia" w:ascii="仿宋" w:hAnsi="仿宋" w:eastAsia="仿宋" w:cs="仿宋"/>
          <w:color w:val="auto"/>
          <w:sz w:val="24"/>
          <w:highlight w:val="none"/>
        </w:rPr>
      </w:pPr>
    </w:p>
    <w:p>
      <w:pPr>
        <w:wordWrap w:val="0"/>
        <w:spacing w:line="360" w:lineRule="auto"/>
        <w:jc w:val="right"/>
        <w:rPr>
          <w:rFonts w:hint="eastAsia" w:ascii="仿宋" w:hAnsi="仿宋" w:eastAsia="仿宋" w:cs="仿宋"/>
          <w:color w:val="auto"/>
          <w:sz w:val="24"/>
          <w:highlight w:val="none"/>
        </w:rPr>
      </w:pPr>
      <w:r>
        <w:rPr>
          <w:rFonts w:hint="eastAsia" w:ascii="仿宋" w:hAnsi="仿宋" w:eastAsia="仿宋" w:cs="仿宋"/>
          <w:color w:val="auto"/>
          <w:sz w:val="24"/>
          <w:highlight w:val="none"/>
        </w:rPr>
        <w:t>委托代理人：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（签字）</w:t>
      </w:r>
    </w:p>
    <w:p>
      <w:pPr>
        <w:spacing w:line="360" w:lineRule="auto"/>
        <w:ind w:firstLine="480" w:firstLineChars="200"/>
        <w:rPr>
          <w:rFonts w:hint="eastAsia" w:ascii="仿宋" w:hAnsi="仿宋" w:eastAsia="仿宋" w:cs="仿宋"/>
          <w:color w:val="auto"/>
          <w:sz w:val="24"/>
          <w:highlight w:val="none"/>
        </w:rPr>
      </w:pPr>
    </w:p>
    <w:p>
      <w:pPr>
        <w:spacing w:line="360" w:lineRule="auto"/>
        <w:ind w:firstLine="3840" w:firstLineChars="1600"/>
        <w:rPr>
          <w:rFonts w:hint="eastAsia" w:ascii="仿宋" w:hAnsi="仿宋" w:eastAsia="仿宋" w:cs="仿宋"/>
          <w:color w:val="auto"/>
          <w:sz w:val="24"/>
          <w:highlight w:val="none"/>
        </w:rPr>
      </w:pPr>
      <w:r>
        <w:rPr>
          <w:rFonts w:hint="eastAsia" w:ascii="仿宋" w:hAnsi="仿宋" w:eastAsia="仿宋" w:cs="仿宋"/>
          <w:color w:val="auto"/>
          <w:sz w:val="24"/>
          <w:highlight w:val="none"/>
        </w:rPr>
        <w:t>身份证号码：</w:t>
      </w:r>
      <w:r>
        <w:rPr>
          <w:rFonts w:hint="eastAsia" w:ascii="仿宋" w:hAnsi="仿宋" w:eastAsia="仿宋" w:cs="仿宋"/>
          <w:color w:val="auto"/>
          <w:sz w:val="24"/>
          <w:highlight w:val="none"/>
          <w:u w:val="single"/>
        </w:rPr>
        <w:t xml:space="preserve">                          </w:t>
      </w:r>
    </w:p>
    <w:p>
      <w:pPr>
        <w:spacing w:line="360" w:lineRule="auto"/>
        <w:ind w:firstLine="6120" w:firstLineChars="2550"/>
        <w:rPr>
          <w:rFonts w:hint="eastAsia" w:ascii="仿宋" w:hAnsi="仿宋" w:eastAsia="仿宋" w:cs="仿宋"/>
          <w:color w:val="auto"/>
          <w:sz w:val="24"/>
          <w:highlight w:val="none"/>
        </w:rPr>
      </w:pPr>
    </w:p>
    <w:p>
      <w:pPr>
        <w:spacing w:line="360" w:lineRule="auto"/>
        <w:ind w:firstLine="5760" w:firstLineChars="2400"/>
        <w:rPr>
          <w:rFonts w:hint="eastAsia" w:ascii="仿宋" w:hAnsi="仿宋" w:eastAsia="仿宋" w:cs="仿宋"/>
          <w:color w:val="auto"/>
          <w:sz w:val="24"/>
          <w:highlight w:val="none"/>
        </w:rPr>
      </w:pP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日</w:t>
      </w:r>
    </w:p>
    <w:p>
      <w:pPr>
        <w:spacing w:line="360" w:lineRule="auto"/>
        <w:rPr>
          <w:rFonts w:hint="eastAsia" w:ascii="仿宋" w:hAnsi="仿宋" w:eastAsia="仿宋" w:cs="仿宋"/>
          <w:color w:val="auto"/>
          <w:szCs w:val="21"/>
          <w:highlight w:val="none"/>
        </w:rPr>
      </w:pPr>
    </w:p>
    <w:p>
      <w:pPr>
        <w:spacing w:line="360" w:lineRule="auto"/>
        <w:rPr>
          <w:rFonts w:hint="eastAsia" w:ascii="仿宋" w:hAnsi="仿宋" w:eastAsia="仿宋" w:cs="仿宋"/>
          <w:bCs/>
          <w:color w:val="auto"/>
          <w:sz w:val="32"/>
          <w:highlight w:val="none"/>
        </w:rPr>
      </w:pPr>
      <w:r>
        <w:rPr>
          <w:rFonts w:hint="eastAsia" w:ascii="仿宋" w:hAnsi="仿宋" w:eastAsia="仿宋" w:cs="仿宋"/>
          <w:bCs/>
          <w:color w:val="auto"/>
          <w:sz w:val="32"/>
          <w:highlight w:val="none"/>
        </w:rPr>
        <w:br w:type="page"/>
      </w:r>
    </w:p>
    <w:p>
      <w:pPr>
        <w:pStyle w:val="5"/>
        <w:numPr>
          <w:ilvl w:val="0"/>
          <w:numId w:val="0"/>
        </w:numPr>
        <w:spacing w:line="360" w:lineRule="auto"/>
        <w:ind w:left="600"/>
        <w:jc w:val="center"/>
        <w:rPr>
          <w:rFonts w:hint="eastAsia" w:ascii="仿宋" w:hAnsi="仿宋" w:eastAsia="仿宋" w:cs="仿宋"/>
          <w:b/>
          <w:color w:val="auto"/>
          <w:highlight w:val="none"/>
        </w:rPr>
      </w:pPr>
      <w:bookmarkStart w:id="272" w:name="_Toc65829035"/>
      <w:bookmarkStart w:id="273" w:name="_Toc58005998"/>
      <w:bookmarkStart w:id="274" w:name="_Toc65676991"/>
      <w:r>
        <w:rPr>
          <w:rFonts w:hint="eastAsia" w:ascii="仿宋" w:hAnsi="仿宋" w:eastAsia="仿宋" w:cs="仿宋"/>
          <w:b/>
          <w:color w:val="auto"/>
          <w:highlight w:val="none"/>
        </w:rPr>
        <w:t>三、投标函及开标一览表</w:t>
      </w:r>
      <w:bookmarkEnd w:id="272"/>
      <w:bookmarkEnd w:id="273"/>
      <w:bookmarkEnd w:id="274"/>
    </w:p>
    <w:p>
      <w:pPr>
        <w:pStyle w:val="5"/>
        <w:numPr>
          <w:ilvl w:val="0"/>
          <w:numId w:val="0"/>
        </w:numPr>
        <w:spacing w:line="360" w:lineRule="auto"/>
        <w:ind w:left="600"/>
        <w:jc w:val="center"/>
        <w:rPr>
          <w:rFonts w:hint="eastAsia" w:ascii="宋体" w:hAnsi="宋体" w:eastAsia="宋体" w:cs="宋体"/>
          <w:b/>
          <w:color w:val="auto"/>
          <w:highlight w:val="none"/>
        </w:rPr>
      </w:pPr>
      <w:bookmarkStart w:id="275" w:name="_Toc65829036"/>
      <w:bookmarkStart w:id="276" w:name="_Toc58005999"/>
      <w:bookmarkStart w:id="277" w:name="_Toc65676992"/>
      <w:r>
        <w:rPr>
          <w:rFonts w:hint="eastAsia" w:ascii="仿宋" w:hAnsi="仿宋" w:eastAsia="仿宋" w:cs="仿宋"/>
          <w:b/>
          <w:color w:val="auto"/>
          <w:highlight w:val="none"/>
        </w:rPr>
        <w:t>（一）投标函</w:t>
      </w:r>
      <w:bookmarkEnd w:id="275"/>
      <w:bookmarkEnd w:id="276"/>
      <w:bookmarkEnd w:id="277"/>
    </w:p>
    <w:p>
      <w:pPr>
        <w:spacing w:line="360" w:lineRule="auto"/>
        <w:ind w:right="-91"/>
        <w:jc w:val="left"/>
        <w:rPr>
          <w:rFonts w:hint="eastAsia" w:ascii="仿宋" w:hAnsi="仿宋" w:eastAsia="仿宋" w:cs="仿宋"/>
          <w:color w:val="auto"/>
          <w:szCs w:val="21"/>
          <w:highlight w:val="none"/>
          <w:u w:val="single"/>
        </w:rPr>
      </w:pP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：（采购人名称）</w:t>
      </w:r>
    </w:p>
    <w:p>
      <w:pPr>
        <w:pStyle w:val="17"/>
        <w:spacing w:line="360" w:lineRule="auto"/>
        <w:ind w:right="-91" w:firstLine="403"/>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本供应商已详细阅读了</w:t>
      </w:r>
      <w:r>
        <w:rPr>
          <w:rFonts w:hint="eastAsia" w:ascii="仿宋" w:hAnsi="仿宋" w:eastAsia="仿宋" w:cs="仿宋"/>
          <w:color w:val="auto"/>
          <w:sz w:val="21"/>
          <w:szCs w:val="21"/>
          <w:highlight w:val="none"/>
          <w:u w:val="single"/>
        </w:rPr>
        <w:t xml:space="preserve">                （项目名称）</w:t>
      </w:r>
      <w:r>
        <w:rPr>
          <w:rFonts w:hint="eastAsia" w:ascii="仿宋" w:hAnsi="仿宋" w:eastAsia="仿宋" w:cs="仿宋"/>
          <w:color w:val="auto"/>
          <w:sz w:val="21"/>
          <w:szCs w:val="21"/>
          <w:highlight w:val="none"/>
        </w:rPr>
        <w:t>竞争性磋商文件，自愿参加上述项目投标，现就有关事项向采购人郑重承诺如下：</w:t>
      </w:r>
    </w:p>
    <w:p>
      <w:pPr>
        <w:spacing w:line="360" w:lineRule="auto"/>
        <w:ind w:right="-89" w:firstLine="210" w:firstLineChars="10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1.遵守中华人民共和国、海南省有关招标投标的法律法规规定，自觉维护建筑市场秩序。若有违反，同意被废除投标资格并接受处罚。</w:t>
      </w:r>
    </w:p>
    <w:p>
      <w:pPr>
        <w:spacing w:line="360" w:lineRule="auto"/>
        <w:ind w:right="-89" w:firstLine="210" w:firstLineChars="10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2.遵守招标有关会议现场纪律，若有违反，同意被废除投标资格并接受处罚。</w:t>
      </w:r>
    </w:p>
    <w:p>
      <w:pPr>
        <w:spacing w:line="360" w:lineRule="auto"/>
        <w:ind w:right="-89" w:firstLine="210" w:firstLineChars="10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3.接受竞争性磋商文件全部内容，若有违反，同意被废除投标资格并接受处罚。</w:t>
      </w:r>
    </w:p>
    <w:p>
      <w:pPr>
        <w:spacing w:line="360" w:lineRule="auto"/>
        <w:ind w:right="-89" w:firstLine="210" w:firstLineChars="10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4.保证响应文件内容无任何虚假。若评标过程中查出有虚假，同意作无效响应文件处理并被没收磋商保证金，若中标之后查出有虚假，同意废除中标资格并被没收磋商保证金，并承担</w:t>
      </w:r>
      <w:r>
        <w:rPr>
          <w:rStyle w:val="40"/>
          <w:rFonts w:hint="eastAsia" w:ascii="仿宋" w:hAnsi="仿宋" w:eastAsia="仿宋" w:cs="仿宋"/>
          <w:b w:val="0"/>
          <w:bCs w:val="0"/>
          <w:color w:val="auto"/>
          <w:highlight w:val="none"/>
        </w:rPr>
        <w:t>由此引起的全部法律责任和经济责任</w:t>
      </w:r>
      <w:r>
        <w:rPr>
          <w:rFonts w:hint="eastAsia" w:ascii="仿宋" w:hAnsi="仿宋" w:eastAsia="仿宋" w:cs="仿宋"/>
          <w:color w:val="auto"/>
          <w:szCs w:val="21"/>
          <w:highlight w:val="none"/>
        </w:rPr>
        <w:t>。</w:t>
      </w:r>
    </w:p>
    <w:p>
      <w:pPr>
        <w:spacing w:line="360" w:lineRule="auto"/>
        <w:ind w:right="-89" w:firstLine="210" w:firstLineChars="10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5.保证按照竞争性磋商文件及成交通知书的规定商签合同；保证按照合同约定完成合同范围内的全部工作内容；保证中标之后按响应文件承诺向招标项目派驻管理人员协助完成所有工作；保证中标之后密切配合相关单位开展工作，服从监督管理。</w:t>
      </w:r>
    </w:p>
    <w:p>
      <w:pPr>
        <w:spacing w:line="360" w:lineRule="auto"/>
        <w:ind w:right="-89" w:firstLine="210" w:firstLineChars="10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6.我方完全理解贵方不一定要接受最低投标价的投标，即最低投标价不是成交的保证。</w:t>
      </w:r>
    </w:p>
    <w:p>
      <w:pPr>
        <w:spacing w:line="360" w:lineRule="auto"/>
        <w:ind w:right="-89" w:firstLine="210" w:firstLineChars="10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7.如果我方成交，我们将根据磋商文件的规定严格履行自己的责任和义务。</w:t>
      </w:r>
    </w:p>
    <w:p>
      <w:pPr>
        <w:spacing w:line="360" w:lineRule="auto"/>
        <w:ind w:right="-89" w:firstLine="210" w:firstLineChars="10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8.如有下列任何情况发生时，同意磋商保证金被没收：</w:t>
      </w:r>
    </w:p>
    <w:p>
      <w:pPr>
        <w:spacing w:line="360" w:lineRule="auto"/>
        <w:ind w:firstLine="210" w:firstLineChars="100"/>
        <w:rPr>
          <w:rFonts w:hint="eastAsia" w:ascii="仿宋" w:hAnsi="仿宋" w:eastAsia="仿宋" w:cs="仿宋"/>
          <w:color w:val="auto"/>
          <w:szCs w:val="21"/>
          <w:highlight w:val="none"/>
        </w:rPr>
      </w:pPr>
      <w:r>
        <w:rPr>
          <w:rFonts w:hint="eastAsia" w:ascii="仿宋" w:hAnsi="仿宋" w:eastAsia="仿宋" w:cs="仿宋"/>
          <w:color w:val="auto"/>
          <w:szCs w:val="21"/>
          <w:highlight w:val="none"/>
        </w:rPr>
        <w:t xml:space="preserve">8.1我方在磋商有效期内撤回响应文件； </w:t>
      </w:r>
    </w:p>
    <w:p>
      <w:pPr>
        <w:spacing w:line="360" w:lineRule="auto"/>
        <w:ind w:firstLine="210" w:firstLineChars="100"/>
        <w:rPr>
          <w:rFonts w:hint="eastAsia" w:ascii="仿宋" w:hAnsi="仿宋" w:eastAsia="仿宋" w:cs="仿宋"/>
          <w:color w:val="auto"/>
          <w:szCs w:val="21"/>
          <w:highlight w:val="none"/>
        </w:rPr>
      </w:pPr>
      <w:r>
        <w:rPr>
          <w:rFonts w:hint="eastAsia" w:ascii="仿宋" w:hAnsi="仿宋" w:eastAsia="仿宋" w:cs="仿宋"/>
          <w:color w:val="auto"/>
          <w:szCs w:val="21"/>
          <w:highlight w:val="none"/>
        </w:rPr>
        <w:t>8.2因我方的过错而未能在成交通知书规定期限内签订合同。</w:t>
      </w:r>
    </w:p>
    <w:p>
      <w:pPr>
        <w:spacing w:line="360" w:lineRule="auto"/>
        <w:ind w:firstLine="480" w:firstLineChars="200"/>
        <w:rPr>
          <w:rFonts w:hint="eastAsia" w:ascii="仿宋" w:hAnsi="仿宋" w:eastAsia="仿宋" w:cs="仿宋"/>
          <w:color w:val="auto"/>
          <w:sz w:val="24"/>
          <w:highlight w:val="none"/>
        </w:rPr>
      </w:pPr>
    </w:p>
    <w:p>
      <w:pPr>
        <w:spacing w:line="360" w:lineRule="auto"/>
        <w:ind w:right="-89" w:firstLine="3120" w:firstLineChars="13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供应商：</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（盖单位章）</w:t>
      </w:r>
    </w:p>
    <w:p>
      <w:pPr>
        <w:spacing w:line="360" w:lineRule="auto"/>
        <w:ind w:right="-89"/>
        <w:jc w:val="right"/>
        <w:rPr>
          <w:rFonts w:hint="eastAsia" w:ascii="仿宋" w:hAnsi="仿宋" w:eastAsia="仿宋" w:cs="仿宋"/>
          <w:color w:val="auto"/>
          <w:sz w:val="24"/>
          <w:highlight w:val="none"/>
        </w:rPr>
      </w:pPr>
      <w:r>
        <w:rPr>
          <w:rFonts w:hint="eastAsia" w:ascii="仿宋" w:hAnsi="仿宋" w:eastAsia="仿宋" w:cs="仿宋"/>
          <w:color w:val="auto"/>
          <w:sz w:val="24"/>
          <w:highlight w:val="none"/>
        </w:rPr>
        <w:t>法定代表人或授权委托人：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（签字或盖章）</w:t>
      </w:r>
    </w:p>
    <w:p>
      <w:pPr>
        <w:spacing w:line="360" w:lineRule="auto"/>
        <w:ind w:right="-89" w:firstLine="5280" w:firstLineChars="2200"/>
        <w:rPr>
          <w:rFonts w:hint="eastAsia" w:ascii="仿宋" w:hAnsi="仿宋" w:eastAsia="仿宋" w:cs="仿宋"/>
          <w:color w:val="auto"/>
          <w:spacing w:val="4"/>
          <w:sz w:val="24"/>
          <w:highlight w:val="none"/>
        </w:rPr>
      </w:pPr>
      <w:r>
        <w:rPr>
          <w:rFonts w:hint="eastAsia" w:ascii="仿宋" w:hAnsi="仿宋" w:eastAsia="仿宋" w:cs="仿宋"/>
          <w:color w:val="auto"/>
          <w:sz w:val="24"/>
          <w:highlight w:val="none"/>
        </w:rPr>
        <w:t>年    月    日</w:t>
      </w:r>
    </w:p>
    <w:p>
      <w:pPr>
        <w:pStyle w:val="5"/>
        <w:numPr>
          <w:ilvl w:val="0"/>
          <w:numId w:val="0"/>
        </w:numPr>
        <w:spacing w:line="360" w:lineRule="auto"/>
        <w:ind w:left="600"/>
        <w:jc w:val="center"/>
        <w:rPr>
          <w:rFonts w:hint="eastAsia" w:ascii="仿宋" w:hAnsi="仿宋" w:eastAsia="仿宋" w:cs="仿宋"/>
          <w:b/>
          <w:color w:val="auto"/>
          <w:highlight w:val="none"/>
        </w:rPr>
      </w:pPr>
      <w:r>
        <w:rPr>
          <w:rFonts w:hint="eastAsia" w:ascii="仿宋" w:hAnsi="仿宋" w:eastAsia="仿宋" w:cs="仿宋"/>
          <w:b/>
          <w:color w:val="auto"/>
          <w:highlight w:val="none"/>
        </w:rPr>
        <w:br w:type="page"/>
      </w:r>
      <w:bookmarkStart w:id="278" w:name="_Toc58006000"/>
      <w:bookmarkStart w:id="279" w:name="_Toc65829037"/>
      <w:bookmarkStart w:id="280" w:name="_Toc65676993"/>
      <w:r>
        <w:rPr>
          <w:rFonts w:hint="eastAsia" w:ascii="仿宋" w:hAnsi="仿宋" w:eastAsia="仿宋" w:cs="仿宋"/>
          <w:b/>
          <w:color w:val="auto"/>
          <w:highlight w:val="none"/>
        </w:rPr>
        <w:t>（二）开标一览表</w:t>
      </w:r>
      <w:bookmarkEnd w:id="278"/>
      <w:bookmarkEnd w:id="279"/>
      <w:bookmarkEnd w:id="280"/>
    </w:p>
    <w:p>
      <w:pPr>
        <w:widowControl/>
        <w:spacing w:line="360" w:lineRule="auto"/>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 xml:space="preserve"> </w:t>
      </w:r>
    </w:p>
    <w:tbl>
      <w:tblPr>
        <w:tblStyle w:val="3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1"/>
        <w:gridCol w:w="1084"/>
        <w:gridCol w:w="1076"/>
        <w:gridCol w:w="2053"/>
        <w:gridCol w:w="3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1981" w:type="dxa"/>
            <w:vAlign w:val="center"/>
          </w:tcPr>
          <w:p>
            <w:pPr>
              <w:widowControl/>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项目名称</w:t>
            </w:r>
          </w:p>
        </w:tc>
        <w:tc>
          <w:tcPr>
            <w:tcW w:w="7298" w:type="dxa"/>
            <w:gridSpan w:val="4"/>
            <w:vAlign w:val="center"/>
          </w:tcPr>
          <w:p>
            <w:pPr>
              <w:widowControl/>
              <w:ind w:firstLine="480" w:firstLineChars="200"/>
              <w:rPr>
                <w:rFonts w:hint="eastAsia" w:ascii="仿宋" w:hAnsi="仿宋" w:eastAsia="仿宋" w:cs="仿宋"/>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981" w:type="dxa"/>
            <w:vAlign w:val="center"/>
          </w:tcPr>
          <w:p>
            <w:pPr>
              <w:widowControl/>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供应商名称</w:t>
            </w:r>
          </w:p>
        </w:tc>
        <w:tc>
          <w:tcPr>
            <w:tcW w:w="7298" w:type="dxa"/>
            <w:gridSpan w:val="4"/>
            <w:vAlign w:val="center"/>
          </w:tcPr>
          <w:p>
            <w:pPr>
              <w:widowControl/>
              <w:ind w:firstLine="480" w:firstLineChars="200"/>
              <w:rPr>
                <w:rFonts w:hint="eastAsia" w:ascii="仿宋" w:hAnsi="仿宋" w:eastAsia="仿宋" w:cs="仿宋"/>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1981" w:type="dxa"/>
            <w:vMerge w:val="restart"/>
            <w:vAlign w:val="center"/>
          </w:tcPr>
          <w:p>
            <w:pPr>
              <w:widowControl/>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报价</w:t>
            </w:r>
          </w:p>
        </w:tc>
        <w:tc>
          <w:tcPr>
            <w:tcW w:w="1084"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大写</w:t>
            </w:r>
          </w:p>
        </w:tc>
        <w:tc>
          <w:tcPr>
            <w:tcW w:w="6214" w:type="dxa"/>
            <w:gridSpan w:val="3"/>
            <w:vAlign w:val="center"/>
          </w:tcPr>
          <w:p>
            <w:pPr>
              <w:widowControl/>
              <w:ind w:firstLine="480" w:firstLineChars="200"/>
              <w:jc w:val="left"/>
              <w:rPr>
                <w:rFonts w:hint="eastAsia" w:ascii="仿宋" w:hAnsi="仿宋" w:eastAsia="仿宋" w:cs="仿宋"/>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1981" w:type="dxa"/>
            <w:vMerge w:val="continue"/>
            <w:vAlign w:val="center"/>
          </w:tcPr>
          <w:p>
            <w:pPr>
              <w:widowControl/>
              <w:ind w:firstLine="480" w:firstLineChars="200"/>
              <w:jc w:val="left"/>
              <w:rPr>
                <w:rFonts w:hint="eastAsia" w:ascii="仿宋" w:hAnsi="仿宋" w:eastAsia="仿宋" w:cs="仿宋"/>
                <w:color w:val="auto"/>
                <w:kern w:val="0"/>
                <w:sz w:val="24"/>
                <w:highlight w:val="none"/>
              </w:rPr>
            </w:pPr>
          </w:p>
        </w:tc>
        <w:tc>
          <w:tcPr>
            <w:tcW w:w="1084"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小写</w:t>
            </w:r>
          </w:p>
        </w:tc>
        <w:tc>
          <w:tcPr>
            <w:tcW w:w="6214" w:type="dxa"/>
            <w:gridSpan w:val="3"/>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981" w:type="dxa"/>
            <w:vAlign w:val="center"/>
          </w:tcPr>
          <w:p>
            <w:pPr>
              <w:widowControl/>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质量要求</w:t>
            </w:r>
          </w:p>
        </w:tc>
        <w:tc>
          <w:tcPr>
            <w:tcW w:w="7298" w:type="dxa"/>
            <w:gridSpan w:val="4"/>
            <w:vAlign w:val="center"/>
          </w:tcPr>
          <w:p>
            <w:pPr>
              <w:widowControl/>
              <w:ind w:firstLine="480" w:firstLineChars="200"/>
              <w:jc w:val="left"/>
              <w:rPr>
                <w:rFonts w:hint="eastAsia" w:ascii="仿宋" w:hAnsi="仿宋" w:eastAsia="仿宋" w:cs="仿宋"/>
                <w:color w:val="auto"/>
                <w:kern w:val="0"/>
                <w:sz w:val="24"/>
                <w:highlight w:val="none"/>
              </w:rPr>
            </w:pPr>
          </w:p>
          <w:p>
            <w:pPr>
              <w:pStyle w:val="3"/>
              <w:rPr>
                <w:rFonts w:hint="eastAsia" w:ascii="仿宋" w:hAnsi="仿宋" w:eastAsia="仿宋" w:cs="仿宋"/>
                <w:color w:val="auto"/>
                <w:sz w:val="21"/>
                <w:szCs w:val="21"/>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981" w:type="dxa"/>
            <w:vAlign w:val="center"/>
          </w:tcPr>
          <w:p>
            <w:pPr>
              <w:widowControl/>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磋商有效期</w:t>
            </w:r>
          </w:p>
        </w:tc>
        <w:tc>
          <w:tcPr>
            <w:tcW w:w="7298" w:type="dxa"/>
            <w:gridSpan w:val="4"/>
            <w:vAlign w:val="center"/>
          </w:tcPr>
          <w:p>
            <w:pPr>
              <w:widowControl/>
              <w:ind w:firstLine="480" w:firstLineChars="200"/>
              <w:jc w:val="left"/>
              <w:rPr>
                <w:rFonts w:hint="eastAsia" w:ascii="仿宋" w:hAnsi="仿宋" w:eastAsia="仿宋" w:cs="仿宋"/>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981" w:type="dxa"/>
            <w:vAlign w:val="center"/>
          </w:tcPr>
          <w:p>
            <w:pPr>
              <w:widowControl/>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服务期</w:t>
            </w:r>
          </w:p>
        </w:tc>
        <w:tc>
          <w:tcPr>
            <w:tcW w:w="7298" w:type="dxa"/>
            <w:gridSpan w:val="4"/>
            <w:vAlign w:val="center"/>
          </w:tcPr>
          <w:p>
            <w:pPr>
              <w:widowControl/>
              <w:jc w:val="left"/>
              <w:rPr>
                <w:rFonts w:hint="eastAsia" w:ascii="仿宋" w:hAnsi="仿宋" w:eastAsia="仿宋" w:cs="仿宋"/>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981" w:type="dxa"/>
            <w:vAlign w:val="center"/>
          </w:tcPr>
          <w:p>
            <w:pPr>
              <w:widowControl/>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项目负责人</w:t>
            </w:r>
          </w:p>
        </w:tc>
        <w:tc>
          <w:tcPr>
            <w:tcW w:w="2160" w:type="dxa"/>
            <w:gridSpan w:val="2"/>
            <w:vAlign w:val="center"/>
          </w:tcPr>
          <w:p>
            <w:pPr>
              <w:widowControl/>
              <w:ind w:firstLine="480" w:firstLineChars="200"/>
              <w:jc w:val="left"/>
              <w:rPr>
                <w:rFonts w:hint="eastAsia" w:ascii="仿宋" w:hAnsi="仿宋" w:eastAsia="仿宋" w:cs="仿宋"/>
                <w:color w:val="auto"/>
                <w:kern w:val="0"/>
                <w:sz w:val="24"/>
                <w:highlight w:val="none"/>
              </w:rPr>
            </w:pPr>
          </w:p>
        </w:tc>
        <w:tc>
          <w:tcPr>
            <w:tcW w:w="2053" w:type="dxa"/>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证书编号</w:t>
            </w:r>
          </w:p>
        </w:tc>
        <w:tc>
          <w:tcPr>
            <w:tcW w:w="3085" w:type="dxa"/>
            <w:vAlign w:val="center"/>
          </w:tcPr>
          <w:p>
            <w:pPr>
              <w:widowControl/>
              <w:ind w:firstLine="480" w:firstLineChars="200"/>
              <w:jc w:val="left"/>
              <w:rPr>
                <w:rFonts w:hint="eastAsia" w:ascii="仿宋" w:hAnsi="仿宋" w:eastAsia="仿宋" w:cs="仿宋"/>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981" w:type="dxa"/>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对竞争磋商文件的认同程度</w:t>
            </w:r>
          </w:p>
        </w:tc>
        <w:tc>
          <w:tcPr>
            <w:tcW w:w="7298" w:type="dxa"/>
            <w:gridSpan w:val="4"/>
            <w:vAlign w:val="center"/>
          </w:tcPr>
          <w:p>
            <w:pPr>
              <w:widowControl/>
              <w:ind w:firstLine="2640" w:firstLineChars="11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完全认同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981" w:type="dxa"/>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是否小微型企业产品：</w:t>
            </w:r>
          </w:p>
        </w:tc>
        <w:tc>
          <w:tcPr>
            <w:tcW w:w="7298" w:type="dxa"/>
            <w:gridSpan w:val="4"/>
            <w:vAlign w:val="center"/>
          </w:tcPr>
          <w:p>
            <w:pPr>
              <w:widowControl/>
              <w:ind w:firstLine="36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是（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981" w:type="dxa"/>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是否监狱企业参加采购活动：</w:t>
            </w:r>
          </w:p>
        </w:tc>
        <w:tc>
          <w:tcPr>
            <w:tcW w:w="7298" w:type="dxa"/>
            <w:gridSpan w:val="4"/>
            <w:vAlign w:val="center"/>
          </w:tcPr>
          <w:p>
            <w:pPr>
              <w:widowControl/>
              <w:ind w:firstLine="36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是（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9279" w:type="dxa"/>
            <w:gridSpan w:val="5"/>
            <w:vAlign w:val="center"/>
          </w:tcPr>
          <w:p>
            <w:pPr>
              <w:widowControl/>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注：</w:t>
            </w:r>
          </w:p>
          <w:p>
            <w:pPr>
              <w:widowControl/>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1.本报价一览表作为响应文件的一部分，本报价函须与响应文件一起装订密封。</w:t>
            </w:r>
          </w:p>
          <w:p>
            <w:pPr>
              <w:widowControl/>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2.本报价应包括竞争性磋商文件所规定的招标范围的全部内容；</w:t>
            </w:r>
          </w:p>
          <w:p>
            <w:pPr>
              <w:widowControl/>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3.本次报价以清单报价为准，精确到小数点后两位数。</w:t>
            </w:r>
          </w:p>
          <w:p>
            <w:pPr>
              <w:widowControl/>
              <w:ind w:firstLine="480" w:firstLineChars="200"/>
              <w:jc w:val="left"/>
              <w:rPr>
                <w:rFonts w:hint="eastAsia" w:ascii="仿宋" w:hAnsi="仿宋" w:eastAsia="仿宋" w:cs="仿宋"/>
                <w:color w:val="auto"/>
                <w:szCs w:val="21"/>
                <w:highlight w:val="none"/>
              </w:rPr>
            </w:pPr>
            <w:r>
              <w:rPr>
                <w:rFonts w:hint="eastAsia" w:ascii="仿宋" w:hAnsi="仿宋" w:eastAsia="仿宋" w:cs="仿宋"/>
                <w:color w:val="auto"/>
                <w:kern w:val="0"/>
                <w:sz w:val="24"/>
                <w:highlight w:val="none"/>
              </w:rPr>
              <w:t>4.此报价一览表须单独制作一份，用于现场第二次谈判报价备用，二次报价以总报价为准，精确到小数点后两位数。</w:t>
            </w:r>
          </w:p>
        </w:tc>
      </w:tr>
    </w:tbl>
    <w:p>
      <w:pPr>
        <w:spacing w:line="360" w:lineRule="auto"/>
        <w:ind w:right="-89" w:firstLine="3120" w:firstLineChars="1300"/>
        <w:jc w:val="left"/>
        <w:rPr>
          <w:rFonts w:hint="eastAsia" w:ascii="仿宋" w:hAnsi="仿宋" w:eastAsia="仿宋" w:cs="仿宋"/>
          <w:color w:val="auto"/>
          <w:sz w:val="24"/>
          <w:highlight w:val="none"/>
        </w:rPr>
      </w:pPr>
    </w:p>
    <w:p>
      <w:pPr>
        <w:spacing w:line="360" w:lineRule="auto"/>
        <w:ind w:right="-89" w:firstLine="3120" w:firstLineChars="1300"/>
        <w:jc w:val="left"/>
        <w:rPr>
          <w:rFonts w:hint="eastAsia" w:ascii="仿宋" w:hAnsi="仿宋" w:eastAsia="仿宋" w:cs="仿宋"/>
          <w:color w:val="auto"/>
          <w:sz w:val="24"/>
          <w:highlight w:val="none"/>
        </w:rPr>
      </w:pPr>
    </w:p>
    <w:p>
      <w:pPr>
        <w:spacing w:line="360" w:lineRule="auto"/>
        <w:ind w:right="-89" w:firstLine="3120" w:firstLineChars="13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供应商：</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（盖单位章）</w:t>
      </w:r>
    </w:p>
    <w:p>
      <w:pPr>
        <w:spacing w:line="360" w:lineRule="auto"/>
        <w:ind w:right="-89" w:firstLine="460" w:firstLineChars="192"/>
        <w:jc w:val="left"/>
        <w:rPr>
          <w:rFonts w:hint="eastAsia" w:ascii="仿宋" w:hAnsi="仿宋" w:eastAsia="仿宋" w:cs="仿宋"/>
          <w:color w:val="auto"/>
          <w:sz w:val="24"/>
          <w:highlight w:val="none"/>
        </w:rPr>
      </w:pPr>
    </w:p>
    <w:p>
      <w:pPr>
        <w:spacing w:line="360" w:lineRule="auto"/>
        <w:ind w:right="-89" w:firstLine="3120" w:firstLineChars="13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法定代表人或授权委托人：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（签字）</w:t>
      </w:r>
    </w:p>
    <w:p>
      <w:pPr>
        <w:widowControl/>
        <w:spacing w:line="360" w:lineRule="auto"/>
        <w:ind w:firstLine="5280" w:firstLineChars="2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年   月   日</w:t>
      </w:r>
    </w:p>
    <w:p>
      <w:pPr>
        <w:widowControl/>
        <w:jc w:val="left"/>
        <w:rPr>
          <w:rFonts w:hint="eastAsia" w:ascii="宋体" w:hAnsi="宋体" w:cs="宋体"/>
          <w:b/>
          <w:color w:val="auto"/>
          <w:highlight w:val="none"/>
        </w:rPr>
      </w:pPr>
      <w:r>
        <w:rPr>
          <w:rFonts w:hint="eastAsia" w:ascii="仿宋" w:hAnsi="仿宋" w:eastAsia="仿宋" w:cs="仿宋"/>
          <w:color w:val="auto"/>
          <w:highlight w:val="none"/>
        </w:rPr>
        <w:br w:type="page"/>
      </w:r>
      <w:bookmarkStart w:id="281" w:name="_Toc58006001"/>
    </w:p>
    <w:p>
      <w:pPr>
        <w:pStyle w:val="5"/>
        <w:numPr>
          <w:ilvl w:val="0"/>
          <w:numId w:val="0"/>
        </w:numPr>
        <w:spacing w:line="360" w:lineRule="auto"/>
        <w:ind w:left="600"/>
        <w:jc w:val="center"/>
        <w:rPr>
          <w:rFonts w:hint="eastAsia" w:ascii="仿宋" w:hAnsi="仿宋" w:eastAsia="仿宋" w:cs="仿宋"/>
          <w:b/>
          <w:color w:val="auto"/>
          <w:highlight w:val="none"/>
        </w:rPr>
      </w:pPr>
      <w:bookmarkStart w:id="282" w:name="_Toc65829038"/>
      <w:bookmarkStart w:id="283" w:name="_Toc65676994"/>
      <w:r>
        <w:rPr>
          <w:rFonts w:hint="eastAsia" w:ascii="仿宋" w:hAnsi="仿宋" w:eastAsia="仿宋" w:cs="仿宋"/>
          <w:b/>
          <w:color w:val="auto"/>
          <w:highlight w:val="none"/>
        </w:rPr>
        <w:t>四、资格审查资料</w:t>
      </w:r>
      <w:bookmarkEnd w:id="281"/>
      <w:bookmarkEnd w:id="282"/>
      <w:bookmarkEnd w:id="283"/>
    </w:p>
    <w:p>
      <w:pPr>
        <w:autoSpaceDE w:val="0"/>
        <w:autoSpaceDN w:val="0"/>
        <w:adjustRightInd w:val="0"/>
        <w:spacing w:line="360" w:lineRule="auto"/>
        <w:jc w:val="center"/>
        <w:rPr>
          <w:rFonts w:hint="eastAsia" w:ascii="仿宋" w:hAnsi="仿宋" w:eastAsia="仿宋" w:cs="仿宋"/>
          <w:b/>
          <w:color w:val="auto"/>
          <w:kern w:val="0"/>
          <w:sz w:val="30"/>
          <w:szCs w:val="30"/>
          <w:highlight w:val="none"/>
        </w:rPr>
      </w:pPr>
      <w:r>
        <w:rPr>
          <w:rFonts w:hint="eastAsia" w:ascii="仿宋" w:hAnsi="仿宋" w:eastAsia="仿宋" w:cs="仿宋"/>
          <w:b/>
          <w:color w:val="auto"/>
          <w:kern w:val="0"/>
          <w:sz w:val="30"/>
          <w:szCs w:val="30"/>
          <w:highlight w:val="none"/>
        </w:rPr>
        <w:t>根据竞争性磋商文件供应商资料要求提供相应的资格证明材料</w:t>
      </w:r>
    </w:p>
    <w:p>
      <w:pPr>
        <w:pStyle w:val="5"/>
        <w:numPr>
          <w:ilvl w:val="0"/>
          <w:numId w:val="0"/>
        </w:numPr>
        <w:spacing w:line="360" w:lineRule="auto"/>
        <w:rPr>
          <w:rFonts w:hint="eastAsia" w:ascii="宋体" w:hAnsi="宋体" w:eastAsia="宋体" w:cs="宋体"/>
          <w:color w:val="auto"/>
          <w:sz w:val="24"/>
          <w:highlight w:val="none"/>
        </w:rPr>
      </w:pPr>
    </w:p>
    <w:p>
      <w:pPr>
        <w:pStyle w:val="6"/>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p>
    <w:p>
      <w:pPr>
        <w:pStyle w:val="5"/>
        <w:numPr>
          <w:ilvl w:val="0"/>
          <w:numId w:val="0"/>
        </w:numPr>
        <w:spacing w:line="360" w:lineRule="auto"/>
        <w:ind w:left="600"/>
        <w:jc w:val="center"/>
        <w:rPr>
          <w:rFonts w:hint="eastAsia" w:ascii="仿宋" w:hAnsi="仿宋" w:eastAsia="仿宋" w:cs="仿宋"/>
          <w:color w:val="auto"/>
          <w:highlight w:val="none"/>
        </w:rPr>
      </w:pPr>
      <w:bookmarkStart w:id="284" w:name="_Toc65676995"/>
      <w:bookmarkStart w:id="285" w:name="_Toc65829039"/>
      <w:bookmarkStart w:id="286" w:name="_Toc58006003"/>
      <w:r>
        <w:rPr>
          <w:rFonts w:hint="eastAsia" w:ascii="仿宋" w:hAnsi="仿宋" w:eastAsia="仿宋" w:cs="仿宋"/>
          <w:b/>
          <w:color w:val="auto"/>
          <w:highlight w:val="none"/>
        </w:rPr>
        <w:t>五、磋商保证金</w:t>
      </w:r>
      <w:bookmarkEnd w:id="284"/>
      <w:bookmarkEnd w:id="285"/>
      <w:bookmarkEnd w:id="286"/>
    </w:p>
    <w:p>
      <w:pPr>
        <w:snapToGrid w:val="0"/>
        <w:spacing w:line="360" w:lineRule="auto"/>
        <w:ind w:firstLine="420" w:firstLineChars="200"/>
        <w:rPr>
          <w:rFonts w:hint="eastAsia" w:ascii="仿宋" w:hAnsi="仿宋" w:eastAsia="仿宋" w:cs="仿宋"/>
          <w:color w:val="auto"/>
          <w:szCs w:val="21"/>
          <w:highlight w:val="none"/>
        </w:rPr>
      </w:pPr>
      <w:bookmarkStart w:id="287" w:name="_Toc58006004"/>
      <w:r>
        <w:rPr>
          <w:rFonts w:hint="eastAsia" w:ascii="仿宋" w:hAnsi="仿宋" w:eastAsia="仿宋" w:cs="仿宋"/>
          <w:color w:val="auto"/>
          <w:szCs w:val="21"/>
          <w:highlight w:val="none"/>
        </w:rPr>
        <w:t>(1)银行转账：</w:t>
      </w:r>
    </w:p>
    <w:p>
      <w:pPr>
        <w:snapToGrid w:val="0"/>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请附谈判保证金转账凭证、基本户开户许可证加盖单位公章复印件。</w:t>
      </w:r>
    </w:p>
    <w:p>
      <w:pPr>
        <w:snapToGrid w:val="0"/>
        <w:spacing w:line="360" w:lineRule="auto"/>
        <w:ind w:firstLine="420" w:firstLineChars="200"/>
        <w:rPr>
          <w:rFonts w:hint="eastAsia" w:ascii="仿宋" w:hAnsi="仿宋" w:eastAsia="仿宋" w:cs="仿宋"/>
          <w:color w:val="auto"/>
          <w:szCs w:val="21"/>
          <w:highlight w:val="none"/>
        </w:rPr>
      </w:pPr>
    </w:p>
    <w:p>
      <w:pPr>
        <w:snapToGrid w:val="0"/>
        <w:spacing w:line="360" w:lineRule="auto"/>
        <w:ind w:firstLine="420" w:firstLineChars="200"/>
        <w:rPr>
          <w:rFonts w:hint="eastAsia" w:ascii="仿宋" w:hAnsi="仿宋" w:eastAsia="仿宋" w:cs="仿宋"/>
          <w:color w:val="auto"/>
          <w:szCs w:val="21"/>
          <w:highlight w:val="none"/>
          <w:lang w:eastAsia="zh-CN"/>
        </w:rPr>
      </w:pPr>
      <w:r>
        <w:rPr>
          <w:rFonts w:hint="eastAsia" w:ascii="仿宋" w:hAnsi="仿宋" w:eastAsia="仿宋" w:cs="仿宋"/>
          <w:color w:val="auto"/>
          <w:szCs w:val="21"/>
          <w:highlight w:val="none"/>
        </w:rPr>
        <w:t>（2）保函：</w:t>
      </w:r>
    </w:p>
    <w:p>
      <w:pPr>
        <w:snapToGrid w:val="0"/>
        <w:spacing w:line="400" w:lineRule="exact"/>
        <w:ind w:firstLine="480" w:firstLineChars="200"/>
        <w:jc w:val="left"/>
        <w:rPr>
          <w:rFonts w:hint="eastAsia" w:ascii="仿宋" w:hAnsi="仿宋" w:eastAsia="仿宋" w:cs="仿宋"/>
          <w:color w:val="auto"/>
          <w:szCs w:val="21"/>
          <w:highlight w:val="none"/>
        </w:rPr>
      </w:pPr>
      <w:r>
        <w:rPr>
          <w:rFonts w:hint="eastAsia" w:ascii="仿宋" w:hAnsi="仿宋" w:eastAsia="仿宋" w:cs="仿宋"/>
          <w:color w:val="auto"/>
          <w:kern w:val="0"/>
          <w:sz w:val="24"/>
          <w:highlight w:val="none"/>
        </w:rPr>
        <w:t>如采用银行保函，参考格式如下：</w:t>
      </w:r>
    </w:p>
    <w:p>
      <w:pPr>
        <w:snapToGrid w:val="0"/>
        <w:spacing w:line="360" w:lineRule="auto"/>
        <w:ind w:firstLine="6300" w:firstLineChars="3000"/>
        <w:rPr>
          <w:rFonts w:hint="eastAsia" w:ascii="仿宋" w:hAnsi="仿宋" w:eastAsia="仿宋" w:cs="仿宋"/>
          <w:color w:val="auto"/>
          <w:szCs w:val="21"/>
          <w:highlight w:val="none"/>
        </w:rPr>
      </w:pPr>
      <w:r>
        <w:rPr>
          <w:rFonts w:hint="eastAsia" w:ascii="仿宋" w:hAnsi="仿宋" w:eastAsia="仿宋" w:cs="仿宋"/>
          <w:color w:val="auto"/>
          <w:szCs w:val="21"/>
          <w:highlight w:val="none"/>
        </w:rPr>
        <w:t>保函编号：</w:t>
      </w:r>
      <w:r>
        <w:rPr>
          <w:rFonts w:hint="eastAsia" w:ascii="仿宋" w:hAnsi="仿宋" w:eastAsia="仿宋" w:cs="仿宋"/>
          <w:color w:val="auto"/>
          <w:szCs w:val="21"/>
          <w:highlight w:val="none"/>
          <w:u w:val="single"/>
        </w:rPr>
        <w:t xml:space="preserve">          </w:t>
      </w:r>
    </w:p>
    <w:p>
      <w:pPr>
        <w:snapToGrid w:val="0"/>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u w:val="single"/>
        </w:rPr>
        <w:t>（采购人名称）</w:t>
      </w:r>
      <w:r>
        <w:rPr>
          <w:rFonts w:hint="eastAsia" w:ascii="仿宋" w:hAnsi="仿宋" w:eastAsia="仿宋" w:cs="仿宋"/>
          <w:color w:val="auto"/>
          <w:szCs w:val="21"/>
          <w:highlight w:val="none"/>
        </w:rPr>
        <w:t>：</w:t>
      </w:r>
    </w:p>
    <w:p>
      <w:pPr>
        <w:snapToGrid w:val="0"/>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鉴于</w:t>
      </w:r>
      <w:r>
        <w:rPr>
          <w:rFonts w:hint="eastAsia" w:ascii="仿宋" w:hAnsi="仿宋" w:eastAsia="仿宋" w:cs="仿宋"/>
          <w:color w:val="auto"/>
          <w:szCs w:val="21"/>
          <w:highlight w:val="none"/>
          <w:u w:val="single"/>
        </w:rPr>
        <w:t>（供应商名称）</w:t>
      </w:r>
      <w:r>
        <w:rPr>
          <w:rFonts w:hint="eastAsia" w:ascii="仿宋" w:hAnsi="仿宋" w:eastAsia="仿宋" w:cs="仿宋"/>
          <w:color w:val="auto"/>
          <w:szCs w:val="21"/>
          <w:highlight w:val="none"/>
        </w:rPr>
        <w:t>（以下简称“供应商”）参加你方</w:t>
      </w:r>
      <w:r>
        <w:rPr>
          <w:rFonts w:hint="eastAsia" w:ascii="仿宋" w:hAnsi="仿宋" w:eastAsia="仿宋" w:cs="仿宋"/>
          <w:color w:val="auto"/>
          <w:szCs w:val="21"/>
          <w:highlight w:val="none"/>
          <w:u w:val="single"/>
        </w:rPr>
        <w:t>（项目名称）</w:t>
      </w:r>
      <w:r>
        <w:rPr>
          <w:rFonts w:hint="eastAsia" w:ascii="仿宋" w:hAnsi="仿宋" w:eastAsia="仿宋" w:cs="仿宋"/>
          <w:color w:val="auto"/>
          <w:szCs w:val="21"/>
          <w:highlight w:val="none"/>
        </w:rPr>
        <w:t>标段的监理投标，</w:t>
      </w:r>
      <w:r>
        <w:rPr>
          <w:rFonts w:hint="eastAsia" w:ascii="仿宋" w:hAnsi="仿宋" w:eastAsia="仿宋" w:cs="仿宋"/>
          <w:color w:val="auto"/>
          <w:szCs w:val="21"/>
          <w:highlight w:val="none"/>
          <w:u w:val="single"/>
        </w:rPr>
        <w:t>（担保人名称）</w:t>
      </w:r>
      <w:r>
        <w:rPr>
          <w:rFonts w:hint="eastAsia" w:ascii="仿宋" w:hAnsi="仿宋" w:eastAsia="仿宋" w:cs="仿宋"/>
          <w:color w:val="auto"/>
          <w:szCs w:val="21"/>
          <w:highlight w:val="none"/>
        </w:rPr>
        <w:t>（以下简称“我方”）受该供应商委托，在此无条件地、不可撤销地保证：一旦收到你方提出的下述任何一种事实的书面通知，在7日内无条件地向你方支付总额不超过</w:t>
      </w:r>
      <w:r>
        <w:rPr>
          <w:rFonts w:hint="eastAsia" w:ascii="仿宋" w:hAnsi="仿宋" w:eastAsia="仿宋" w:cs="仿宋"/>
          <w:color w:val="auto"/>
          <w:szCs w:val="21"/>
          <w:highlight w:val="none"/>
          <w:u w:val="single"/>
        </w:rPr>
        <w:t>（投标保函额度）</w:t>
      </w:r>
      <w:r>
        <w:rPr>
          <w:rFonts w:hint="eastAsia" w:ascii="仿宋" w:hAnsi="仿宋" w:eastAsia="仿宋" w:cs="仿宋"/>
          <w:color w:val="auto"/>
          <w:szCs w:val="21"/>
          <w:highlight w:val="none"/>
        </w:rPr>
        <w:t>的任何你方要求的金额：</w:t>
      </w:r>
    </w:p>
    <w:p>
      <w:pPr>
        <w:snapToGrid w:val="0"/>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1．供应商在规定的投标有效期内撤销或者修改其响应文件。</w:t>
      </w:r>
    </w:p>
    <w:p>
      <w:pPr>
        <w:snapToGrid w:val="0"/>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2．供应商在收到中标通知书后无正当理由而未在规定期限内与贵方签署合同。</w:t>
      </w:r>
    </w:p>
    <w:p>
      <w:pPr>
        <w:snapToGrid w:val="0"/>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3．供应商在收到中标通知书后未能在谈判文件规定期限内向贵方提交谈判文件所要求的履约担保。</w:t>
      </w:r>
    </w:p>
    <w:p>
      <w:pPr>
        <w:snapToGrid w:val="0"/>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本保函在投标有效期内保持有效，除非你方提前终止或解除本保函。要求我方承担保证责任的通知应在投标有效期内送达我方。保函失效后请将本保函交供应商退回我方注销。</w:t>
      </w:r>
    </w:p>
    <w:p>
      <w:pPr>
        <w:snapToGrid w:val="0"/>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本保函项下所有权利和义务均受中华人民共和国法律管辖和制约。</w:t>
      </w:r>
    </w:p>
    <w:p>
      <w:pPr>
        <w:snapToGrid w:val="0"/>
        <w:spacing w:line="360" w:lineRule="auto"/>
        <w:ind w:firstLine="2100" w:firstLineChars="1000"/>
        <w:rPr>
          <w:rFonts w:hint="eastAsia" w:ascii="仿宋" w:hAnsi="仿宋" w:eastAsia="仿宋" w:cs="仿宋"/>
          <w:color w:val="auto"/>
          <w:szCs w:val="21"/>
          <w:highlight w:val="none"/>
        </w:rPr>
      </w:pPr>
      <w:r>
        <w:rPr>
          <w:rFonts w:hint="eastAsia" w:ascii="仿宋" w:hAnsi="仿宋" w:eastAsia="仿宋" w:cs="仿宋"/>
          <w:color w:val="auto"/>
          <w:szCs w:val="21"/>
          <w:highlight w:val="none"/>
        </w:rPr>
        <w:t>担保人名称：（盖单位章）</w:t>
      </w:r>
    </w:p>
    <w:p>
      <w:pPr>
        <w:snapToGrid w:val="0"/>
        <w:spacing w:line="360" w:lineRule="auto"/>
        <w:ind w:firstLine="2100" w:firstLineChars="1000"/>
        <w:rPr>
          <w:rFonts w:hint="eastAsia" w:ascii="仿宋" w:hAnsi="仿宋" w:eastAsia="仿宋" w:cs="仿宋"/>
          <w:color w:val="auto"/>
          <w:szCs w:val="21"/>
          <w:highlight w:val="none"/>
        </w:rPr>
      </w:pPr>
      <w:r>
        <w:rPr>
          <w:rFonts w:hint="eastAsia" w:ascii="仿宋" w:hAnsi="仿宋" w:eastAsia="仿宋" w:cs="仿宋"/>
          <w:color w:val="auto"/>
          <w:szCs w:val="21"/>
          <w:highlight w:val="none"/>
        </w:rPr>
        <w:t>法定代表人或其委托代理人：（签字或盖章）</w:t>
      </w:r>
    </w:p>
    <w:p>
      <w:pPr>
        <w:snapToGrid w:val="0"/>
        <w:spacing w:line="360" w:lineRule="auto"/>
        <w:ind w:firstLine="2100" w:firstLineChars="1000"/>
        <w:rPr>
          <w:rFonts w:hint="eastAsia" w:ascii="仿宋" w:hAnsi="仿宋" w:eastAsia="仿宋" w:cs="仿宋"/>
          <w:color w:val="auto"/>
          <w:szCs w:val="21"/>
          <w:highlight w:val="none"/>
        </w:rPr>
      </w:pPr>
      <w:r>
        <w:rPr>
          <w:rFonts w:hint="eastAsia" w:ascii="仿宋" w:hAnsi="仿宋" w:eastAsia="仿宋" w:cs="仿宋"/>
          <w:color w:val="auto"/>
          <w:szCs w:val="21"/>
          <w:highlight w:val="none"/>
        </w:rPr>
        <w:t>地    址：</w:t>
      </w:r>
    </w:p>
    <w:p>
      <w:pPr>
        <w:snapToGrid w:val="0"/>
        <w:spacing w:line="360" w:lineRule="auto"/>
        <w:ind w:firstLine="2100" w:firstLineChars="1000"/>
        <w:rPr>
          <w:rFonts w:hint="eastAsia" w:ascii="仿宋" w:hAnsi="仿宋" w:eastAsia="仿宋" w:cs="仿宋"/>
          <w:color w:val="auto"/>
          <w:szCs w:val="21"/>
          <w:highlight w:val="none"/>
        </w:rPr>
      </w:pPr>
      <w:r>
        <w:rPr>
          <w:rFonts w:hint="eastAsia" w:ascii="仿宋" w:hAnsi="仿宋" w:eastAsia="仿宋" w:cs="仿宋"/>
          <w:color w:val="auto"/>
          <w:szCs w:val="21"/>
          <w:highlight w:val="none"/>
        </w:rPr>
        <w:t>邮政编码：</w:t>
      </w:r>
    </w:p>
    <w:p>
      <w:pPr>
        <w:snapToGrid w:val="0"/>
        <w:spacing w:line="360" w:lineRule="auto"/>
        <w:ind w:firstLine="2100" w:firstLineChars="1000"/>
        <w:rPr>
          <w:rFonts w:hint="eastAsia" w:ascii="仿宋" w:hAnsi="仿宋" w:eastAsia="仿宋" w:cs="仿宋"/>
          <w:color w:val="auto"/>
          <w:szCs w:val="21"/>
          <w:highlight w:val="none"/>
        </w:rPr>
      </w:pPr>
      <w:r>
        <w:rPr>
          <w:rFonts w:hint="eastAsia" w:ascii="仿宋" w:hAnsi="仿宋" w:eastAsia="仿宋" w:cs="仿宋"/>
          <w:color w:val="auto"/>
          <w:szCs w:val="21"/>
          <w:highlight w:val="none"/>
        </w:rPr>
        <w:t>电    话：</w:t>
      </w:r>
    </w:p>
    <w:p>
      <w:pPr>
        <w:snapToGrid w:val="0"/>
        <w:spacing w:line="360" w:lineRule="auto"/>
        <w:ind w:firstLine="2100" w:firstLineChars="1000"/>
        <w:rPr>
          <w:rFonts w:hint="eastAsia" w:ascii="仿宋" w:hAnsi="仿宋" w:eastAsia="仿宋" w:cs="仿宋"/>
          <w:color w:val="auto"/>
          <w:szCs w:val="21"/>
          <w:highlight w:val="none"/>
          <w:u w:val="single"/>
        </w:rPr>
      </w:pPr>
      <w:r>
        <w:rPr>
          <w:rFonts w:hint="eastAsia" w:ascii="仿宋" w:hAnsi="仿宋" w:eastAsia="仿宋" w:cs="仿宋"/>
          <w:color w:val="auto"/>
          <w:szCs w:val="21"/>
          <w:highlight w:val="none"/>
        </w:rPr>
        <w:t>传    真：</w:t>
      </w:r>
    </w:p>
    <w:p>
      <w:pPr>
        <w:snapToGrid w:val="0"/>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 xml:space="preserve">  </w:t>
      </w:r>
      <w:r>
        <w:rPr>
          <w:rFonts w:hint="eastAsia" w:ascii="仿宋" w:hAnsi="仿宋" w:eastAsia="仿宋" w:cs="仿宋"/>
          <w:color w:val="auto"/>
          <w:szCs w:val="21"/>
          <w:highlight w:val="none"/>
          <w:lang w:val="en-US" w:eastAsia="zh-CN"/>
        </w:rPr>
        <w:t xml:space="preserve">                </w:t>
      </w:r>
      <w:r>
        <w:rPr>
          <w:rFonts w:hint="eastAsia" w:ascii="仿宋" w:hAnsi="仿宋" w:eastAsia="仿宋" w:cs="仿宋"/>
          <w:color w:val="auto"/>
          <w:szCs w:val="21"/>
          <w:highlight w:val="none"/>
        </w:rPr>
        <w:t xml:space="preserve"> 年   月   日 </w:t>
      </w:r>
    </w:p>
    <w:p>
      <w:pPr>
        <w:snapToGrid w:val="0"/>
        <w:spacing w:line="360" w:lineRule="auto"/>
        <w:rPr>
          <w:rFonts w:hint="eastAsia" w:ascii="仿宋" w:hAnsi="仿宋" w:eastAsia="仿宋" w:cs="仿宋"/>
          <w:color w:val="auto"/>
          <w:szCs w:val="21"/>
          <w:highlight w:val="none"/>
        </w:rPr>
      </w:pPr>
    </w:p>
    <w:p>
      <w:pPr>
        <w:snapToGrid w:val="0"/>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备注：供应商可采用其他认可的投标保函格式，但相关内容不得背离磋商文件约定的实质性内容。</w:t>
      </w:r>
    </w:p>
    <w:p>
      <w:pPr>
        <w:pStyle w:val="3"/>
        <w:tabs>
          <w:tab w:val="left" w:pos="900"/>
        </w:tabs>
        <w:ind w:left="900" w:hanging="360"/>
        <w:rPr>
          <w:rFonts w:hint="eastAsia" w:ascii="仿宋" w:hAnsi="仿宋" w:eastAsia="仿宋" w:cs="仿宋"/>
          <w:color w:val="auto"/>
          <w:sz w:val="21"/>
          <w:szCs w:val="21"/>
          <w:highlight w:val="none"/>
          <w:lang w:val="en-US"/>
        </w:rPr>
      </w:pPr>
    </w:p>
    <w:p>
      <w:pPr>
        <w:rPr>
          <w:rFonts w:hint="eastAsia" w:ascii="仿宋" w:hAnsi="仿宋" w:eastAsia="仿宋" w:cs="仿宋"/>
          <w:color w:val="auto"/>
          <w:szCs w:val="21"/>
          <w:highlight w:val="none"/>
        </w:rPr>
      </w:pPr>
    </w:p>
    <w:p>
      <w:pPr>
        <w:pStyle w:val="3"/>
        <w:rPr>
          <w:rFonts w:hint="eastAsia" w:ascii="仿宋" w:hAnsi="仿宋" w:eastAsia="仿宋" w:cs="仿宋"/>
          <w:color w:val="auto"/>
          <w:sz w:val="21"/>
          <w:szCs w:val="21"/>
          <w:highlight w:val="none"/>
          <w:lang w:val="en-US"/>
        </w:rPr>
      </w:pPr>
    </w:p>
    <w:p>
      <w:pPr>
        <w:pStyle w:val="3"/>
        <w:tabs>
          <w:tab w:val="left" w:pos="900"/>
        </w:tabs>
        <w:ind w:left="900" w:hanging="360"/>
        <w:rPr>
          <w:rFonts w:hint="eastAsia" w:ascii="仿宋" w:hAnsi="仿宋" w:eastAsia="仿宋" w:cs="仿宋"/>
          <w:color w:val="auto"/>
          <w:sz w:val="21"/>
          <w:szCs w:val="21"/>
          <w:highlight w:val="none"/>
          <w:lang w:val="en-US"/>
        </w:rPr>
      </w:pPr>
    </w:p>
    <w:p>
      <w:pPr>
        <w:rPr>
          <w:rFonts w:hint="eastAsia" w:ascii="仿宋" w:hAnsi="仿宋" w:eastAsia="仿宋" w:cs="仿宋"/>
          <w:color w:val="auto"/>
          <w:szCs w:val="21"/>
          <w:highlight w:val="none"/>
        </w:rPr>
      </w:pPr>
    </w:p>
    <w:p>
      <w:pPr>
        <w:pStyle w:val="5"/>
        <w:numPr>
          <w:ilvl w:val="0"/>
          <w:numId w:val="0"/>
        </w:numPr>
        <w:spacing w:line="360" w:lineRule="auto"/>
        <w:ind w:left="600"/>
        <w:jc w:val="center"/>
        <w:rPr>
          <w:rFonts w:hint="eastAsia" w:ascii="仿宋" w:hAnsi="仿宋" w:eastAsia="仿宋" w:cs="仿宋"/>
          <w:b/>
          <w:color w:val="auto"/>
          <w:highlight w:val="none"/>
        </w:rPr>
      </w:pPr>
      <w:bookmarkStart w:id="288" w:name="_Toc65676996"/>
      <w:bookmarkStart w:id="289" w:name="_Toc65829040"/>
      <w:r>
        <w:rPr>
          <w:rFonts w:hint="eastAsia" w:ascii="仿宋" w:hAnsi="仿宋" w:eastAsia="仿宋" w:cs="仿宋"/>
          <w:b/>
          <w:color w:val="auto"/>
          <w:highlight w:val="none"/>
        </w:rPr>
        <w:t>六、供应商基本情况表</w:t>
      </w:r>
      <w:bookmarkEnd w:id="287"/>
      <w:bookmarkEnd w:id="288"/>
      <w:bookmarkEnd w:id="289"/>
    </w:p>
    <w:p>
      <w:pPr>
        <w:spacing w:line="440" w:lineRule="exact"/>
        <w:jc w:val="center"/>
        <w:rPr>
          <w:rFonts w:hint="eastAsia" w:ascii="宋体" w:hAnsi="宋体" w:cs="宋体"/>
          <w:b/>
          <w:color w:val="auto"/>
          <w:sz w:val="28"/>
          <w:szCs w:val="28"/>
          <w:highlight w:val="none"/>
        </w:rPr>
      </w:pPr>
      <w:r>
        <w:rPr>
          <w:rFonts w:hint="eastAsia" w:ascii="宋体" w:hAnsi="宋体" w:cs="宋体"/>
          <w:color w:val="auto"/>
          <w:sz w:val="20"/>
          <w:highlight w:val="none"/>
          <w:shd w:val="clear" w:color="auto" w:fill="FFFFFF"/>
        </w:rPr>
        <w:t xml:space="preserve"> </w:t>
      </w:r>
      <w:bookmarkStart w:id="290" w:name="_Toc65829041"/>
      <w:bookmarkStart w:id="291" w:name="_Toc58006005"/>
      <w:bookmarkStart w:id="292" w:name="_Toc65676997"/>
    </w:p>
    <w:tbl>
      <w:tblPr>
        <w:tblStyle w:val="3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6"/>
        <w:gridCol w:w="1169"/>
        <w:gridCol w:w="749"/>
        <w:gridCol w:w="2191"/>
        <w:gridCol w:w="3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6" w:type="dxa"/>
            <w:vAlign w:val="center"/>
          </w:tcPr>
          <w:p>
            <w:pPr>
              <w:spacing w:line="480" w:lineRule="exact"/>
              <w:jc w:val="center"/>
              <w:rPr>
                <w:rFonts w:hint="eastAsia" w:ascii="仿宋" w:hAnsi="仿宋" w:eastAsia="仿宋" w:cs="仿宋"/>
                <w:color w:val="auto"/>
                <w:highlight w:val="none"/>
              </w:rPr>
            </w:pPr>
            <w:r>
              <w:rPr>
                <w:rFonts w:hint="eastAsia" w:ascii="仿宋" w:hAnsi="仿宋" w:eastAsia="仿宋" w:cs="仿宋"/>
                <w:color w:val="auto"/>
                <w:highlight w:val="none"/>
              </w:rPr>
              <w:t>供应商名称</w:t>
            </w:r>
          </w:p>
        </w:tc>
        <w:tc>
          <w:tcPr>
            <w:tcW w:w="7173" w:type="dxa"/>
            <w:gridSpan w:val="4"/>
            <w:vAlign w:val="center"/>
          </w:tcPr>
          <w:p>
            <w:pPr>
              <w:spacing w:line="480" w:lineRule="exact"/>
              <w:jc w:val="left"/>
              <w:rPr>
                <w:rFonts w:hint="eastAsia" w:ascii="仿宋" w:hAns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6" w:type="dxa"/>
            <w:vAlign w:val="center"/>
          </w:tcPr>
          <w:p>
            <w:pPr>
              <w:spacing w:line="480" w:lineRule="exact"/>
              <w:jc w:val="center"/>
              <w:rPr>
                <w:rFonts w:hint="eastAsia" w:ascii="仿宋" w:hAnsi="仿宋" w:eastAsia="仿宋" w:cs="仿宋"/>
                <w:color w:val="auto"/>
                <w:highlight w:val="none"/>
              </w:rPr>
            </w:pPr>
            <w:r>
              <w:rPr>
                <w:rFonts w:hint="eastAsia" w:ascii="仿宋" w:hAnsi="仿宋" w:eastAsia="仿宋" w:cs="仿宋"/>
                <w:color w:val="auto"/>
                <w:highlight w:val="none"/>
              </w:rPr>
              <w:t>注册地址</w:t>
            </w:r>
          </w:p>
        </w:tc>
        <w:tc>
          <w:tcPr>
            <w:tcW w:w="7173" w:type="dxa"/>
            <w:gridSpan w:val="4"/>
            <w:vAlign w:val="center"/>
          </w:tcPr>
          <w:p>
            <w:pPr>
              <w:spacing w:line="480" w:lineRule="exact"/>
              <w:jc w:val="left"/>
              <w:rPr>
                <w:rFonts w:hint="eastAsia" w:ascii="仿宋" w:hAns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6" w:type="dxa"/>
            <w:vAlign w:val="center"/>
          </w:tcPr>
          <w:p>
            <w:pPr>
              <w:spacing w:line="480" w:lineRule="exact"/>
              <w:jc w:val="center"/>
              <w:rPr>
                <w:rFonts w:hint="eastAsia" w:ascii="仿宋" w:hAnsi="仿宋" w:eastAsia="仿宋" w:cs="仿宋"/>
                <w:color w:val="auto"/>
                <w:highlight w:val="none"/>
              </w:rPr>
            </w:pPr>
            <w:r>
              <w:rPr>
                <w:rFonts w:hint="eastAsia" w:ascii="仿宋" w:hAnsi="仿宋" w:eastAsia="仿宋" w:cs="仿宋"/>
                <w:color w:val="auto"/>
                <w:highlight w:val="none"/>
              </w:rPr>
              <w:t>联系方式</w:t>
            </w:r>
          </w:p>
        </w:tc>
        <w:tc>
          <w:tcPr>
            <w:tcW w:w="1169" w:type="dxa"/>
            <w:vAlign w:val="center"/>
          </w:tcPr>
          <w:p>
            <w:pPr>
              <w:spacing w:line="480" w:lineRule="exact"/>
              <w:jc w:val="center"/>
              <w:rPr>
                <w:rFonts w:hint="eastAsia" w:ascii="仿宋" w:hAnsi="仿宋" w:eastAsia="仿宋" w:cs="仿宋"/>
                <w:color w:val="auto"/>
                <w:highlight w:val="none"/>
              </w:rPr>
            </w:pPr>
            <w:r>
              <w:rPr>
                <w:rFonts w:hint="eastAsia" w:ascii="仿宋" w:hAnsi="仿宋" w:eastAsia="仿宋" w:cs="仿宋"/>
                <w:color w:val="auto"/>
                <w:highlight w:val="none"/>
              </w:rPr>
              <w:t>联系人</w:t>
            </w:r>
          </w:p>
        </w:tc>
        <w:tc>
          <w:tcPr>
            <w:tcW w:w="6004" w:type="dxa"/>
            <w:gridSpan w:val="3"/>
            <w:vAlign w:val="center"/>
          </w:tcPr>
          <w:p>
            <w:pPr>
              <w:spacing w:line="480" w:lineRule="exact"/>
              <w:jc w:val="center"/>
              <w:rPr>
                <w:rFonts w:hint="eastAsia" w:ascii="仿宋" w:hAns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6" w:type="dxa"/>
            <w:vAlign w:val="center"/>
          </w:tcPr>
          <w:p>
            <w:pPr>
              <w:spacing w:line="480" w:lineRule="exact"/>
              <w:jc w:val="center"/>
              <w:rPr>
                <w:rFonts w:hint="eastAsia" w:ascii="仿宋" w:hAnsi="仿宋" w:eastAsia="仿宋" w:cs="仿宋"/>
                <w:color w:val="auto"/>
                <w:highlight w:val="none"/>
              </w:rPr>
            </w:pPr>
            <w:r>
              <w:rPr>
                <w:rFonts w:hint="eastAsia" w:ascii="仿宋" w:hAnsi="仿宋" w:eastAsia="仿宋" w:cs="仿宋"/>
                <w:color w:val="auto"/>
                <w:highlight w:val="none"/>
              </w:rPr>
              <w:t>法定代表人</w:t>
            </w:r>
          </w:p>
        </w:tc>
        <w:tc>
          <w:tcPr>
            <w:tcW w:w="1918" w:type="dxa"/>
            <w:gridSpan w:val="2"/>
            <w:vAlign w:val="center"/>
          </w:tcPr>
          <w:p>
            <w:pPr>
              <w:spacing w:line="480" w:lineRule="exact"/>
              <w:jc w:val="center"/>
              <w:rPr>
                <w:rFonts w:hint="eastAsia" w:ascii="仿宋" w:hAnsi="仿宋" w:eastAsia="仿宋" w:cs="仿宋"/>
                <w:color w:val="auto"/>
                <w:highlight w:val="none"/>
              </w:rPr>
            </w:pPr>
          </w:p>
        </w:tc>
        <w:tc>
          <w:tcPr>
            <w:tcW w:w="2191" w:type="dxa"/>
            <w:vAlign w:val="center"/>
          </w:tcPr>
          <w:p>
            <w:pPr>
              <w:spacing w:line="480" w:lineRule="exact"/>
              <w:jc w:val="center"/>
              <w:rPr>
                <w:rFonts w:hint="eastAsia" w:ascii="仿宋" w:hAnsi="仿宋" w:eastAsia="仿宋" w:cs="仿宋"/>
                <w:color w:val="auto"/>
                <w:highlight w:val="none"/>
              </w:rPr>
            </w:pPr>
            <w:r>
              <w:rPr>
                <w:rFonts w:hint="eastAsia" w:ascii="仿宋" w:hAnsi="仿宋" w:eastAsia="仿宋" w:cs="仿宋"/>
                <w:color w:val="auto"/>
                <w:highlight w:val="none"/>
              </w:rPr>
              <w:t>职务或技术职称</w:t>
            </w:r>
          </w:p>
        </w:tc>
        <w:tc>
          <w:tcPr>
            <w:tcW w:w="3064" w:type="dxa"/>
            <w:vAlign w:val="center"/>
          </w:tcPr>
          <w:p>
            <w:pPr>
              <w:spacing w:line="480" w:lineRule="exact"/>
              <w:jc w:val="center"/>
              <w:rPr>
                <w:rFonts w:hint="eastAsia" w:ascii="仿宋" w:hAns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6" w:type="dxa"/>
            <w:vAlign w:val="center"/>
          </w:tcPr>
          <w:p>
            <w:pPr>
              <w:spacing w:line="480" w:lineRule="exact"/>
              <w:jc w:val="center"/>
              <w:rPr>
                <w:rFonts w:hint="eastAsia" w:ascii="仿宋" w:hAnsi="仿宋" w:eastAsia="仿宋" w:cs="仿宋"/>
                <w:color w:val="auto"/>
                <w:highlight w:val="none"/>
              </w:rPr>
            </w:pPr>
            <w:r>
              <w:rPr>
                <w:rFonts w:hint="eastAsia" w:ascii="仿宋" w:hAnsi="仿宋" w:eastAsia="仿宋" w:cs="仿宋"/>
                <w:color w:val="auto"/>
                <w:highlight w:val="none"/>
              </w:rPr>
              <w:t>技术负责人</w:t>
            </w:r>
          </w:p>
        </w:tc>
        <w:tc>
          <w:tcPr>
            <w:tcW w:w="1918" w:type="dxa"/>
            <w:gridSpan w:val="2"/>
            <w:vAlign w:val="center"/>
          </w:tcPr>
          <w:p>
            <w:pPr>
              <w:spacing w:line="480" w:lineRule="exact"/>
              <w:jc w:val="center"/>
              <w:rPr>
                <w:rFonts w:hint="eastAsia" w:ascii="仿宋" w:hAnsi="仿宋" w:eastAsia="仿宋" w:cs="仿宋"/>
                <w:color w:val="auto"/>
                <w:highlight w:val="none"/>
              </w:rPr>
            </w:pPr>
          </w:p>
        </w:tc>
        <w:tc>
          <w:tcPr>
            <w:tcW w:w="2191" w:type="dxa"/>
            <w:vAlign w:val="center"/>
          </w:tcPr>
          <w:p>
            <w:pPr>
              <w:spacing w:line="480" w:lineRule="exact"/>
              <w:jc w:val="center"/>
              <w:rPr>
                <w:rFonts w:hint="eastAsia" w:ascii="仿宋" w:hAnsi="仿宋" w:eastAsia="仿宋" w:cs="仿宋"/>
                <w:color w:val="auto"/>
                <w:highlight w:val="none"/>
              </w:rPr>
            </w:pPr>
            <w:r>
              <w:rPr>
                <w:rFonts w:hint="eastAsia" w:ascii="仿宋" w:hAnsi="仿宋" w:eastAsia="仿宋" w:cs="仿宋"/>
                <w:color w:val="auto"/>
                <w:highlight w:val="none"/>
              </w:rPr>
              <w:t>技术职称</w:t>
            </w:r>
          </w:p>
        </w:tc>
        <w:tc>
          <w:tcPr>
            <w:tcW w:w="3064" w:type="dxa"/>
            <w:vAlign w:val="center"/>
          </w:tcPr>
          <w:p>
            <w:pPr>
              <w:spacing w:line="480" w:lineRule="exact"/>
              <w:jc w:val="center"/>
              <w:rPr>
                <w:rFonts w:hint="eastAsia" w:ascii="仿宋" w:hAns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6" w:type="dxa"/>
            <w:vAlign w:val="center"/>
          </w:tcPr>
          <w:p>
            <w:pPr>
              <w:spacing w:line="480" w:lineRule="exact"/>
              <w:jc w:val="center"/>
              <w:rPr>
                <w:rFonts w:hint="eastAsia" w:ascii="仿宋" w:hAnsi="仿宋" w:eastAsia="仿宋" w:cs="仿宋"/>
                <w:color w:val="auto"/>
                <w:highlight w:val="none"/>
              </w:rPr>
            </w:pPr>
            <w:r>
              <w:rPr>
                <w:rFonts w:hint="eastAsia" w:ascii="仿宋" w:hAnsi="仿宋" w:eastAsia="仿宋" w:cs="仿宋"/>
                <w:color w:val="auto"/>
                <w:highlight w:val="none"/>
              </w:rPr>
              <w:t>成立时间</w:t>
            </w:r>
          </w:p>
        </w:tc>
        <w:tc>
          <w:tcPr>
            <w:tcW w:w="7173" w:type="dxa"/>
            <w:gridSpan w:val="4"/>
            <w:vAlign w:val="center"/>
          </w:tcPr>
          <w:p>
            <w:pPr>
              <w:spacing w:line="480" w:lineRule="exact"/>
              <w:jc w:val="center"/>
              <w:rPr>
                <w:rFonts w:hint="eastAsia" w:ascii="仿宋" w:hAns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6" w:type="dxa"/>
            <w:vAlign w:val="center"/>
          </w:tcPr>
          <w:p>
            <w:pPr>
              <w:spacing w:line="480" w:lineRule="exact"/>
              <w:jc w:val="center"/>
              <w:rPr>
                <w:rFonts w:hint="eastAsia" w:ascii="仿宋" w:hAnsi="仿宋" w:eastAsia="仿宋" w:cs="仿宋"/>
                <w:color w:val="auto"/>
                <w:highlight w:val="none"/>
              </w:rPr>
            </w:pPr>
            <w:r>
              <w:rPr>
                <w:rFonts w:hint="eastAsia" w:ascii="仿宋" w:hAnsi="仿宋" w:eastAsia="仿宋" w:cs="仿宋"/>
                <w:color w:val="auto"/>
                <w:highlight w:val="none"/>
              </w:rPr>
              <w:t>企业资质等级</w:t>
            </w:r>
          </w:p>
        </w:tc>
        <w:tc>
          <w:tcPr>
            <w:tcW w:w="7173" w:type="dxa"/>
            <w:gridSpan w:val="4"/>
            <w:vAlign w:val="center"/>
          </w:tcPr>
          <w:p>
            <w:pPr>
              <w:spacing w:line="480" w:lineRule="exact"/>
              <w:jc w:val="center"/>
              <w:rPr>
                <w:rFonts w:hint="eastAsia" w:ascii="仿宋" w:hAns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6" w:type="dxa"/>
            <w:vAlign w:val="center"/>
          </w:tcPr>
          <w:p>
            <w:pPr>
              <w:spacing w:line="480" w:lineRule="exact"/>
              <w:jc w:val="center"/>
              <w:rPr>
                <w:rFonts w:hint="eastAsia" w:ascii="仿宋" w:hAnsi="仿宋" w:eastAsia="仿宋" w:cs="仿宋"/>
                <w:color w:val="auto"/>
                <w:highlight w:val="none"/>
              </w:rPr>
            </w:pPr>
            <w:r>
              <w:rPr>
                <w:rFonts w:hint="eastAsia" w:ascii="仿宋" w:hAnsi="仿宋" w:eastAsia="仿宋" w:cs="仿宋"/>
                <w:color w:val="auto"/>
                <w:highlight w:val="none"/>
              </w:rPr>
              <w:t>营业执照号</w:t>
            </w:r>
          </w:p>
        </w:tc>
        <w:tc>
          <w:tcPr>
            <w:tcW w:w="7173" w:type="dxa"/>
            <w:gridSpan w:val="4"/>
            <w:vAlign w:val="center"/>
          </w:tcPr>
          <w:p>
            <w:pPr>
              <w:spacing w:line="480" w:lineRule="exact"/>
              <w:jc w:val="center"/>
              <w:rPr>
                <w:rFonts w:hint="eastAsia" w:ascii="仿宋" w:hAns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6" w:type="dxa"/>
            <w:vAlign w:val="center"/>
          </w:tcPr>
          <w:p>
            <w:pPr>
              <w:spacing w:line="480" w:lineRule="exact"/>
              <w:jc w:val="center"/>
              <w:rPr>
                <w:rFonts w:hint="eastAsia" w:ascii="仿宋" w:hAnsi="仿宋" w:eastAsia="仿宋" w:cs="仿宋"/>
                <w:color w:val="auto"/>
                <w:highlight w:val="none"/>
              </w:rPr>
            </w:pPr>
            <w:r>
              <w:rPr>
                <w:rFonts w:hint="eastAsia" w:ascii="仿宋" w:hAnsi="仿宋" w:eastAsia="仿宋" w:cs="仿宋"/>
                <w:color w:val="auto"/>
                <w:highlight w:val="none"/>
              </w:rPr>
              <w:t>注册资金</w:t>
            </w:r>
          </w:p>
        </w:tc>
        <w:tc>
          <w:tcPr>
            <w:tcW w:w="7173" w:type="dxa"/>
            <w:gridSpan w:val="4"/>
            <w:vAlign w:val="center"/>
          </w:tcPr>
          <w:p>
            <w:pPr>
              <w:spacing w:line="480" w:lineRule="exact"/>
              <w:jc w:val="center"/>
              <w:rPr>
                <w:rFonts w:hint="eastAsia" w:ascii="仿宋" w:hAns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0" w:hRule="atLeast"/>
          <w:jc w:val="center"/>
        </w:trPr>
        <w:tc>
          <w:tcPr>
            <w:tcW w:w="2076" w:type="dxa"/>
            <w:vAlign w:val="center"/>
          </w:tcPr>
          <w:p>
            <w:pPr>
              <w:spacing w:line="480" w:lineRule="exact"/>
              <w:jc w:val="center"/>
              <w:rPr>
                <w:rFonts w:hint="eastAsia" w:ascii="仿宋" w:hAnsi="仿宋" w:eastAsia="仿宋" w:cs="仿宋"/>
                <w:color w:val="auto"/>
                <w:highlight w:val="none"/>
              </w:rPr>
            </w:pPr>
            <w:r>
              <w:rPr>
                <w:rFonts w:hint="eastAsia" w:ascii="仿宋" w:hAnsi="仿宋" w:eastAsia="仿宋" w:cs="仿宋"/>
                <w:color w:val="auto"/>
                <w:highlight w:val="none"/>
              </w:rPr>
              <w:t>经营范围</w:t>
            </w:r>
          </w:p>
        </w:tc>
        <w:tc>
          <w:tcPr>
            <w:tcW w:w="7173" w:type="dxa"/>
            <w:gridSpan w:val="4"/>
            <w:vAlign w:val="center"/>
          </w:tcPr>
          <w:p>
            <w:pPr>
              <w:spacing w:line="480" w:lineRule="exact"/>
              <w:jc w:val="center"/>
              <w:rPr>
                <w:rFonts w:hint="eastAsia" w:ascii="仿宋" w:hAns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6" w:type="dxa"/>
            <w:vAlign w:val="center"/>
          </w:tcPr>
          <w:p>
            <w:pPr>
              <w:spacing w:line="480" w:lineRule="exact"/>
              <w:jc w:val="center"/>
              <w:rPr>
                <w:rFonts w:hint="eastAsia" w:ascii="仿宋" w:hAnsi="仿宋" w:eastAsia="仿宋" w:cs="仿宋"/>
                <w:color w:val="auto"/>
                <w:highlight w:val="none"/>
              </w:rPr>
            </w:pPr>
            <w:r>
              <w:rPr>
                <w:rFonts w:hint="eastAsia" w:ascii="仿宋" w:hAnsi="仿宋" w:eastAsia="仿宋" w:cs="仿宋"/>
                <w:color w:val="auto"/>
                <w:highlight w:val="none"/>
              </w:rPr>
              <w:t>备注</w:t>
            </w:r>
          </w:p>
        </w:tc>
        <w:tc>
          <w:tcPr>
            <w:tcW w:w="7173" w:type="dxa"/>
            <w:gridSpan w:val="4"/>
            <w:vAlign w:val="center"/>
          </w:tcPr>
          <w:p>
            <w:pPr>
              <w:spacing w:line="480" w:lineRule="exact"/>
              <w:jc w:val="center"/>
              <w:rPr>
                <w:rFonts w:hint="eastAsia" w:ascii="仿宋" w:hAnsi="仿宋" w:eastAsia="仿宋" w:cs="仿宋"/>
                <w:color w:val="auto"/>
                <w:highlight w:val="none"/>
              </w:rPr>
            </w:pPr>
          </w:p>
        </w:tc>
      </w:tr>
    </w:tbl>
    <w:p>
      <w:pPr>
        <w:spacing w:line="480" w:lineRule="exact"/>
        <w:ind w:left="420" w:hanging="422" w:hangingChars="200"/>
        <w:rPr>
          <w:rFonts w:hint="eastAsia" w:ascii="仿宋" w:hAnsi="仿宋" w:eastAsia="仿宋" w:cs="仿宋"/>
          <w:b/>
          <w:color w:val="auto"/>
          <w:highlight w:val="none"/>
        </w:rPr>
      </w:pPr>
      <w:r>
        <w:rPr>
          <w:rFonts w:hint="eastAsia" w:ascii="仿宋" w:hAnsi="仿宋" w:eastAsia="仿宋" w:cs="仿宋"/>
          <w:b/>
          <w:color w:val="auto"/>
          <w:highlight w:val="none"/>
        </w:rPr>
        <w:t>注：</w:t>
      </w:r>
      <w:r>
        <w:rPr>
          <w:rFonts w:hint="eastAsia" w:ascii="仿宋" w:hAnsi="仿宋" w:eastAsia="仿宋" w:cs="仿宋"/>
          <w:color w:val="auto"/>
          <w:highlight w:val="none"/>
        </w:rPr>
        <w:t>本表后应附企业法人营业执照副等材料复印件加盖单位公章。</w:t>
      </w:r>
    </w:p>
    <w:p>
      <w:pPr>
        <w:widowControl/>
        <w:shd w:val="solid" w:color="FFFFFF" w:fill="auto"/>
        <w:autoSpaceDN w:val="0"/>
        <w:spacing w:line="400" w:lineRule="exact"/>
        <w:jc w:val="center"/>
        <w:rPr>
          <w:rFonts w:hint="eastAsia" w:ascii="仿宋" w:hAnsi="仿宋" w:eastAsia="仿宋" w:cs="仿宋"/>
          <w:b/>
          <w:color w:val="auto"/>
          <w:highlight w:val="none"/>
        </w:rPr>
      </w:pPr>
    </w:p>
    <w:p>
      <w:pPr>
        <w:widowControl/>
        <w:shd w:val="solid" w:color="FFFFFF" w:fill="auto"/>
        <w:autoSpaceDN w:val="0"/>
        <w:spacing w:line="400" w:lineRule="exact"/>
        <w:jc w:val="center"/>
        <w:rPr>
          <w:rFonts w:hint="eastAsia" w:ascii="仿宋" w:hAnsi="仿宋" w:eastAsia="仿宋" w:cs="仿宋"/>
          <w:b/>
          <w:color w:val="auto"/>
          <w:highlight w:val="none"/>
        </w:rPr>
      </w:pPr>
    </w:p>
    <w:p>
      <w:pPr>
        <w:widowControl/>
        <w:shd w:val="solid" w:color="FFFFFF" w:fill="auto"/>
        <w:autoSpaceDN w:val="0"/>
        <w:spacing w:line="400" w:lineRule="exact"/>
        <w:jc w:val="center"/>
        <w:rPr>
          <w:rFonts w:hint="eastAsia" w:ascii="宋体" w:hAnsi="宋体" w:cs="宋体"/>
          <w:b/>
          <w:color w:val="auto"/>
          <w:highlight w:val="none"/>
        </w:rPr>
      </w:pPr>
    </w:p>
    <w:p>
      <w:pPr>
        <w:widowControl/>
        <w:shd w:val="solid" w:color="FFFFFF" w:fill="auto"/>
        <w:autoSpaceDN w:val="0"/>
        <w:spacing w:line="400" w:lineRule="exact"/>
        <w:jc w:val="center"/>
        <w:rPr>
          <w:rFonts w:hint="eastAsia" w:ascii="宋体" w:hAnsi="宋体" w:cs="宋体"/>
          <w:b/>
          <w:color w:val="auto"/>
          <w:highlight w:val="none"/>
        </w:rPr>
      </w:pPr>
    </w:p>
    <w:p>
      <w:pPr>
        <w:pStyle w:val="3"/>
        <w:rPr>
          <w:rFonts w:hint="eastAsia" w:cs="宋体"/>
          <w:color w:val="auto"/>
          <w:sz w:val="21"/>
          <w:szCs w:val="21"/>
          <w:highlight w:val="none"/>
          <w:lang w:val="en-US"/>
        </w:rPr>
      </w:pPr>
    </w:p>
    <w:p>
      <w:pPr>
        <w:rPr>
          <w:rFonts w:hint="eastAsia" w:ascii="宋体" w:hAnsi="宋体" w:cs="宋体"/>
          <w:color w:val="auto"/>
          <w:szCs w:val="21"/>
          <w:highlight w:val="none"/>
        </w:rPr>
      </w:pPr>
    </w:p>
    <w:p>
      <w:pPr>
        <w:widowControl/>
        <w:shd w:val="solid" w:color="FFFFFF" w:fill="auto"/>
        <w:autoSpaceDN w:val="0"/>
        <w:spacing w:line="400" w:lineRule="exact"/>
        <w:jc w:val="center"/>
        <w:rPr>
          <w:rFonts w:hint="eastAsia" w:ascii="宋体" w:hAnsi="宋体" w:cs="宋体"/>
          <w:b/>
          <w:color w:val="auto"/>
          <w:highlight w:val="none"/>
        </w:rPr>
      </w:pPr>
    </w:p>
    <w:p>
      <w:pPr>
        <w:pStyle w:val="3"/>
        <w:rPr>
          <w:rFonts w:hint="eastAsia"/>
          <w:color w:val="auto"/>
          <w:sz w:val="21"/>
          <w:szCs w:val="21"/>
          <w:highlight w:val="none"/>
          <w:lang w:val="en-US"/>
        </w:rPr>
      </w:pPr>
    </w:p>
    <w:p>
      <w:pPr>
        <w:widowControl/>
        <w:shd w:val="solid" w:color="FFFFFF" w:fill="auto"/>
        <w:autoSpaceDN w:val="0"/>
        <w:spacing w:line="400" w:lineRule="exact"/>
        <w:jc w:val="center"/>
        <w:rPr>
          <w:rFonts w:hint="eastAsia" w:ascii="宋体" w:hAnsi="宋体" w:cs="宋体"/>
          <w:b/>
          <w:color w:val="auto"/>
          <w:highlight w:val="none"/>
        </w:rPr>
      </w:pPr>
    </w:p>
    <w:p>
      <w:pPr>
        <w:widowControl/>
        <w:shd w:val="solid" w:color="FFFFFF" w:fill="auto"/>
        <w:autoSpaceDN w:val="0"/>
        <w:spacing w:line="400" w:lineRule="exact"/>
        <w:jc w:val="center"/>
        <w:rPr>
          <w:rFonts w:hint="eastAsia" w:ascii="宋体" w:hAnsi="宋体" w:cs="宋体"/>
          <w:b/>
          <w:color w:val="auto"/>
          <w:highlight w:val="none"/>
        </w:rPr>
      </w:pPr>
    </w:p>
    <w:p>
      <w:pPr>
        <w:widowControl/>
        <w:shd w:val="solid" w:color="FFFFFF" w:fill="auto"/>
        <w:autoSpaceDN w:val="0"/>
        <w:spacing w:line="400" w:lineRule="exact"/>
        <w:jc w:val="center"/>
        <w:rPr>
          <w:rFonts w:hint="eastAsia" w:ascii="宋体" w:hAnsi="宋体" w:cs="宋体"/>
          <w:b/>
          <w:color w:val="auto"/>
          <w:highlight w:val="none"/>
        </w:rPr>
      </w:pPr>
    </w:p>
    <w:p>
      <w:pPr>
        <w:pStyle w:val="5"/>
        <w:numPr>
          <w:ilvl w:val="0"/>
          <w:numId w:val="0"/>
        </w:numPr>
        <w:spacing w:line="360" w:lineRule="auto"/>
        <w:ind w:left="600"/>
        <w:jc w:val="center"/>
        <w:rPr>
          <w:rFonts w:hint="eastAsia" w:ascii="仿宋" w:hAnsi="仿宋" w:eastAsia="仿宋" w:cs="仿宋"/>
          <w:b/>
          <w:color w:val="auto"/>
          <w:highlight w:val="none"/>
        </w:rPr>
      </w:pPr>
      <w:r>
        <w:rPr>
          <w:rFonts w:hint="eastAsia" w:ascii="仿宋" w:hAnsi="仿宋" w:eastAsia="仿宋" w:cs="仿宋"/>
          <w:b/>
          <w:color w:val="auto"/>
          <w:highlight w:val="none"/>
        </w:rPr>
        <w:t>七、</w:t>
      </w:r>
      <w:bookmarkEnd w:id="290"/>
      <w:bookmarkEnd w:id="291"/>
      <w:bookmarkEnd w:id="292"/>
      <w:r>
        <w:rPr>
          <w:rFonts w:hint="eastAsia" w:ascii="仿宋" w:hAnsi="仿宋" w:eastAsia="仿宋" w:cs="仿宋"/>
          <w:b/>
          <w:color w:val="auto"/>
          <w:highlight w:val="none"/>
        </w:rPr>
        <w:t>项目管理机构</w:t>
      </w:r>
    </w:p>
    <w:p>
      <w:pPr>
        <w:autoSpaceDE w:val="0"/>
        <w:autoSpaceDN w:val="0"/>
        <w:adjustRightInd w:val="0"/>
        <w:spacing w:line="360" w:lineRule="auto"/>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（一）项目管理机构组成表</w:t>
      </w:r>
    </w:p>
    <w:tbl>
      <w:tblPr>
        <w:tblStyle w:val="3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2"/>
        <w:gridCol w:w="1032"/>
        <w:gridCol w:w="1032"/>
        <w:gridCol w:w="1520"/>
        <w:gridCol w:w="1134"/>
        <w:gridCol w:w="1134"/>
        <w:gridCol w:w="1134"/>
        <w:gridCol w:w="1181"/>
        <w:gridCol w:w="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032" w:type="dxa"/>
            <w:vMerge w:val="restart"/>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职务</w:t>
            </w:r>
          </w:p>
        </w:tc>
        <w:tc>
          <w:tcPr>
            <w:tcW w:w="1032" w:type="dxa"/>
            <w:vMerge w:val="restart"/>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姓名</w:t>
            </w:r>
          </w:p>
        </w:tc>
        <w:tc>
          <w:tcPr>
            <w:tcW w:w="1032" w:type="dxa"/>
            <w:vMerge w:val="restart"/>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职称</w:t>
            </w:r>
          </w:p>
        </w:tc>
        <w:tc>
          <w:tcPr>
            <w:tcW w:w="4922" w:type="dxa"/>
            <w:gridSpan w:val="4"/>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执业或职业资格证明</w:t>
            </w:r>
          </w:p>
        </w:tc>
        <w:tc>
          <w:tcPr>
            <w:tcW w:w="1189" w:type="dxa"/>
            <w:gridSpan w:val="2"/>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581" w:hRule="atLeast"/>
          <w:jc w:val="center"/>
        </w:trPr>
        <w:tc>
          <w:tcPr>
            <w:tcW w:w="1032" w:type="dxa"/>
            <w:vMerge w:val="continue"/>
            <w:vAlign w:val="center"/>
          </w:tcPr>
          <w:p>
            <w:pPr>
              <w:jc w:val="center"/>
              <w:rPr>
                <w:rFonts w:hint="eastAsia" w:ascii="仿宋" w:hAnsi="仿宋" w:eastAsia="仿宋" w:cs="仿宋"/>
                <w:color w:val="auto"/>
                <w:sz w:val="24"/>
                <w:highlight w:val="none"/>
              </w:rPr>
            </w:pPr>
          </w:p>
        </w:tc>
        <w:tc>
          <w:tcPr>
            <w:tcW w:w="1032" w:type="dxa"/>
            <w:vMerge w:val="continue"/>
          </w:tcPr>
          <w:p>
            <w:pPr>
              <w:jc w:val="center"/>
              <w:rPr>
                <w:rFonts w:hint="eastAsia" w:ascii="仿宋" w:hAnsi="仿宋" w:eastAsia="仿宋" w:cs="仿宋"/>
                <w:color w:val="auto"/>
                <w:sz w:val="24"/>
                <w:highlight w:val="none"/>
              </w:rPr>
            </w:pPr>
          </w:p>
        </w:tc>
        <w:tc>
          <w:tcPr>
            <w:tcW w:w="1032" w:type="dxa"/>
            <w:vMerge w:val="continue"/>
            <w:vAlign w:val="center"/>
          </w:tcPr>
          <w:p>
            <w:pPr>
              <w:jc w:val="center"/>
              <w:rPr>
                <w:rFonts w:hint="eastAsia" w:ascii="仿宋" w:hAnsi="仿宋" w:eastAsia="仿宋" w:cs="仿宋"/>
                <w:color w:val="auto"/>
                <w:sz w:val="24"/>
                <w:highlight w:val="none"/>
              </w:rPr>
            </w:pPr>
          </w:p>
        </w:tc>
        <w:tc>
          <w:tcPr>
            <w:tcW w:w="1520" w:type="dxa"/>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证书名称</w:t>
            </w:r>
          </w:p>
        </w:tc>
        <w:tc>
          <w:tcPr>
            <w:tcW w:w="1134" w:type="dxa"/>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级别</w:t>
            </w:r>
          </w:p>
        </w:tc>
        <w:tc>
          <w:tcPr>
            <w:tcW w:w="1134" w:type="dxa"/>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证号</w:t>
            </w:r>
          </w:p>
        </w:tc>
        <w:tc>
          <w:tcPr>
            <w:tcW w:w="1134" w:type="dxa"/>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专业</w:t>
            </w:r>
          </w:p>
        </w:tc>
        <w:tc>
          <w:tcPr>
            <w:tcW w:w="1181" w:type="dxa"/>
          </w:tcPr>
          <w:p>
            <w:pPr>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581" w:hRule="atLeast"/>
          <w:jc w:val="center"/>
        </w:trPr>
        <w:tc>
          <w:tcPr>
            <w:tcW w:w="1032" w:type="dxa"/>
            <w:vAlign w:val="center"/>
          </w:tcPr>
          <w:p>
            <w:pPr>
              <w:jc w:val="center"/>
              <w:rPr>
                <w:rFonts w:hint="eastAsia" w:ascii="仿宋" w:hAnsi="仿宋" w:eastAsia="仿宋" w:cs="仿宋"/>
                <w:color w:val="auto"/>
                <w:sz w:val="24"/>
                <w:highlight w:val="none"/>
              </w:rPr>
            </w:pPr>
          </w:p>
        </w:tc>
        <w:tc>
          <w:tcPr>
            <w:tcW w:w="1032" w:type="dxa"/>
            <w:vAlign w:val="center"/>
          </w:tcPr>
          <w:p>
            <w:pPr>
              <w:jc w:val="center"/>
              <w:rPr>
                <w:rFonts w:hint="eastAsia" w:ascii="仿宋" w:hAnsi="仿宋" w:eastAsia="仿宋" w:cs="仿宋"/>
                <w:color w:val="auto"/>
                <w:sz w:val="24"/>
                <w:highlight w:val="none"/>
              </w:rPr>
            </w:pPr>
          </w:p>
        </w:tc>
        <w:tc>
          <w:tcPr>
            <w:tcW w:w="1032" w:type="dxa"/>
            <w:vAlign w:val="center"/>
          </w:tcPr>
          <w:p>
            <w:pPr>
              <w:jc w:val="center"/>
              <w:rPr>
                <w:rFonts w:hint="eastAsia" w:ascii="仿宋" w:hAnsi="仿宋" w:eastAsia="仿宋" w:cs="仿宋"/>
                <w:color w:val="auto"/>
                <w:sz w:val="24"/>
                <w:highlight w:val="none"/>
              </w:rPr>
            </w:pPr>
          </w:p>
        </w:tc>
        <w:tc>
          <w:tcPr>
            <w:tcW w:w="1520" w:type="dxa"/>
            <w:vAlign w:val="center"/>
          </w:tcPr>
          <w:p>
            <w:pPr>
              <w:jc w:val="center"/>
              <w:rPr>
                <w:rFonts w:hint="eastAsia" w:ascii="仿宋" w:hAnsi="仿宋" w:eastAsia="仿宋" w:cs="仿宋"/>
                <w:color w:val="auto"/>
                <w:sz w:val="24"/>
                <w:highlight w:val="none"/>
              </w:rPr>
            </w:pPr>
          </w:p>
        </w:tc>
        <w:tc>
          <w:tcPr>
            <w:tcW w:w="1134" w:type="dxa"/>
            <w:vAlign w:val="center"/>
          </w:tcPr>
          <w:p>
            <w:pPr>
              <w:jc w:val="center"/>
              <w:rPr>
                <w:rFonts w:hint="eastAsia" w:ascii="仿宋" w:hAnsi="仿宋" w:eastAsia="仿宋" w:cs="仿宋"/>
                <w:color w:val="auto"/>
                <w:sz w:val="24"/>
                <w:highlight w:val="none"/>
              </w:rPr>
            </w:pPr>
          </w:p>
        </w:tc>
        <w:tc>
          <w:tcPr>
            <w:tcW w:w="1134" w:type="dxa"/>
            <w:vAlign w:val="center"/>
          </w:tcPr>
          <w:p>
            <w:pPr>
              <w:jc w:val="center"/>
              <w:rPr>
                <w:rFonts w:hint="eastAsia" w:ascii="仿宋" w:hAnsi="仿宋" w:eastAsia="仿宋" w:cs="仿宋"/>
                <w:color w:val="auto"/>
                <w:sz w:val="24"/>
                <w:highlight w:val="none"/>
              </w:rPr>
            </w:pPr>
          </w:p>
        </w:tc>
        <w:tc>
          <w:tcPr>
            <w:tcW w:w="1134" w:type="dxa"/>
            <w:vAlign w:val="center"/>
          </w:tcPr>
          <w:p>
            <w:pPr>
              <w:jc w:val="center"/>
              <w:rPr>
                <w:rFonts w:hint="eastAsia" w:ascii="仿宋" w:hAnsi="仿宋" w:eastAsia="仿宋" w:cs="仿宋"/>
                <w:color w:val="auto"/>
                <w:sz w:val="24"/>
                <w:highlight w:val="none"/>
              </w:rPr>
            </w:pPr>
          </w:p>
        </w:tc>
        <w:tc>
          <w:tcPr>
            <w:tcW w:w="1181" w:type="dxa"/>
            <w:vAlign w:val="center"/>
          </w:tcPr>
          <w:p>
            <w:pPr>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581" w:hRule="atLeast"/>
          <w:jc w:val="center"/>
        </w:trPr>
        <w:tc>
          <w:tcPr>
            <w:tcW w:w="1032" w:type="dxa"/>
            <w:vAlign w:val="center"/>
          </w:tcPr>
          <w:p>
            <w:pPr>
              <w:jc w:val="center"/>
              <w:rPr>
                <w:rFonts w:hint="eastAsia" w:ascii="仿宋" w:hAnsi="仿宋" w:eastAsia="仿宋" w:cs="仿宋"/>
                <w:color w:val="auto"/>
                <w:sz w:val="24"/>
                <w:highlight w:val="none"/>
              </w:rPr>
            </w:pPr>
          </w:p>
        </w:tc>
        <w:tc>
          <w:tcPr>
            <w:tcW w:w="1032" w:type="dxa"/>
            <w:vAlign w:val="center"/>
          </w:tcPr>
          <w:p>
            <w:pPr>
              <w:jc w:val="center"/>
              <w:rPr>
                <w:rFonts w:hint="eastAsia" w:ascii="仿宋" w:hAnsi="仿宋" w:eastAsia="仿宋" w:cs="仿宋"/>
                <w:color w:val="auto"/>
                <w:sz w:val="24"/>
                <w:highlight w:val="none"/>
              </w:rPr>
            </w:pPr>
          </w:p>
        </w:tc>
        <w:tc>
          <w:tcPr>
            <w:tcW w:w="1032" w:type="dxa"/>
            <w:vAlign w:val="center"/>
          </w:tcPr>
          <w:p>
            <w:pPr>
              <w:jc w:val="center"/>
              <w:rPr>
                <w:rFonts w:hint="eastAsia" w:ascii="仿宋" w:hAnsi="仿宋" w:eastAsia="仿宋" w:cs="仿宋"/>
                <w:color w:val="auto"/>
                <w:sz w:val="24"/>
                <w:highlight w:val="none"/>
              </w:rPr>
            </w:pPr>
          </w:p>
        </w:tc>
        <w:tc>
          <w:tcPr>
            <w:tcW w:w="1520" w:type="dxa"/>
            <w:vAlign w:val="center"/>
          </w:tcPr>
          <w:p>
            <w:pPr>
              <w:jc w:val="center"/>
              <w:rPr>
                <w:rFonts w:hint="eastAsia" w:ascii="仿宋" w:hAnsi="仿宋" w:eastAsia="仿宋" w:cs="仿宋"/>
                <w:color w:val="auto"/>
                <w:sz w:val="24"/>
                <w:highlight w:val="none"/>
              </w:rPr>
            </w:pPr>
          </w:p>
        </w:tc>
        <w:tc>
          <w:tcPr>
            <w:tcW w:w="1134" w:type="dxa"/>
            <w:vAlign w:val="center"/>
          </w:tcPr>
          <w:p>
            <w:pPr>
              <w:jc w:val="center"/>
              <w:rPr>
                <w:rFonts w:hint="eastAsia" w:ascii="仿宋" w:hAnsi="仿宋" w:eastAsia="仿宋" w:cs="仿宋"/>
                <w:color w:val="auto"/>
                <w:sz w:val="24"/>
                <w:highlight w:val="none"/>
              </w:rPr>
            </w:pPr>
          </w:p>
        </w:tc>
        <w:tc>
          <w:tcPr>
            <w:tcW w:w="1134" w:type="dxa"/>
            <w:vAlign w:val="center"/>
          </w:tcPr>
          <w:p>
            <w:pPr>
              <w:jc w:val="center"/>
              <w:rPr>
                <w:rFonts w:hint="eastAsia" w:ascii="仿宋" w:hAnsi="仿宋" w:eastAsia="仿宋" w:cs="仿宋"/>
                <w:color w:val="auto"/>
                <w:sz w:val="24"/>
                <w:highlight w:val="none"/>
              </w:rPr>
            </w:pPr>
          </w:p>
        </w:tc>
        <w:tc>
          <w:tcPr>
            <w:tcW w:w="1134" w:type="dxa"/>
            <w:vAlign w:val="center"/>
          </w:tcPr>
          <w:p>
            <w:pPr>
              <w:jc w:val="center"/>
              <w:rPr>
                <w:rFonts w:hint="eastAsia" w:ascii="仿宋" w:hAnsi="仿宋" w:eastAsia="仿宋" w:cs="仿宋"/>
                <w:color w:val="auto"/>
                <w:sz w:val="24"/>
                <w:highlight w:val="none"/>
              </w:rPr>
            </w:pPr>
          </w:p>
        </w:tc>
        <w:tc>
          <w:tcPr>
            <w:tcW w:w="1181" w:type="dxa"/>
            <w:vAlign w:val="center"/>
          </w:tcPr>
          <w:p>
            <w:pPr>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610" w:hRule="atLeast"/>
          <w:jc w:val="center"/>
        </w:trPr>
        <w:tc>
          <w:tcPr>
            <w:tcW w:w="1032" w:type="dxa"/>
            <w:vAlign w:val="center"/>
          </w:tcPr>
          <w:p>
            <w:pPr>
              <w:jc w:val="center"/>
              <w:rPr>
                <w:rFonts w:hint="eastAsia" w:ascii="仿宋" w:hAnsi="仿宋" w:eastAsia="仿宋" w:cs="仿宋"/>
                <w:color w:val="auto"/>
                <w:sz w:val="24"/>
                <w:highlight w:val="none"/>
              </w:rPr>
            </w:pPr>
          </w:p>
        </w:tc>
        <w:tc>
          <w:tcPr>
            <w:tcW w:w="1032" w:type="dxa"/>
            <w:vAlign w:val="center"/>
          </w:tcPr>
          <w:p>
            <w:pPr>
              <w:jc w:val="center"/>
              <w:rPr>
                <w:rFonts w:hint="eastAsia" w:ascii="仿宋" w:hAnsi="仿宋" w:eastAsia="仿宋" w:cs="仿宋"/>
                <w:color w:val="auto"/>
                <w:sz w:val="24"/>
                <w:highlight w:val="none"/>
              </w:rPr>
            </w:pPr>
          </w:p>
        </w:tc>
        <w:tc>
          <w:tcPr>
            <w:tcW w:w="1032" w:type="dxa"/>
            <w:vAlign w:val="center"/>
          </w:tcPr>
          <w:p>
            <w:pPr>
              <w:jc w:val="center"/>
              <w:rPr>
                <w:rFonts w:hint="eastAsia" w:ascii="仿宋" w:hAnsi="仿宋" w:eastAsia="仿宋" w:cs="仿宋"/>
                <w:color w:val="auto"/>
                <w:sz w:val="24"/>
                <w:highlight w:val="none"/>
              </w:rPr>
            </w:pPr>
          </w:p>
        </w:tc>
        <w:tc>
          <w:tcPr>
            <w:tcW w:w="1520" w:type="dxa"/>
            <w:vAlign w:val="center"/>
          </w:tcPr>
          <w:p>
            <w:pPr>
              <w:jc w:val="center"/>
              <w:rPr>
                <w:rFonts w:hint="eastAsia" w:ascii="仿宋" w:hAnsi="仿宋" w:eastAsia="仿宋" w:cs="仿宋"/>
                <w:color w:val="auto"/>
                <w:sz w:val="24"/>
                <w:highlight w:val="none"/>
              </w:rPr>
            </w:pPr>
          </w:p>
        </w:tc>
        <w:tc>
          <w:tcPr>
            <w:tcW w:w="1134" w:type="dxa"/>
            <w:vAlign w:val="center"/>
          </w:tcPr>
          <w:p>
            <w:pPr>
              <w:jc w:val="center"/>
              <w:rPr>
                <w:rFonts w:hint="eastAsia" w:ascii="仿宋" w:hAnsi="仿宋" w:eastAsia="仿宋" w:cs="仿宋"/>
                <w:color w:val="auto"/>
                <w:sz w:val="24"/>
                <w:highlight w:val="none"/>
              </w:rPr>
            </w:pPr>
          </w:p>
        </w:tc>
        <w:tc>
          <w:tcPr>
            <w:tcW w:w="1134" w:type="dxa"/>
            <w:vAlign w:val="center"/>
          </w:tcPr>
          <w:p>
            <w:pPr>
              <w:jc w:val="center"/>
              <w:rPr>
                <w:rFonts w:hint="eastAsia" w:ascii="仿宋" w:hAnsi="仿宋" w:eastAsia="仿宋" w:cs="仿宋"/>
                <w:color w:val="auto"/>
                <w:sz w:val="24"/>
                <w:highlight w:val="none"/>
              </w:rPr>
            </w:pPr>
          </w:p>
        </w:tc>
        <w:tc>
          <w:tcPr>
            <w:tcW w:w="1134" w:type="dxa"/>
            <w:vAlign w:val="center"/>
          </w:tcPr>
          <w:p>
            <w:pPr>
              <w:jc w:val="center"/>
              <w:rPr>
                <w:rFonts w:hint="eastAsia" w:ascii="仿宋" w:hAnsi="仿宋" w:eastAsia="仿宋" w:cs="仿宋"/>
                <w:color w:val="auto"/>
                <w:sz w:val="24"/>
                <w:highlight w:val="none"/>
              </w:rPr>
            </w:pPr>
          </w:p>
        </w:tc>
        <w:tc>
          <w:tcPr>
            <w:tcW w:w="1181" w:type="dxa"/>
            <w:vAlign w:val="center"/>
          </w:tcPr>
          <w:p>
            <w:pPr>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581" w:hRule="atLeast"/>
          <w:jc w:val="center"/>
        </w:trPr>
        <w:tc>
          <w:tcPr>
            <w:tcW w:w="1032" w:type="dxa"/>
            <w:vAlign w:val="center"/>
          </w:tcPr>
          <w:p>
            <w:pPr>
              <w:jc w:val="center"/>
              <w:rPr>
                <w:rFonts w:hint="eastAsia" w:ascii="仿宋" w:hAnsi="仿宋" w:eastAsia="仿宋" w:cs="仿宋"/>
                <w:color w:val="auto"/>
                <w:sz w:val="24"/>
                <w:highlight w:val="none"/>
              </w:rPr>
            </w:pPr>
          </w:p>
        </w:tc>
        <w:tc>
          <w:tcPr>
            <w:tcW w:w="1032" w:type="dxa"/>
            <w:vAlign w:val="center"/>
          </w:tcPr>
          <w:p>
            <w:pPr>
              <w:jc w:val="center"/>
              <w:rPr>
                <w:rFonts w:hint="eastAsia" w:ascii="仿宋" w:hAnsi="仿宋" w:eastAsia="仿宋" w:cs="仿宋"/>
                <w:color w:val="auto"/>
                <w:sz w:val="24"/>
                <w:highlight w:val="none"/>
              </w:rPr>
            </w:pPr>
          </w:p>
        </w:tc>
        <w:tc>
          <w:tcPr>
            <w:tcW w:w="1032" w:type="dxa"/>
            <w:vAlign w:val="center"/>
          </w:tcPr>
          <w:p>
            <w:pPr>
              <w:jc w:val="center"/>
              <w:rPr>
                <w:rFonts w:hint="eastAsia" w:ascii="仿宋" w:hAnsi="仿宋" w:eastAsia="仿宋" w:cs="仿宋"/>
                <w:color w:val="auto"/>
                <w:sz w:val="24"/>
                <w:highlight w:val="none"/>
              </w:rPr>
            </w:pPr>
          </w:p>
        </w:tc>
        <w:tc>
          <w:tcPr>
            <w:tcW w:w="1520" w:type="dxa"/>
            <w:vAlign w:val="center"/>
          </w:tcPr>
          <w:p>
            <w:pPr>
              <w:jc w:val="center"/>
              <w:rPr>
                <w:rFonts w:hint="eastAsia" w:ascii="仿宋" w:hAnsi="仿宋" w:eastAsia="仿宋" w:cs="仿宋"/>
                <w:color w:val="auto"/>
                <w:sz w:val="24"/>
                <w:highlight w:val="none"/>
              </w:rPr>
            </w:pPr>
          </w:p>
        </w:tc>
        <w:tc>
          <w:tcPr>
            <w:tcW w:w="1134" w:type="dxa"/>
            <w:vAlign w:val="center"/>
          </w:tcPr>
          <w:p>
            <w:pPr>
              <w:jc w:val="center"/>
              <w:rPr>
                <w:rFonts w:hint="eastAsia" w:ascii="仿宋" w:hAnsi="仿宋" w:eastAsia="仿宋" w:cs="仿宋"/>
                <w:color w:val="auto"/>
                <w:sz w:val="24"/>
                <w:highlight w:val="none"/>
              </w:rPr>
            </w:pPr>
          </w:p>
        </w:tc>
        <w:tc>
          <w:tcPr>
            <w:tcW w:w="1134" w:type="dxa"/>
            <w:vAlign w:val="center"/>
          </w:tcPr>
          <w:p>
            <w:pPr>
              <w:jc w:val="center"/>
              <w:rPr>
                <w:rFonts w:hint="eastAsia" w:ascii="仿宋" w:hAnsi="仿宋" w:eastAsia="仿宋" w:cs="仿宋"/>
                <w:color w:val="auto"/>
                <w:sz w:val="24"/>
                <w:highlight w:val="none"/>
              </w:rPr>
            </w:pPr>
          </w:p>
        </w:tc>
        <w:tc>
          <w:tcPr>
            <w:tcW w:w="1134" w:type="dxa"/>
            <w:vAlign w:val="center"/>
          </w:tcPr>
          <w:p>
            <w:pPr>
              <w:jc w:val="center"/>
              <w:rPr>
                <w:rFonts w:hint="eastAsia" w:ascii="仿宋" w:hAnsi="仿宋" w:eastAsia="仿宋" w:cs="仿宋"/>
                <w:color w:val="auto"/>
                <w:sz w:val="24"/>
                <w:highlight w:val="none"/>
              </w:rPr>
            </w:pPr>
          </w:p>
        </w:tc>
        <w:tc>
          <w:tcPr>
            <w:tcW w:w="1181" w:type="dxa"/>
            <w:vAlign w:val="center"/>
          </w:tcPr>
          <w:p>
            <w:pPr>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610" w:hRule="atLeast"/>
          <w:jc w:val="center"/>
        </w:trPr>
        <w:tc>
          <w:tcPr>
            <w:tcW w:w="1032" w:type="dxa"/>
            <w:vAlign w:val="center"/>
          </w:tcPr>
          <w:p>
            <w:pPr>
              <w:jc w:val="center"/>
              <w:rPr>
                <w:rFonts w:hint="eastAsia" w:ascii="仿宋" w:hAnsi="仿宋" w:eastAsia="仿宋" w:cs="仿宋"/>
                <w:color w:val="auto"/>
                <w:sz w:val="24"/>
                <w:highlight w:val="none"/>
              </w:rPr>
            </w:pPr>
          </w:p>
        </w:tc>
        <w:tc>
          <w:tcPr>
            <w:tcW w:w="1032" w:type="dxa"/>
            <w:vAlign w:val="center"/>
          </w:tcPr>
          <w:p>
            <w:pPr>
              <w:jc w:val="center"/>
              <w:rPr>
                <w:rFonts w:hint="eastAsia" w:ascii="仿宋" w:hAnsi="仿宋" w:eastAsia="仿宋" w:cs="仿宋"/>
                <w:color w:val="auto"/>
                <w:sz w:val="24"/>
                <w:highlight w:val="none"/>
              </w:rPr>
            </w:pPr>
          </w:p>
        </w:tc>
        <w:tc>
          <w:tcPr>
            <w:tcW w:w="1032" w:type="dxa"/>
            <w:vAlign w:val="center"/>
          </w:tcPr>
          <w:p>
            <w:pPr>
              <w:jc w:val="center"/>
              <w:rPr>
                <w:rFonts w:hint="eastAsia" w:ascii="仿宋" w:hAnsi="仿宋" w:eastAsia="仿宋" w:cs="仿宋"/>
                <w:color w:val="auto"/>
                <w:sz w:val="24"/>
                <w:highlight w:val="none"/>
              </w:rPr>
            </w:pPr>
          </w:p>
        </w:tc>
        <w:tc>
          <w:tcPr>
            <w:tcW w:w="1520" w:type="dxa"/>
            <w:vAlign w:val="center"/>
          </w:tcPr>
          <w:p>
            <w:pPr>
              <w:jc w:val="center"/>
              <w:rPr>
                <w:rFonts w:hint="eastAsia" w:ascii="仿宋" w:hAnsi="仿宋" w:eastAsia="仿宋" w:cs="仿宋"/>
                <w:color w:val="auto"/>
                <w:sz w:val="24"/>
                <w:highlight w:val="none"/>
              </w:rPr>
            </w:pPr>
          </w:p>
        </w:tc>
        <w:tc>
          <w:tcPr>
            <w:tcW w:w="1134" w:type="dxa"/>
            <w:vAlign w:val="center"/>
          </w:tcPr>
          <w:p>
            <w:pPr>
              <w:jc w:val="center"/>
              <w:rPr>
                <w:rFonts w:hint="eastAsia" w:ascii="仿宋" w:hAnsi="仿宋" w:eastAsia="仿宋" w:cs="仿宋"/>
                <w:color w:val="auto"/>
                <w:sz w:val="24"/>
                <w:highlight w:val="none"/>
              </w:rPr>
            </w:pPr>
          </w:p>
        </w:tc>
        <w:tc>
          <w:tcPr>
            <w:tcW w:w="1134" w:type="dxa"/>
            <w:vAlign w:val="center"/>
          </w:tcPr>
          <w:p>
            <w:pPr>
              <w:jc w:val="center"/>
              <w:rPr>
                <w:rFonts w:hint="eastAsia" w:ascii="仿宋" w:hAnsi="仿宋" w:eastAsia="仿宋" w:cs="仿宋"/>
                <w:color w:val="auto"/>
                <w:sz w:val="24"/>
                <w:highlight w:val="none"/>
              </w:rPr>
            </w:pPr>
          </w:p>
        </w:tc>
        <w:tc>
          <w:tcPr>
            <w:tcW w:w="1134" w:type="dxa"/>
            <w:vAlign w:val="center"/>
          </w:tcPr>
          <w:p>
            <w:pPr>
              <w:jc w:val="center"/>
              <w:rPr>
                <w:rFonts w:hint="eastAsia" w:ascii="仿宋" w:hAnsi="仿宋" w:eastAsia="仿宋" w:cs="仿宋"/>
                <w:color w:val="auto"/>
                <w:sz w:val="24"/>
                <w:highlight w:val="none"/>
              </w:rPr>
            </w:pPr>
          </w:p>
        </w:tc>
        <w:tc>
          <w:tcPr>
            <w:tcW w:w="1181" w:type="dxa"/>
            <w:vAlign w:val="center"/>
          </w:tcPr>
          <w:p>
            <w:pPr>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581" w:hRule="atLeast"/>
          <w:jc w:val="center"/>
        </w:trPr>
        <w:tc>
          <w:tcPr>
            <w:tcW w:w="1032" w:type="dxa"/>
            <w:vAlign w:val="center"/>
          </w:tcPr>
          <w:p>
            <w:pPr>
              <w:jc w:val="center"/>
              <w:rPr>
                <w:rFonts w:hint="eastAsia" w:ascii="仿宋" w:hAnsi="仿宋" w:eastAsia="仿宋" w:cs="仿宋"/>
                <w:color w:val="auto"/>
                <w:sz w:val="24"/>
                <w:highlight w:val="none"/>
              </w:rPr>
            </w:pPr>
          </w:p>
        </w:tc>
        <w:tc>
          <w:tcPr>
            <w:tcW w:w="1032" w:type="dxa"/>
            <w:vAlign w:val="center"/>
          </w:tcPr>
          <w:p>
            <w:pPr>
              <w:jc w:val="center"/>
              <w:rPr>
                <w:rFonts w:hint="eastAsia" w:ascii="仿宋" w:hAnsi="仿宋" w:eastAsia="仿宋" w:cs="仿宋"/>
                <w:color w:val="auto"/>
                <w:sz w:val="24"/>
                <w:highlight w:val="none"/>
              </w:rPr>
            </w:pPr>
          </w:p>
        </w:tc>
        <w:tc>
          <w:tcPr>
            <w:tcW w:w="1032" w:type="dxa"/>
            <w:vAlign w:val="center"/>
          </w:tcPr>
          <w:p>
            <w:pPr>
              <w:jc w:val="center"/>
              <w:rPr>
                <w:rFonts w:hint="eastAsia" w:ascii="仿宋" w:hAnsi="仿宋" w:eastAsia="仿宋" w:cs="仿宋"/>
                <w:color w:val="auto"/>
                <w:sz w:val="24"/>
                <w:highlight w:val="none"/>
              </w:rPr>
            </w:pPr>
          </w:p>
        </w:tc>
        <w:tc>
          <w:tcPr>
            <w:tcW w:w="1520" w:type="dxa"/>
            <w:vAlign w:val="center"/>
          </w:tcPr>
          <w:p>
            <w:pPr>
              <w:jc w:val="center"/>
              <w:rPr>
                <w:rFonts w:hint="eastAsia" w:ascii="仿宋" w:hAnsi="仿宋" w:eastAsia="仿宋" w:cs="仿宋"/>
                <w:color w:val="auto"/>
                <w:sz w:val="24"/>
                <w:highlight w:val="none"/>
              </w:rPr>
            </w:pPr>
          </w:p>
        </w:tc>
        <w:tc>
          <w:tcPr>
            <w:tcW w:w="1134" w:type="dxa"/>
            <w:vAlign w:val="center"/>
          </w:tcPr>
          <w:p>
            <w:pPr>
              <w:jc w:val="center"/>
              <w:rPr>
                <w:rFonts w:hint="eastAsia" w:ascii="仿宋" w:hAnsi="仿宋" w:eastAsia="仿宋" w:cs="仿宋"/>
                <w:color w:val="auto"/>
                <w:sz w:val="24"/>
                <w:highlight w:val="none"/>
              </w:rPr>
            </w:pPr>
          </w:p>
        </w:tc>
        <w:tc>
          <w:tcPr>
            <w:tcW w:w="1134" w:type="dxa"/>
            <w:vAlign w:val="center"/>
          </w:tcPr>
          <w:p>
            <w:pPr>
              <w:jc w:val="center"/>
              <w:rPr>
                <w:rFonts w:hint="eastAsia" w:ascii="仿宋" w:hAnsi="仿宋" w:eastAsia="仿宋" w:cs="仿宋"/>
                <w:color w:val="auto"/>
                <w:sz w:val="24"/>
                <w:highlight w:val="none"/>
              </w:rPr>
            </w:pPr>
          </w:p>
        </w:tc>
        <w:tc>
          <w:tcPr>
            <w:tcW w:w="1134" w:type="dxa"/>
            <w:vAlign w:val="center"/>
          </w:tcPr>
          <w:p>
            <w:pPr>
              <w:jc w:val="center"/>
              <w:rPr>
                <w:rFonts w:hint="eastAsia" w:ascii="仿宋" w:hAnsi="仿宋" w:eastAsia="仿宋" w:cs="仿宋"/>
                <w:color w:val="auto"/>
                <w:sz w:val="24"/>
                <w:highlight w:val="none"/>
              </w:rPr>
            </w:pPr>
          </w:p>
        </w:tc>
        <w:tc>
          <w:tcPr>
            <w:tcW w:w="1181" w:type="dxa"/>
            <w:vAlign w:val="center"/>
          </w:tcPr>
          <w:p>
            <w:pPr>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610" w:hRule="atLeast"/>
          <w:jc w:val="center"/>
        </w:trPr>
        <w:tc>
          <w:tcPr>
            <w:tcW w:w="1032" w:type="dxa"/>
            <w:vAlign w:val="center"/>
          </w:tcPr>
          <w:p>
            <w:pPr>
              <w:jc w:val="center"/>
              <w:rPr>
                <w:rFonts w:hint="eastAsia" w:ascii="仿宋" w:hAnsi="仿宋" w:eastAsia="仿宋" w:cs="仿宋"/>
                <w:color w:val="auto"/>
                <w:sz w:val="24"/>
                <w:highlight w:val="none"/>
              </w:rPr>
            </w:pPr>
          </w:p>
        </w:tc>
        <w:tc>
          <w:tcPr>
            <w:tcW w:w="1032" w:type="dxa"/>
            <w:vAlign w:val="center"/>
          </w:tcPr>
          <w:p>
            <w:pPr>
              <w:jc w:val="center"/>
              <w:rPr>
                <w:rFonts w:hint="eastAsia" w:ascii="仿宋" w:hAnsi="仿宋" w:eastAsia="仿宋" w:cs="仿宋"/>
                <w:color w:val="auto"/>
                <w:sz w:val="24"/>
                <w:highlight w:val="none"/>
              </w:rPr>
            </w:pPr>
          </w:p>
        </w:tc>
        <w:tc>
          <w:tcPr>
            <w:tcW w:w="1032" w:type="dxa"/>
            <w:vAlign w:val="center"/>
          </w:tcPr>
          <w:p>
            <w:pPr>
              <w:jc w:val="center"/>
              <w:rPr>
                <w:rFonts w:hint="eastAsia" w:ascii="仿宋" w:hAnsi="仿宋" w:eastAsia="仿宋" w:cs="仿宋"/>
                <w:color w:val="auto"/>
                <w:sz w:val="24"/>
                <w:highlight w:val="none"/>
              </w:rPr>
            </w:pPr>
          </w:p>
        </w:tc>
        <w:tc>
          <w:tcPr>
            <w:tcW w:w="1520" w:type="dxa"/>
            <w:vAlign w:val="center"/>
          </w:tcPr>
          <w:p>
            <w:pPr>
              <w:jc w:val="center"/>
              <w:rPr>
                <w:rFonts w:hint="eastAsia" w:ascii="仿宋" w:hAnsi="仿宋" w:eastAsia="仿宋" w:cs="仿宋"/>
                <w:color w:val="auto"/>
                <w:sz w:val="24"/>
                <w:highlight w:val="none"/>
              </w:rPr>
            </w:pPr>
          </w:p>
        </w:tc>
        <w:tc>
          <w:tcPr>
            <w:tcW w:w="1134" w:type="dxa"/>
            <w:vAlign w:val="center"/>
          </w:tcPr>
          <w:p>
            <w:pPr>
              <w:jc w:val="center"/>
              <w:rPr>
                <w:rFonts w:hint="eastAsia" w:ascii="仿宋" w:hAnsi="仿宋" w:eastAsia="仿宋" w:cs="仿宋"/>
                <w:color w:val="auto"/>
                <w:sz w:val="24"/>
                <w:highlight w:val="none"/>
              </w:rPr>
            </w:pPr>
          </w:p>
        </w:tc>
        <w:tc>
          <w:tcPr>
            <w:tcW w:w="1134" w:type="dxa"/>
            <w:vAlign w:val="center"/>
          </w:tcPr>
          <w:p>
            <w:pPr>
              <w:jc w:val="center"/>
              <w:rPr>
                <w:rFonts w:hint="eastAsia" w:ascii="仿宋" w:hAnsi="仿宋" w:eastAsia="仿宋" w:cs="仿宋"/>
                <w:color w:val="auto"/>
                <w:sz w:val="24"/>
                <w:highlight w:val="none"/>
              </w:rPr>
            </w:pPr>
          </w:p>
        </w:tc>
        <w:tc>
          <w:tcPr>
            <w:tcW w:w="1134" w:type="dxa"/>
            <w:vAlign w:val="center"/>
          </w:tcPr>
          <w:p>
            <w:pPr>
              <w:jc w:val="center"/>
              <w:rPr>
                <w:rFonts w:hint="eastAsia" w:ascii="仿宋" w:hAnsi="仿宋" w:eastAsia="仿宋" w:cs="仿宋"/>
                <w:color w:val="auto"/>
                <w:sz w:val="24"/>
                <w:highlight w:val="none"/>
              </w:rPr>
            </w:pPr>
          </w:p>
        </w:tc>
        <w:tc>
          <w:tcPr>
            <w:tcW w:w="1181" w:type="dxa"/>
            <w:vAlign w:val="center"/>
          </w:tcPr>
          <w:p>
            <w:pPr>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581" w:hRule="atLeast"/>
          <w:jc w:val="center"/>
        </w:trPr>
        <w:tc>
          <w:tcPr>
            <w:tcW w:w="1032" w:type="dxa"/>
            <w:vAlign w:val="center"/>
          </w:tcPr>
          <w:p>
            <w:pPr>
              <w:jc w:val="center"/>
              <w:rPr>
                <w:rFonts w:hint="eastAsia" w:ascii="仿宋" w:hAnsi="仿宋" w:eastAsia="仿宋" w:cs="仿宋"/>
                <w:color w:val="auto"/>
                <w:sz w:val="24"/>
                <w:highlight w:val="none"/>
              </w:rPr>
            </w:pPr>
          </w:p>
        </w:tc>
        <w:tc>
          <w:tcPr>
            <w:tcW w:w="1032" w:type="dxa"/>
            <w:vAlign w:val="center"/>
          </w:tcPr>
          <w:p>
            <w:pPr>
              <w:jc w:val="center"/>
              <w:rPr>
                <w:rFonts w:hint="eastAsia" w:ascii="仿宋" w:hAnsi="仿宋" w:eastAsia="仿宋" w:cs="仿宋"/>
                <w:color w:val="auto"/>
                <w:sz w:val="24"/>
                <w:highlight w:val="none"/>
              </w:rPr>
            </w:pPr>
          </w:p>
        </w:tc>
        <w:tc>
          <w:tcPr>
            <w:tcW w:w="1032" w:type="dxa"/>
            <w:vAlign w:val="center"/>
          </w:tcPr>
          <w:p>
            <w:pPr>
              <w:jc w:val="center"/>
              <w:rPr>
                <w:rFonts w:hint="eastAsia" w:ascii="仿宋" w:hAnsi="仿宋" w:eastAsia="仿宋" w:cs="仿宋"/>
                <w:color w:val="auto"/>
                <w:sz w:val="24"/>
                <w:highlight w:val="none"/>
              </w:rPr>
            </w:pPr>
          </w:p>
        </w:tc>
        <w:tc>
          <w:tcPr>
            <w:tcW w:w="1520" w:type="dxa"/>
            <w:vAlign w:val="center"/>
          </w:tcPr>
          <w:p>
            <w:pPr>
              <w:jc w:val="center"/>
              <w:rPr>
                <w:rFonts w:hint="eastAsia" w:ascii="仿宋" w:hAnsi="仿宋" w:eastAsia="仿宋" w:cs="仿宋"/>
                <w:color w:val="auto"/>
                <w:sz w:val="24"/>
                <w:highlight w:val="none"/>
              </w:rPr>
            </w:pPr>
          </w:p>
        </w:tc>
        <w:tc>
          <w:tcPr>
            <w:tcW w:w="1134" w:type="dxa"/>
            <w:vAlign w:val="center"/>
          </w:tcPr>
          <w:p>
            <w:pPr>
              <w:jc w:val="center"/>
              <w:rPr>
                <w:rFonts w:hint="eastAsia" w:ascii="仿宋" w:hAnsi="仿宋" w:eastAsia="仿宋" w:cs="仿宋"/>
                <w:color w:val="auto"/>
                <w:sz w:val="24"/>
                <w:highlight w:val="none"/>
              </w:rPr>
            </w:pPr>
          </w:p>
        </w:tc>
        <w:tc>
          <w:tcPr>
            <w:tcW w:w="1134" w:type="dxa"/>
            <w:vAlign w:val="center"/>
          </w:tcPr>
          <w:p>
            <w:pPr>
              <w:jc w:val="center"/>
              <w:rPr>
                <w:rFonts w:hint="eastAsia" w:ascii="仿宋" w:hAnsi="仿宋" w:eastAsia="仿宋" w:cs="仿宋"/>
                <w:color w:val="auto"/>
                <w:sz w:val="24"/>
                <w:highlight w:val="none"/>
              </w:rPr>
            </w:pPr>
          </w:p>
        </w:tc>
        <w:tc>
          <w:tcPr>
            <w:tcW w:w="1134" w:type="dxa"/>
            <w:vAlign w:val="center"/>
          </w:tcPr>
          <w:p>
            <w:pPr>
              <w:jc w:val="center"/>
              <w:rPr>
                <w:rFonts w:hint="eastAsia" w:ascii="仿宋" w:hAnsi="仿宋" w:eastAsia="仿宋" w:cs="仿宋"/>
                <w:color w:val="auto"/>
                <w:sz w:val="24"/>
                <w:highlight w:val="none"/>
              </w:rPr>
            </w:pPr>
          </w:p>
        </w:tc>
        <w:tc>
          <w:tcPr>
            <w:tcW w:w="1181" w:type="dxa"/>
            <w:vAlign w:val="center"/>
          </w:tcPr>
          <w:p>
            <w:pPr>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610" w:hRule="atLeast"/>
          <w:jc w:val="center"/>
        </w:trPr>
        <w:tc>
          <w:tcPr>
            <w:tcW w:w="1032" w:type="dxa"/>
            <w:vAlign w:val="center"/>
          </w:tcPr>
          <w:p>
            <w:pPr>
              <w:jc w:val="center"/>
              <w:rPr>
                <w:rFonts w:hint="eastAsia" w:ascii="仿宋" w:hAnsi="仿宋" w:eastAsia="仿宋" w:cs="仿宋"/>
                <w:color w:val="auto"/>
                <w:sz w:val="24"/>
                <w:highlight w:val="none"/>
              </w:rPr>
            </w:pPr>
          </w:p>
        </w:tc>
        <w:tc>
          <w:tcPr>
            <w:tcW w:w="1032" w:type="dxa"/>
            <w:vAlign w:val="center"/>
          </w:tcPr>
          <w:p>
            <w:pPr>
              <w:jc w:val="center"/>
              <w:rPr>
                <w:rFonts w:hint="eastAsia" w:ascii="仿宋" w:hAnsi="仿宋" w:eastAsia="仿宋" w:cs="仿宋"/>
                <w:color w:val="auto"/>
                <w:sz w:val="24"/>
                <w:highlight w:val="none"/>
              </w:rPr>
            </w:pPr>
          </w:p>
        </w:tc>
        <w:tc>
          <w:tcPr>
            <w:tcW w:w="1032" w:type="dxa"/>
            <w:vAlign w:val="center"/>
          </w:tcPr>
          <w:p>
            <w:pPr>
              <w:jc w:val="center"/>
              <w:rPr>
                <w:rFonts w:hint="eastAsia" w:ascii="仿宋" w:hAnsi="仿宋" w:eastAsia="仿宋" w:cs="仿宋"/>
                <w:color w:val="auto"/>
                <w:sz w:val="24"/>
                <w:highlight w:val="none"/>
              </w:rPr>
            </w:pPr>
          </w:p>
        </w:tc>
        <w:tc>
          <w:tcPr>
            <w:tcW w:w="1520" w:type="dxa"/>
            <w:vAlign w:val="center"/>
          </w:tcPr>
          <w:p>
            <w:pPr>
              <w:jc w:val="center"/>
              <w:rPr>
                <w:rFonts w:hint="eastAsia" w:ascii="仿宋" w:hAnsi="仿宋" w:eastAsia="仿宋" w:cs="仿宋"/>
                <w:color w:val="auto"/>
                <w:sz w:val="24"/>
                <w:highlight w:val="none"/>
              </w:rPr>
            </w:pPr>
          </w:p>
        </w:tc>
        <w:tc>
          <w:tcPr>
            <w:tcW w:w="1134" w:type="dxa"/>
            <w:vAlign w:val="center"/>
          </w:tcPr>
          <w:p>
            <w:pPr>
              <w:jc w:val="center"/>
              <w:rPr>
                <w:rFonts w:hint="eastAsia" w:ascii="仿宋" w:hAnsi="仿宋" w:eastAsia="仿宋" w:cs="仿宋"/>
                <w:color w:val="auto"/>
                <w:sz w:val="24"/>
                <w:highlight w:val="none"/>
              </w:rPr>
            </w:pPr>
          </w:p>
        </w:tc>
        <w:tc>
          <w:tcPr>
            <w:tcW w:w="1134" w:type="dxa"/>
            <w:vAlign w:val="center"/>
          </w:tcPr>
          <w:p>
            <w:pPr>
              <w:jc w:val="center"/>
              <w:rPr>
                <w:rFonts w:hint="eastAsia" w:ascii="仿宋" w:hAnsi="仿宋" w:eastAsia="仿宋" w:cs="仿宋"/>
                <w:color w:val="auto"/>
                <w:sz w:val="24"/>
                <w:highlight w:val="none"/>
              </w:rPr>
            </w:pPr>
          </w:p>
        </w:tc>
        <w:tc>
          <w:tcPr>
            <w:tcW w:w="1134" w:type="dxa"/>
            <w:vAlign w:val="center"/>
          </w:tcPr>
          <w:p>
            <w:pPr>
              <w:jc w:val="center"/>
              <w:rPr>
                <w:rFonts w:hint="eastAsia" w:ascii="仿宋" w:hAnsi="仿宋" w:eastAsia="仿宋" w:cs="仿宋"/>
                <w:color w:val="auto"/>
                <w:sz w:val="24"/>
                <w:highlight w:val="none"/>
              </w:rPr>
            </w:pPr>
          </w:p>
        </w:tc>
        <w:tc>
          <w:tcPr>
            <w:tcW w:w="1181" w:type="dxa"/>
            <w:vAlign w:val="center"/>
          </w:tcPr>
          <w:p>
            <w:pPr>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581" w:hRule="atLeast"/>
          <w:jc w:val="center"/>
        </w:trPr>
        <w:tc>
          <w:tcPr>
            <w:tcW w:w="1032" w:type="dxa"/>
            <w:vAlign w:val="center"/>
          </w:tcPr>
          <w:p>
            <w:pPr>
              <w:jc w:val="center"/>
              <w:rPr>
                <w:rFonts w:hint="eastAsia" w:ascii="仿宋" w:hAnsi="仿宋" w:eastAsia="仿宋" w:cs="仿宋"/>
                <w:color w:val="auto"/>
                <w:sz w:val="24"/>
                <w:highlight w:val="none"/>
              </w:rPr>
            </w:pPr>
          </w:p>
        </w:tc>
        <w:tc>
          <w:tcPr>
            <w:tcW w:w="1032" w:type="dxa"/>
            <w:vAlign w:val="center"/>
          </w:tcPr>
          <w:p>
            <w:pPr>
              <w:jc w:val="center"/>
              <w:rPr>
                <w:rFonts w:hint="eastAsia" w:ascii="仿宋" w:hAnsi="仿宋" w:eastAsia="仿宋" w:cs="仿宋"/>
                <w:color w:val="auto"/>
                <w:sz w:val="24"/>
                <w:highlight w:val="none"/>
              </w:rPr>
            </w:pPr>
          </w:p>
        </w:tc>
        <w:tc>
          <w:tcPr>
            <w:tcW w:w="1032" w:type="dxa"/>
            <w:vAlign w:val="center"/>
          </w:tcPr>
          <w:p>
            <w:pPr>
              <w:jc w:val="center"/>
              <w:rPr>
                <w:rFonts w:hint="eastAsia" w:ascii="仿宋" w:hAnsi="仿宋" w:eastAsia="仿宋" w:cs="仿宋"/>
                <w:color w:val="auto"/>
                <w:sz w:val="24"/>
                <w:highlight w:val="none"/>
              </w:rPr>
            </w:pPr>
          </w:p>
        </w:tc>
        <w:tc>
          <w:tcPr>
            <w:tcW w:w="1520" w:type="dxa"/>
            <w:vAlign w:val="center"/>
          </w:tcPr>
          <w:p>
            <w:pPr>
              <w:jc w:val="center"/>
              <w:rPr>
                <w:rFonts w:hint="eastAsia" w:ascii="仿宋" w:hAnsi="仿宋" w:eastAsia="仿宋" w:cs="仿宋"/>
                <w:color w:val="auto"/>
                <w:sz w:val="24"/>
                <w:highlight w:val="none"/>
              </w:rPr>
            </w:pPr>
          </w:p>
        </w:tc>
        <w:tc>
          <w:tcPr>
            <w:tcW w:w="1134" w:type="dxa"/>
            <w:vAlign w:val="center"/>
          </w:tcPr>
          <w:p>
            <w:pPr>
              <w:jc w:val="center"/>
              <w:rPr>
                <w:rFonts w:hint="eastAsia" w:ascii="仿宋" w:hAnsi="仿宋" w:eastAsia="仿宋" w:cs="仿宋"/>
                <w:color w:val="auto"/>
                <w:sz w:val="24"/>
                <w:highlight w:val="none"/>
              </w:rPr>
            </w:pPr>
          </w:p>
        </w:tc>
        <w:tc>
          <w:tcPr>
            <w:tcW w:w="1134" w:type="dxa"/>
            <w:vAlign w:val="center"/>
          </w:tcPr>
          <w:p>
            <w:pPr>
              <w:jc w:val="center"/>
              <w:rPr>
                <w:rFonts w:hint="eastAsia" w:ascii="仿宋" w:hAnsi="仿宋" w:eastAsia="仿宋" w:cs="仿宋"/>
                <w:color w:val="auto"/>
                <w:sz w:val="24"/>
                <w:highlight w:val="none"/>
              </w:rPr>
            </w:pPr>
          </w:p>
        </w:tc>
        <w:tc>
          <w:tcPr>
            <w:tcW w:w="1134" w:type="dxa"/>
            <w:vAlign w:val="center"/>
          </w:tcPr>
          <w:p>
            <w:pPr>
              <w:jc w:val="center"/>
              <w:rPr>
                <w:rFonts w:hint="eastAsia" w:ascii="仿宋" w:hAnsi="仿宋" w:eastAsia="仿宋" w:cs="仿宋"/>
                <w:color w:val="auto"/>
                <w:sz w:val="24"/>
                <w:highlight w:val="none"/>
              </w:rPr>
            </w:pPr>
          </w:p>
        </w:tc>
        <w:tc>
          <w:tcPr>
            <w:tcW w:w="1181" w:type="dxa"/>
            <w:vAlign w:val="center"/>
          </w:tcPr>
          <w:p>
            <w:pPr>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610" w:hRule="atLeast"/>
          <w:jc w:val="center"/>
        </w:trPr>
        <w:tc>
          <w:tcPr>
            <w:tcW w:w="1032" w:type="dxa"/>
            <w:vAlign w:val="center"/>
          </w:tcPr>
          <w:p>
            <w:pPr>
              <w:jc w:val="center"/>
              <w:rPr>
                <w:rFonts w:hint="eastAsia" w:ascii="仿宋" w:hAnsi="仿宋" w:eastAsia="仿宋" w:cs="仿宋"/>
                <w:color w:val="auto"/>
                <w:sz w:val="24"/>
                <w:highlight w:val="none"/>
              </w:rPr>
            </w:pPr>
          </w:p>
        </w:tc>
        <w:tc>
          <w:tcPr>
            <w:tcW w:w="1032" w:type="dxa"/>
            <w:vAlign w:val="center"/>
          </w:tcPr>
          <w:p>
            <w:pPr>
              <w:jc w:val="center"/>
              <w:rPr>
                <w:rFonts w:hint="eastAsia" w:ascii="仿宋" w:hAnsi="仿宋" w:eastAsia="仿宋" w:cs="仿宋"/>
                <w:color w:val="auto"/>
                <w:sz w:val="24"/>
                <w:highlight w:val="none"/>
              </w:rPr>
            </w:pPr>
          </w:p>
        </w:tc>
        <w:tc>
          <w:tcPr>
            <w:tcW w:w="1032" w:type="dxa"/>
            <w:vAlign w:val="center"/>
          </w:tcPr>
          <w:p>
            <w:pPr>
              <w:jc w:val="center"/>
              <w:rPr>
                <w:rFonts w:hint="eastAsia" w:ascii="仿宋" w:hAnsi="仿宋" w:eastAsia="仿宋" w:cs="仿宋"/>
                <w:color w:val="auto"/>
                <w:sz w:val="24"/>
                <w:highlight w:val="none"/>
              </w:rPr>
            </w:pPr>
          </w:p>
        </w:tc>
        <w:tc>
          <w:tcPr>
            <w:tcW w:w="1520" w:type="dxa"/>
            <w:vAlign w:val="center"/>
          </w:tcPr>
          <w:p>
            <w:pPr>
              <w:jc w:val="center"/>
              <w:rPr>
                <w:rFonts w:hint="eastAsia" w:ascii="仿宋" w:hAnsi="仿宋" w:eastAsia="仿宋" w:cs="仿宋"/>
                <w:color w:val="auto"/>
                <w:sz w:val="24"/>
                <w:highlight w:val="none"/>
              </w:rPr>
            </w:pPr>
          </w:p>
        </w:tc>
        <w:tc>
          <w:tcPr>
            <w:tcW w:w="1134" w:type="dxa"/>
            <w:vAlign w:val="center"/>
          </w:tcPr>
          <w:p>
            <w:pPr>
              <w:jc w:val="center"/>
              <w:rPr>
                <w:rFonts w:hint="eastAsia" w:ascii="仿宋" w:hAnsi="仿宋" w:eastAsia="仿宋" w:cs="仿宋"/>
                <w:color w:val="auto"/>
                <w:sz w:val="24"/>
                <w:highlight w:val="none"/>
              </w:rPr>
            </w:pPr>
          </w:p>
        </w:tc>
        <w:tc>
          <w:tcPr>
            <w:tcW w:w="1134" w:type="dxa"/>
            <w:vAlign w:val="center"/>
          </w:tcPr>
          <w:p>
            <w:pPr>
              <w:jc w:val="center"/>
              <w:rPr>
                <w:rFonts w:hint="eastAsia" w:ascii="仿宋" w:hAnsi="仿宋" w:eastAsia="仿宋" w:cs="仿宋"/>
                <w:color w:val="auto"/>
                <w:sz w:val="24"/>
                <w:highlight w:val="none"/>
              </w:rPr>
            </w:pPr>
          </w:p>
        </w:tc>
        <w:tc>
          <w:tcPr>
            <w:tcW w:w="1134" w:type="dxa"/>
            <w:vAlign w:val="center"/>
          </w:tcPr>
          <w:p>
            <w:pPr>
              <w:jc w:val="center"/>
              <w:rPr>
                <w:rFonts w:hint="eastAsia" w:ascii="仿宋" w:hAnsi="仿宋" w:eastAsia="仿宋" w:cs="仿宋"/>
                <w:color w:val="auto"/>
                <w:sz w:val="24"/>
                <w:highlight w:val="none"/>
              </w:rPr>
            </w:pPr>
          </w:p>
        </w:tc>
        <w:tc>
          <w:tcPr>
            <w:tcW w:w="1181" w:type="dxa"/>
            <w:vAlign w:val="center"/>
          </w:tcPr>
          <w:p>
            <w:pPr>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581" w:hRule="atLeast"/>
          <w:jc w:val="center"/>
        </w:trPr>
        <w:tc>
          <w:tcPr>
            <w:tcW w:w="1032" w:type="dxa"/>
            <w:vAlign w:val="center"/>
          </w:tcPr>
          <w:p>
            <w:pPr>
              <w:jc w:val="center"/>
              <w:rPr>
                <w:rFonts w:hint="eastAsia" w:ascii="仿宋" w:hAnsi="仿宋" w:eastAsia="仿宋" w:cs="仿宋"/>
                <w:color w:val="auto"/>
                <w:sz w:val="24"/>
                <w:highlight w:val="none"/>
              </w:rPr>
            </w:pPr>
          </w:p>
        </w:tc>
        <w:tc>
          <w:tcPr>
            <w:tcW w:w="1032" w:type="dxa"/>
            <w:vAlign w:val="center"/>
          </w:tcPr>
          <w:p>
            <w:pPr>
              <w:jc w:val="center"/>
              <w:rPr>
                <w:rFonts w:hint="eastAsia" w:ascii="仿宋" w:hAnsi="仿宋" w:eastAsia="仿宋" w:cs="仿宋"/>
                <w:color w:val="auto"/>
                <w:sz w:val="24"/>
                <w:highlight w:val="none"/>
              </w:rPr>
            </w:pPr>
          </w:p>
        </w:tc>
        <w:tc>
          <w:tcPr>
            <w:tcW w:w="1032" w:type="dxa"/>
            <w:vAlign w:val="center"/>
          </w:tcPr>
          <w:p>
            <w:pPr>
              <w:jc w:val="center"/>
              <w:rPr>
                <w:rFonts w:hint="eastAsia" w:ascii="仿宋" w:hAnsi="仿宋" w:eastAsia="仿宋" w:cs="仿宋"/>
                <w:color w:val="auto"/>
                <w:sz w:val="24"/>
                <w:highlight w:val="none"/>
              </w:rPr>
            </w:pPr>
          </w:p>
        </w:tc>
        <w:tc>
          <w:tcPr>
            <w:tcW w:w="1520" w:type="dxa"/>
            <w:vAlign w:val="center"/>
          </w:tcPr>
          <w:p>
            <w:pPr>
              <w:jc w:val="center"/>
              <w:rPr>
                <w:rFonts w:hint="eastAsia" w:ascii="仿宋" w:hAnsi="仿宋" w:eastAsia="仿宋" w:cs="仿宋"/>
                <w:color w:val="auto"/>
                <w:sz w:val="24"/>
                <w:highlight w:val="none"/>
              </w:rPr>
            </w:pPr>
          </w:p>
        </w:tc>
        <w:tc>
          <w:tcPr>
            <w:tcW w:w="1134" w:type="dxa"/>
            <w:vAlign w:val="center"/>
          </w:tcPr>
          <w:p>
            <w:pPr>
              <w:jc w:val="center"/>
              <w:rPr>
                <w:rFonts w:hint="eastAsia" w:ascii="仿宋" w:hAnsi="仿宋" w:eastAsia="仿宋" w:cs="仿宋"/>
                <w:color w:val="auto"/>
                <w:sz w:val="24"/>
                <w:highlight w:val="none"/>
              </w:rPr>
            </w:pPr>
          </w:p>
        </w:tc>
        <w:tc>
          <w:tcPr>
            <w:tcW w:w="1134" w:type="dxa"/>
            <w:vAlign w:val="center"/>
          </w:tcPr>
          <w:p>
            <w:pPr>
              <w:jc w:val="center"/>
              <w:rPr>
                <w:rFonts w:hint="eastAsia" w:ascii="仿宋" w:hAnsi="仿宋" w:eastAsia="仿宋" w:cs="仿宋"/>
                <w:color w:val="auto"/>
                <w:sz w:val="24"/>
                <w:highlight w:val="none"/>
              </w:rPr>
            </w:pPr>
          </w:p>
        </w:tc>
        <w:tc>
          <w:tcPr>
            <w:tcW w:w="1134" w:type="dxa"/>
            <w:vAlign w:val="center"/>
          </w:tcPr>
          <w:p>
            <w:pPr>
              <w:jc w:val="center"/>
              <w:rPr>
                <w:rFonts w:hint="eastAsia" w:ascii="仿宋" w:hAnsi="仿宋" w:eastAsia="仿宋" w:cs="仿宋"/>
                <w:color w:val="auto"/>
                <w:sz w:val="24"/>
                <w:highlight w:val="none"/>
              </w:rPr>
            </w:pPr>
          </w:p>
        </w:tc>
        <w:tc>
          <w:tcPr>
            <w:tcW w:w="1181" w:type="dxa"/>
            <w:vAlign w:val="center"/>
          </w:tcPr>
          <w:p>
            <w:pPr>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610" w:hRule="atLeast"/>
          <w:jc w:val="center"/>
        </w:trPr>
        <w:tc>
          <w:tcPr>
            <w:tcW w:w="1032" w:type="dxa"/>
            <w:vAlign w:val="center"/>
          </w:tcPr>
          <w:p>
            <w:pPr>
              <w:jc w:val="center"/>
              <w:rPr>
                <w:rFonts w:hint="eastAsia" w:ascii="仿宋" w:hAnsi="仿宋" w:eastAsia="仿宋" w:cs="仿宋"/>
                <w:color w:val="auto"/>
                <w:sz w:val="24"/>
                <w:highlight w:val="none"/>
              </w:rPr>
            </w:pPr>
          </w:p>
        </w:tc>
        <w:tc>
          <w:tcPr>
            <w:tcW w:w="1032" w:type="dxa"/>
            <w:vAlign w:val="center"/>
          </w:tcPr>
          <w:p>
            <w:pPr>
              <w:jc w:val="center"/>
              <w:rPr>
                <w:rFonts w:hint="eastAsia" w:ascii="仿宋" w:hAnsi="仿宋" w:eastAsia="仿宋" w:cs="仿宋"/>
                <w:color w:val="auto"/>
                <w:sz w:val="24"/>
                <w:highlight w:val="none"/>
              </w:rPr>
            </w:pPr>
          </w:p>
        </w:tc>
        <w:tc>
          <w:tcPr>
            <w:tcW w:w="1032" w:type="dxa"/>
            <w:vAlign w:val="center"/>
          </w:tcPr>
          <w:p>
            <w:pPr>
              <w:jc w:val="center"/>
              <w:rPr>
                <w:rFonts w:hint="eastAsia" w:ascii="仿宋" w:hAnsi="仿宋" w:eastAsia="仿宋" w:cs="仿宋"/>
                <w:color w:val="auto"/>
                <w:sz w:val="24"/>
                <w:highlight w:val="none"/>
              </w:rPr>
            </w:pPr>
          </w:p>
        </w:tc>
        <w:tc>
          <w:tcPr>
            <w:tcW w:w="1520" w:type="dxa"/>
            <w:vAlign w:val="center"/>
          </w:tcPr>
          <w:p>
            <w:pPr>
              <w:jc w:val="center"/>
              <w:rPr>
                <w:rFonts w:hint="eastAsia" w:ascii="仿宋" w:hAnsi="仿宋" w:eastAsia="仿宋" w:cs="仿宋"/>
                <w:color w:val="auto"/>
                <w:sz w:val="24"/>
                <w:highlight w:val="none"/>
              </w:rPr>
            </w:pPr>
          </w:p>
        </w:tc>
        <w:tc>
          <w:tcPr>
            <w:tcW w:w="1134" w:type="dxa"/>
            <w:vAlign w:val="center"/>
          </w:tcPr>
          <w:p>
            <w:pPr>
              <w:jc w:val="center"/>
              <w:rPr>
                <w:rFonts w:hint="eastAsia" w:ascii="仿宋" w:hAnsi="仿宋" w:eastAsia="仿宋" w:cs="仿宋"/>
                <w:color w:val="auto"/>
                <w:sz w:val="24"/>
                <w:highlight w:val="none"/>
              </w:rPr>
            </w:pPr>
          </w:p>
        </w:tc>
        <w:tc>
          <w:tcPr>
            <w:tcW w:w="1134" w:type="dxa"/>
            <w:vAlign w:val="center"/>
          </w:tcPr>
          <w:p>
            <w:pPr>
              <w:jc w:val="center"/>
              <w:rPr>
                <w:rFonts w:hint="eastAsia" w:ascii="仿宋" w:hAnsi="仿宋" w:eastAsia="仿宋" w:cs="仿宋"/>
                <w:color w:val="auto"/>
                <w:sz w:val="24"/>
                <w:highlight w:val="none"/>
              </w:rPr>
            </w:pPr>
          </w:p>
        </w:tc>
        <w:tc>
          <w:tcPr>
            <w:tcW w:w="1134" w:type="dxa"/>
            <w:vAlign w:val="center"/>
          </w:tcPr>
          <w:p>
            <w:pPr>
              <w:jc w:val="center"/>
              <w:rPr>
                <w:rFonts w:hint="eastAsia" w:ascii="仿宋" w:hAnsi="仿宋" w:eastAsia="仿宋" w:cs="仿宋"/>
                <w:color w:val="auto"/>
                <w:sz w:val="24"/>
                <w:highlight w:val="none"/>
              </w:rPr>
            </w:pPr>
          </w:p>
        </w:tc>
        <w:tc>
          <w:tcPr>
            <w:tcW w:w="1181" w:type="dxa"/>
            <w:vAlign w:val="center"/>
          </w:tcPr>
          <w:p>
            <w:pPr>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581" w:hRule="atLeast"/>
          <w:jc w:val="center"/>
        </w:trPr>
        <w:tc>
          <w:tcPr>
            <w:tcW w:w="1032" w:type="dxa"/>
            <w:vAlign w:val="center"/>
          </w:tcPr>
          <w:p>
            <w:pPr>
              <w:jc w:val="center"/>
              <w:rPr>
                <w:rFonts w:hint="eastAsia" w:ascii="仿宋" w:hAnsi="仿宋" w:eastAsia="仿宋" w:cs="仿宋"/>
                <w:color w:val="auto"/>
                <w:sz w:val="24"/>
                <w:highlight w:val="none"/>
              </w:rPr>
            </w:pPr>
          </w:p>
        </w:tc>
        <w:tc>
          <w:tcPr>
            <w:tcW w:w="1032" w:type="dxa"/>
            <w:vAlign w:val="center"/>
          </w:tcPr>
          <w:p>
            <w:pPr>
              <w:jc w:val="center"/>
              <w:rPr>
                <w:rFonts w:hint="eastAsia" w:ascii="仿宋" w:hAnsi="仿宋" w:eastAsia="仿宋" w:cs="仿宋"/>
                <w:color w:val="auto"/>
                <w:sz w:val="24"/>
                <w:highlight w:val="none"/>
              </w:rPr>
            </w:pPr>
          </w:p>
        </w:tc>
        <w:tc>
          <w:tcPr>
            <w:tcW w:w="1032" w:type="dxa"/>
            <w:vAlign w:val="center"/>
          </w:tcPr>
          <w:p>
            <w:pPr>
              <w:jc w:val="center"/>
              <w:rPr>
                <w:rFonts w:hint="eastAsia" w:ascii="仿宋" w:hAnsi="仿宋" w:eastAsia="仿宋" w:cs="仿宋"/>
                <w:color w:val="auto"/>
                <w:sz w:val="24"/>
                <w:highlight w:val="none"/>
              </w:rPr>
            </w:pPr>
          </w:p>
        </w:tc>
        <w:tc>
          <w:tcPr>
            <w:tcW w:w="1520" w:type="dxa"/>
            <w:vAlign w:val="center"/>
          </w:tcPr>
          <w:p>
            <w:pPr>
              <w:jc w:val="center"/>
              <w:rPr>
                <w:rFonts w:hint="eastAsia" w:ascii="仿宋" w:hAnsi="仿宋" w:eastAsia="仿宋" w:cs="仿宋"/>
                <w:color w:val="auto"/>
                <w:sz w:val="24"/>
                <w:highlight w:val="none"/>
              </w:rPr>
            </w:pPr>
          </w:p>
        </w:tc>
        <w:tc>
          <w:tcPr>
            <w:tcW w:w="1134" w:type="dxa"/>
            <w:vAlign w:val="center"/>
          </w:tcPr>
          <w:p>
            <w:pPr>
              <w:jc w:val="center"/>
              <w:rPr>
                <w:rFonts w:hint="eastAsia" w:ascii="仿宋" w:hAnsi="仿宋" w:eastAsia="仿宋" w:cs="仿宋"/>
                <w:color w:val="auto"/>
                <w:sz w:val="24"/>
                <w:highlight w:val="none"/>
              </w:rPr>
            </w:pPr>
          </w:p>
        </w:tc>
        <w:tc>
          <w:tcPr>
            <w:tcW w:w="1134" w:type="dxa"/>
            <w:vAlign w:val="center"/>
          </w:tcPr>
          <w:p>
            <w:pPr>
              <w:jc w:val="center"/>
              <w:rPr>
                <w:rFonts w:hint="eastAsia" w:ascii="仿宋" w:hAnsi="仿宋" w:eastAsia="仿宋" w:cs="仿宋"/>
                <w:color w:val="auto"/>
                <w:sz w:val="24"/>
                <w:highlight w:val="none"/>
              </w:rPr>
            </w:pPr>
          </w:p>
        </w:tc>
        <w:tc>
          <w:tcPr>
            <w:tcW w:w="1134" w:type="dxa"/>
            <w:vAlign w:val="center"/>
          </w:tcPr>
          <w:p>
            <w:pPr>
              <w:jc w:val="center"/>
              <w:rPr>
                <w:rFonts w:hint="eastAsia" w:ascii="仿宋" w:hAnsi="仿宋" w:eastAsia="仿宋" w:cs="仿宋"/>
                <w:color w:val="auto"/>
                <w:sz w:val="24"/>
                <w:highlight w:val="none"/>
              </w:rPr>
            </w:pPr>
          </w:p>
        </w:tc>
        <w:tc>
          <w:tcPr>
            <w:tcW w:w="1181" w:type="dxa"/>
            <w:vAlign w:val="center"/>
          </w:tcPr>
          <w:p>
            <w:pPr>
              <w:jc w:val="center"/>
              <w:rPr>
                <w:rFonts w:hint="eastAsia" w:ascii="仿宋" w:hAnsi="仿宋" w:eastAsia="仿宋" w:cs="仿宋"/>
                <w:color w:val="auto"/>
                <w:sz w:val="24"/>
                <w:highlight w:val="none"/>
              </w:rPr>
            </w:pPr>
          </w:p>
        </w:tc>
      </w:tr>
    </w:tbl>
    <w:p>
      <w:pPr>
        <w:spacing w:line="440" w:lineRule="exact"/>
        <w:jc w:val="left"/>
        <w:rPr>
          <w:rFonts w:hint="eastAsia" w:ascii="仿宋" w:hAnsi="仿宋" w:eastAsia="仿宋" w:cs="仿宋"/>
          <w:color w:val="auto"/>
          <w:szCs w:val="30"/>
          <w:highlight w:val="none"/>
          <w:lang w:val="en-GB"/>
        </w:rPr>
      </w:pPr>
      <w:r>
        <w:rPr>
          <w:rFonts w:hint="eastAsia" w:ascii="仿宋" w:hAnsi="仿宋" w:eastAsia="仿宋" w:cs="仿宋"/>
          <w:color w:val="auto"/>
          <w:szCs w:val="30"/>
          <w:highlight w:val="none"/>
          <w:lang w:val="en-GB"/>
        </w:rPr>
        <w:t>注：项目负责人附身份证及职称证，其他人员附岗位证书（或相关证件）复印件</w:t>
      </w:r>
      <w:r>
        <w:rPr>
          <w:rFonts w:hint="eastAsia" w:ascii="仿宋" w:hAnsi="仿宋" w:eastAsia="仿宋" w:cs="仿宋"/>
          <w:color w:val="auto"/>
          <w:kern w:val="0"/>
          <w:sz w:val="24"/>
          <w:highlight w:val="none"/>
        </w:rPr>
        <w:t>并加盖公章</w:t>
      </w:r>
    </w:p>
    <w:p>
      <w:pPr>
        <w:spacing w:line="480" w:lineRule="exact"/>
        <w:ind w:firstLine="420" w:firstLineChars="200"/>
        <w:rPr>
          <w:rFonts w:hint="eastAsia" w:ascii="仿宋" w:hAnsi="仿宋" w:eastAsia="仿宋" w:cs="仿宋"/>
          <w:color w:val="auto"/>
          <w:highlight w:val="none"/>
        </w:rPr>
      </w:pPr>
    </w:p>
    <w:p>
      <w:pPr>
        <w:spacing w:line="480" w:lineRule="exact"/>
        <w:ind w:firstLine="420" w:firstLineChars="200"/>
        <w:rPr>
          <w:rFonts w:hint="eastAsia" w:ascii="仿宋" w:hAnsi="仿宋" w:eastAsia="仿宋" w:cs="仿宋"/>
          <w:color w:val="auto"/>
          <w:highlight w:val="none"/>
        </w:rPr>
      </w:pPr>
    </w:p>
    <w:p>
      <w:pPr>
        <w:pStyle w:val="3"/>
        <w:rPr>
          <w:rFonts w:hint="eastAsia" w:ascii="仿宋" w:hAnsi="仿宋" w:eastAsia="仿宋" w:cs="仿宋"/>
          <w:color w:val="auto"/>
          <w:sz w:val="21"/>
          <w:szCs w:val="21"/>
          <w:highlight w:val="none"/>
          <w:lang w:val="en-US"/>
        </w:rPr>
      </w:pPr>
    </w:p>
    <w:p>
      <w:pPr>
        <w:spacing w:line="480" w:lineRule="exact"/>
        <w:ind w:firstLine="420" w:firstLineChars="200"/>
        <w:rPr>
          <w:rFonts w:hint="eastAsia" w:ascii="宋体" w:hAnsi="宋体" w:cs="宋体"/>
          <w:color w:val="auto"/>
          <w:highlight w:val="none"/>
        </w:rPr>
      </w:pPr>
    </w:p>
    <w:p>
      <w:pPr>
        <w:spacing w:line="480" w:lineRule="exact"/>
        <w:ind w:firstLine="420" w:firstLineChars="200"/>
        <w:rPr>
          <w:rFonts w:hint="eastAsia" w:ascii="宋体" w:hAnsi="宋体" w:cs="宋体"/>
          <w:color w:val="auto"/>
          <w:highlight w:val="none"/>
        </w:rPr>
      </w:pPr>
    </w:p>
    <w:p>
      <w:pPr>
        <w:spacing w:line="480" w:lineRule="exact"/>
        <w:ind w:firstLine="420" w:firstLineChars="200"/>
        <w:rPr>
          <w:rFonts w:hint="eastAsia" w:ascii="宋体" w:hAnsi="宋体" w:cs="宋体"/>
          <w:color w:val="auto"/>
          <w:highlight w:val="none"/>
        </w:rPr>
      </w:pPr>
    </w:p>
    <w:p>
      <w:pPr>
        <w:spacing w:line="440" w:lineRule="exact"/>
        <w:jc w:val="left"/>
        <w:rPr>
          <w:rFonts w:hint="eastAsia" w:ascii="仿宋" w:hAnsi="仿宋" w:eastAsia="仿宋" w:cs="仿宋"/>
          <w:color w:val="auto"/>
          <w:szCs w:val="30"/>
          <w:highlight w:val="none"/>
          <w:lang w:val="en-GB"/>
        </w:rPr>
      </w:pPr>
      <w:r>
        <w:rPr>
          <w:rFonts w:hint="eastAsia" w:ascii="仿宋" w:hAnsi="仿宋" w:eastAsia="仿宋" w:cs="仿宋"/>
          <w:b/>
          <w:color w:val="auto"/>
          <w:kern w:val="0"/>
          <w:sz w:val="24"/>
          <w:highlight w:val="none"/>
        </w:rPr>
        <w:t>（二）</w:t>
      </w:r>
      <w:r>
        <w:rPr>
          <w:rFonts w:hint="eastAsia" w:ascii="仿宋" w:hAnsi="仿宋" w:eastAsia="仿宋" w:cs="仿宋"/>
          <w:b/>
          <w:color w:val="auto"/>
          <w:sz w:val="24"/>
          <w:highlight w:val="none"/>
        </w:rPr>
        <w:t>项目负责人简历表</w:t>
      </w:r>
    </w:p>
    <w:p>
      <w:pPr>
        <w:spacing w:line="420" w:lineRule="exact"/>
        <w:rPr>
          <w:rFonts w:hint="eastAsia" w:ascii="仿宋" w:hAnsi="仿宋" w:eastAsia="仿宋" w:cs="仿宋"/>
          <w:color w:val="auto"/>
          <w:szCs w:val="21"/>
          <w:highlight w:val="none"/>
        </w:rPr>
      </w:pPr>
      <w:r>
        <w:rPr>
          <w:rFonts w:hint="eastAsia" w:ascii="仿宋" w:hAnsi="仿宋" w:eastAsia="仿宋" w:cs="仿宋"/>
          <w:color w:val="auto"/>
          <w:szCs w:val="21"/>
          <w:highlight w:val="none"/>
        </w:rPr>
        <w:t>项目负责人应附注册证书及身份证</w:t>
      </w:r>
      <w:r>
        <w:rPr>
          <w:rFonts w:hint="eastAsia" w:ascii="仿宋" w:hAnsi="仿宋" w:eastAsia="仿宋" w:cs="仿宋"/>
          <w:color w:val="auto"/>
          <w:szCs w:val="30"/>
          <w:highlight w:val="none"/>
          <w:lang w:val="en-GB"/>
        </w:rPr>
        <w:t>复印件</w:t>
      </w:r>
      <w:r>
        <w:rPr>
          <w:rFonts w:hint="eastAsia" w:ascii="仿宋" w:hAnsi="仿宋" w:eastAsia="仿宋" w:cs="仿宋"/>
          <w:color w:val="auto"/>
          <w:szCs w:val="21"/>
          <w:highlight w:val="none"/>
        </w:rPr>
        <w:t>。</w:t>
      </w:r>
    </w:p>
    <w:tbl>
      <w:tblPr>
        <w:tblStyle w:val="3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6"/>
        <w:gridCol w:w="1131"/>
        <w:gridCol w:w="1242"/>
        <w:gridCol w:w="1395"/>
        <w:gridCol w:w="2014"/>
        <w:gridCol w:w="2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196" w:type="dxa"/>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姓  名</w:t>
            </w:r>
          </w:p>
        </w:tc>
        <w:tc>
          <w:tcPr>
            <w:tcW w:w="1131" w:type="dxa"/>
            <w:vAlign w:val="center"/>
          </w:tcPr>
          <w:p>
            <w:pPr>
              <w:jc w:val="center"/>
              <w:rPr>
                <w:rFonts w:hint="eastAsia" w:ascii="仿宋" w:hAnsi="仿宋" w:eastAsia="仿宋" w:cs="仿宋"/>
                <w:color w:val="auto"/>
                <w:szCs w:val="21"/>
                <w:highlight w:val="none"/>
              </w:rPr>
            </w:pPr>
          </w:p>
        </w:tc>
        <w:tc>
          <w:tcPr>
            <w:tcW w:w="1242" w:type="dxa"/>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年  龄</w:t>
            </w:r>
          </w:p>
        </w:tc>
        <w:tc>
          <w:tcPr>
            <w:tcW w:w="1395" w:type="dxa"/>
            <w:vAlign w:val="center"/>
          </w:tcPr>
          <w:p>
            <w:pPr>
              <w:jc w:val="center"/>
              <w:rPr>
                <w:rFonts w:hint="eastAsia" w:ascii="仿宋" w:hAnsi="仿宋" w:eastAsia="仿宋" w:cs="仿宋"/>
                <w:color w:val="auto"/>
                <w:szCs w:val="21"/>
                <w:highlight w:val="none"/>
              </w:rPr>
            </w:pPr>
          </w:p>
        </w:tc>
        <w:tc>
          <w:tcPr>
            <w:tcW w:w="2014" w:type="dxa"/>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学历</w:t>
            </w:r>
          </w:p>
        </w:tc>
        <w:tc>
          <w:tcPr>
            <w:tcW w:w="2322" w:type="dxa"/>
            <w:vAlign w:val="center"/>
          </w:tcPr>
          <w:p>
            <w:pPr>
              <w:jc w:val="center"/>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196" w:type="dxa"/>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职  称</w:t>
            </w:r>
          </w:p>
        </w:tc>
        <w:tc>
          <w:tcPr>
            <w:tcW w:w="1131" w:type="dxa"/>
            <w:vAlign w:val="center"/>
          </w:tcPr>
          <w:p>
            <w:pPr>
              <w:jc w:val="center"/>
              <w:rPr>
                <w:rFonts w:hint="eastAsia" w:ascii="仿宋" w:hAnsi="仿宋" w:eastAsia="仿宋" w:cs="仿宋"/>
                <w:color w:val="auto"/>
                <w:szCs w:val="21"/>
                <w:highlight w:val="none"/>
              </w:rPr>
            </w:pPr>
          </w:p>
        </w:tc>
        <w:tc>
          <w:tcPr>
            <w:tcW w:w="1242" w:type="dxa"/>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职  务</w:t>
            </w:r>
          </w:p>
        </w:tc>
        <w:tc>
          <w:tcPr>
            <w:tcW w:w="1395" w:type="dxa"/>
            <w:vAlign w:val="center"/>
          </w:tcPr>
          <w:p>
            <w:pPr>
              <w:jc w:val="center"/>
              <w:rPr>
                <w:rFonts w:hint="eastAsia" w:ascii="仿宋" w:hAnsi="仿宋" w:eastAsia="仿宋" w:cs="仿宋"/>
                <w:color w:val="auto"/>
                <w:szCs w:val="21"/>
                <w:highlight w:val="none"/>
              </w:rPr>
            </w:pPr>
          </w:p>
        </w:tc>
        <w:tc>
          <w:tcPr>
            <w:tcW w:w="2014" w:type="dxa"/>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拟在本工程任职</w:t>
            </w:r>
          </w:p>
        </w:tc>
        <w:tc>
          <w:tcPr>
            <w:tcW w:w="2322" w:type="dxa"/>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3569" w:type="dxa"/>
            <w:gridSpan w:val="3"/>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注册资格等级</w:t>
            </w:r>
          </w:p>
        </w:tc>
        <w:tc>
          <w:tcPr>
            <w:tcW w:w="1395" w:type="dxa"/>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 xml:space="preserve">      级</w:t>
            </w:r>
          </w:p>
        </w:tc>
        <w:tc>
          <w:tcPr>
            <w:tcW w:w="2014" w:type="dxa"/>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专业</w:t>
            </w:r>
          </w:p>
        </w:tc>
        <w:tc>
          <w:tcPr>
            <w:tcW w:w="2322" w:type="dxa"/>
            <w:vAlign w:val="center"/>
          </w:tcPr>
          <w:p>
            <w:pPr>
              <w:jc w:val="center"/>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196" w:type="dxa"/>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毕业学校</w:t>
            </w:r>
          </w:p>
        </w:tc>
        <w:tc>
          <w:tcPr>
            <w:tcW w:w="8104" w:type="dxa"/>
            <w:gridSpan w:val="5"/>
            <w:vAlign w:val="center"/>
          </w:tcPr>
          <w:p>
            <w:pPr>
              <w:ind w:firstLine="840" w:firstLineChars="400"/>
              <w:rPr>
                <w:rFonts w:hint="eastAsia" w:ascii="仿宋" w:hAnsi="仿宋" w:eastAsia="仿宋" w:cs="仿宋"/>
                <w:color w:val="auto"/>
                <w:szCs w:val="21"/>
                <w:highlight w:val="none"/>
              </w:rPr>
            </w:pPr>
            <w:r>
              <w:rPr>
                <w:rFonts w:hint="eastAsia" w:ascii="仿宋" w:hAnsi="仿宋" w:eastAsia="仿宋" w:cs="仿宋"/>
                <w:color w:val="auto"/>
                <w:szCs w:val="21"/>
                <w:highlight w:val="none"/>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9300" w:type="dxa"/>
            <w:gridSpan w:val="6"/>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196" w:type="dxa"/>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时  间</w:t>
            </w:r>
          </w:p>
        </w:tc>
        <w:tc>
          <w:tcPr>
            <w:tcW w:w="3768" w:type="dxa"/>
            <w:gridSpan w:val="3"/>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参加过的类似项目</w:t>
            </w:r>
          </w:p>
        </w:tc>
        <w:tc>
          <w:tcPr>
            <w:tcW w:w="2014" w:type="dxa"/>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担任职务</w:t>
            </w:r>
          </w:p>
        </w:tc>
        <w:tc>
          <w:tcPr>
            <w:tcW w:w="2322" w:type="dxa"/>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1196" w:type="dxa"/>
            <w:vAlign w:val="center"/>
          </w:tcPr>
          <w:p>
            <w:pPr>
              <w:jc w:val="center"/>
              <w:rPr>
                <w:rFonts w:hint="eastAsia" w:ascii="仿宋" w:hAnsi="仿宋" w:eastAsia="仿宋" w:cs="仿宋"/>
                <w:color w:val="auto"/>
                <w:szCs w:val="21"/>
                <w:highlight w:val="none"/>
              </w:rPr>
            </w:pPr>
          </w:p>
        </w:tc>
        <w:tc>
          <w:tcPr>
            <w:tcW w:w="3768" w:type="dxa"/>
            <w:gridSpan w:val="3"/>
            <w:vAlign w:val="center"/>
          </w:tcPr>
          <w:p>
            <w:pPr>
              <w:jc w:val="center"/>
              <w:rPr>
                <w:rFonts w:hint="eastAsia" w:ascii="仿宋" w:hAnsi="仿宋" w:eastAsia="仿宋" w:cs="仿宋"/>
                <w:color w:val="auto"/>
                <w:szCs w:val="21"/>
                <w:highlight w:val="none"/>
              </w:rPr>
            </w:pPr>
          </w:p>
        </w:tc>
        <w:tc>
          <w:tcPr>
            <w:tcW w:w="2014" w:type="dxa"/>
            <w:vAlign w:val="center"/>
          </w:tcPr>
          <w:p>
            <w:pPr>
              <w:jc w:val="center"/>
              <w:rPr>
                <w:rFonts w:hint="eastAsia" w:ascii="仿宋" w:hAnsi="仿宋" w:eastAsia="仿宋" w:cs="仿宋"/>
                <w:color w:val="auto"/>
                <w:szCs w:val="21"/>
                <w:highlight w:val="none"/>
              </w:rPr>
            </w:pPr>
          </w:p>
        </w:tc>
        <w:tc>
          <w:tcPr>
            <w:tcW w:w="2322" w:type="dxa"/>
            <w:vAlign w:val="center"/>
          </w:tcPr>
          <w:p>
            <w:pPr>
              <w:jc w:val="center"/>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1196" w:type="dxa"/>
            <w:vAlign w:val="center"/>
          </w:tcPr>
          <w:p>
            <w:pPr>
              <w:jc w:val="center"/>
              <w:rPr>
                <w:rFonts w:hint="eastAsia" w:ascii="仿宋" w:hAnsi="仿宋" w:eastAsia="仿宋" w:cs="仿宋"/>
                <w:color w:val="auto"/>
                <w:szCs w:val="21"/>
                <w:highlight w:val="none"/>
              </w:rPr>
            </w:pPr>
          </w:p>
        </w:tc>
        <w:tc>
          <w:tcPr>
            <w:tcW w:w="3768" w:type="dxa"/>
            <w:gridSpan w:val="3"/>
            <w:vAlign w:val="center"/>
          </w:tcPr>
          <w:p>
            <w:pPr>
              <w:jc w:val="center"/>
              <w:rPr>
                <w:rFonts w:hint="eastAsia" w:ascii="仿宋" w:hAnsi="仿宋" w:eastAsia="仿宋" w:cs="仿宋"/>
                <w:color w:val="auto"/>
                <w:szCs w:val="21"/>
                <w:highlight w:val="none"/>
              </w:rPr>
            </w:pPr>
          </w:p>
        </w:tc>
        <w:tc>
          <w:tcPr>
            <w:tcW w:w="2014" w:type="dxa"/>
            <w:vAlign w:val="center"/>
          </w:tcPr>
          <w:p>
            <w:pPr>
              <w:jc w:val="center"/>
              <w:rPr>
                <w:rFonts w:hint="eastAsia" w:ascii="仿宋" w:hAnsi="仿宋" w:eastAsia="仿宋" w:cs="仿宋"/>
                <w:color w:val="auto"/>
                <w:szCs w:val="21"/>
                <w:highlight w:val="none"/>
              </w:rPr>
            </w:pPr>
          </w:p>
        </w:tc>
        <w:tc>
          <w:tcPr>
            <w:tcW w:w="2322" w:type="dxa"/>
            <w:vAlign w:val="center"/>
          </w:tcPr>
          <w:p>
            <w:pPr>
              <w:jc w:val="center"/>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1196" w:type="dxa"/>
            <w:vAlign w:val="center"/>
          </w:tcPr>
          <w:p>
            <w:pPr>
              <w:jc w:val="center"/>
              <w:rPr>
                <w:rFonts w:hint="eastAsia" w:ascii="仿宋" w:hAnsi="仿宋" w:eastAsia="仿宋" w:cs="仿宋"/>
                <w:color w:val="auto"/>
                <w:szCs w:val="21"/>
                <w:highlight w:val="none"/>
              </w:rPr>
            </w:pPr>
          </w:p>
        </w:tc>
        <w:tc>
          <w:tcPr>
            <w:tcW w:w="3768" w:type="dxa"/>
            <w:gridSpan w:val="3"/>
            <w:vAlign w:val="center"/>
          </w:tcPr>
          <w:p>
            <w:pPr>
              <w:jc w:val="center"/>
              <w:rPr>
                <w:rFonts w:hint="eastAsia" w:ascii="仿宋" w:hAnsi="仿宋" w:eastAsia="仿宋" w:cs="仿宋"/>
                <w:color w:val="auto"/>
                <w:szCs w:val="21"/>
                <w:highlight w:val="none"/>
              </w:rPr>
            </w:pPr>
          </w:p>
        </w:tc>
        <w:tc>
          <w:tcPr>
            <w:tcW w:w="2014" w:type="dxa"/>
            <w:vAlign w:val="center"/>
          </w:tcPr>
          <w:p>
            <w:pPr>
              <w:jc w:val="center"/>
              <w:rPr>
                <w:rFonts w:hint="eastAsia" w:ascii="仿宋" w:hAnsi="仿宋" w:eastAsia="仿宋" w:cs="仿宋"/>
                <w:color w:val="auto"/>
                <w:szCs w:val="21"/>
                <w:highlight w:val="none"/>
              </w:rPr>
            </w:pPr>
          </w:p>
        </w:tc>
        <w:tc>
          <w:tcPr>
            <w:tcW w:w="2322" w:type="dxa"/>
            <w:vAlign w:val="center"/>
          </w:tcPr>
          <w:p>
            <w:pPr>
              <w:jc w:val="center"/>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1196" w:type="dxa"/>
            <w:vAlign w:val="center"/>
          </w:tcPr>
          <w:p>
            <w:pPr>
              <w:jc w:val="center"/>
              <w:rPr>
                <w:rFonts w:hint="eastAsia" w:ascii="仿宋" w:hAnsi="仿宋" w:eastAsia="仿宋" w:cs="仿宋"/>
                <w:color w:val="auto"/>
                <w:szCs w:val="21"/>
                <w:highlight w:val="none"/>
              </w:rPr>
            </w:pPr>
          </w:p>
        </w:tc>
        <w:tc>
          <w:tcPr>
            <w:tcW w:w="3768" w:type="dxa"/>
            <w:gridSpan w:val="3"/>
            <w:vAlign w:val="center"/>
          </w:tcPr>
          <w:p>
            <w:pPr>
              <w:jc w:val="center"/>
              <w:rPr>
                <w:rFonts w:hint="eastAsia" w:ascii="仿宋" w:hAnsi="仿宋" w:eastAsia="仿宋" w:cs="仿宋"/>
                <w:color w:val="auto"/>
                <w:szCs w:val="21"/>
                <w:highlight w:val="none"/>
              </w:rPr>
            </w:pPr>
          </w:p>
        </w:tc>
        <w:tc>
          <w:tcPr>
            <w:tcW w:w="2014" w:type="dxa"/>
            <w:vAlign w:val="center"/>
          </w:tcPr>
          <w:p>
            <w:pPr>
              <w:jc w:val="center"/>
              <w:rPr>
                <w:rFonts w:hint="eastAsia" w:ascii="仿宋" w:hAnsi="仿宋" w:eastAsia="仿宋" w:cs="仿宋"/>
                <w:color w:val="auto"/>
                <w:szCs w:val="21"/>
                <w:highlight w:val="none"/>
              </w:rPr>
            </w:pPr>
          </w:p>
        </w:tc>
        <w:tc>
          <w:tcPr>
            <w:tcW w:w="2322" w:type="dxa"/>
            <w:vAlign w:val="center"/>
          </w:tcPr>
          <w:p>
            <w:pPr>
              <w:jc w:val="center"/>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1196" w:type="dxa"/>
            <w:vAlign w:val="center"/>
          </w:tcPr>
          <w:p>
            <w:pPr>
              <w:jc w:val="center"/>
              <w:rPr>
                <w:rFonts w:hint="eastAsia" w:ascii="仿宋" w:hAnsi="仿宋" w:eastAsia="仿宋" w:cs="仿宋"/>
                <w:color w:val="auto"/>
                <w:szCs w:val="21"/>
                <w:highlight w:val="none"/>
              </w:rPr>
            </w:pPr>
          </w:p>
        </w:tc>
        <w:tc>
          <w:tcPr>
            <w:tcW w:w="3768" w:type="dxa"/>
            <w:gridSpan w:val="3"/>
            <w:vAlign w:val="center"/>
          </w:tcPr>
          <w:p>
            <w:pPr>
              <w:jc w:val="center"/>
              <w:rPr>
                <w:rFonts w:hint="eastAsia" w:ascii="仿宋" w:hAnsi="仿宋" w:eastAsia="仿宋" w:cs="仿宋"/>
                <w:color w:val="auto"/>
                <w:szCs w:val="21"/>
                <w:highlight w:val="none"/>
              </w:rPr>
            </w:pPr>
          </w:p>
        </w:tc>
        <w:tc>
          <w:tcPr>
            <w:tcW w:w="2014" w:type="dxa"/>
            <w:vAlign w:val="center"/>
          </w:tcPr>
          <w:p>
            <w:pPr>
              <w:jc w:val="center"/>
              <w:rPr>
                <w:rFonts w:hint="eastAsia" w:ascii="仿宋" w:hAnsi="仿宋" w:eastAsia="仿宋" w:cs="仿宋"/>
                <w:color w:val="auto"/>
                <w:szCs w:val="21"/>
                <w:highlight w:val="none"/>
              </w:rPr>
            </w:pPr>
          </w:p>
        </w:tc>
        <w:tc>
          <w:tcPr>
            <w:tcW w:w="2322" w:type="dxa"/>
            <w:vAlign w:val="center"/>
          </w:tcPr>
          <w:p>
            <w:pPr>
              <w:jc w:val="center"/>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1196" w:type="dxa"/>
            <w:vAlign w:val="center"/>
          </w:tcPr>
          <w:p>
            <w:pPr>
              <w:jc w:val="center"/>
              <w:rPr>
                <w:rFonts w:hint="eastAsia" w:ascii="仿宋" w:hAnsi="仿宋" w:eastAsia="仿宋" w:cs="仿宋"/>
                <w:color w:val="auto"/>
                <w:szCs w:val="21"/>
                <w:highlight w:val="none"/>
              </w:rPr>
            </w:pPr>
          </w:p>
        </w:tc>
        <w:tc>
          <w:tcPr>
            <w:tcW w:w="3768" w:type="dxa"/>
            <w:gridSpan w:val="3"/>
            <w:vAlign w:val="center"/>
          </w:tcPr>
          <w:p>
            <w:pPr>
              <w:jc w:val="center"/>
              <w:rPr>
                <w:rFonts w:hint="eastAsia" w:ascii="仿宋" w:hAnsi="仿宋" w:eastAsia="仿宋" w:cs="仿宋"/>
                <w:color w:val="auto"/>
                <w:szCs w:val="21"/>
                <w:highlight w:val="none"/>
              </w:rPr>
            </w:pPr>
          </w:p>
        </w:tc>
        <w:tc>
          <w:tcPr>
            <w:tcW w:w="2014" w:type="dxa"/>
            <w:vAlign w:val="center"/>
          </w:tcPr>
          <w:p>
            <w:pPr>
              <w:jc w:val="center"/>
              <w:rPr>
                <w:rFonts w:hint="eastAsia" w:ascii="仿宋" w:hAnsi="仿宋" w:eastAsia="仿宋" w:cs="仿宋"/>
                <w:color w:val="auto"/>
                <w:szCs w:val="21"/>
                <w:highlight w:val="none"/>
              </w:rPr>
            </w:pPr>
          </w:p>
        </w:tc>
        <w:tc>
          <w:tcPr>
            <w:tcW w:w="2322" w:type="dxa"/>
            <w:vAlign w:val="center"/>
          </w:tcPr>
          <w:p>
            <w:pPr>
              <w:jc w:val="center"/>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1196" w:type="dxa"/>
            <w:vAlign w:val="center"/>
          </w:tcPr>
          <w:p>
            <w:pPr>
              <w:jc w:val="center"/>
              <w:rPr>
                <w:rFonts w:hint="eastAsia" w:ascii="仿宋" w:hAnsi="仿宋" w:eastAsia="仿宋" w:cs="仿宋"/>
                <w:color w:val="auto"/>
                <w:szCs w:val="21"/>
                <w:highlight w:val="none"/>
              </w:rPr>
            </w:pPr>
          </w:p>
        </w:tc>
        <w:tc>
          <w:tcPr>
            <w:tcW w:w="3768" w:type="dxa"/>
            <w:gridSpan w:val="3"/>
            <w:vAlign w:val="center"/>
          </w:tcPr>
          <w:p>
            <w:pPr>
              <w:jc w:val="center"/>
              <w:rPr>
                <w:rFonts w:hint="eastAsia" w:ascii="仿宋" w:hAnsi="仿宋" w:eastAsia="仿宋" w:cs="仿宋"/>
                <w:color w:val="auto"/>
                <w:szCs w:val="21"/>
                <w:highlight w:val="none"/>
              </w:rPr>
            </w:pPr>
          </w:p>
        </w:tc>
        <w:tc>
          <w:tcPr>
            <w:tcW w:w="2014" w:type="dxa"/>
            <w:vAlign w:val="center"/>
          </w:tcPr>
          <w:p>
            <w:pPr>
              <w:jc w:val="center"/>
              <w:rPr>
                <w:rFonts w:hint="eastAsia" w:ascii="仿宋" w:hAnsi="仿宋" w:eastAsia="仿宋" w:cs="仿宋"/>
                <w:color w:val="auto"/>
                <w:szCs w:val="21"/>
                <w:highlight w:val="none"/>
              </w:rPr>
            </w:pPr>
          </w:p>
        </w:tc>
        <w:tc>
          <w:tcPr>
            <w:tcW w:w="2322" w:type="dxa"/>
            <w:vAlign w:val="center"/>
          </w:tcPr>
          <w:p>
            <w:pPr>
              <w:jc w:val="center"/>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1196" w:type="dxa"/>
            <w:vAlign w:val="center"/>
          </w:tcPr>
          <w:p>
            <w:pPr>
              <w:jc w:val="center"/>
              <w:rPr>
                <w:rFonts w:hint="eastAsia" w:ascii="仿宋" w:hAnsi="仿宋" w:eastAsia="仿宋" w:cs="仿宋"/>
                <w:color w:val="auto"/>
                <w:szCs w:val="21"/>
                <w:highlight w:val="none"/>
              </w:rPr>
            </w:pPr>
          </w:p>
        </w:tc>
        <w:tc>
          <w:tcPr>
            <w:tcW w:w="3768" w:type="dxa"/>
            <w:gridSpan w:val="3"/>
            <w:vAlign w:val="center"/>
          </w:tcPr>
          <w:p>
            <w:pPr>
              <w:jc w:val="center"/>
              <w:rPr>
                <w:rFonts w:hint="eastAsia" w:ascii="仿宋" w:hAnsi="仿宋" w:eastAsia="仿宋" w:cs="仿宋"/>
                <w:color w:val="auto"/>
                <w:szCs w:val="21"/>
                <w:highlight w:val="none"/>
              </w:rPr>
            </w:pPr>
          </w:p>
        </w:tc>
        <w:tc>
          <w:tcPr>
            <w:tcW w:w="2014" w:type="dxa"/>
            <w:vAlign w:val="center"/>
          </w:tcPr>
          <w:p>
            <w:pPr>
              <w:jc w:val="center"/>
              <w:rPr>
                <w:rFonts w:hint="eastAsia" w:ascii="仿宋" w:hAnsi="仿宋" w:eastAsia="仿宋" w:cs="仿宋"/>
                <w:color w:val="auto"/>
                <w:szCs w:val="21"/>
                <w:highlight w:val="none"/>
              </w:rPr>
            </w:pPr>
          </w:p>
        </w:tc>
        <w:tc>
          <w:tcPr>
            <w:tcW w:w="2322" w:type="dxa"/>
            <w:vAlign w:val="center"/>
          </w:tcPr>
          <w:p>
            <w:pPr>
              <w:jc w:val="center"/>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196" w:type="dxa"/>
            <w:vAlign w:val="center"/>
          </w:tcPr>
          <w:p>
            <w:pPr>
              <w:jc w:val="center"/>
              <w:rPr>
                <w:rFonts w:hint="eastAsia" w:ascii="仿宋" w:hAnsi="仿宋" w:eastAsia="仿宋" w:cs="仿宋"/>
                <w:color w:val="auto"/>
                <w:szCs w:val="21"/>
                <w:highlight w:val="none"/>
              </w:rPr>
            </w:pPr>
          </w:p>
        </w:tc>
        <w:tc>
          <w:tcPr>
            <w:tcW w:w="3768" w:type="dxa"/>
            <w:gridSpan w:val="3"/>
            <w:vAlign w:val="center"/>
          </w:tcPr>
          <w:p>
            <w:pPr>
              <w:jc w:val="center"/>
              <w:rPr>
                <w:rFonts w:hint="eastAsia" w:ascii="仿宋" w:hAnsi="仿宋" w:eastAsia="仿宋" w:cs="仿宋"/>
                <w:color w:val="auto"/>
                <w:szCs w:val="21"/>
                <w:highlight w:val="none"/>
              </w:rPr>
            </w:pPr>
          </w:p>
        </w:tc>
        <w:tc>
          <w:tcPr>
            <w:tcW w:w="2014" w:type="dxa"/>
            <w:vAlign w:val="center"/>
          </w:tcPr>
          <w:p>
            <w:pPr>
              <w:jc w:val="center"/>
              <w:rPr>
                <w:rFonts w:hint="eastAsia" w:ascii="仿宋" w:hAnsi="仿宋" w:eastAsia="仿宋" w:cs="仿宋"/>
                <w:color w:val="auto"/>
                <w:szCs w:val="21"/>
                <w:highlight w:val="none"/>
              </w:rPr>
            </w:pPr>
          </w:p>
        </w:tc>
        <w:tc>
          <w:tcPr>
            <w:tcW w:w="2322" w:type="dxa"/>
            <w:vAlign w:val="center"/>
          </w:tcPr>
          <w:p>
            <w:pPr>
              <w:jc w:val="center"/>
              <w:rPr>
                <w:rFonts w:hint="eastAsia" w:ascii="仿宋" w:hAnsi="仿宋" w:eastAsia="仿宋" w:cs="仿宋"/>
                <w:color w:val="auto"/>
                <w:szCs w:val="21"/>
                <w:highlight w:val="none"/>
              </w:rPr>
            </w:pPr>
          </w:p>
        </w:tc>
      </w:tr>
    </w:tbl>
    <w:p>
      <w:pPr>
        <w:pStyle w:val="5"/>
        <w:numPr>
          <w:ilvl w:val="0"/>
          <w:numId w:val="0"/>
        </w:numPr>
        <w:spacing w:line="360" w:lineRule="auto"/>
        <w:ind w:left="600"/>
        <w:jc w:val="center"/>
        <w:rPr>
          <w:rFonts w:hint="eastAsia" w:ascii="仿宋" w:hAnsi="仿宋" w:eastAsia="仿宋" w:cs="仿宋"/>
          <w:b/>
          <w:color w:val="auto"/>
          <w:highlight w:val="none"/>
        </w:rPr>
      </w:pPr>
      <w:bookmarkStart w:id="293" w:name="_Toc58006006"/>
      <w:r>
        <w:rPr>
          <w:rFonts w:hint="eastAsia" w:ascii="仿宋" w:hAnsi="仿宋" w:eastAsia="仿宋" w:cs="仿宋"/>
          <w:b/>
          <w:color w:val="auto"/>
          <w:highlight w:val="none"/>
        </w:rPr>
        <w:br w:type="page"/>
      </w:r>
      <w:bookmarkStart w:id="294" w:name="_Toc65829042"/>
      <w:bookmarkStart w:id="295" w:name="_Toc65676998"/>
      <w:r>
        <w:rPr>
          <w:rFonts w:hint="eastAsia" w:ascii="仿宋" w:hAnsi="仿宋" w:eastAsia="仿宋" w:cs="仿宋"/>
          <w:b/>
          <w:color w:val="auto"/>
          <w:highlight w:val="none"/>
        </w:rPr>
        <w:t>八、2019年</w:t>
      </w:r>
      <w:r>
        <w:rPr>
          <w:rFonts w:hint="eastAsia" w:ascii="仿宋" w:hAnsi="仿宋" w:eastAsia="仿宋" w:cs="仿宋"/>
          <w:b/>
          <w:color w:val="auto"/>
          <w:highlight w:val="none"/>
          <w:lang w:val="en-US" w:eastAsia="zh-CN"/>
        </w:rPr>
        <w:t>1</w:t>
      </w:r>
      <w:r>
        <w:rPr>
          <w:rFonts w:hint="eastAsia" w:ascii="仿宋" w:hAnsi="仿宋" w:eastAsia="仿宋" w:cs="仿宋"/>
          <w:b/>
          <w:color w:val="auto"/>
          <w:highlight w:val="none"/>
        </w:rPr>
        <w:t>月1日至响应文件递交截止之日止，供应商承接过</w:t>
      </w:r>
      <w:r>
        <w:rPr>
          <w:rFonts w:hint="eastAsia" w:ascii="仿宋" w:hAnsi="仿宋" w:eastAsia="仿宋" w:cs="仿宋"/>
          <w:b/>
          <w:color w:val="auto"/>
          <w:highlight w:val="none"/>
          <w:lang w:val="en-US" w:eastAsia="zh-CN"/>
        </w:rPr>
        <w:t>调查类</w:t>
      </w:r>
      <w:r>
        <w:rPr>
          <w:rFonts w:hint="eastAsia" w:ascii="仿宋" w:hAnsi="仿宋" w:eastAsia="仿宋" w:cs="仿宋"/>
          <w:b/>
          <w:color w:val="auto"/>
          <w:highlight w:val="none"/>
        </w:rPr>
        <w:t>项目的情况表</w:t>
      </w:r>
      <w:bookmarkEnd w:id="293"/>
      <w:bookmarkEnd w:id="294"/>
      <w:bookmarkEnd w:id="295"/>
    </w:p>
    <w:tbl>
      <w:tblPr>
        <w:tblStyle w:val="38"/>
        <w:tblW w:w="95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2"/>
        <w:gridCol w:w="1622"/>
        <w:gridCol w:w="1748"/>
        <w:gridCol w:w="1980"/>
        <w:gridCol w:w="1395"/>
        <w:gridCol w:w="1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1412" w:type="dxa"/>
            <w:vAlign w:val="center"/>
          </w:tcPr>
          <w:p>
            <w:pPr>
              <w:autoSpaceDE w:val="0"/>
              <w:autoSpaceDN w:val="0"/>
              <w:adjustRightInd w:val="0"/>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项目名称</w:t>
            </w:r>
          </w:p>
        </w:tc>
        <w:tc>
          <w:tcPr>
            <w:tcW w:w="1622" w:type="dxa"/>
            <w:vAlign w:val="center"/>
          </w:tcPr>
          <w:p>
            <w:pPr>
              <w:autoSpaceDE w:val="0"/>
              <w:autoSpaceDN w:val="0"/>
              <w:adjustRightInd w:val="0"/>
              <w:jc w:val="center"/>
              <w:rPr>
                <w:rFonts w:hint="eastAsia" w:ascii="仿宋" w:hAnsi="仿宋" w:eastAsia="仿宋" w:cs="仿宋"/>
                <w:color w:val="auto"/>
                <w:kern w:val="0"/>
                <w:szCs w:val="21"/>
                <w:highlight w:val="none"/>
              </w:rPr>
            </w:pPr>
            <w:r>
              <w:rPr>
                <w:rFonts w:hint="eastAsia" w:ascii="仿宋" w:hAnsi="仿宋" w:eastAsia="仿宋" w:cs="仿宋"/>
                <w:color w:val="auto"/>
                <w:szCs w:val="21"/>
                <w:highlight w:val="none"/>
              </w:rPr>
              <w:t>建设单位名称</w:t>
            </w:r>
          </w:p>
        </w:tc>
        <w:tc>
          <w:tcPr>
            <w:tcW w:w="1748" w:type="dxa"/>
            <w:vAlign w:val="center"/>
          </w:tcPr>
          <w:p>
            <w:pPr>
              <w:autoSpaceDE w:val="0"/>
              <w:autoSpaceDN w:val="0"/>
              <w:adjustRightInd w:val="0"/>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项目规模</w:t>
            </w:r>
          </w:p>
        </w:tc>
        <w:tc>
          <w:tcPr>
            <w:tcW w:w="1980" w:type="dxa"/>
            <w:vAlign w:val="center"/>
          </w:tcPr>
          <w:p>
            <w:pPr>
              <w:autoSpaceDE w:val="0"/>
              <w:autoSpaceDN w:val="0"/>
              <w:adjustRightInd w:val="0"/>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项目开始</w:t>
            </w:r>
          </w:p>
          <w:p>
            <w:pPr>
              <w:autoSpaceDE w:val="0"/>
              <w:autoSpaceDN w:val="0"/>
              <w:adjustRightInd w:val="0"/>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及完成时间</w:t>
            </w:r>
          </w:p>
        </w:tc>
        <w:tc>
          <w:tcPr>
            <w:tcW w:w="1395" w:type="dxa"/>
            <w:vAlign w:val="center"/>
          </w:tcPr>
          <w:p>
            <w:pPr>
              <w:snapToGrid w:val="0"/>
              <w:jc w:val="center"/>
              <w:textAlignment w:val="baseline"/>
              <w:rPr>
                <w:rFonts w:hint="eastAsia" w:ascii="仿宋" w:hAnsi="仿宋" w:eastAsia="仿宋" w:cs="仿宋"/>
                <w:color w:val="auto"/>
                <w:szCs w:val="21"/>
                <w:highlight w:val="none"/>
              </w:rPr>
            </w:pPr>
            <w:r>
              <w:rPr>
                <w:rFonts w:hint="eastAsia" w:ascii="仿宋" w:hAnsi="仿宋" w:eastAsia="仿宋" w:cs="仿宋"/>
                <w:color w:val="auto"/>
                <w:szCs w:val="21"/>
                <w:highlight w:val="none"/>
              </w:rPr>
              <w:t>项目团队</w:t>
            </w:r>
          </w:p>
          <w:p>
            <w:pPr>
              <w:snapToGrid w:val="0"/>
              <w:jc w:val="center"/>
              <w:textAlignment w:val="baseline"/>
              <w:rPr>
                <w:rFonts w:hint="eastAsia" w:ascii="仿宋" w:hAnsi="仿宋" w:eastAsia="仿宋" w:cs="仿宋"/>
                <w:color w:val="auto"/>
                <w:kern w:val="0"/>
                <w:szCs w:val="21"/>
                <w:highlight w:val="none"/>
              </w:rPr>
            </w:pPr>
            <w:r>
              <w:rPr>
                <w:rFonts w:hint="eastAsia" w:ascii="仿宋" w:hAnsi="仿宋" w:eastAsia="仿宋" w:cs="仿宋"/>
                <w:color w:val="auto"/>
                <w:szCs w:val="21"/>
                <w:highlight w:val="none"/>
              </w:rPr>
              <w:t>人数</w:t>
            </w:r>
          </w:p>
        </w:tc>
        <w:tc>
          <w:tcPr>
            <w:tcW w:w="1425" w:type="dxa"/>
            <w:vAlign w:val="center"/>
          </w:tcPr>
          <w:p>
            <w:pPr>
              <w:snapToGrid w:val="0"/>
              <w:jc w:val="both"/>
              <w:textAlignment w:val="baseline"/>
              <w:rPr>
                <w:rFonts w:hint="eastAsia" w:ascii="仿宋" w:hAnsi="仿宋" w:eastAsia="仿宋" w:cs="仿宋"/>
                <w:strike/>
                <w:dstrike w:val="0"/>
                <w:color w:val="FF0000"/>
                <w:kern w:val="0"/>
                <w:szCs w:val="21"/>
                <w:highlight w:val="none"/>
                <w:lang w:val="en-US" w:eastAsia="zh-CN"/>
              </w:rPr>
            </w:pPr>
            <w:r>
              <w:rPr>
                <w:rFonts w:hint="eastAsia" w:ascii="仿宋" w:hAnsi="仿宋" w:eastAsia="仿宋" w:cs="仿宋"/>
                <w:color w:val="auto"/>
                <w:szCs w:val="21"/>
                <w:highlight w:val="none"/>
                <w:lang w:val="en-US" w:eastAsia="zh-CN"/>
              </w:rPr>
              <w:t>业主联系人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1412" w:type="dxa"/>
            <w:vAlign w:val="center"/>
          </w:tcPr>
          <w:p>
            <w:pPr>
              <w:autoSpaceDE w:val="0"/>
              <w:autoSpaceDN w:val="0"/>
              <w:adjustRightInd w:val="0"/>
              <w:spacing w:line="360" w:lineRule="auto"/>
              <w:rPr>
                <w:rFonts w:hint="eastAsia" w:ascii="仿宋" w:hAnsi="仿宋" w:eastAsia="仿宋" w:cs="仿宋"/>
                <w:b/>
                <w:bCs/>
                <w:color w:val="auto"/>
                <w:kern w:val="0"/>
                <w:szCs w:val="21"/>
                <w:highlight w:val="none"/>
              </w:rPr>
            </w:pPr>
          </w:p>
        </w:tc>
        <w:tc>
          <w:tcPr>
            <w:tcW w:w="1622" w:type="dxa"/>
            <w:vAlign w:val="center"/>
          </w:tcPr>
          <w:p>
            <w:pPr>
              <w:autoSpaceDE w:val="0"/>
              <w:autoSpaceDN w:val="0"/>
              <w:adjustRightInd w:val="0"/>
              <w:spacing w:line="360" w:lineRule="auto"/>
              <w:rPr>
                <w:rFonts w:hint="eastAsia" w:ascii="仿宋" w:hAnsi="仿宋" w:eastAsia="仿宋" w:cs="仿宋"/>
                <w:b/>
                <w:bCs/>
                <w:color w:val="auto"/>
                <w:kern w:val="0"/>
                <w:szCs w:val="21"/>
                <w:highlight w:val="none"/>
              </w:rPr>
            </w:pPr>
          </w:p>
        </w:tc>
        <w:tc>
          <w:tcPr>
            <w:tcW w:w="1748" w:type="dxa"/>
            <w:vAlign w:val="center"/>
          </w:tcPr>
          <w:p>
            <w:pPr>
              <w:autoSpaceDE w:val="0"/>
              <w:autoSpaceDN w:val="0"/>
              <w:adjustRightInd w:val="0"/>
              <w:spacing w:line="360" w:lineRule="auto"/>
              <w:rPr>
                <w:rFonts w:hint="eastAsia" w:ascii="仿宋" w:hAnsi="仿宋" w:eastAsia="仿宋" w:cs="仿宋"/>
                <w:b/>
                <w:bCs/>
                <w:color w:val="auto"/>
                <w:kern w:val="0"/>
                <w:szCs w:val="21"/>
                <w:highlight w:val="none"/>
              </w:rPr>
            </w:pPr>
          </w:p>
        </w:tc>
        <w:tc>
          <w:tcPr>
            <w:tcW w:w="1980" w:type="dxa"/>
            <w:vAlign w:val="center"/>
          </w:tcPr>
          <w:p>
            <w:pPr>
              <w:autoSpaceDE w:val="0"/>
              <w:autoSpaceDN w:val="0"/>
              <w:adjustRightInd w:val="0"/>
              <w:spacing w:line="360" w:lineRule="auto"/>
              <w:rPr>
                <w:rFonts w:hint="eastAsia" w:ascii="仿宋" w:hAnsi="仿宋" w:eastAsia="仿宋" w:cs="仿宋"/>
                <w:b/>
                <w:bCs/>
                <w:color w:val="auto"/>
                <w:kern w:val="0"/>
                <w:szCs w:val="21"/>
                <w:highlight w:val="none"/>
              </w:rPr>
            </w:pPr>
          </w:p>
        </w:tc>
        <w:tc>
          <w:tcPr>
            <w:tcW w:w="1395" w:type="dxa"/>
            <w:vAlign w:val="center"/>
          </w:tcPr>
          <w:p>
            <w:pPr>
              <w:autoSpaceDE w:val="0"/>
              <w:autoSpaceDN w:val="0"/>
              <w:adjustRightInd w:val="0"/>
              <w:spacing w:line="360" w:lineRule="auto"/>
              <w:rPr>
                <w:rFonts w:hint="eastAsia" w:ascii="仿宋" w:hAnsi="仿宋" w:eastAsia="仿宋" w:cs="仿宋"/>
                <w:b/>
                <w:bCs/>
                <w:color w:val="auto"/>
                <w:kern w:val="0"/>
                <w:szCs w:val="21"/>
                <w:highlight w:val="none"/>
              </w:rPr>
            </w:pPr>
          </w:p>
        </w:tc>
        <w:tc>
          <w:tcPr>
            <w:tcW w:w="1425" w:type="dxa"/>
            <w:vAlign w:val="center"/>
          </w:tcPr>
          <w:p>
            <w:pPr>
              <w:autoSpaceDE w:val="0"/>
              <w:autoSpaceDN w:val="0"/>
              <w:adjustRightInd w:val="0"/>
              <w:spacing w:line="360" w:lineRule="auto"/>
              <w:rPr>
                <w:rFonts w:hint="eastAsia" w:ascii="仿宋" w:hAnsi="仿宋" w:eastAsia="仿宋" w:cs="仿宋"/>
                <w:b/>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1412" w:type="dxa"/>
            <w:vAlign w:val="center"/>
          </w:tcPr>
          <w:p>
            <w:pPr>
              <w:autoSpaceDE w:val="0"/>
              <w:autoSpaceDN w:val="0"/>
              <w:adjustRightInd w:val="0"/>
              <w:spacing w:line="360" w:lineRule="auto"/>
              <w:rPr>
                <w:rFonts w:hint="eastAsia" w:ascii="仿宋" w:hAnsi="仿宋" w:eastAsia="仿宋" w:cs="仿宋"/>
                <w:b/>
                <w:bCs/>
                <w:color w:val="auto"/>
                <w:kern w:val="0"/>
                <w:szCs w:val="21"/>
                <w:highlight w:val="none"/>
              </w:rPr>
            </w:pPr>
          </w:p>
        </w:tc>
        <w:tc>
          <w:tcPr>
            <w:tcW w:w="1622" w:type="dxa"/>
            <w:vAlign w:val="center"/>
          </w:tcPr>
          <w:p>
            <w:pPr>
              <w:autoSpaceDE w:val="0"/>
              <w:autoSpaceDN w:val="0"/>
              <w:adjustRightInd w:val="0"/>
              <w:spacing w:line="360" w:lineRule="auto"/>
              <w:rPr>
                <w:rFonts w:hint="eastAsia" w:ascii="仿宋" w:hAnsi="仿宋" w:eastAsia="仿宋" w:cs="仿宋"/>
                <w:b/>
                <w:bCs/>
                <w:color w:val="auto"/>
                <w:kern w:val="0"/>
                <w:szCs w:val="21"/>
                <w:highlight w:val="none"/>
              </w:rPr>
            </w:pPr>
          </w:p>
        </w:tc>
        <w:tc>
          <w:tcPr>
            <w:tcW w:w="1748" w:type="dxa"/>
            <w:vAlign w:val="center"/>
          </w:tcPr>
          <w:p>
            <w:pPr>
              <w:autoSpaceDE w:val="0"/>
              <w:autoSpaceDN w:val="0"/>
              <w:adjustRightInd w:val="0"/>
              <w:spacing w:line="360" w:lineRule="auto"/>
              <w:rPr>
                <w:rFonts w:hint="eastAsia" w:ascii="仿宋" w:hAnsi="仿宋" w:eastAsia="仿宋" w:cs="仿宋"/>
                <w:b/>
                <w:bCs/>
                <w:color w:val="auto"/>
                <w:kern w:val="0"/>
                <w:szCs w:val="21"/>
                <w:highlight w:val="none"/>
              </w:rPr>
            </w:pPr>
          </w:p>
        </w:tc>
        <w:tc>
          <w:tcPr>
            <w:tcW w:w="1980" w:type="dxa"/>
            <w:vAlign w:val="center"/>
          </w:tcPr>
          <w:p>
            <w:pPr>
              <w:autoSpaceDE w:val="0"/>
              <w:autoSpaceDN w:val="0"/>
              <w:adjustRightInd w:val="0"/>
              <w:spacing w:line="360" w:lineRule="auto"/>
              <w:rPr>
                <w:rFonts w:hint="eastAsia" w:ascii="仿宋" w:hAnsi="仿宋" w:eastAsia="仿宋" w:cs="仿宋"/>
                <w:b/>
                <w:bCs/>
                <w:color w:val="auto"/>
                <w:kern w:val="0"/>
                <w:szCs w:val="21"/>
                <w:highlight w:val="none"/>
              </w:rPr>
            </w:pPr>
          </w:p>
        </w:tc>
        <w:tc>
          <w:tcPr>
            <w:tcW w:w="1395" w:type="dxa"/>
            <w:vAlign w:val="center"/>
          </w:tcPr>
          <w:p>
            <w:pPr>
              <w:autoSpaceDE w:val="0"/>
              <w:autoSpaceDN w:val="0"/>
              <w:adjustRightInd w:val="0"/>
              <w:spacing w:line="360" w:lineRule="auto"/>
              <w:rPr>
                <w:rFonts w:hint="eastAsia" w:ascii="仿宋" w:hAnsi="仿宋" w:eastAsia="仿宋" w:cs="仿宋"/>
                <w:b/>
                <w:bCs/>
                <w:color w:val="auto"/>
                <w:kern w:val="0"/>
                <w:szCs w:val="21"/>
                <w:highlight w:val="none"/>
              </w:rPr>
            </w:pPr>
          </w:p>
        </w:tc>
        <w:tc>
          <w:tcPr>
            <w:tcW w:w="1425" w:type="dxa"/>
            <w:vAlign w:val="center"/>
          </w:tcPr>
          <w:p>
            <w:pPr>
              <w:autoSpaceDE w:val="0"/>
              <w:autoSpaceDN w:val="0"/>
              <w:adjustRightInd w:val="0"/>
              <w:spacing w:line="360" w:lineRule="auto"/>
              <w:rPr>
                <w:rFonts w:hint="eastAsia" w:ascii="仿宋" w:hAnsi="仿宋" w:eastAsia="仿宋" w:cs="仿宋"/>
                <w:b/>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1412" w:type="dxa"/>
            <w:vAlign w:val="center"/>
          </w:tcPr>
          <w:p>
            <w:pPr>
              <w:autoSpaceDE w:val="0"/>
              <w:autoSpaceDN w:val="0"/>
              <w:adjustRightInd w:val="0"/>
              <w:spacing w:line="360" w:lineRule="auto"/>
              <w:rPr>
                <w:rFonts w:hint="eastAsia" w:ascii="仿宋" w:hAnsi="仿宋" w:eastAsia="仿宋" w:cs="仿宋"/>
                <w:b/>
                <w:bCs/>
                <w:color w:val="auto"/>
                <w:kern w:val="0"/>
                <w:szCs w:val="21"/>
                <w:highlight w:val="none"/>
              </w:rPr>
            </w:pPr>
          </w:p>
        </w:tc>
        <w:tc>
          <w:tcPr>
            <w:tcW w:w="1622" w:type="dxa"/>
            <w:vAlign w:val="center"/>
          </w:tcPr>
          <w:p>
            <w:pPr>
              <w:autoSpaceDE w:val="0"/>
              <w:autoSpaceDN w:val="0"/>
              <w:adjustRightInd w:val="0"/>
              <w:spacing w:line="360" w:lineRule="auto"/>
              <w:rPr>
                <w:rFonts w:hint="eastAsia" w:ascii="仿宋" w:hAnsi="仿宋" w:eastAsia="仿宋" w:cs="仿宋"/>
                <w:b/>
                <w:bCs/>
                <w:color w:val="auto"/>
                <w:kern w:val="0"/>
                <w:szCs w:val="21"/>
                <w:highlight w:val="none"/>
              </w:rPr>
            </w:pPr>
          </w:p>
        </w:tc>
        <w:tc>
          <w:tcPr>
            <w:tcW w:w="1748" w:type="dxa"/>
            <w:vAlign w:val="center"/>
          </w:tcPr>
          <w:p>
            <w:pPr>
              <w:autoSpaceDE w:val="0"/>
              <w:autoSpaceDN w:val="0"/>
              <w:adjustRightInd w:val="0"/>
              <w:spacing w:line="360" w:lineRule="auto"/>
              <w:rPr>
                <w:rFonts w:hint="eastAsia" w:ascii="仿宋" w:hAnsi="仿宋" w:eastAsia="仿宋" w:cs="仿宋"/>
                <w:b/>
                <w:bCs/>
                <w:color w:val="auto"/>
                <w:kern w:val="0"/>
                <w:szCs w:val="21"/>
                <w:highlight w:val="none"/>
              </w:rPr>
            </w:pPr>
          </w:p>
        </w:tc>
        <w:tc>
          <w:tcPr>
            <w:tcW w:w="1980" w:type="dxa"/>
            <w:vAlign w:val="center"/>
          </w:tcPr>
          <w:p>
            <w:pPr>
              <w:autoSpaceDE w:val="0"/>
              <w:autoSpaceDN w:val="0"/>
              <w:adjustRightInd w:val="0"/>
              <w:spacing w:line="360" w:lineRule="auto"/>
              <w:rPr>
                <w:rFonts w:hint="eastAsia" w:ascii="仿宋" w:hAnsi="仿宋" w:eastAsia="仿宋" w:cs="仿宋"/>
                <w:b/>
                <w:bCs/>
                <w:color w:val="auto"/>
                <w:kern w:val="0"/>
                <w:szCs w:val="21"/>
                <w:highlight w:val="none"/>
              </w:rPr>
            </w:pPr>
          </w:p>
        </w:tc>
        <w:tc>
          <w:tcPr>
            <w:tcW w:w="1395" w:type="dxa"/>
            <w:vAlign w:val="center"/>
          </w:tcPr>
          <w:p>
            <w:pPr>
              <w:autoSpaceDE w:val="0"/>
              <w:autoSpaceDN w:val="0"/>
              <w:adjustRightInd w:val="0"/>
              <w:spacing w:line="360" w:lineRule="auto"/>
              <w:rPr>
                <w:rFonts w:hint="eastAsia" w:ascii="仿宋" w:hAnsi="仿宋" w:eastAsia="仿宋" w:cs="仿宋"/>
                <w:b/>
                <w:bCs/>
                <w:color w:val="auto"/>
                <w:kern w:val="0"/>
                <w:szCs w:val="21"/>
                <w:highlight w:val="none"/>
              </w:rPr>
            </w:pPr>
          </w:p>
        </w:tc>
        <w:tc>
          <w:tcPr>
            <w:tcW w:w="1425" w:type="dxa"/>
            <w:vAlign w:val="center"/>
          </w:tcPr>
          <w:p>
            <w:pPr>
              <w:autoSpaceDE w:val="0"/>
              <w:autoSpaceDN w:val="0"/>
              <w:adjustRightInd w:val="0"/>
              <w:spacing w:line="360" w:lineRule="auto"/>
              <w:rPr>
                <w:rFonts w:hint="eastAsia" w:ascii="仿宋" w:hAnsi="仿宋" w:eastAsia="仿宋" w:cs="仿宋"/>
                <w:b/>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1412" w:type="dxa"/>
            <w:vAlign w:val="center"/>
          </w:tcPr>
          <w:p>
            <w:pPr>
              <w:autoSpaceDE w:val="0"/>
              <w:autoSpaceDN w:val="0"/>
              <w:adjustRightInd w:val="0"/>
              <w:spacing w:line="360" w:lineRule="auto"/>
              <w:rPr>
                <w:rFonts w:hint="eastAsia" w:ascii="仿宋" w:hAnsi="仿宋" w:eastAsia="仿宋" w:cs="仿宋"/>
                <w:b/>
                <w:bCs/>
                <w:color w:val="auto"/>
                <w:kern w:val="0"/>
                <w:szCs w:val="21"/>
                <w:highlight w:val="none"/>
              </w:rPr>
            </w:pPr>
          </w:p>
        </w:tc>
        <w:tc>
          <w:tcPr>
            <w:tcW w:w="1622" w:type="dxa"/>
            <w:vAlign w:val="center"/>
          </w:tcPr>
          <w:p>
            <w:pPr>
              <w:autoSpaceDE w:val="0"/>
              <w:autoSpaceDN w:val="0"/>
              <w:adjustRightInd w:val="0"/>
              <w:spacing w:line="360" w:lineRule="auto"/>
              <w:rPr>
                <w:rFonts w:hint="eastAsia" w:ascii="仿宋" w:hAnsi="仿宋" w:eastAsia="仿宋" w:cs="仿宋"/>
                <w:b/>
                <w:bCs/>
                <w:color w:val="auto"/>
                <w:kern w:val="0"/>
                <w:szCs w:val="21"/>
                <w:highlight w:val="none"/>
              </w:rPr>
            </w:pPr>
          </w:p>
        </w:tc>
        <w:tc>
          <w:tcPr>
            <w:tcW w:w="1748" w:type="dxa"/>
            <w:vAlign w:val="center"/>
          </w:tcPr>
          <w:p>
            <w:pPr>
              <w:autoSpaceDE w:val="0"/>
              <w:autoSpaceDN w:val="0"/>
              <w:adjustRightInd w:val="0"/>
              <w:spacing w:line="360" w:lineRule="auto"/>
              <w:rPr>
                <w:rFonts w:hint="eastAsia" w:ascii="仿宋" w:hAnsi="仿宋" w:eastAsia="仿宋" w:cs="仿宋"/>
                <w:b/>
                <w:bCs/>
                <w:color w:val="auto"/>
                <w:kern w:val="0"/>
                <w:szCs w:val="21"/>
                <w:highlight w:val="none"/>
              </w:rPr>
            </w:pPr>
          </w:p>
        </w:tc>
        <w:tc>
          <w:tcPr>
            <w:tcW w:w="1980" w:type="dxa"/>
            <w:vAlign w:val="center"/>
          </w:tcPr>
          <w:p>
            <w:pPr>
              <w:autoSpaceDE w:val="0"/>
              <w:autoSpaceDN w:val="0"/>
              <w:adjustRightInd w:val="0"/>
              <w:spacing w:line="360" w:lineRule="auto"/>
              <w:rPr>
                <w:rFonts w:hint="eastAsia" w:ascii="仿宋" w:hAnsi="仿宋" w:eastAsia="仿宋" w:cs="仿宋"/>
                <w:b/>
                <w:bCs/>
                <w:color w:val="auto"/>
                <w:kern w:val="0"/>
                <w:szCs w:val="21"/>
                <w:highlight w:val="none"/>
              </w:rPr>
            </w:pPr>
          </w:p>
        </w:tc>
        <w:tc>
          <w:tcPr>
            <w:tcW w:w="1395" w:type="dxa"/>
            <w:vAlign w:val="center"/>
          </w:tcPr>
          <w:p>
            <w:pPr>
              <w:autoSpaceDE w:val="0"/>
              <w:autoSpaceDN w:val="0"/>
              <w:adjustRightInd w:val="0"/>
              <w:spacing w:line="360" w:lineRule="auto"/>
              <w:rPr>
                <w:rFonts w:hint="eastAsia" w:ascii="仿宋" w:hAnsi="仿宋" w:eastAsia="仿宋" w:cs="仿宋"/>
                <w:b/>
                <w:bCs/>
                <w:color w:val="auto"/>
                <w:kern w:val="0"/>
                <w:szCs w:val="21"/>
                <w:highlight w:val="none"/>
              </w:rPr>
            </w:pPr>
          </w:p>
        </w:tc>
        <w:tc>
          <w:tcPr>
            <w:tcW w:w="1425" w:type="dxa"/>
            <w:vAlign w:val="center"/>
          </w:tcPr>
          <w:p>
            <w:pPr>
              <w:autoSpaceDE w:val="0"/>
              <w:autoSpaceDN w:val="0"/>
              <w:adjustRightInd w:val="0"/>
              <w:spacing w:line="360" w:lineRule="auto"/>
              <w:rPr>
                <w:rFonts w:hint="eastAsia" w:ascii="仿宋" w:hAnsi="仿宋" w:eastAsia="仿宋" w:cs="仿宋"/>
                <w:b/>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1412" w:type="dxa"/>
            <w:vAlign w:val="center"/>
          </w:tcPr>
          <w:p>
            <w:pPr>
              <w:autoSpaceDE w:val="0"/>
              <w:autoSpaceDN w:val="0"/>
              <w:adjustRightInd w:val="0"/>
              <w:spacing w:line="360" w:lineRule="auto"/>
              <w:rPr>
                <w:rFonts w:hint="eastAsia" w:ascii="仿宋" w:hAnsi="仿宋" w:eastAsia="仿宋" w:cs="仿宋"/>
                <w:b/>
                <w:bCs/>
                <w:color w:val="auto"/>
                <w:kern w:val="0"/>
                <w:szCs w:val="21"/>
                <w:highlight w:val="none"/>
              </w:rPr>
            </w:pPr>
          </w:p>
        </w:tc>
        <w:tc>
          <w:tcPr>
            <w:tcW w:w="1622" w:type="dxa"/>
            <w:vAlign w:val="center"/>
          </w:tcPr>
          <w:p>
            <w:pPr>
              <w:autoSpaceDE w:val="0"/>
              <w:autoSpaceDN w:val="0"/>
              <w:adjustRightInd w:val="0"/>
              <w:spacing w:line="360" w:lineRule="auto"/>
              <w:rPr>
                <w:rFonts w:hint="eastAsia" w:ascii="仿宋" w:hAnsi="仿宋" w:eastAsia="仿宋" w:cs="仿宋"/>
                <w:b/>
                <w:bCs/>
                <w:color w:val="auto"/>
                <w:kern w:val="0"/>
                <w:szCs w:val="21"/>
                <w:highlight w:val="none"/>
              </w:rPr>
            </w:pPr>
          </w:p>
        </w:tc>
        <w:tc>
          <w:tcPr>
            <w:tcW w:w="1748" w:type="dxa"/>
            <w:vAlign w:val="center"/>
          </w:tcPr>
          <w:p>
            <w:pPr>
              <w:autoSpaceDE w:val="0"/>
              <w:autoSpaceDN w:val="0"/>
              <w:adjustRightInd w:val="0"/>
              <w:spacing w:line="360" w:lineRule="auto"/>
              <w:rPr>
                <w:rFonts w:hint="eastAsia" w:ascii="仿宋" w:hAnsi="仿宋" w:eastAsia="仿宋" w:cs="仿宋"/>
                <w:b/>
                <w:bCs/>
                <w:color w:val="auto"/>
                <w:kern w:val="0"/>
                <w:szCs w:val="21"/>
                <w:highlight w:val="none"/>
              </w:rPr>
            </w:pPr>
          </w:p>
        </w:tc>
        <w:tc>
          <w:tcPr>
            <w:tcW w:w="1980" w:type="dxa"/>
            <w:vAlign w:val="center"/>
          </w:tcPr>
          <w:p>
            <w:pPr>
              <w:autoSpaceDE w:val="0"/>
              <w:autoSpaceDN w:val="0"/>
              <w:adjustRightInd w:val="0"/>
              <w:spacing w:line="360" w:lineRule="auto"/>
              <w:rPr>
                <w:rFonts w:hint="eastAsia" w:ascii="仿宋" w:hAnsi="仿宋" w:eastAsia="仿宋" w:cs="仿宋"/>
                <w:b/>
                <w:bCs/>
                <w:color w:val="auto"/>
                <w:kern w:val="0"/>
                <w:szCs w:val="21"/>
                <w:highlight w:val="none"/>
              </w:rPr>
            </w:pPr>
          </w:p>
        </w:tc>
        <w:tc>
          <w:tcPr>
            <w:tcW w:w="1395" w:type="dxa"/>
            <w:vAlign w:val="center"/>
          </w:tcPr>
          <w:p>
            <w:pPr>
              <w:autoSpaceDE w:val="0"/>
              <w:autoSpaceDN w:val="0"/>
              <w:adjustRightInd w:val="0"/>
              <w:spacing w:line="360" w:lineRule="auto"/>
              <w:rPr>
                <w:rFonts w:hint="eastAsia" w:ascii="仿宋" w:hAnsi="仿宋" w:eastAsia="仿宋" w:cs="仿宋"/>
                <w:b/>
                <w:bCs/>
                <w:color w:val="auto"/>
                <w:kern w:val="0"/>
                <w:szCs w:val="21"/>
                <w:highlight w:val="none"/>
              </w:rPr>
            </w:pPr>
          </w:p>
        </w:tc>
        <w:tc>
          <w:tcPr>
            <w:tcW w:w="1425" w:type="dxa"/>
            <w:vAlign w:val="center"/>
          </w:tcPr>
          <w:p>
            <w:pPr>
              <w:autoSpaceDE w:val="0"/>
              <w:autoSpaceDN w:val="0"/>
              <w:adjustRightInd w:val="0"/>
              <w:spacing w:line="360" w:lineRule="auto"/>
              <w:rPr>
                <w:rFonts w:hint="eastAsia" w:ascii="仿宋" w:hAnsi="仿宋" w:eastAsia="仿宋" w:cs="仿宋"/>
                <w:b/>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1412" w:type="dxa"/>
            <w:vAlign w:val="center"/>
          </w:tcPr>
          <w:p>
            <w:pPr>
              <w:autoSpaceDE w:val="0"/>
              <w:autoSpaceDN w:val="0"/>
              <w:adjustRightInd w:val="0"/>
              <w:spacing w:line="360" w:lineRule="auto"/>
              <w:rPr>
                <w:rFonts w:hint="eastAsia" w:ascii="仿宋" w:hAnsi="仿宋" w:eastAsia="仿宋" w:cs="仿宋"/>
                <w:b/>
                <w:bCs/>
                <w:color w:val="auto"/>
                <w:kern w:val="0"/>
                <w:szCs w:val="21"/>
                <w:highlight w:val="none"/>
              </w:rPr>
            </w:pPr>
          </w:p>
        </w:tc>
        <w:tc>
          <w:tcPr>
            <w:tcW w:w="1622" w:type="dxa"/>
            <w:vAlign w:val="center"/>
          </w:tcPr>
          <w:p>
            <w:pPr>
              <w:autoSpaceDE w:val="0"/>
              <w:autoSpaceDN w:val="0"/>
              <w:adjustRightInd w:val="0"/>
              <w:spacing w:line="360" w:lineRule="auto"/>
              <w:rPr>
                <w:rFonts w:hint="eastAsia" w:ascii="仿宋" w:hAnsi="仿宋" w:eastAsia="仿宋" w:cs="仿宋"/>
                <w:b/>
                <w:bCs/>
                <w:color w:val="auto"/>
                <w:kern w:val="0"/>
                <w:szCs w:val="21"/>
                <w:highlight w:val="none"/>
              </w:rPr>
            </w:pPr>
          </w:p>
        </w:tc>
        <w:tc>
          <w:tcPr>
            <w:tcW w:w="1748" w:type="dxa"/>
            <w:vAlign w:val="center"/>
          </w:tcPr>
          <w:p>
            <w:pPr>
              <w:autoSpaceDE w:val="0"/>
              <w:autoSpaceDN w:val="0"/>
              <w:adjustRightInd w:val="0"/>
              <w:spacing w:line="360" w:lineRule="auto"/>
              <w:rPr>
                <w:rFonts w:hint="eastAsia" w:ascii="仿宋" w:hAnsi="仿宋" w:eastAsia="仿宋" w:cs="仿宋"/>
                <w:b/>
                <w:bCs/>
                <w:color w:val="auto"/>
                <w:kern w:val="0"/>
                <w:szCs w:val="21"/>
                <w:highlight w:val="none"/>
              </w:rPr>
            </w:pPr>
          </w:p>
        </w:tc>
        <w:tc>
          <w:tcPr>
            <w:tcW w:w="1980" w:type="dxa"/>
            <w:vAlign w:val="center"/>
          </w:tcPr>
          <w:p>
            <w:pPr>
              <w:autoSpaceDE w:val="0"/>
              <w:autoSpaceDN w:val="0"/>
              <w:adjustRightInd w:val="0"/>
              <w:spacing w:line="360" w:lineRule="auto"/>
              <w:rPr>
                <w:rFonts w:hint="eastAsia" w:ascii="仿宋" w:hAnsi="仿宋" w:eastAsia="仿宋" w:cs="仿宋"/>
                <w:b/>
                <w:bCs/>
                <w:color w:val="auto"/>
                <w:kern w:val="0"/>
                <w:szCs w:val="21"/>
                <w:highlight w:val="none"/>
              </w:rPr>
            </w:pPr>
          </w:p>
        </w:tc>
        <w:tc>
          <w:tcPr>
            <w:tcW w:w="1395" w:type="dxa"/>
            <w:vAlign w:val="center"/>
          </w:tcPr>
          <w:p>
            <w:pPr>
              <w:autoSpaceDE w:val="0"/>
              <w:autoSpaceDN w:val="0"/>
              <w:adjustRightInd w:val="0"/>
              <w:spacing w:line="360" w:lineRule="auto"/>
              <w:rPr>
                <w:rFonts w:hint="eastAsia" w:ascii="仿宋" w:hAnsi="仿宋" w:eastAsia="仿宋" w:cs="仿宋"/>
                <w:b/>
                <w:bCs/>
                <w:color w:val="auto"/>
                <w:kern w:val="0"/>
                <w:szCs w:val="21"/>
                <w:highlight w:val="none"/>
              </w:rPr>
            </w:pPr>
          </w:p>
        </w:tc>
        <w:tc>
          <w:tcPr>
            <w:tcW w:w="1425" w:type="dxa"/>
            <w:vAlign w:val="center"/>
          </w:tcPr>
          <w:p>
            <w:pPr>
              <w:autoSpaceDE w:val="0"/>
              <w:autoSpaceDN w:val="0"/>
              <w:adjustRightInd w:val="0"/>
              <w:spacing w:line="360" w:lineRule="auto"/>
              <w:rPr>
                <w:rFonts w:hint="eastAsia" w:ascii="仿宋" w:hAnsi="仿宋" w:eastAsia="仿宋" w:cs="仿宋"/>
                <w:b/>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1412" w:type="dxa"/>
            <w:vAlign w:val="center"/>
          </w:tcPr>
          <w:p>
            <w:pPr>
              <w:autoSpaceDE w:val="0"/>
              <w:autoSpaceDN w:val="0"/>
              <w:adjustRightInd w:val="0"/>
              <w:spacing w:line="360" w:lineRule="auto"/>
              <w:rPr>
                <w:rFonts w:hint="eastAsia" w:ascii="仿宋" w:hAnsi="仿宋" w:eastAsia="仿宋" w:cs="仿宋"/>
                <w:b/>
                <w:bCs/>
                <w:color w:val="auto"/>
                <w:kern w:val="0"/>
                <w:szCs w:val="21"/>
                <w:highlight w:val="none"/>
              </w:rPr>
            </w:pPr>
          </w:p>
        </w:tc>
        <w:tc>
          <w:tcPr>
            <w:tcW w:w="1622" w:type="dxa"/>
            <w:vAlign w:val="center"/>
          </w:tcPr>
          <w:p>
            <w:pPr>
              <w:autoSpaceDE w:val="0"/>
              <w:autoSpaceDN w:val="0"/>
              <w:adjustRightInd w:val="0"/>
              <w:spacing w:line="360" w:lineRule="auto"/>
              <w:rPr>
                <w:rFonts w:hint="eastAsia" w:ascii="仿宋" w:hAnsi="仿宋" w:eastAsia="仿宋" w:cs="仿宋"/>
                <w:b/>
                <w:bCs/>
                <w:color w:val="auto"/>
                <w:kern w:val="0"/>
                <w:szCs w:val="21"/>
                <w:highlight w:val="none"/>
              </w:rPr>
            </w:pPr>
          </w:p>
        </w:tc>
        <w:tc>
          <w:tcPr>
            <w:tcW w:w="1748" w:type="dxa"/>
            <w:vAlign w:val="center"/>
          </w:tcPr>
          <w:p>
            <w:pPr>
              <w:autoSpaceDE w:val="0"/>
              <w:autoSpaceDN w:val="0"/>
              <w:adjustRightInd w:val="0"/>
              <w:spacing w:line="360" w:lineRule="auto"/>
              <w:rPr>
                <w:rFonts w:hint="eastAsia" w:ascii="仿宋" w:hAnsi="仿宋" w:eastAsia="仿宋" w:cs="仿宋"/>
                <w:b/>
                <w:bCs/>
                <w:color w:val="auto"/>
                <w:kern w:val="0"/>
                <w:szCs w:val="21"/>
                <w:highlight w:val="none"/>
              </w:rPr>
            </w:pPr>
          </w:p>
        </w:tc>
        <w:tc>
          <w:tcPr>
            <w:tcW w:w="1980" w:type="dxa"/>
            <w:vAlign w:val="center"/>
          </w:tcPr>
          <w:p>
            <w:pPr>
              <w:autoSpaceDE w:val="0"/>
              <w:autoSpaceDN w:val="0"/>
              <w:adjustRightInd w:val="0"/>
              <w:spacing w:line="360" w:lineRule="auto"/>
              <w:rPr>
                <w:rFonts w:hint="eastAsia" w:ascii="仿宋" w:hAnsi="仿宋" w:eastAsia="仿宋" w:cs="仿宋"/>
                <w:b/>
                <w:bCs/>
                <w:color w:val="auto"/>
                <w:kern w:val="0"/>
                <w:szCs w:val="21"/>
                <w:highlight w:val="none"/>
              </w:rPr>
            </w:pPr>
          </w:p>
        </w:tc>
        <w:tc>
          <w:tcPr>
            <w:tcW w:w="1395" w:type="dxa"/>
            <w:vAlign w:val="center"/>
          </w:tcPr>
          <w:p>
            <w:pPr>
              <w:autoSpaceDE w:val="0"/>
              <w:autoSpaceDN w:val="0"/>
              <w:adjustRightInd w:val="0"/>
              <w:spacing w:line="360" w:lineRule="auto"/>
              <w:rPr>
                <w:rFonts w:hint="eastAsia" w:ascii="仿宋" w:hAnsi="仿宋" w:eastAsia="仿宋" w:cs="仿宋"/>
                <w:b/>
                <w:bCs/>
                <w:color w:val="auto"/>
                <w:kern w:val="0"/>
                <w:szCs w:val="21"/>
                <w:highlight w:val="none"/>
              </w:rPr>
            </w:pPr>
          </w:p>
        </w:tc>
        <w:tc>
          <w:tcPr>
            <w:tcW w:w="1425" w:type="dxa"/>
            <w:vAlign w:val="center"/>
          </w:tcPr>
          <w:p>
            <w:pPr>
              <w:autoSpaceDE w:val="0"/>
              <w:autoSpaceDN w:val="0"/>
              <w:adjustRightInd w:val="0"/>
              <w:spacing w:line="360" w:lineRule="auto"/>
              <w:rPr>
                <w:rFonts w:hint="eastAsia" w:ascii="仿宋" w:hAnsi="仿宋" w:eastAsia="仿宋" w:cs="仿宋"/>
                <w:b/>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1412" w:type="dxa"/>
            <w:vAlign w:val="center"/>
          </w:tcPr>
          <w:p>
            <w:pPr>
              <w:autoSpaceDE w:val="0"/>
              <w:autoSpaceDN w:val="0"/>
              <w:adjustRightInd w:val="0"/>
              <w:spacing w:line="360" w:lineRule="auto"/>
              <w:rPr>
                <w:rFonts w:hint="eastAsia" w:ascii="仿宋" w:hAnsi="仿宋" w:eastAsia="仿宋" w:cs="仿宋"/>
                <w:b/>
                <w:bCs/>
                <w:color w:val="auto"/>
                <w:kern w:val="0"/>
                <w:szCs w:val="21"/>
                <w:highlight w:val="none"/>
              </w:rPr>
            </w:pPr>
          </w:p>
        </w:tc>
        <w:tc>
          <w:tcPr>
            <w:tcW w:w="1622" w:type="dxa"/>
            <w:vAlign w:val="center"/>
          </w:tcPr>
          <w:p>
            <w:pPr>
              <w:autoSpaceDE w:val="0"/>
              <w:autoSpaceDN w:val="0"/>
              <w:adjustRightInd w:val="0"/>
              <w:spacing w:line="360" w:lineRule="auto"/>
              <w:rPr>
                <w:rFonts w:hint="eastAsia" w:ascii="仿宋" w:hAnsi="仿宋" w:eastAsia="仿宋" w:cs="仿宋"/>
                <w:b/>
                <w:bCs/>
                <w:color w:val="auto"/>
                <w:kern w:val="0"/>
                <w:szCs w:val="21"/>
                <w:highlight w:val="none"/>
              </w:rPr>
            </w:pPr>
          </w:p>
        </w:tc>
        <w:tc>
          <w:tcPr>
            <w:tcW w:w="1748" w:type="dxa"/>
            <w:vAlign w:val="center"/>
          </w:tcPr>
          <w:p>
            <w:pPr>
              <w:autoSpaceDE w:val="0"/>
              <w:autoSpaceDN w:val="0"/>
              <w:adjustRightInd w:val="0"/>
              <w:spacing w:line="360" w:lineRule="auto"/>
              <w:rPr>
                <w:rFonts w:hint="eastAsia" w:ascii="仿宋" w:hAnsi="仿宋" w:eastAsia="仿宋" w:cs="仿宋"/>
                <w:b/>
                <w:bCs/>
                <w:color w:val="auto"/>
                <w:kern w:val="0"/>
                <w:szCs w:val="21"/>
                <w:highlight w:val="none"/>
              </w:rPr>
            </w:pPr>
          </w:p>
        </w:tc>
        <w:tc>
          <w:tcPr>
            <w:tcW w:w="1980" w:type="dxa"/>
            <w:vAlign w:val="center"/>
          </w:tcPr>
          <w:p>
            <w:pPr>
              <w:autoSpaceDE w:val="0"/>
              <w:autoSpaceDN w:val="0"/>
              <w:adjustRightInd w:val="0"/>
              <w:spacing w:line="360" w:lineRule="auto"/>
              <w:rPr>
                <w:rFonts w:hint="eastAsia" w:ascii="仿宋" w:hAnsi="仿宋" w:eastAsia="仿宋" w:cs="仿宋"/>
                <w:b/>
                <w:bCs/>
                <w:color w:val="auto"/>
                <w:kern w:val="0"/>
                <w:szCs w:val="21"/>
                <w:highlight w:val="none"/>
              </w:rPr>
            </w:pPr>
          </w:p>
        </w:tc>
        <w:tc>
          <w:tcPr>
            <w:tcW w:w="1395" w:type="dxa"/>
            <w:vAlign w:val="center"/>
          </w:tcPr>
          <w:p>
            <w:pPr>
              <w:autoSpaceDE w:val="0"/>
              <w:autoSpaceDN w:val="0"/>
              <w:adjustRightInd w:val="0"/>
              <w:spacing w:line="360" w:lineRule="auto"/>
              <w:rPr>
                <w:rFonts w:hint="eastAsia" w:ascii="仿宋" w:hAnsi="仿宋" w:eastAsia="仿宋" w:cs="仿宋"/>
                <w:b/>
                <w:bCs/>
                <w:color w:val="auto"/>
                <w:kern w:val="0"/>
                <w:szCs w:val="21"/>
                <w:highlight w:val="none"/>
              </w:rPr>
            </w:pPr>
          </w:p>
        </w:tc>
        <w:tc>
          <w:tcPr>
            <w:tcW w:w="1425" w:type="dxa"/>
            <w:vAlign w:val="center"/>
          </w:tcPr>
          <w:p>
            <w:pPr>
              <w:autoSpaceDE w:val="0"/>
              <w:autoSpaceDN w:val="0"/>
              <w:adjustRightInd w:val="0"/>
              <w:spacing w:line="360" w:lineRule="auto"/>
              <w:rPr>
                <w:rFonts w:hint="eastAsia" w:ascii="仿宋" w:hAnsi="仿宋" w:eastAsia="仿宋" w:cs="仿宋"/>
                <w:b/>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1412" w:type="dxa"/>
            <w:vAlign w:val="center"/>
          </w:tcPr>
          <w:p>
            <w:pPr>
              <w:autoSpaceDE w:val="0"/>
              <w:autoSpaceDN w:val="0"/>
              <w:adjustRightInd w:val="0"/>
              <w:spacing w:line="360" w:lineRule="auto"/>
              <w:rPr>
                <w:rFonts w:hint="eastAsia" w:ascii="仿宋" w:hAnsi="仿宋" w:eastAsia="仿宋" w:cs="仿宋"/>
                <w:b/>
                <w:bCs/>
                <w:color w:val="auto"/>
                <w:kern w:val="0"/>
                <w:szCs w:val="21"/>
                <w:highlight w:val="none"/>
              </w:rPr>
            </w:pPr>
          </w:p>
        </w:tc>
        <w:tc>
          <w:tcPr>
            <w:tcW w:w="1622" w:type="dxa"/>
            <w:vAlign w:val="center"/>
          </w:tcPr>
          <w:p>
            <w:pPr>
              <w:autoSpaceDE w:val="0"/>
              <w:autoSpaceDN w:val="0"/>
              <w:adjustRightInd w:val="0"/>
              <w:spacing w:line="360" w:lineRule="auto"/>
              <w:rPr>
                <w:rFonts w:hint="eastAsia" w:ascii="仿宋" w:hAnsi="仿宋" w:eastAsia="仿宋" w:cs="仿宋"/>
                <w:b/>
                <w:bCs/>
                <w:color w:val="auto"/>
                <w:kern w:val="0"/>
                <w:szCs w:val="21"/>
                <w:highlight w:val="none"/>
              </w:rPr>
            </w:pPr>
          </w:p>
        </w:tc>
        <w:tc>
          <w:tcPr>
            <w:tcW w:w="1748" w:type="dxa"/>
            <w:vAlign w:val="center"/>
          </w:tcPr>
          <w:p>
            <w:pPr>
              <w:autoSpaceDE w:val="0"/>
              <w:autoSpaceDN w:val="0"/>
              <w:adjustRightInd w:val="0"/>
              <w:spacing w:line="360" w:lineRule="auto"/>
              <w:rPr>
                <w:rFonts w:hint="eastAsia" w:ascii="仿宋" w:hAnsi="仿宋" w:eastAsia="仿宋" w:cs="仿宋"/>
                <w:b/>
                <w:bCs/>
                <w:color w:val="auto"/>
                <w:kern w:val="0"/>
                <w:szCs w:val="21"/>
                <w:highlight w:val="none"/>
              </w:rPr>
            </w:pPr>
          </w:p>
        </w:tc>
        <w:tc>
          <w:tcPr>
            <w:tcW w:w="1980" w:type="dxa"/>
            <w:vAlign w:val="center"/>
          </w:tcPr>
          <w:p>
            <w:pPr>
              <w:autoSpaceDE w:val="0"/>
              <w:autoSpaceDN w:val="0"/>
              <w:adjustRightInd w:val="0"/>
              <w:spacing w:line="360" w:lineRule="auto"/>
              <w:rPr>
                <w:rFonts w:hint="eastAsia" w:ascii="仿宋" w:hAnsi="仿宋" w:eastAsia="仿宋" w:cs="仿宋"/>
                <w:b/>
                <w:bCs/>
                <w:color w:val="auto"/>
                <w:kern w:val="0"/>
                <w:szCs w:val="21"/>
                <w:highlight w:val="none"/>
              </w:rPr>
            </w:pPr>
          </w:p>
        </w:tc>
        <w:tc>
          <w:tcPr>
            <w:tcW w:w="1395" w:type="dxa"/>
            <w:vAlign w:val="center"/>
          </w:tcPr>
          <w:p>
            <w:pPr>
              <w:autoSpaceDE w:val="0"/>
              <w:autoSpaceDN w:val="0"/>
              <w:adjustRightInd w:val="0"/>
              <w:spacing w:line="360" w:lineRule="auto"/>
              <w:rPr>
                <w:rFonts w:hint="eastAsia" w:ascii="仿宋" w:hAnsi="仿宋" w:eastAsia="仿宋" w:cs="仿宋"/>
                <w:b/>
                <w:bCs/>
                <w:color w:val="auto"/>
                <w:kern w:val="0"/>
                <w:szCs w:val="21"/>
                <w:highlight w:val="none"/>
              </w:rPr>
            </w:pPr>
          </w:p>
        </w:tc>
        <w:tc>
          <w:tcPr>
            <w:tcW w:w="1425" w:type="dxa"/>
            <w:vAlign w:val="center"/>
          </w:tcPr>
          <w:p>
            <w:pPr>
              <w:autoSpaceDE w:val="0"/>
              <w:autoSpaceDN w:val="0"/>
              <w:adjustRightInd w:val="0"/>
              <w:spacing w:line="360" w:lineRule="auto"/>
              <w:rPr>
                <w:rFonts w:hint="eastAsia" w:ascii="仿宋" w:hAnsi="仿宋" w:eastAsia="仿宋" w:cs="仿宋"/>
                <w:b/>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1412" w:type="dxa"/>
            <w:vAlign w:val="center"/>
          </w:tcPr>
          <w:p>
            <w:pPr>
              <w:autoSpaceDE w:val="0"/>
              <w:autoSpaceDN w:val="0"/>
              <w:adjustRightInd w:val="0"/>
              <w:spacing w:line="360" w:lineRule="auto"/>
              <w:rPr>
                <w:rFonts w:hint="eastAsia" w:ascii="仿宋" w:hAnsi="仿宋" w:eastAsia="仿宋" w:cs="仿宋"/>
                <w:b/>
                <w:bCs/>
                <w:color w:val="auto"/>
                <w:kern w:val="0"/>
                <w:szCs w:val="21"/>
                <w:highlight w:val="none"/>
              </w:rPr>
            </w:pPr>
          </w:p>
        </w:tc>
        <w:tc>
          <w:tcPr>
            <w:tcW w:w="1622" w:type="dxa"/>
            <w:vAlign w:val="center"/>
          </w:tcPr>
          <w:p>
            <w:pPr>
              <w:autoSpaceDE w:val="0"/>
              <w:autoSpaceDN w:val="0"/>
              <w:adjustRightInd w:val="0"/>
              <w:spacing w:line="360" w:lineRule="auto"/>
              <w:rPr>
                <w:rFonts w:hint="eastAsia" w:ascii="仿宋" w:hAnsi="仿宋" w:eastAsia="仿宋" w:cs="仿宋"/>
                <w:b/>
                <w:bCs/>
                <w:color w:val="auto"/>
                <w:kern w:val="0"/>
                <w:szCs w:val="21"/>
                <w:highlight w:val="none"/>
              </w:rPr>
            </w:pPr>
          </w:p>
        </w:tc>
        <w:tc>
          <w:tcPr>
            <w:tcW w:w="1748" w:type="dxa"/>
            <w:vAlign w:val="center"/>
          </w:tcPr>
          <w:p>
            <w:pPr>
              <w:autoSpaceDE w:val="0"/>
              <w:autoSpaceDN w:val="0"/>
              <w:adjustRightInd w:val="0"/>
              <w:spacing w:line="360" w:lineRule="auto"/>
              <w:rPr>
                <w:rFonts w:hint="eastAsia" w:ascii="仿宋" w:hAnsi="仿宋" w:eastAsia="仿宋" w:cs="仿宋"/>
                <w:b/>
                <w:bCs/>
                <w:color w:val="auto"/>
                <w:kern w:val="0"/>
                <w:szCs w:val="21"/>
                <w:highlight w:val="none"/>
              </w:rPr>
            </w:pPr>
          </w:p>
        </w:tc>
        <w:tc>
          <w:tcPr>
            <w:tcW w:w="1980" w:type="dxa"/>
            <w:vAlign w:val="center"/>
          </w:tcPr>
          <w:p>
            <w:pPr>
              <w:autoSpaceDE w:val="0"/>
              <w:autoSpaceDN w:val="0"/>
              <w:adjustRightInd w:val="0"/>
              <w:spacing w:line="360" w:lineRule="auto"/>
              <w:rPr>
                <w:rFonts w:hint="eastAsia" w:ascii="仿宋" w:hAnsi="仿宋" w:eastAsia="仿宋" w:cs="仿宋"/>
                <w:b/>
                <w:bCs/>
                <w:color w:val="auto"/>
                <w:kern w:val="0"/>
                <w:szCs w:val="21"/>
                <w:highlight w:val="none"/>
              </w:rPr>
            </w:pPr>
          </w:p>
        </w:tc>
        <w:tc>
          <w:tcPr>
            <w:tcW w:w="1395" w:type="dxa"/>
            <w:vAlign w:val="center"/>
          </w:tcPr>
          <w:p>
            <w:pPr>
              <w:autoSpaceDE w:val="0"/>
              <w:autoSpaceDN w:val="0"/>
              <w:adjustRightInd w:val="0"/>
              <w:spacing w:line="360" w:lineRule="auto"/>
              <w:rPr>
                <w:rFonts w:hint="eastAsia" w:ascii="仿宋" w:hAnsi="仿宋" w:eastAsia="仿宋" w:cs="仿宋"/>
                <w:b/>
                <w:bCs/>
                <w:color w:val="auto"/>
                <w:kern w:val="0"/>
                <w:szCs w:val="21"/>
                <w:highlight w:val="none"/>
              </w:rPr>
            </w:pPr>
          </w:p>
        </w:tc>
        <w:tc>
          <w:tcPr>
            <w:tcW w:w="1425" w:type="dxa"/>
            <w:vAlign w:val="center"/>
          </w:tcPr>
          <w:p>
            <w:pPr>
              <w:autoSpaceDE w:val="0"/>
              <w:autoSpaceDN w:val="0"/>
              <w:adjustRightInd w:val="0"/>
              <w:spacing w:line="360" w:lineRule="auto"/>
              <w:rPr>
                <w:rFonts w:hint="eastAsia" w:ascii="仿宋" w:hAnsi="仿宋" w:eastAsia="仿宋" w:cs="仿宋"/>
                <w:b/>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1412" w:type="dxa"/>
            <w:vAlign w:val="center"/>
          </w:tcPr>
          <w:p>
            <w:pPr>
              <w:autoSpaceDE w:val="0"/>
              <w:autoSpaceDN w:val="0"/>
              <w:adjustRightInd w:val="0"/>
              <w:spacing w:line="360" w:lineRule="auto"/>
              <w:rPr>
                <w:rFonts w:hint="eastAsia" w:ascii="仿宋" w:hAnsi="仿宋" w:eastAsia="仿宋" w:cs="仿宋"/>
                <w:b/>
                <w:bCs/>
                <w:color w:val="auto"/>
                <w:kern w:val="0"/>
                <w:szCs w:val="21"/>
                <w:highlight w:val="none"/>
              </w:rPr>
            </w:pPr>
          </w:p>
        </w:tc>
        <w:tc>
          <w:tcPr>
            <w:tcW w:w="1622" w:type="dxa"/>
            <w:vAlign w:val="center"/>
          </w:tcPr>
          <w:p>
            <w:pPr>
              <w:autoSpaceDE w:val="0"/>
              <w:autoSpaceDN w:val="0"/>
              <w:adjustRightInd w:val="0"/>
              <w:spacing w:line="360" w:lineRule="auto"/>
              <w:rPr>
                <w:rFonts w:hint="eastAsia" w:ascii="仿宋" w:hAnsi="仿宋" w:eastAsia="仿宋" w:cs="仿宋"/>
                <w:b/>
                <w:bCs/>
                <w:color w:val="auto"/>
                <w:kern w:val="0"/>
                <w:szCs w:val="21"/>
                <w:highlight w:val="none"/>
              </w:rPr>
            </w:pPr>
          </w:p>
        </w:tc>
        <w:tc>
          <w:tcPr>
            <w:tcW w:w="1748" w:type="dxa"/>
            <w:vAlign w:val="center"/>
          </w:tcPr>
          <w:p>
            <w:pPr>
              <w:autoSpaceDE w:val="0"/>
              <w:autoSpaceDN w:val="0"/>
              <w:adjustRightInd w:val="0"/>
              <w:spacing w:line="360" w:lineRule="auto"/>
              <w:rPr>
                <w:rFonts w:hint="eastAsia" w:ascii="仿宋" w:hAnsi="仿宋" w:eastAsia="仿宋" w:cs="仿宋"/>
                <w:b/>
                <w:bCs/>
                <w:color w:val="auto"/>
                <w:kern w:val="0"/>
                <w:szCs w:val="21"/>
                <w:highlight w:val="none"/>
              </w:rPr>
            </w:pPr>
          </w:p>
        </w:tc>
        <w:tc>
          <w:tcPr>
            <w:tcW w:w="1980" w:type="dxa"/>
            <w:vAlign w:val="center"/>
          </w:tcPr>
          <w:p>
            <w:pPr>
              <w:autoSpaceDE w:val="0"/>
              <w:autoSpaceDN w:val="0"/>
              <w:adjustRightInd w:val="0"/>
              <w:spacing w:line="360" w:lineRule="auto"/>
              <w:rPr>
                <w:rFonts w:hint="eastAsia" w:ascii="仿宋" w:hAnsi="仿宋" w:eastAsia="仿宋" w:cs="仿宋"/>
                <w:b/>
                <w:bCs/>
                <w:color w:val="auto"/>
                <w:kern w:val="0"/>
                <w:szCs w:val="21"/>
                <w:highlight w:val="none"/>
              </w:rPr>
            </w:pPr>
          </w:p>
        </w:tc>
        <w:tc>
          <w:tcPr>
            <w:tcW w:w="1395" w:type="dxa"/>
            <w:vAlign w:val="center"/>
          </w:tcPr>
          <w:p>
            <w:pPr>
              <w:autoSpaceDE w:val="0"/>
              <w:autoSpaceDN w:val="0"/>
              <w:adjustRightInd w:val="0"/>
              <w:spacing w:line="360" w:lineRule="auto"/>
              <w:rPr>
                <w:rFonts w:hint="eastAsia" w:ascii="仿宋" w:hAnsi="仿宋" w:eastAsia="仿宋" w:cs="仿宋"/>
                <w:b/>
                <w:bCs/>
                <w:color w:val="auto"/>
                <w:kern w:val="0"/>
                <w:szCs w:val="21"/>
                <w:highlight w:val="none"/>
              </w:rPr>
            </w:pPr>
          </w:p>
        </w:tc>
        <w:tc>
          <w:tcPr>
            <w:tcW w:w="1425" w:type="dxa"/>
            <w:vAlign w:val="center"/>
          </w:tcPr>
          <w:p>
            <w:pPr>
              <w:autoSpaceDE w:val="0"/>
              <w:autoSpaceDN w:val="0"/>
              <w:adjustRightInd w:val="0"/>
              <w:spacing w:line="360" w:lineRule="auto"/>
              <w:rPr>
                <w:rFonts w:hint="eastAsia" w:ascii="仿宋" w:hAnsi="仿宋" w:eastAsia="仿宋" w:cs="仿宋"/>
                <w:b/>
                <w:bCs/>
                <w:color w:val="auto"/>
                <w:kern w:val="0"/>
                <w:szCs w:val="21"/>
                <w:highlight w:val="none"/>
              </w:rPr>
            </w:pPr>
          </w:p>
        </w:tc>
      </w:tr>
    </w:tbl>
    <w:p>
      <w:pPr>
        <w:autoSpaceDE w:val="0"/>
        <w:autoSpaceDN w:val="0"/>
        <w:adjustRightIn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提供项目相关合同等复印件并加盖公章。</w:t>
      </w:r>
    </w:p>
    <w:p>
      <w:pPr>
        <w:pStyle w:val="5"/>
        <w:numPr>
          <w:ilvl w:val="0"/>
          <w:numId w:val="0"/>
        </w:numPr>
        <w:spacing w:line="360" w:lineRule="auto"/>
        <w:jc w:val="center"/>
        <w:rPr>
          <w:rFonts w:hint="eastAsia" w:ascii="仿宋" w:hAnsi="仿宋" w:eastAsia="仿宋" w:cs="仿宋"/>
          <w:color w:val="auto"/>
          <w:kern w:val="0"/>
          <w:sz w:val="24"/>
          <w:szCs w:val="24"/>
          <w:highlight w:val="none"/>
          <w:lang w:eastAsia="zh-CN"/>
        </w:rPr>
      </w:pPr>
      <w:r>
        <w:rPr>
          <w:rFonts w:hint="eastAsia" w:ascii="仿宋" w:hAnsi="仿宋" w:eastAsia="仿宋" w:cs="仿宋"/>
          <w:color w:val="auto"/>
          <w:kern w:val="0"/>
          <w:sz w:val="24"/>
          <w:highlight w:val="none"/>
        </w:rPr>
        <w:br w:type="page"/>
      </w:r>
      <w:bookmarkStart w:id="296" w:name="_Toc65829043"/>
      <w:bookmarkStart w:id="297" w:name="_Toc65676999"/>
      <w:bookmarkStart w:id="298" w:name="_Toc58006007"/>
      <w:r>
        <w:rPr>
          <w:rFonts w:hint="eastAsia" w:ascii="仿宋" w:hAnsi="仿宋" w:eastAsia="仿宋" w:cs="仿宋"/>
          <w:b/>
          <w:color w:val="auto"/>
          <w:highlight w:val="none"/>
        </w:rPr>
        <w:t>九、</w:t>
      </w:r>
      <w:bookmarkEnd w:id="296"/>
      <w:bookmarkEnd w:id="297"/>
      <w:bookmarkEnd w:id="298"/>
      <w:r>
        <w:rPr>
          <w:rFonts w:hint="eastAsia" w:ascii="仿宋" w:hAnsi="仿宋" w:eastAsia="仿宋" w:cs="仿宋"/>
          <w:b/>
          <w:color w:val="auto"/>
          <w:highlight w:val="none"/>
        </w:rPr>
        <w:t>技术</w:t>
      </w:r>
      <w:r>
        <w:rPr>
          <w:rFonts w:hint="eastAsia" w:ascii="仿宋" w:hAnsi="仿宋" w:eastAsia="仿宋" w:cs="仿宋"/>
          <w:b/>
          <w:color w:val="auto"/>
          <w:highlight w:val="none"/>
          <w:lang w:val="en-US" w:eastAsia="zh-CN"/>
        </w:rPr>
        <w:t>方案</w:t>
      </w:r>
    </w:p>
    <w:p>
      <w:pPr>
        <w:pStyle w:val="6"/>
        <w:spacing w:line="360" w:lineRule="auto"/>
        <w:ind w:firstLine="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格式自拟</w:t>
      </w:r>
    </w:p>
    <w:p>
      <w:pPr>
        <w:pStyle w:val="5"/>
        <w:numPr>
          <w:ilvl w:val="0"/>
          <w:numId w:val="0"/>
        </w:numPr>
        <w:spacing w:line="360" w:lineRule="auto"/>
        <w:jc w:val="center"/>
        <w:rPr>
          <w:rFonts w:hint="eastAsia" w:ascii="仿宋" w:hAnsi="仿宋" w:eastAsia="仿宋" w:cs="仿宋"/>
          <w:color w:val="auto"/>
          <w:highlight w:val="none"/>
        </w:rPr>
      </w:pPr>
      <w:r>
        <w:rPr>
          <w:rFonts w:hint="eastAsia" w:ascii="仿宋" w:hAnsi="仿宋" w:eastAsia="仿宋" w:cs="仿宋"/>
          <w:b/>
          <w:color w:val="auto"/>
          <w:highlight w:val="none"/>
        </w:rPr>
        <w:br w:type="page"/>
      </w:r>
      <w:bookmarkStart w:id="299" w:name="_Toc65829044"/>
      <w:bookmarkStart w:id="300" w:name="_Toc65677000"/>
      <w:bookmarkStart w:id="301" w:name="_Toc58006008"/>
      <w:r>
        <w:rPr>
          <w:rFonts w:hint="eastAsia" w:ascii="仿宋" w:hAnsi="仿宋" w:eastAsia="仿宋" w:cs="仿宋"/>
          <w:b/>
          <w:color w:val="auto"/>
          <w:highlight w:val="none"/>
        </w:rPr>
        <w:t>十、</w:t>
      </w:r>
      <w:bookmarkEnd w:id="299"/>
      <w:bookmarkEnd w:id="300"/>
      <w:bookmarkStart w:id="302" w:name="_Toc65829046"/>
      <w:bookmarkStart w:id="303" w:name="_Toc65677002"/>
      <w:r>
        <w:rPr>
          <w:rFonts w:hint="eastAsia" w:ascii="仿宋" w:hAnsi="仿宋" w:eastAsia="仿宋" w:cs="仿宋"/>
          <w:b/>
          <w:color w:val="auto"/>
          <w:highlight w:val="none"/>
        </w:rPr>
        <w:t>其他资料</w:t>
      </w:r>
      <w:bookmarkEnd w:id="301"/>
      <w:bookmarkEnd w:id="302"/>
      <w:bookmarkEnd w:id="303"/>
    </w:p>
    <w:p>
      <w:pPr>
        <w:pStyle w:val="6"/>
        <w:spacing w:line="360" w:lineRule="auto"/>
        <w:rPr>
          <w:rFonts w:hint="eastAsia" w:ascii="仿宋" w:hAnsi="仿宋" w:eastAsia="仿宋" w:cs="仿宋"/>
          <w:color w:val="auto"/>
          <w:kern w:val="0"/>
          <w:sz w:val="24"/>
          <w:highlight w:val="none"/>
        </w:rPr>
      </w:pPr>
    </w:p>
    <w:p>
      <w:pPr>
        <w:pStyle w:val="6"/>
        <w:spacing w:line="360" w:lineRule="auto"/>
        <w:ind w:firstLine="2400" w:firstLineChars="100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　　　与评审、评分有关的其他材料</w:t>
      </w:r>
    </w:p>
    <w:p>
      <w:pPr>
        <w:pStyle w:val="3"/>
        <w:rPr>
          <w:rFonts w:hint="eastAsia" w:cs="宋体"/>
          <w:color w:val="auto"/>
          <w:kern w:val="0"/>
          <w:szCs w:val="28"/>
          <w:highlight w:val="none"/>
        </w:rPr>
      </w:pPr>
      <w:r>
        <w:rPr>
          <w:rFonts w:hint="eastAsia" w:ascii="仿宋" w:hAnsi="仿宋" w:eastAsia="仿宋" w:cs="仿宋"/>
          <w:color w:val="auto"/>
          <w:kern w:val="0"/>
          <w:sz w:val="24"/>
          <w:highlight w:val="none"/>
        </w:rPr>
        <w:br w:type="page"/>
      </w:r>
      <w:bookmarkStart w:id="304" w:name="_Toc65829047"/>
      <w:r>
        <w:rPr>
          <w:rFonts w:hint="eastAsia" w:cs="宋体"/>
          <w:color w:val="auto"/>
          <w:kern w:val="0"/>
          <w:szCs w:val="28"/>
          <w:highlight w:val="none"/>
        </w:rPr>
        <w:t>附件1</w:t>
      </w:r>
      <w:bookmarkEnd w:id="304"/>
    </w:p>
    <w:p>
      <w:pPr>
        <w:keepNext/>
        <w:keepLines/>
        <w:tabs>
          <w:tab w:val="left" w:pos="900"/>
        </w:tabs>
        <w:snapToGrid w:val="0"/>
        <w:spacing w:before="260" w:after="260" w:line="360" w:lineRule="auto"/>
        <w:ind w:left="540"/>
        <w:jc w:val="center"/>
        <w:rPr>
          <w:rFonts w:hint="eastAsia" w:ascii="仿宋" w:hAnsi="仿宋" w:eastAsia="仿宋" w:cs="仿宋"/>
          <w:color w:val="auto"/>
          <w:sz w:val="30"/>
          <w:highlight w:val="none"/>
        </w:rPr>
      </w:pPr>
      <w:r>
        <w:rPr>
          <w:rFonts w:hint="eastAsia" w:ascii="仿宋" w:hAnsi="仿宋" w:eastAsia="仿宋" w:cs="仿宋"/>
          <w:color w:val="auto"/>
          <w:sz w:val="30"/>
          <w:highlight w:val="none"/>
        </w:rPr>
        <w:t>中小企业声明函</w:t>
      </w:r>
    </w:p>
    <w:p>
      <w:pPr>
        <w:spacing w:line="360" w:lineRule="auto"/>
        <w:jc w:val="center"/>
        <w:rPr>
          <w:rFonts w:hint="eastAsia" w:ascii="仿宋" w:hAnsi="仿宋" w:eastAsia="仿宋" w:cs="仿宋"/>
          <w:bCs/>
          <w:i/>
          <w:color w:val="auto"/>
          <w:kern w:val="0"/>
          <w:sz w:val="24"/>
          <w:highlight w:val="none"/>
          <w:lang w:val="zh-CN"/>
        </w:rPr>
      </w:pPr>
      <w:r>
        <w:rPr>
          <w:rFonts w:hint="eastAsia" w:ascii="仿宋" w:hAnsi="仿宋" w:eastAsia="仿宋" w:cs="仿宋"/>
          <w:bCs/>
          <w:i/>
          <w:color w:val="auto"/>
          <w:kern w:val="0"/>
          <w:sz w:val="24"/>
          <w:highlight w:val="none"/>
          <w:lang w:val="zh-CN"/>
        </w:rPr>
        <w:t>（</w:t>
      </w:r>
      <w:r>
        <w:rPr>
          <w:rFonts w:hint="eastAsia" w:ascii="仿宋" w:hAnsi="仿宋" w:eastAsia="仿宋" w:cs="仿宋"/>
          <w:bCs/>
          <w:i w:val="0"/>
          <w:iCs/>
          <w:color w:val="auto"/>
          <w:kern w:val="0"/>
          <w:sz w:val="24"/>
          <w:highlight w:val="none"/>
          <w:lang w:val="zh-CN"/>
        </w:rPr>
        <w:t>非中小企业投标，不需此件，删除本页内容</w:t>
      </w:r>
      <w:r>
        <w:rPr>
          <w:rFonts w:hint="eastAsia" w:ascii="仿宋" w:hAnsi="仿宋" w:eastAsia="仿宋" w:cs="仿宋"/>
          <w:bCs/>
          <w:i/>
          <w:color w:val="auto"/>
          <w:kern w:val="0"/>
          <w:sz w:val="24"/>
          <w:highlight w:val="none"/>
          <w:lang w:val="zh-CN"/>
        </w:rPr>
        <w:t>）</w:t>
      </w:r>
    </w:p>
    <w:p>
      <w:pPr>
        <w:rPr>
          <w:rFonts w:hint="eastAsia" w:ascii="仿宋" w:hAnsi="仿宋" w:eastAsia="仿宋" w:cs="仿宋"/>
          <w:bCs/>
          <w:color w:val="auto"/>
          <w:kern w:val="0"/>
          <w:sz w:val="24"/>
          <w:highlight w:val="none"/>
        </w:rPr>
      </w:pPr>
    </w:p>
    <w:p>
      <w:pPr>
        <w:spacing w:line="360" w:lineRule="auto"/>
        <w:ind w:firstLine="435"/>
        <w:rPr>
          <w:rFonts w:hint="eastAsia" w:ascii="仿宋" w:hAnsi="仿宋" w:eastAsia="仿宋" w:cs="仿宋"/>
          <w:bCs/>
          <w:color w:val="auto"/>
          <w:kern w:val="0"/>
          <w:sz w:val="24"/>
          <w:highlight w:val="none"/>
          <w:lang w:val="zh-CN"/>
        </w:rPr>
      </w:pPr>
      <w:bookmarkStart w:id="305" w:name="OLE_LINK13"/>
      <w:bookmarkStart w:id="306" w:name="OLE_LINK14"/>
      <w:r>
        <w:rPr>
          <w:rFonts w:hint="eastAsia" w:ascii="仿宋" w:hAnsi="仿宋" w:eastAsia="仿宋" w:cs="仿宋"/>
          <w:bCs/>
          <w:color w:val="auto"/>
          <w:kern w:val="0"/>
          <w:sz w:val="24"/>
          <w:highlight w:val="none"/>
          <w:lang w:val="zh-CN"/>
        </w:rPr>
        <w:t>本公司（联合体）郑重声明，根据《政府采购促进中小企业发展管理办法》（财库﹝2020﹞46号）的规定，本公司（联合体）参加</w:t>
      </w:r>
      <w:r>
        <w:rPr>
          <w:rFonts w:hint="eastAsia" w:ascii="仿宋" w:hAnsi="仿宋" w:eastAsia="仿宋" w:cs="仿宋"/>
          <w:bCs/>
          <w:color w:val="auto"/>
          <w:kern w:val="0"/>
          <w:sz w:val="24"/>
          <w:highlight w:val="none"/>
          <w:u w:val="single"/>
          <w:lang w:val="zh-CN"/>
        </w:rPr>
        <w:t xml:space="preserve">   （采购人名称）</w:t>
      </w:r>
      <w:r>
        <w:rPr>
          <w:rFonts w:hint="eastAsia" w:ascii="仿宋" w:hAnsi="仿宋" w:eastAsia="仿宋" w:cs="仿宋"/>
          <w:bCs/>
          <w:color w:val="auto"/>
          <w:kern w:val="0"/>
          <w:sz w:val="24"/>
          <w:highlight w:val="none"/>
          <w:lang w:val="zh-CN"/>
        </w:rPr>
        <w:t>的</w:t>
      </w:r>
      <w:r>
        <w:rPr>
          <w:rFonts w:hint="eastAsia" w:ascii="仿宋" w:hAnsi="仿宋" w:eastAsia="仿宋" w:cs="仿宋"/>
          <w:bCs/>
          <w:color w:val="auto"/>
          <w:kern w:val="0"/>
          <w:sz w:val="24"/>
          <w:highlight w:val="none"/>
          <w:u w:val="single"/>
          <w:lang w:val="zh-CN"/>
        </w:rPr>
        <w:t xml:space="preserve">   （标的名称）</w:t>
      </w:r>
      <w:r>
        <w:rPr>
          <w:rFonts w:hint="eastAsia" w:ascii="仿宋" w:hAnsi="仿宋" w:eastAsia="仿宋" w:cs="仿宋"/>
          <w:bCs/>
          <w:color w:val="auto"/>
          <w:kern w:val="0"/>
          <w:sz w:val="24"/>
          <w:highlight w:val="none"/>
          <w:lang w:val="zh-CN"/>
        </w:rPr>
        <w:t xml:space="preserve">采购活动，提供的服务全部由符合政策要求的中小企业承接。相关企业（含联合体中的中小企业、签订分包意向协议的中小企业）的具体情况如下： </w:t>
      </w:r>
    </w:p>
    <w:p>
      <w:pPr>
        <w:spacing w:line="360" w:lineRule="auto"/>
        <w:ind w:firstLine="435"/>
        <w:rPr>
          <w:rFonts w:hint="eastAsia" w:ascii="仿宋" w:hAnsi="仿宋" w:eastAsia="仿宋" w:cs="仿宋"/>
          <w:bCs/>
          <w:color w:val="auto"/>
          <w:kern w:val="0"/>
          <w:sz w:val="24"/>
          <w:highlight w:val="none"/>
          <w:lang w:val="zh-CN"/>
        </w:rPr>
      </w:pPr>
      <w:r>
        <w:rPr>
          <w:rFonts w:hint="eastAsia" w:ascii="仿宋" w:hAnsi="仿宋" w:eastAsia="仿宋" w:cs="仿宋"/>
          <w:bCs/>
          <w:color w:val="auto"/>
          <w:kern w:val="0"/>
          <w:sz w:val="24"/>
          <w:highlight w:val="none"/>
          <w:lang w:val="zh-CN"/>
        </w:rPr>
        <w:t>1.</w:t>
      </w:r>
      <w:r>
        <w:rPr>
          <w:rFonts w:hint="eastAsia" w:ascii="仿宋" w:hAnsi="仿宋" w:eastAsia="仿宋" w:cs="仿宋"/>
          <w:bCs/>
          <w:color w:val="auto"/>
          <w:kern w:val="0"/>
          <w:sz w:val="24"/>
          <w:highlight w:val="none"/>
          <w:u w:val="single"/>
          <w:lang w:val="zh-CN"/>
        </w:rPr>
        <w:t>（标的名称）</w:t>
      </w:r>
      <w:r>
        <w:rPr>
          <w:rFonts w:hint="eastAsia" w:ascii="仿宋" w:hAnsi="仿宋" w:eastAsia="仿宋" w:cs="仿宋"/>
          <w:bCs/>
          <w:color w:val="auto"/>
          <w:kern w:val="0"/>
          <w:sz w:val="24"/>
          <w:highlight w:val="none"/>
          <w:lang w:val="zh-CN"/>
        </w:rPr>
        <w:t>，属于</w:t>
      </w:r>
      <w:r>
        <w:rPr>
          <w:rFonts w:hint="eastAsia" w:ascii="仿宋" w:hAnsi="仿宋" w:eastAsia="仿宋" w:cs="仿宋"/>
          <w:bCs/>
          <w:color w:val="auto"/>
          <w:kern w:val="0"/>
          <w:sz w:val="24"/>
          <w:highlight w:val="none"/>
          <w:u w:val="single"/>
          <w:lang w:val="zh-CN"/>
        </w:rPr>
        <w:t>（采购文件中明确的所属行业）</w:t>
      </w:r>
      <w:r>
        <w:rPr>
          <w:rFonts w:hint="eastAsia" w:ascii="仿宋" w:hAnsi="仿宋" w:eastAsia="仿宋" w:cs="仿宋"/>
          <w:bCs/>
          <w:color w:val="auto"/>
          <w:kern w:val="0"/>
          <w:sz w:val="24"/>
          <w:highlight w:val="none"/>
          <w:lang w:val="zh-CN"/>
        </w:rPr>
        <w:t>行业；承接企业为</w:t>
      </w:r>
      <w:r>
        <w:rPr>
          <w:rFonts w:hint="eastAsia" w:ascii="仿宋" w:hAnsi="仿宋" w:eastAsia="仿宋" w:cs="仿宋"/>
          <w:bCs/>
          <w:color w:val="auto"/>
          <w:kern w:val="0"/>
          <w:sz w:val="24"/>
          <w:highlight w:val="none"/>
          <w:u w:val="single"/>
          <w:lang w:val="zh-CN"/>
        </w:rPr>
        <w:t>（企业名称）</w:t>
      </w:r>
      <w:r>
        <w:rPr>
          <w:rFonts w:hint="eastAsia" w:ascii="仿宋" w:hAnsi="仿宋" w:eastAsia="仿宋" w:cs="仿宋"/>
          <w:bCs/>
          <w:color w:val="auto"/>
          <w:kern w:val="0"/>
          <w:sz w:val="24"/>
          <w:highlight w:val="none"/>
          <w:lang w:val="zh-CN"/>
        </w:rPr>
        <w:t>，从业人员</w:t>
      </w:r>
      <w:r>
        <w:rPr>
          <w:rFonts w:hint="eastAsia" w:ascii="仿宋" w:hAnsi="仿宋" w:eastAsia="仿宋" w:cs="仿宋"/>
          <w:bCs/>
          <w:color w:val="auto"/>
          <w:kern w:val="0"/>
          <w:sz w:val="24"/>
          <w:highlight w:val="none"/>
          <w:u w:val="single"/>
          <w:lang w:val="zh-CN"/>
        </w:rPr>
        <w:t xml:space="preserve">     </w:t>
      </w:r>
      <w:r>
        <w:rPr>
          <w:rFonts w:hint="eastAsia" w:ascii="仿宋" w:hAnsi="仿宋" w:eastAsia="仿宋" w:cs="仿宋"/>
          <w:bCs/>
          <w:color w:val="auto"/>
          <w:kern w:val="0"/>
          <w:sz w:val="24"/>
          <w:highlight w:val="none"/>
          <w:lang w:val="zh-CN"/>
        </w:rPr>
        <w:t>人，营业收入为</w:t>
      </w:r>
      <w:r>
        <w:rPr>
          <w:rFonts w:hint="eastAsia" w:ascii="仿宋" w:hAnsi="仿宋" w:eastAsia="仿宋" w:cs="仿宋"/>
          <w:bCs/>
          <w:color w:val="auto"/>
          <w:kern w:val="0"/>
          <w:sz w:val="24"/>
          <w:highlight w:val="none"/>
          <w:u w:val="single"/>
          <w:lang w:val="zh-CN"/>
        </w:rPr>
        <w:t xml:space="preserve">     </w:t>
      </w:r>
      <w:r>
        <w:rPr>
          <w:rFonts w:hint="eastAsia" w:ascii="仿宋" w:hAnsi="仿宋" w:eastAsia="仿宋" w:cs="仿宋"/>
          <w:bCs/>
          <w:color w:val="auto"/>
          <w:kern w:val="0"/>
          <w:sz w:val="24"/>
          <w:highlight w:val="none"/>
          <w:lang w:val="zh-CN"/>
        </w:rPr>
        <w:t>万元，资产总额为</w:t>
      </w:r>
      <w:r>
        <w:rPr>
          <w:rFonts w:hint="eastAsia" w:ascii="仿宋" w:hAnsi="仿宋" w:eastAsia="仿宋" w:cs="仿宋"/>
          <w:bCs/>
          <w:color w:val="auto"/>
          <w:kern w:val="0"/>
          <w:sz w:val="24"/>
          <w:highlight w:val="none"/>
          <w:u w:val="single"/>
          <w:lang w:val="zh-CN"/>
        </w:rPr>
        <w:t xml:space="preserve">     </w:t>
      </w:r>
      <w:r>
        <w:rPr>
          <w:rFonts w:hint="eastAsia" w:ascii="仿宋" w:hAnsi="仿宋" w:eastAsia="仿宋" w:cs="仿宋"/>
          <w:bCs/>
          <w:color w:val="auto"/>
          <w:kern w:val="0"/>
          <w:sz w:val="24"/>
          <w:highlight w:val="none"/>
          <w:lang w:val="zh-CN"/>
        </w:rPr>
        <w:t>万元，属于</w:t>
      </w:r>
      <w:r>
        <w:rPr>
          <w:rFonts w:hint="eastAsia" w:ascii="仿宋" w:hAnsi="仿宋" w:eastAsia="仿宋" w:cs="仿宋"/>
          <w:bCs/>
          <w:color w:val="auto"/>
          <w:kern w:val="0"/>
          <w:sz w:val="24"/>
          <w:highlight w:val="none"/>
          <w:u w:val="single"/>
          <w:lang w:val="zh-CN"/>
        </w:rPr>
        <w:t>（中型企业、小型企业、微型企业）</w:t>
      </w:r>
      <w:r>
        <w:rPr>
          <w:rFonts w:hint="eastAsia" w:ascii="仿宋" w:hAnsi="仿宋" w:eastAsia="仿宋" w:cs="仿宋"/>
          <w:bCs/>
          <w:color w:val="auto"/>
          <w:kern w:val="0"/>
          <w:sz w:val="24"/>
          <w:highlight w:val="none"/>
          <w:lang w:val="zh-CN"/>
        </w:rPr>
        <w:t xml:space="preserve">； </w:t>
      </w:r>
    </w:p>
    <w:p>
      <w:pPr>
        <w:spacing w:line="360" w:lineRule="auto"/>
        <w:ind w:firstLine="435"/>
        <w:rPr>
          <w:rFonts w:hint="eastAsia" w:ascii="仿宋" w:hAnsi="仿宋" w:eastAsia="仿宋" w:cs="仿宋"/>
          <w:bCs/>
          <w:color w:val="auto"/>
          <w:kern w:val="0"/>
          <w:sz w:val="24"/>
          <w:highlight w:val="none"/>
          <w:lang w:val="zh-CN"/>
        </w:rPr>
      </w:pPr>
      <w:r>
        <w:rPr>
          <w:rFonts w:hint="eastAsia" w:ascii="仿宋" w:hAnsi="仿宋" w:eastAsia="仿宋" w:cs="仿宋"/>
          <w:bCs/>
          <w:color w:val="auto"/>
          <w:kern w:val="0"/>
          <w:sz w:val="24"/>
          <w:highlight w:val="none"/>
          <w:lang w:val="zh-CN"/>
        </w:rPr>
        <w:t>2.</w:t>
      </w:r>
      <w:r>
        <w:rPr>
          <w:rFonts w:hint="eastAsia" w:ascii="仿宋" w:hAnsi="仿宋" w:eastAsia="仿宋" w:cs="仿宋"/>
          <w:bCs/>
          <w:color w:val="auto"/>
          <w:kern w:val="0"/>
          <w:sz w:val="24"/>
          <w:highlight w:val="none"/>
          <w:u w:val="single"/>
          <w:lang w:val="zh-CN"/>
        </w:rPr>
        <w:t>（标的名称）</w:t>
      </w:r>
      <w:r>
        <w:rPr>
          <w:rFonts w:hint="eastAsia" w:ascii="仿宋" w:hAnsi="仿宋" w:eastAsia="仿宋" w:cs="仿宋"/>
          <w:bCs/>
          <w:color w:val="auto"/>
          <w:kern w:val="0"/>
          <w:sz w:val="24"/>
          <w:highlight w:val="none"/>
          <w:lang w:val="zh-CN"/>
        </w:rPr>
        <w:t>，属于</w:t>
      </w:r>
      <w:r>
        <w:rPr>
          <w:rFonts w:hint="eastAsia" w:ascii="仿宋" w:hAnsi="仿宋" w:eastAsia="仿宋" w:cs="仿宋"/>
          <w:bCs/>
          <w:color w:val="auto"/>
          <w:kern w:val="0"/>
          <w:sz w:val="24"/>
          <w:highlight w:val="none"/>
          <w:u w:val="single"/>
          <w:lang w:val="zh-CN"/>
        </w:rPr>
        <w:t>（采购文件中明确的所属行业）</w:t>
      </w:r>
      <w:r>
        <w:rPr>
          <w:rFonts w:hint="eastAsia" w:ascii="仿宋" w:hAnsi="仿宋" w:eastAsia="仿宋" w:cs="仿宋"/>
          <w:bCs/>
          <w:color w:val="auto"/>
          <w:kern w:val="0"/>
          <w:sz w:val="24"/>
          <w:highlight w:val="none"/>
          <w:lang w:val="zh-CN"/>
        </w:rPr>
        <w:t>行业；承接企业为</w:t>
      </w:r>
      <w:r>
        <w:rPr>
          <w:rFonts w:hint="eastAsia" w:ascii="仿宋" w:hAnsi="仿宋" w:eastAsia="仿宋" w:cs="仿宋"/>
          <w:bCs/>
          <w:color w:val="auto"/>
          <w:kern w:val="0"/>
          <w:sz w:val="24"/>
          <w:highlight w:val="none"/>
          <w:u w:val="single"/>
          <w:lang w:val="zh-CN"/>
        </w:rPr>
        <w:t>（企业名称）</w:t>
      </w:r>
      <w:r>
        <w:rPr>
          <w:rFonts w:hint="eastAsia" w:ascii="仿宋" w:hAnsi="仿宋" w:eastAsia="仿宋" w:cs="仿宋"/>
          <w:bCs/>
          <w:color w:val="auto"/>
          <w:kern w:val="0"/>
          <w:sz w:val="24"/>
          <w:highlight w:val="none"/>
          <w:lang w:val="zh-CN"/>
        </w:rPr>
        <w:t>，从业人员</w:t>
      </w:r>
      <w:r>
        <w:rPr>
          <w:rFonts w:hint="eastAsia" w:ascii="仿宋" w:hAnsi="仿宋" w:eastAsia="仿宋" w:cs="仿宋"/>
          <w:bCs/>
          <w:color w:val="auto"/>
          <w:kern w:val="0"/>
          <w:sz w:val="24"/>
          <w:highlight w:val="none"/>
          <w:u w:val="single"/>
          <w:lang w:val="zh-CN"/>
        </w:rPr>
        <w:t xml:space="preserve">     </w:t>
      </w:r>
      <w:r>
        <w:rPr>
          <w:rFonts w:hint="eastAsia" w:ascii="仿宋" w:hAnsi="仿宋" w:eastAsia="仿宋" w:cs="仿宋"/>
          <w:bCs/>
          <w:color w:val="auto"/>
          <w:kern w:val="0"/>
          <w:sz w:val="24"/>
          <w:highlight w:val="none"/>
          <w:lang w:val="zh-CN"/>
        </w:rPr>
        <w:t>人，营业收入为</w:t>
      </w:r>
      <w:r>
        <w:rPr>
          <w:rFonts w:hint="eastAsia" w:ascii="仿宋" w:hAnsi="仿宋" w:eastAsia="仿宋" w:cs="仿宋"/>
          <w:bCs/>
          <w:color w:val="auto"/>
          <w:kern w:val="0"/>
          <w:sz w:val="24"/>
          <w:highlight w:val="none"/>
          <w:u w:val="single"/>
          <w:lang w:val="zh-CN"/>
        </w:rPr>
        <w:t xml:space="preserve">     </w:t>
      </w:r>
      <w:r>
        <w:rPr>
          <w:rFonts w:hint="eastAsia" w:ascii="仿宋" w:hAnsi="仿宋" w:eastAsia="仿宋" w:cs="仿宋"/>
          <w:bCs/>
          <w:color w:val="auto"/>
          <w:kern w:val="0"/>
          <w:sz w:val="24"/>
          <w:highlight w:val="none"/>
          <w:lang w:val="zh-CN"/>
        </w:rPr>
        <w:t>万元，资产总额为</w:t>
      </w:r>
      <w:r>
        <w:rPr>
          <w:rFonts w:hint="eastAsia" w:ascii="仿宋" w:hAnsi="仿宋" w:eastAsia="仿宋" w:cs="仿宋"/>
          <w:bCs/>
          <w:color w:val="auto"/>
          <w:kern w:val="0"/>
          <w:sz w:val="24"/>
          <w:highlight w:val="none"/>
          <w:u w:val="single"/>
          <w:lang w:val="zh-CN"/>
        </w:rPr>
        <w:t xml:space="preserve">     </w:t>
      </w:r>
      <w:r>
        <w:rPr>
          <w:rFonts w:hint="eastAsia" w:ascii="仿宋" w:hAnsi="仿宋" w:eastAsia="仿宋" w:cs="仿宋"/>
          <w:bCs/>
          <w:color w:val="auto"/>
          <w:kern w:val="0"/>
          <w:sz w:val="24"/>
          <w:highlight w:val="none"/>
          <w:lang w:val="zh-CN"/>
        </w:rPr>
        <w:t>万元，属于</w:t>
      </w:r>
      <w:r>
        <w:rPr>
          <w:rFonts w:hint="eastAsia" w:ascii="仿宋" w:hAnsi="仿宋" w:eastAsia="仿宋" w:cs="仿宋"/>
          <w:bCs/>
          <w:color w:val="auto"/>
          <w:kern w:val="0"/>
          <w:sz w:val="24"/>
          <w:highlight w:val="none"/>
          <w:u w:val="single"/>
          <w:lang w:val="zh-CN"/>
        </w:rPr>
        <w:t>（中型企业、小型企业、微型企业）</w:t>
      </w:r>
      <w:r>
        <w:rPr>
          <w:rFonts w:hint="eastAsia" w:ascii="仿宋" w:hAnsi="仿宋" w:eastAsia="仿宋" w:cs="仿宋"/>
          <w:bCs/>
          <w:color w:val="auto"/>
          <w:kern w:val="0"/>
          <w:sz w:val="24"/>
          <w:highlight w:val="none"/>
          <w:lang w:val="zh-CN"/>
        </w:rPr>
        <w:t xml:space="preserve">； </w:t>
      </w:r>
    </w:p>
    <w:p>
      <w:pPr>
        <w:spacing w:line="360" w:lineRule="auto"/>
        <w:ind w:firstLine="435"/>
        <w:rPr>
          <w:rFonts w:hint="eastAsia" w:ascii="仿宋" w:hAnsi="仿宋" w:eastAsia="仿宋" w:cs="仿宋"/>
          <w:bCs/>
          <w:color w:val="auto"/>
          <w:kern w:val="0"/>
          <w:sz w:val="24"/>
          <w:highlight w:val="none"/>
          <w:lang w:val="zh-CN"/>
        </w:rPr>
      </w:pPr>
      <w:r>
        <w:rPr>
          <w:rFonts w:hint="eastAsia" w:ascii="仿宋" w:hAnsi="仿宋" w:eastAsia="仿宋" w:cs="仿宋"/>
          <w:bCs/>
          <w:color w:val="auto"/>
          <w:kern w:val="0"/>
          <w:sz w:val="24"/>
          <w:highlight w:val="none"/>
          <w:lang w:val="zh-CN"/>
        </w:rPr>
        <w:t>……</w:t>
      </w:r>
    </w:p>
    <w:p>
      <w:pPr>
        <w:spacing w:line="360" w:lineRule="auto"/>
        <w:ind w:firstLine="435"/>
        <w:rPr>
          <w:rFonts w:hint="eastAsia" w:ascii="仿宋" w:hAnsi="仿宋" w:eastAsia="仿宋" w:cs="仿宋"/>
          <w:bCs/>
          <w:color w:val="auto"/>
          <w:kern w:val="0"/>
          <w:sz w:val="24"/>
          <w:highlight w:val="none"/>
          <w:lang w:val="zh-CN"/>
        </w:rPr>
      </w:pPr>
      <w:r>
        <w:rPr>
          <w:rFonts w:hint="eastAsia" w:ascii="仿宋" w:hAnsi="仿宋" w:eastAsia="仿宋" w:cs="仿宋"/>
          <w:bCs/>
          <w:color w:val="auto"/>
          <w:kern w:val="0"/>
          <w:sz w:val="24"/>
          <w:highlight w:val="none"/>
          <w:lang w:val="zh-CN"/>
        </w:rPr>
        <w:t>以上企业，不属于大企业的分支机构，不存在控股股东为大企业的情形，也不存在与大企业的负责人为同一人的情形。</w:t>
      </w:r>
    </w:p>
    <w:p>
      <w:pPr>
        <w:spacing w:line="360" w:lineRule="auto"/>
        <w:ind w:firstLine="435"/>
        <w:rPr>
          <w:rFonts w:hint="eastAsia" w:ascii="仿宋" w:hAnsi="仿宋" w:eastAsia="仿宋" w:cs="仿宋"/>
          <w:bCs/>
          <w:color w:val="auto"/>
          <w:kern w:val="0"/>
          <w:sz w:val="24"/>
          <w:highlight w:val="none"/>
          <w:lang w:val="zh-CN"/>
        </w:rPr>
      </w:pPr>
      <w:r>
        <w:rPr>
          <w:rFonts w:hint="eastAsia" w:ascii="仿宋" w:hAnsi="仿宋" w:eastAsia="仿宋" w:cs="仿宋"/>
          <w:bCs/>
          <w:color w:val="auto"/>
          <w:kern w:val="0"/>
          <w:sz w:val="24"/>
          <w:highlight w:val="none"/>
          <w:lang w:val="zh-CN"/>
        </w:rPr>
        <w:t xml:space="preserve">本企业对上述声明内容的真实性负责。如有虚假，将依法承担相应责任。 </w:t>
      </w:r>
    </w:p>
    <w:p>
      <w:pPr>
        <w:spacing w:line="360" w:lineRule="auto"/>
        <w:ind w:firstLine="435"/>
        <w:rPr>
          <w:rFonts w:hint="eastAsia" w:ascii="仿宋" w:hAnsi="仿宋" w:eastAsia="仿宋" w:cs="仿宋"/>
          <w:bCs/>
          <w:color w:val="auto"/>
          <w:kern w:val="0"/>
          <w:sz w:val="24"/>
          <w:highlight w:val="none"/>
        </w:rPr>
      </w:pPr>
    </w:p>
    <w:p>
      <w:pPr>
        <w:spacing w:line="360" w:lineRule="auto"/>
        <w:ind w:firstLine="435"/>
        <w:rPr>
          <w:rFonts w:hint="eastAsia" w:ascii="仿宋" w:hAnsi="仿宋" w:eastAsia="仿宋" w:cs="仿宋"/>
          <w:bCs/>
          <w:color w:val="auto"/>
          <w:kern w:val="0"/>
          <w:sz w:val="24"/>
          <w:highlight w:val="none"/>
        </w:rPr>
      </w:pPr>
    </w:p>
    <w:p>
      <w:pPr>
        <w:spacing w:line="360" w:lineRule="auto"/>
        <w:ind w:firstLine="4228" w:firstLineChars="1762"/>
        <w:rPr>
          <w:rFonts w:hint="eastAsia" w:ascii="仿宋" w:hAnsi="仿宋" w:eastAsia="仿宋" w:cs="仿宋"/>
          <w:bCs/>
          <w:color w:val="auto"/>
          <w:kern w:val="0"/>
          <w:sz w:val="24"/>
          <w:highlight w:val="none"/>
          <w:u w:val="single"/>
        </w:rPr>
      </w:pPr>
      <w:r>
        <w:rPr>
          <w:rFonts w:hint="eastAsia" w:ascii="仿宋" w:hAnsi="仿宋" w:eastAsia="仿宋" w:cs="仿宋"/>
          <w:bCs/>
          <w:color w:val="auto"/>
          <w:kern w:val="0"/>
          <w:sz w:val="24"/>
          <w:highlight w:val="none"/>
        </w:rPr>
        <w:t>单位名称（盖章）：</w:t>
      </w:r>
      <w:r>
        <w:rPr>
          <w:rFonts w:hint="eastAsia" w:ascii="仿宋" w:hAnsi="仿宋" w:eastAsia="仿宋" w:cs="仿宋"/>
          <w:bCs/>
          <w:color w:val="auto"/>
          <w:kern w:val="0"/>
          <w:sz w:val="24"/>
          <w:highlight w:val="none"/>
          <w:u w:val="single"/>
        </w:rPr>
        <w:t xml:space="preserve">             </w:t>
      </w:r>
    </w:p>
    <w:p>
      <w:pPr>
        <w:tabs>
          <w:tab w:val="left" w:pos="4620"/>
        </w:tabs>
        <w:spacing w:line="360" w:lineRule="auto"/>
        <w:ind w:firstLine="4252" w:firstLineChars="1772"/>
        <w:rPr>
          <w:rFonts w:hint="eastAsia" w:ascii="仿宋" w:hAnsi="仿宋" w:eastAsia="仿宋" w:cs="仿宋"/>
          <w:bCs/>
          <w:color w:val="auto"/>
          <w:kern w:val="0"/>
          <w:sz w:val="24"/>
          <w:highlight w:val="none"/>
          <w:u w:val="single"/>
        </w:rPr>
      </w:pPr>
      <w:r>
        <w:rPr>
          <w:rFonts w:hint="eastAsia" w:ascii="仿宋" w:hAnsi="仿宋" w:eastAsia="仿宋" w:cs="仿宋"/>
          <w:bCs/>
          <w:color w:val="auto"/>
          <w:kern w:val="0"/>
          <w:sz w:val="24"/>
          <w:highlight w:val="none"/>
        </w:rPr>
        <w:t>日          期：</w:t>
      </w:r>
      <w:r>
        <w:rPr>
          <w:rFonts w:hint="eastAsia" w:ascii="仿宋" w:hAnsi="仿宋" w:eastAsia="仿宋" w:cs="仿宋"/>
          <w:bCs/>
          <w:color w:val="auto"/>
          <w:kern w:val="0"/>
          <w:sz w:val="24"/>
          <w:highlight w:val="none"/>
          <w:u w:val="single"/>
        </w:rPr>
        <w:t xml:space="preserve">             </w:t>
      </w:r>
    </w:p>
    <w:p>
      <w:pPr>
        <w:tabs>
          <w:tab w:val="left" w:pos="4620"/>
        </w:tabs>
        <w:spacing w:line="360" w:lineRule="auto"/>
        <w:jc w:val="left"/>
        <w:rPr>
          <w:rFonts w:hint="eastAsia" w:ascii="仿宋" w:hAnsi="仿宋" w:eastAsia="仿宋" w:cs="仿宋"/>
          <w:bCs/>
          <w:color w:val="auto"/>
          <w:kern w:val="0"/>
          <w:sz w:val="24"/>
          <w:highlight w:val="none"/>
        </w:rPr>
      </w:pPr>
    </w:p>
    <w:p>
      <w:pPr>
        <w:tabs>
          <w:tab w:val="left" w:pos="4620"/>
        </w:tabs>
        <w:spacing w:line="360" w:lineRule="auto"/>
        <w:jc w:val="left"/>
        <w:rPr>
          <w:rFonts w:hint="eastAsia" w:ascii="仿宋" w:hAnsi="仿宋" w:eastAsia="仿宋" w:cs="仿宋"/>
          <w:bCs/>
          <w:color w:val="auto"/>
          <w:kern w:val="0"/>
          <w:sz w:val="24"/>
          <w:highlight w:val="none"/>
        </w:rPr>
      </w:pPr>
    </w:p>
    <w:p>
      <w:pPr>
        <w:tabs>
          <w:tab w:val="left" w:pos="4620"/>
        </w:tabs>
        <w:spacing w:line="360" w:lineRule="auto"/>
        <w:jc w:val="left"/>
        <w:rPr>
          <w:rFonts w:hint="eastAsia" w:ascii="仿宋" w:hAnsi="仿宋" w:eastAsia="仿宋" w:cs="仿宋"/>
          <w:bCs/>
          <w:color w:val="auto"/>
          <w:kern w:val="0"/>
          <w:sz w:val="24"/>
          <w:highlight w:val="none"/>
        </w:rPr>
      </w:pPr>
    </w:p>
    <w:p>
      <w:pPr>
        <w:tabs>
          <w:tab w:val="left" w:pos="4620"/>
        </w:tabs>
        <w:spacing w:line="360" w:lineRule="auto"/>
        <w:jc w:val="left"/>
        <w:rPr>
          <w:rFonts w:hint="eastAsia" w:ascii="仿宋" w:hAnsi="仿宋" w:eastAsia="仿宋" w:cs="仿宋"/>
          <w:bCs/>
          <w:color w:val="auto"/>
          <w:kern w:val="0"/>
          <w:sz w:val="24"/>
          <w:highlight w:val="none"/>
        </w:rPr>
      </w:pPr>
      <w:r>
        <w:rPr>
          <w:rFonts w:hint="eastAsia" w:ascii="仿宋" w:hAnsi="仿宋" w:eastAsia="仿宋" w:cs="仿宋"/>
          <w:bCs/>
          <w:color w:val="auto"/>
          <w:kern w:val="0"/>
          <w:sz w:val="24"/>
          <w:highlight w:val="none"/>
        </w:rPr>
        <w:t>注：从业人员、营业收入、资产总额填报上一年数据，无上一年数据的新成立企业可不填报。</w:t>
      </w:r>
    </w:p>
    <w:bookmarkEnd w:id="305"/>
    <w:bookmarkEnd w:id="306"/>
    <w:p>
      <w:pPr>
        <w:keepNext/>
        <w:keepLines/>
        <w:tabs>
          <w:tab w:val="left" w:pos="900"/>
        </w:tabs>
        <w:snapToGrid w:val="0"/>
        <w:spacing w:before="260" w:after="260" w:line="360" w:lineRule="auto"/>
        <w:ind w:left="540"/>
        <w:jc w:val="lef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附件2</w:t>
      </w:r>
    </w:p>
    <w:p>
      <w:pPr>
        <w:keepNext/>
        <w:keepLines/>
        <w:tabs>
          <w:tab w:val="left" w:pos="900"/>
        </w:tabs>
        <w:snapToGrid w:val="0"/>
        <w:spacing w:before="260" w:after="260" w:line="360" w:lineRule="auto"/>
        <w:ind w:left="540"/>
        <w:jc w:val="center"/>
        <w:rPr>
          <w:rFonts w:hint="eastAsia" w:ascii="仿宋" w:hAnsi="仿宋" w:eastAsia="仿宋" w:cs="仿宋"/>
          <w:color w:val="auto"/>
          <w:sz w:val="30"/>
          <w:highlight w:val="none"/>
        </w:rPr>
      </w:pPr>
      <w:r>
        <w:rPr>
          <w:rFonts w:hint="eastAsia" w:ascii="仿宋" w:hAnsi="仿宋" w:eastAsia="仿宋" w:cs="仿宋"/>
          <w:color w:val="auto"/>
          <w:sz w:val="30"/>
          <w:highlight w:val="none"/>
        </w:rPr>
        <w:t>残疾人福利性单位声明函</w:t>
      </w:r>
    </w:p>
    <w:p>
      <w:pPr>
        <w:snapToGrid w:val="0"/>
        <w:spacing w:line="588" w:lineRule="exact"/>
        <w:rPr>
          <w:rFonts w:hint="eastAsia" w:ascii="仿宋" w:hAnsi="仿宋" w:eastAsia="仿宋" w:cs="仿宋"/>
          <w:b/>
          <w:color w:val="auto"/>
          <w:spacing w:val="6"/>
          <w:sz w:val="24"/>
          <w:highlight w:val="none"/>
        </w:rPr>
      </w:pPr>
    </w:p>
    <w:p>
      <w:pPr>
        <w:snapToGrid w:val="0"/>
        <w:spacing w:line="588" w:lineRule="exact"/>
        <w:ind w:firstLine="504"/>
        <w:rPr>
          <w:rFonts w:hint="eastAsia" w:ascii="仿宋" w:hAnsi="仿宋" w:eastAsia="仿宋" w:cs="仿宋"/>
          <w:color w:val="auto"/>
          <w:spacing w:val="6"/>
          <w:sz w:val="24"/>
          <w:highlight w:val="none"/>
        </w:rPr>
      </w:pPr>
      <w:r>
        <w:rPr>
          <w:rFonts w:hint="eastAsia" w:ascii="仿宋" w:hAnsi="仿宋" w:eastAsia="仿宋" w:cs="仿宋"/>
          <w:color w:val="auto"/>
          <w:spacing w:val="6"/>
          <w:sz w:val="24"/>
          <w:highlight w:val="none"/>
        </w:rPr>
        <w:t>本单位郑重声明，根据《财政部 民政部 中国残疾人联合会关于促进残疾人就业政府采购政策的通知》（财库</w:t>
      </w:r>
      <w:r>
        <w:rPr>
          <w:rFonts w:hint="eastAsia" w:ascii="仿宋" w:hAnsi="仿宋" w:eastAsia="仿宋" w:cs="仿宋"/>
          <w:color w:val="auto"/>
          <w:sz w:val="24"/>
          <w:highlight w:val="none"/>
        </w:rPr>
        <w:t>〔2016〕 141</w:t>
      </w:r>
      <w:r>
        <w:rPr>
          <w:rFonts w:hint="eastAsia" w:ascii="仿宋" w:hAnsi="仿宋" w:eastAsia="仿宋" w:cs="仿宋"/>
          <w:color w:val="auto"/>
          <w:spacing w:val="6"/>
          <w:sz w:val="24"/>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588" w:lineRule="exact"/>
        <w:ind w:firstLine="504"/>
        <w:rPr>
          <w:rFonts w:hint="eastAsia" w:ascii="仿宋" w:hAnsi="仿宋" w:eastAsia="仿宋" w:cs="仿宋"/>
          <w:color w:val="auto"/>
          <w:spacing w:val="6"/>
          <w:sz w:val="24"/>
          <w:highlight w:val="none"/>
        </w:rPr>
      </w:pPr>
      <w:r>
        <w:rPr>
          <w:rFonts w:hint="eastAsia" w:ascii="仿宋" w:hAnsi="仿宋" w:eastAsia="仿宋" w:cs="仿宋"/>
          <w:color w:val="auto"/>
          <w:spacing w:val="6"/>
          <w:sz w:val="24"/>
          <w:highlight w:val="none"/>
        </w:rPr>
        <w:t>本单位对上述声明的真实性负责。如有虚假，将依法承担相应责任。</w:t>
      </w:r>
    </w:p>
    <w:p>
      <w:pPr>
        <w:snapToGrid w:val="0"/>
        <w:spacing w:line="588" w:lineRule="exact"/>
        <w:rPr>
          <w:rFonts w:hint="eastAsia" w:ascii="仿宋" w:hAnsi="仿宋" w:eastAsia="仿宋" w:cs="仿宋"/>
          <w:color w:val="auto"/>
          <w:spacing w:val="6"/>
          <w:sz w:val="24"/>
          <w:highlight w:val="none"/>
        </w:rPr>
      </w:pPr>
    </w:p>
    <w:p>
      <w:pPr>
        <w:snapToGrid w:val="0"/>
        <w:spacing w:line="588" w:lineRule="exact"/>
        <w:rPr>
          <w:rFonts w:hint="eastAsia" w:ascii="仿宋" w:hAnsi="仿宋" w:eastAsia="仿宋" w:cs="仿宋"/>
          <w:color w:val="auto"/>
          <w:spacing w:val="6"/>
          <w:sz w:val="24"/>
          <w:highlight w:val="none"/>
        </w:rPr>
      </w:pPr>
    </w:p>
    <w:p>
      <w:pPr>
        <w:tabs>
          <w:tab w:val="left" w:pos="4860"/>
        </w:tabs>
        <w:snapToGrid w:val="0"/>
        <w:spacing w:line="588" w:lineRule="exact"/>
        <w:ind w:right="1560"/>
        <w:rPr>
          <w:rFonts w:hint="eastAsia" w:ascii="仿宋" w:hAnsi="仿宋" w:eastAsia="仿宋" w:cs="仿宋"/>
          <w:b/>
          <w:color w:val="auto"/>
          <w:spacing w:val="6"/>
          <w:sz w:val="24"/>
          <w:highlight w:val="none"/>
        </w:rPr>
      </w:pPr>
      <w:r>
        <w:rPr>
          <w:rFonts w:hint="eastAsia" w:ascii="仿宋" w:hAnsi="仿宋" w:eastAsia="仿宋" w:cs="仿宋"/>
          <w:b/>
          <w:color w:val="auto"/>
          <w:spacing w:val="6"/>
          <w:sz w:val="24"/>
          <w:highlight w:val="none"/>
        </w:rPr>
        <w:t>单位名称（盖章）：</w:t>
      </w:r>
    </w:p>
    <w:p>
      <w:pPr>
        <w:snapToGrid w:val="0"/>
        <w:rPr>
          <w:rFonts w:hint="eastAsia" w:ascii="仿宋" w:hAnsi="仿宋" w:eastAsia="仿宋" w:cs="仿宋"/>
          <w:b/>
          <w:color w:val="auto"/>
          <w:spacing w:val="6"/>
          <w:sz w:val="24"/>
          <w:highlight w:val="none"/>
        </w:rPr>
      </w:pPr>
    </w:p>
    <w:p>
      <w:pPr>
        <w:snapToGrid w:val="0"/>
        <w:rPr>
          <w:rFonts w:hint="eastAsia" w:ascii="仿宋" w:hAnsi="仿宋" w:eastAsia="仿宋" w:cs="仿宋"/>
          <w:b/>
          <w:color w:val="auto"/>
          <w:spacing w:val="6"/>
          <w:sz w:val="24"/>
          <w:highlight w:val="none"/>
        </w:rPr>
      </w:pPr>
      <w:r>
        <w:rPr>
          <w:rFonts w:hint="eastAsia" w:ascii="仿宋" w:hAnsi="仿宋" w:eastAsia="仿宋" w:cs="仿宋"/>
          <w:b/>
          <w:color w:val="auto"/>
          <w:spacing w:val="6"/>
          <w:sz w:val="24"/>
          <w:highlight w:val="none"/>
        </w:rPr>
        <w:t>日  期：</w:t>
      </w:r>
    </w:p>
    <w:p>
      <w:pPr>
        <w:snapToGrid w:val="0"/>
        <w:spacing w:line="360" w:lineRule="auto"/>
        <w:rPr>
          <w:rFonts w:hint="eastAsia" w:ascii="仿宋" w:hAnsi="仿宋" w:eastAsia="仿宋" w:cs="仿宋"/>
          <w:color w:val="auto"/>
          <w:sz w:val="24"/>
          <w:highlight w:val="none"/>
        </w:rPr>
      </w:pPr>
    </w:p>
    <w:p>
      <w:pPr>
        <w:snapToGrid w:val="0"/>
        <w:spacing w:line="360" w:lineRule="auto"/>
        <w:rPr>
          <w:rFonts w:hint="eastAsia" w:ascii="仿宋" w:hAnsi="仿宋" w:eastAsia="仿宋" w:cs="仿宋"/>
          <w:color w:val="auto"/>
          <w:sz w:val="24"/>
          <w:highlight w:val="none"/>
        </w:rPr>
      </w:pP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注：</w:t>
      </w:r>
    </w:p>
    <w:p>
      <w:pPr>
        <w:numPr>
          <w:ilvl w:val="0"/>
          <w:numId w:val="6"/>
        </w:num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残疾人福利性单位视同小型、微型企业，享受预留份额、评审中价格扣除等促进中小企业发展的政府采购政策。残疾人福利性单位属于小型、微型企业的，不重复享受政策。</w:t>
      </w:r>
    </w:p>
    <w:p>
      <w:pPr>
        <w:numPr>
          <w:ilvl w:val="0"/>
          <w:numId w:val="6"/>
        </w:num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供应商为非残疾人福利性单位的，可不提供此声明。 </w:t>
      </w:r>
    </w:p>
    <w:p>
      <w:pPr>
        <w:pStyle w:val="6"/>
        <w:spacing w:line="360" w:lineRule="auto"/>
        <w:rPr>
          <w:rFonts w:hint="eastAsia" w:ascii="仿宋" w:hAnsi="仿宋" w:eastAsia="仿宋" w:cs="仿宋"/>
          <w:color w:val="auto"/>
          <w:kern w:val="0"/>
          <w:sz w:val="24"/>
          <w:szCs w:val="24"/>
          <w:highlight w:val="none"/>
        </w:rPr>
      </w:pPr>
    </w:p>
    <w:p>
      <w:pPr>
        <w:pStyle w:val="6"/>
        <w:spacing w:line="360" w:lineRule="auto"/>
        <w:rPr>
          <w:rFonts w:hint="eastAsia" w:ascii="宋体" w:hAnsi="宋体" w:eastAsia="宋体" w:cs="宋体"/>
          <w:color w:val="auto"/>
          <w:kern w:val="0"/>
          <w:sz w:val="24"/>
          <w:szCs w:val="24"/>
          <w:highlight w:val="none"/>
        </w:rPr>
      </w:pPr>
    </w:p>
    <w:p>
      <w:pPr>
        <w:pStyle w:val="6"/>
        <w:spacing w:line="360" w:lineRule="auto"/>
        <w:rPr>
          <w:rFonts w:hint="eastAsia" w:ascii="宋体" w:hAnsi="宋体" w:eastAsia="宋体" w:cs="宋体"/>
          <w:color w:val="auto"/>
          <w:kern w:val="0"/>
          <w:sz w:val="24"/>
          <w:szCs w:val="24"/>
          <w:highlight w:val="none"/>
        </w:rPr>
      </w:pPr>
    </w:p>
    <w:p>
      <w:pPr>
        <w:pStyle w:val="6"/>
        <w:spacing w:line="360" w:lineRule="auto"/>
        <w:rPr>
          <w:rFonts w:hint="eastAsia" w:ascii="宋体" w:hAnsi="宋体" w:eastAsia="宋体" w:cs="宋体"/>
          <w:color w:val="auto"/>
          <w:kern w:val="0"/>
          <w:sz w:val="24"/>
          <w:szCs w:val="24"/>
          <w:highlight w:val="none"/>
        </w:rPr>
      </w:pPr>
    </w:p>
    <w:p>
      <w:pPr>
        <w:pStyle w:val="6"/>
        <w:spacing w:line="360" w:lineRule="auto"/>
        <w:rPr>
          <w:rFonts w:hint="eastAsia" w:ascii="宋体" w:hAnsi="宋体" w:eastAsia="宋体" w:cs="宋体"/>
          <w:color w:val="auto"/>
          <w:kern w:val="0"/>
          <w:sz w:val="24"/>
          <w:szCs w:val="24"/>
          <w:highlight w:val="none"/>
        </w:rPr>
      </w:pPr>
    </w:p>
    <w:p>
      <w:pPr>
        <w:pStyle w:val="6"/>
        <w:spacing w:line="360" w:lineRule="auto"/>
        <w:rPr>
          <w:rFonts w:hint="eastAsia" w:ascii="宋体" w:hAnsi="宋体" w:eastAsia="宋体" w:cs="宋体"/>
          <w:color w:val="auto"/>
          <w:kern w:val="0"/>
          <w:sz w:val="24"/>
          <w:szCs w:val="24"/>
          <w:highlight w:val="none"/>
        </w:rPr>
      </w:pPr>
    </w:p>
    <w:p>
      <w:pPr>
        <w:pStyle w:val="6"/>
        <w:spacing w:line="360" w:lineRule="auto"/>
        <w:rPr>
          <w:rFonts w:hint="eastAsia" w:ascii="宋体" w:hAnsi="宋体" w:eastAsia="宋体" w:cs="宋体"/>
          <w:color w:val="auto"/>
          <w:kern w:val="0"/>
          <w:sz w:val="24"/>
          <w:szCs w:val="24"/>
          <w:highlight w:val="none"/>
        </w:rPr>
      </w:pPr>
    </w:p>
    <w:p>
      <w:pPr>
        <w:pStyle w:val="6"/>
        <w:spacing w:line="360" w:lineRule="auto"/>
        <w:rPr>
          <w:rFonts w:hint="eastAsia" w:ascii="宋体" w:hAnsi="宋体" w:eastAsia="宋体" w:cs="宋体"/>
          <w:color w:val="auto"/>
          <w:kern w:val="0"/>
          <w:sz w:val="24"/>
          <w:szCs w:val="24"/>
          <w:highlight w:val="none"/>
        </w:rPr>
      </w:pPr>
    </w:p>
    <w:p>
      <w:pPr>
        <w:spacing w:before="88"/>
        <w:ind w:left="460"/>
        <w:jc w:val="center"/>
        <w:rPr>
          <w:rFonts w:hint="eastAsia" w:ascii="宋体" w:hAnsi="宋体" w:eastAsia="宋体" w:cs="宋体"/>
          <w:b/>
          <w:color w:val="auto"/>
          <w:sz w:val="28"/>
          <w:highlight w:val="none"/>
        </w:rPr>
      </w:pPr>
      <w:r>
        <w:rPr>
          <w:rFonts w:hint="eastAsia" w:ascii="宋体" w:hAnsi="宋体" w:eastAsia="宋体" w:cs="宋体"/>
          <w:b/>
          <w:color w:val="auto"/>
          <w:sz w:val="28"/>
          <w:highlight w:val="none"/>
        </w:rPr>
        <w:t>保证金退还申请书</w:t>
      </w:r>
    </w:p>
    <w:p>
      <w:pPr>
        <w:spacing w:before="11"/>
        <w:rPr>
          <w:rFonts w:hint="eastAsia" w:ascii="宋体" w:hAnsi="宋体" w:eastAsia="宋体" w:cs="宋体"/>
          <w:b/>
          <w:color w:val="auto"/>
          <w:sz w:val="22"/>
          <w:highlight w:val="none"/>
        </w:rPr>
      </w:pPr>
    </w:p>
    <w:p>
      <w:pPr>
        <w:ind w:left="460"/>
        <w:rPr>
          <w:rFonts w:hint="eastAsia" w:ascii="仿宋" w:hAnsi="仿宋" w:eastAsia="仿宋" w:cs="仿宋"/>
          <w:color w:val="0000FF"/>
          <w:szCs w:val="21"/>
          <w:highlight w:val="none"/>
          <w:lang w:eastAsia="zh-CN"/>
        </w:rPr>
      </w:pPr>
      <w:r>
        <w:rPr>
          <w:rFonts w:hint="eastAsia" w:ascii="仿宋" w:hAnsi="仿宋" w:eastAsia="仿宋" w:cs="仿宋"/>
          <w:color w:val="auto"/>
          <w:szCs w:val="21"/>
          <w:highlight w:val="none"/>
        </w:rPr>
        <w:t>致：海南诚屹项目管理有限公司</w:t>
      </w:r>
    </w:p>
    <w:p>
      <w:pPr>
        <w:tabs>
          <w:tab w:val="left" w:pos="2079"/>
          <w:tab w:val="left" w:pos="2411"/>
          <w:tab w:val="left" w:pos="3397"/>
          <w:tab w:val="left" w:pos="4506"/>
        </w:tabs>
        <w:spacing w:before="192" w:line="391"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我司于</w:t>
      </w:r>
      <w:r>
        <w:rPr>
          <w:rFonts w:hint="eastAsia" w:ascii="仿宋" w:hAnsi="仿宋" w:eastAsia="仿宋" w:cs="仿宋"/>
          <w:color w:val="auto"/>
          <w:szCs w:val="21"/>
          <w:highlight w:val="none"/>
          <w:u w:val="single"/>
        </w:rPr>
        <w:tab/>
      </w:r>
      <w:r>
        <w:rPr>
          <w:rFonts w:hint="eastAsia" w:ascii="仿宋" w:hAnsi="仿宋" w:eastAsia="仿宋" w:cs="仿宋"/>
          <w:color w:val="auto"/>
          <w:szCs w:val="21"/>
          <w:highlight w:val="none"/>
          <w:u w:val="single"/>
        </w:rPr>
        <w:tab/>
      </w:r>
      <w:r>
        <w:rPr>
          <w:rFonts w:hint="eastAsia" w:ascii="仿宋" w:hAnsi="仿宋" w:eastAsia="仿宋" w:cs="仿宋"/>
          <w:color w:val="auto"/>
          <w:szCs w:val="21"/>
          <w:highlight w:val="none"/>
        </w:rPr>
        <w:t>年</w:t>
      </w:r>
      <w:r>
        <w:rPr>
          <w:rFonts w:hint="eastAsia" w:ascii="仿宋" w:hAnsi="仿宋" w:eastAsia="仿宋" w:cs="仿宋"/>
          <w:color w:val="auto"/>
          <w:szCs w:val="21"/>
          <w:highlight w:val="none"/>
          <w:u w:val="single"/>
        </w:rPr>
        <w:tab/>
      </w:r>
      <w:r>
        <w:rPr>
          <w:rFonts w:hint="eastAsia" w:ascii="仿宋" w:hAnsi="仿宋" w:eastAsia="仿宋" w:cs="仿宋"/>
          <w:color w:val="auto"/>
          <w:szCs w:val="21"/>
          <w:highlight w:val="none"/>
        </w:rPr>
        <w:t>月</w:t>
      </w:r>
      <w:r>
        <w:rPr>
          <w:rFonts w:hint="eastAsia" w:ascii="仿宋" w:hAnsi="仿宋" w:eastAsia="仿宋" w:cs="仿宋"/>
          <w:color w:val="auto"/>
          <w:szCs w:val="21"/>
          <w:highlight w:val="none"/>
          <w:u w:val="single"/>
        </w:rPr>
        <w:tab/>
      </w:r>
      <w:r>
        <w:rPr>
          <w:rFonts w:hint="eastAsia" w:ascii="仿宋" w:hAnsi="仿宋" w:eastAsia="仿宋" w:cs="仿宋"/>
          <w:color w:val="auto"/>
          <w:szCs w:val="21"/>
          <w:highlight w:val="none"/>
        </w:rPr>
        <w:t>日为</w:t>
      </w:r>
      <w:r>
        <w:rPr>
          <w:rFonts w:hint="eastAsia" w:ascii="仿宋" w:hAnsi="仿宋" w:eastAsia="仿宋" w:cs="仿宋"/>
          <w:color w:val="auto"/>
          <w:szCs w:val="21"/>
          <w:highlight w:val="none"/>
          <w:u w:val="single"/>
          <w:lang w:eastAsia="zh-CN"/>
        </w:rPr>
        <w:t>屯昌县国土空间规划中明确造林绿化空间评估项目政府采购</w:t>
      </w:r>
      <w:r>
        <w:rPr>
          <w:rFonts w:hint="eastAsia" w:ascii="仿宋" w:hAnsi="仿宋" w:eastAsia="仿宋" w:cs="仿宋"/>
          <w:color w:val="auto"/>
          <w:szCs w:val="21"/>
          <w:highlight w:val="none"/>
          <w:u w:val="single"/>
        </w:rPr>
        <w:t>（项目编号：</w:t>
      </w:r>
      <w:r>
        <w:rPr>
          <w:rFonts w:hint="eastAsia" w:ascii="仿宋" w:hAnsi="仿宋" w:eastAsia="仿宋" w:cs="仿宋"/>
          <w:color w:val="auto"/>
          <w:szCs w:val="21"/>
          <w:highlight w:val="none"/>
          <w:u w:val="single"/>
          <w:lang w:eastAsia="zh-CN"/>
        </w:rPr>
        <w:t>HNCY-2022-029</w:t>
      </w:r>
      <w:r>
        <w:rPr>
          <w:rFonts w:hint="eastAsia" w:ascii="仿宋" w:hAnsi="仿宋" w:eastAsia="仿宋" w:cs="仿宋"/>
          <w:color w:val="auto"/>
          <w:szCs w:val="21"/>
          <w:highlight w:val="none"/>
          <w:u w:val="single"/>
        </w:rPr>
        <w:t>）</w:t>
      </w:r>
      <w:r>
        <w:rPr>
          <w:rFonts w:hint="eastAsia" w:ascii="仿宋" w:hAnsi="仿宋" w:eastAsia="仿宋" w:cs="仿宋"/>
          <w:color w:val="auto"/>
          <w:szCs w:val="21"/>
          <w:highlight w:val="none"/>
        </w:rPr>
        <w:t>投标所提交的保证金人民币¥</w:t>
      </w:r>
      <w:r>
        <w:rPr>
          <w:rFonts w:hint="eastAsia" w:ascii="仿宋" w:hAnsi="仿宋" w:eastAsia="仿宋" w:cs="仿宋"/>
          <w:color w:val="auto"/>
          <w:szCs w:val="21"/>
          <w:highlight w:val="none"/>
          <w:u w:val="single"/>
        </w:rPr>
        <w:tab/>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元，请贵公司退还时划到以下账户：</w:t>
      </w:r>
    </w:p>
    <w:p>
      <w:pPr>
        <w:rPr>
          <w:rFonts w:hint="eastAsia" w:ascii="仿宋" w:hAnsi="仿宋" w:eastAsia="仿宋" w:cs="仿宋"/>
          <w:color w:val="auto"/>
          <w:sz w:val="20"/>
          <w:highlight w:val="none"/>
        </w:rPr>
      </w:pPr>
    </w:p>
    <w:p>
      <w:pPr>
        <w:spacing w:after="1"/>
        <w:rPr>
          <w:rFonts w:hint="eastAsia" w:ascii="仿宋" w:hAnsi="仿宋" w:eastAsia="仿宋" w:cs="仿宋"/>
          <w:color w:val="auto"/>
          <w:sz w:val="12"/>
          <w:highlight w:val="none"/>
        </w:rPr>
      </w:pPr>
    </w:p>
    <w:tbl>
      <w:tblPr>
        <w:tblStyle w:val="38"/>
        <w:tblW w:w="9392" w:type="dxa"/>
        <w:tblInd w:w="1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09"/>
        <w:gridCol w:w="3648"/>
        <w:gridCol w:w="1257"/>
        <w:gridCol w:w="26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2" w:hRule="atLeast"/>
        </w:trPr>
        <w:tc>
          <w:tcPr>
            <w:tcW w:w="1809" w:type="dxa"/>
          </w:tcPr>
          <w:p>
            <w:pPr>
              <w:pStyle w:val="115"/>
              <w:spacing w:before="4"/>
              <w:rPr>
                <w:rFonts w:hint="eastAsia" w:ascii="仿宋" w:hAnsi="仿宋" w:eastAsia="仿宋" w:cs="仿宋"/>
                <w:color w:val="auto"/>
                <w:sz w:val="22"/>
                <w:highlight w:val="none"/>
              </w:rPr>
            </w:pPr>
          </w:p>
          <w:p>
            <w:pPr>
              <w:pStyle w:val="115"/>
              <w:ind w:right="234"/>
              <w:jc w:val="right"/>
              <w:rPr>
                <w:rFonts w:hint="eastAsia" w:ascii="仿宋" w:hAnsi="仿宋" w:eastAsia="仿宋" w:cs="仿宋"/>
                <w:color w:val="auto"/>
                <w:sz w:val="24"/>
                <w:highlight w:val="none"/>
              </w:rPr>
            </w:pPr>
            <w:r>
              <w:rPr>
                <w:rFonts w:hint="eastAsia" w:ascii="仿宋" w:hAnsi="仿宋" w:eastAsia="仿宋" w:cs="仿宋"/>
                <w:color w:val="auto"/>
                <w:sz w:val="24"/>
                <w:highlight w:val="none"/>
              </w:rPr>
              <w:t>开 户 名 称</w:t>
            </w:r>
          </w:p>
        </w:tc>
        <w:tc>
          <w:tcPr>
            <w:tcW w:w="7583" w:type="dxa"/>
            <w:gridSpan w:val="3"/>
          </w:tcPr>
          <w:p>
            <w:pPr>
              <w:pStyle w:val="115"/>
              <w:rPr>
                <w:rFonts w:hint="eastAsia" w:ascii="仿宋" w:hAnsi="仿宋" w:eastAsia="仿宋" w:cs="仿宋"/>
                <w:color w:val="auto"/>
                <w:sz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1" w:hRule="atLeast"/>
        </w:trPr>
        <w:tc>
          <w:tcPr>
            <w:tcW w:w="1809" w:type="dxa"/>
          </w:tcPr>
          <w:p>
            <w:pPr>
              <w:pStyle w:val="115"/>
              <w:spacing w:before="5"/>
              <w:rPr>
                <w:rFonts w:hint="eastAsia" w:ascii="仿宋" w:hAnsi="仿宋" w:eastAsia="仿宋" w:cs="仿宋"/>
                <w:color w:val="auto"/>
                <w:sz w:val="22"/>
                <w:highlight w:val="none"/>
              </w:rPr>
            </w:pPr>
          </w:p>
          <w:p>
            <w:pPr>
              <w:pStyle w:val="115"/>
              <w:spacing w:before="1"/>
              <w:ind w:right="174"/>
              <w:jc w:val="right"/>
              <w:rPr>
                <w:rFonts w:hint="eastAsia" w:ascii="仿宋" w:hAnsi="仿宋" w:eastAsia="仿宋" w:cs="仿宋"/>
                <w:color w:val="auto"/>
                <w:sz w:val="24"/>
                <w:highlight w:val="none"/>
              </w:rPr>
            </w:pPr>
            <w:r>
              <w:rPr>
                <w:rFonts w:hint="eastAsia" w:ascii="仿宋" w:hAnsi="仿宋" w:eastAsia="仿宋" w:cs="仿宋"/>
                <w:color w:val="auto"/>
                <w:sz w:val="24"/>
                <w:highlight w:val="none"/>
              </w:rPr>
              <w:t>开户银行全称</w:t>
            </w:r>
          </w:p>
        </w:tc>
        <w:tc>
          <w:tcPr>
            <w:tcW w:w="3648" w:type="dxa"/>
          </w:tcPr>
          <w:p>
            <w:pPr>
              <w:pStyle w:val="115"/>
              <w:rPr>
                <w:rFonts w:hint="eastAsia" w:ascii="仿宋" w:hAnsi="仿宋" w:eastAsia="仿宋" w:cs="仿宋"/>
                <w:color w:val="auto"/>
                <w:sz w:val="22"/>
                <w:highlight w:val="none"/>
              </w:rPr>
            </w:pPr>
          </w:p>
        </w:tc>
        <w:tc>
          <w:tcPr>
            <w:tcW w:w="1257" w:type="dxa"/>
          </w:tcPr>
          <w:p>
            <w:pPr>
              <w:pStyle w:val="115"/>
              <w:spacing w:before="5"/>
              <w:rPr>
                <w:rFonts w:hint="eastAsia" w:ascii="仿宋" w:hAnsi="仿宋" w:eastAsia="仿宋" w:cs="仿宋"/>
                <w:color w:val="auto"/>
                <w:sz w:val="22"/>
                <w:highlight w:val="none"/>
              </w:rPr>
            </w:pPr>
          </w:p>
          <w:p>
            <w:pPr>
              <w:pStyle w:val="115"/>
              <w:spacing w:before="1"/>
              <w:ind w:left="127" w:right="12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联 系 人</w:t>
            </w:r>
          </w:p>
        </w:tc>
        <w:tc>
          <w:tcPr>
            <w:tcW w:w="2678" w:type="dxa"/>
          </w:tcPr>
          <w:p>
            <w:pPr>
              <w:pStyle w:val="115"/>
              <w:rPr>
                <w:rFonts w:hint="eastAsia" w:ascii="仿宋" w:hAnsi="仿宋" w:eastAsia="仿宋" w:cs="仿宋"/>
                <w:color w:val="auto"/>
                <w:sz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2" w:hRule="atLeast"/>
        </w:trPr>
        <w:tc>
          <w:tcPr>
            <w:tcW w:w="1809" w:type="dxa"/>
          </w:tcPr>
          <w:p>
            <w:pPr>
              <w:pStyle w:val="115"/>
              <w:spacing w:before="4"/>
              <w:rPr>
                <w:rFonts w:hint="eastAsia" w:ascii="仿宋" w:hAnsi="仿宋" w:eastAsia="仿宋" w:cs="仿宋"/>
                <w:color w:val="auto"/>
                <w:sz w:val="22"/>
                <w:highlight w:val="none"/>
              </w:rPr>
            </w:pPr>
          </w:p>
          <w:p>
            <w:pPr>
              <w:pStyle w:val="115"/>
              <w:ind w:right="234"/>
              <w:jc w:val="right"/>
              <w:rPr>
                <w:rFonts w:hint="eastAsia" w:ascii="仿宋" w:hAnsi="仿宋" w:eastAsia="仿宋" w:cs="仿宋"/>
                <w:color w:val="auto"/>
                <w:sz w:val="24"/>
                <w:highlight w:val="none"/>
              </w:rPr>
            </w:pPr>
            <w:r>
              <w:rPr>
                <w:rFonts w:hint="eastAsia" w:ascii="仿宋" w:hAnsi="仿宋" w:eastAsia="仿宋" w:cs="仿宋"/>
                <w:color w:val="auto"/>
                <w:sz w:val="24"/>
                <w:highlight w:val="none"/>
              </w:rPr>
              <w:t>银 行 账 号</w:t>
            </w:r>
          </w:p>
        </w:tc>
        <w:tc>
          <w:tcPr>
            <w:tcW w:w="3648" w:type="dxa"/>
          </w:tcPr>
          <w:p>
            <w:pPr>
              <w:pStyle w:val="115"/>
              <w:rPr>
                <w:rFonts w:hint="eastAsia" w:ascii="仿宋" w:hAnsi="仿宋" w:eastAsia="仿宋" w:cs="仿宋"/>
                <w:color w:val="auto"/>
                <w:sz w:val="22"/>
                <w:highlight w:val="none"/>
              </w:rPr>
            </w:pPr>
          </w:p>
        </w:tc>
        <w:tc>
          <w:tcPr>
            <w:tcW w:w="1257" w:type="dxa"/>
          </w:tcPr>
          <w:p>
            <w:pPr>
              <w:pStyle w:val="115"/>
              <w:spacing w:before="4"/>
              <w:rPr>
                <w:rFonts w:hint="eastAsia" w:ascii="仿宋" w:hAnsi="仿宋" w:eastAsia="仿宋" w:cs="仿宋"/>
                <w:color w:val="auto"/>
                <w:sz w:val="22"/>
                <w:highlight w:val="none"/>
              </w:rPr>
            </w:pPr>
          </w:p>
          <w:p>
            <w:pPr>
              <w:pStyle w:val="115"/>
              <w:ind w:left="127" w:right="12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联系电话</w:t>
            </w:r>
          </w:p>
        </w:tc>
        <w:tc>
          <w:tcPr>
            <w:tcW w:w="2678" w:type="dxa"/>
          </w:tcPr>
          <w:p>
            <w:pPr>
              <w:pStyle w:val="115"/>
              <w:rPr>
                <w:rFonts w:hint="eastAsia" w:ascii="仿宋" w:hAnsi="仿宋" w:eastAsia="仿宋" w:cs="仿宋"/>
                <w:color w:val="auto"/>
                <w:sz w:val="22"/>
                <w:highlight w:val="none"/>
              </w:rPr>
            </w:pPr>
          </w:p>
        </w:tc>
      </w:tr>
    </w:tbl>
    <w:p>
      <w:pPr>
        <w:rPr>
          <w:rFonts w:hint="eastAsia" w:ascii="仿宋" w:hAnsi="仿宋" w:eastAsia="仿宋" w:cs="仿宋"/>
          <w:color w:val="auto"/>
          <w:sz w:val="26"/>
          <w:highlight w:val="none"/>
        </w:rPr>
      </w:pPr>
    </w:p>
    <w:p>
      <w:pPr>
        <w:spacing w:before="6"/>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附：企业基本帐户开户许可证</w:t>
      </w:r>
    </w:p>
    <w:p>
      <w:pPr>
        <w:tabs>
          <w:tab w:val="left" w:pos="4539"/>
        </w:tabs>
        <w:ind w:left="460"/>
        <w:rPr>
          <w:rFonts w:hint="eastAsia" w:ascii="仿宋" w:hAnsi="仿宋" w:eastAsia="仿宋" w:cs="仿宋"/>
          <w:color w:val="auto"/>
          <w:highlight w:val="none"/>
        </w:rPr>
      </w:pPr>
    </w:p>
    <w:p>
      <w:pPr>
        <w:tabs>
          <w:tab w:val="left" w:pos="4539"/>
        </w:tabs>
        <w:ind w:left="460"/>
        <w:rPr>
          <w:rFonts w:hint="eastAsia" w:ascii="仿宋" w:hAnsi="仿宋" w:eastAsia="仿宋" w:cs="仿宋"/>
          <w:color w:val="auto"/>
          <w:szCs w:val="21"/>
          <w:highlight w:val="none"/>
        </w:rPr>
      </w:pPr>
      <w:r>
        <w:rPr>
          <w:rFonts w:hint="eastAsia" w:ascii="仿宋" w:hAnsi="仿宋" w:eastAsia="仿宋" w:cs="仿宋"/>
          <w:color w:val="auto"/>
          <w:szCs w:val="21"/>
          <w:highlight w:val="none"/>
        </w:rPr>
        <w:t>供应商名称：</w:t>
      </w:r>
      <w:r>
        <w:rPr>
          <w:rFonts w:hint="eastAsia" w:ascii="仿宋" w:hAnsi="仿宋" w:eastAsia="仿宋" w:cs="仿宋"/>
          <w:color w:val="auto"/>
          <w:szCs w:val="21"/>
          <w:highlight w:val="none"/>
          <w:u w:val="single"/>
        </w:rPr>
        <w:tab/>
      </w:r>
      <w:r>
        <w:rPr>
          <w:rFonts w:hint="eastAsia" w:ascii="仿宋" w:hAnsi="仿宋" w:eastAsia="仿宋" w:cs="仿宋"/>
          <w:color w:val="auto"/>
          <w:szCs w:val="21"/>
          <w:highlight w:val="none"/>
          <w:u w:val="single"/>
        </w:rPr>
        <w:t>（公章）</w:t>
      </w:r>
    </w:p>
    <w:p>
      <w:pPr>
        <w:rPr>
          <w:rFonts w:hint="eastAsia" w:ascii="仿宋" w:hAnsi="仿宋" w:eastAsia="仿宋" w:cs="仿宋"/>
          <w:color w:val="auto"/>
          <w:szCs w:val="21"/>
          <w:highlight w:val="none"/>
        </w:rPr>
      </w:pPr>
    </w:p>
    <w:p>
      <w:pPr>
        <w:spacing w:before="1"/>
        <w:rPr>
          <w:rFonts w:hint="eastAsia" w:ascii="仿宋" w:hAnsi="仿宋" w:eastAsia="仿宋" w:cs="仿宋"/>
          <w:color w:val="auto"/>
          <w:szCs w:val="21"/>
          <w:highlight w:val="none"/>
        </w:rPr>
      </w:pPr>
    </w:p>
    <w:p>
      <w:pPr>
        <w:tabs>
          <w:tab w:val="left" w:pos="4059"/>
        </w:tabs>
        <w:spacing w:before="74"/>
        <w:ind w:left="460"/>
        <w:rPr>
          <w:rFonts w:hint="eastAsia" w:ascii="仿宋" w:hAnsi="仿宋" w:eastAsia="仿宋" w:cs="仿宋"/>
          <w:color w:val="auto"/>
          <w:szCs w:val="21"/>
          <w:highlight w:val="none"/>
        </w:rPr>
      </w:pPr>
      <w:r>
        <w:rPr>
          <w:rFonts w:hint="eastAsia" w:ascii="仿宋" w:hAnsi="仿宋" w:eastAsia="仿宋" w:cs="仿宋"/>
          <w:color w:val="auto"/>
          <w:szCs w:val="21"/>
          <w:highlight w:val="none"/>
        </w:rPr>
        <w:t>被授权人：</w:t>
      </w:r>
      <w:r>
        <w:rPr>
          <w:rFonts w:hint="eastAsia" w:ascii="仿宋" w:hAnsi="仿宋" w:eastAsia="仿宋" w:cs="仿宋"/>
          <w:color w:val="auto"/>
          <w:szCs w:val="21"/>
          <w:highlight w:val="none"/>
          <w:u w:val="single"/>
        </w:rPr>
        <w:tab/>
      </w:r>
      <w:r>
        <w:rPr>
          <w:rFonts w:hint="eastAsia" w:ascii="仿宋" w:hAnsi="仿宋" w:eastAsia="仿宋" w:cs="仿宋"/>
          <w:color w:val="auto"/>
          <w:szCs w:val="21"/>
          <w:highlight w:val="none"/>
          <w:u w:val="single"/>
        </w:rPr>
        <w:t>（亲笔签名）</w:t>
      </w:r>
    </w:p>
    <w:p>
      <w:pPr>
        <w:rPr>
          <w:rFonts w:hint="eastAsia" w:ascii="仿宋" w:hAnsi="仿宋" w:eastAsia="仿宋" w:cs="仿宋"/>
          <w:color w:val="auto"/>
          <w:szCs w:val="21"/>
          <w:highlight w:val="none"/>
        </w:rPr>
      </w:pPr>
    </w:p>
    <w:p>
      <w:pPr>
        <w:rPr>
          <w:rFonts w:hint="eastAsia" w:ascii="仿宋" w:hAnsi="仿宋" w:eastAsia="仿宋" w:cs="仿宋"/>
          <w:color w:val="auto"/>
          <w:szCs w:val="21"/>
          <w:highlight w:val="none"/>
        </w:rPr>
      </w:pPr>
    </w:p>
    <w:p>
      <w:pPr>
        <w:tabs>
          <w:tab w:val="left" w:pos="1179"/>
          <w:tab w:val="left" w:pos="2619"/>
          <w:tab w:val="left" w:pos="3579"/>
          <w:tab w:val="left" w:pos="4539"/>
        </w:tabs>
        <w:spacing w:before="66"/>
        <w:ind w:left="460"/>
        <w:rPr>
          <w:rFonts w:hint="eastAsia" w:ascii="仿宋" w:hAnsi="仿宋" w:eastAsia="仿宋" w:cs="仿宋"/>
          <w:color w:val="auto"/>
          <w:szCs w:val="21"/>
          <w:highlight w:val="none"/>
        </w:rPr>
      </w:pPr>
      <w:r>
        <w:rPr>
          <w:rFonts w:hint="eastAsia" w:ascii="仿宋" w:hAnsi="仿宋" w:eastAsia="仿宋" w:cs="仿宋"/>
          <w:color w:val="auto"/>
          <w:szCs w:val="21"/>
          <w:highlight w:val="none"/>
        </w:rPr>
        <w:t>日</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期：</w:t>
      </w:r>
      <w:r>
        <w:rPr>
          <w:rFonts w:hint="eastAsia" w:ascii="仿宋" w:hAnsi="仿宋" w:eastAsia="仿宋" w:cs="仿宋"/>
          <w:color w:val="auto"/>
          <w:szCs w:val="21"/>
          <w:highlight w:val="none"/>
          <w:u w:val="single"/>
        </w:rPr>
        <w:tab/>
      </w:r>
      <w:r>
        <w:rPr>
          <w:rFonts w:hint="eastAsia" w:ascii="仿宋" w:hAnsi="仿宋" w:eastAsia="仿宋" w:cs="仿宋"/>
          <w:color w:val="auto"/>
          <w:szCs w:val="21"/>
          <w:highlight w:val="none"/>
        </w:rPr>
        <w:t>年</w:t>
      </w:r>
      <w:r>
        <w:rPr>
          <w:rFonts w:hint="eastAsia" w:ascii="仿宋" w:hAnsi="仿宋" w:eastAsia="仿宋" w:cs="仿宋"/>
          <w:color w:val="auto"/>
          <w:szCs w:val="21"/>
          <w:highlight w:val="none"/>
          <w:u w:val="single"/>
        </w:rPr>
        <w:tab/>
      </w:r>
      <w:r>
        <w:rPr>
          <w:rFonts w:hint="eastAsia" w:ascii="仿宋" w:hAnsi="仿宋" w:eastAsia="仿宋" w:cs="仿宋"/>
          <w:color w:val="auto"/>
          <w:szCs w:val="21"/>
          <w:highlight w:val="none"/>
        </w:rPr>
        <w:t>月</w:t>
      </w:r>
      <w:r>
        <w:rPr>
          <w:rFonts w:hint="eastAsia" w:ascii="仿宋" w:hAnsi="仿宋" w:eastAsia="仿宋" w:cs="仿宋"/>
          <w:color w:val="auto"/>
          <w:szCs w:val="21"/>
          <w:highlight w:val="none"/>
          <w:u w:val="single"/>
        </w:rPr>
        <w:tab/>
      </w:r>
      <w:r>
        <w:rPr>
          <w:rFonts w:hint="eastAsia" w:ascii="仿宋" w:hAnsi="仿宋" w:eastAsia="仿宋" w:cs="仿宋"/>
          <w:color w:val="auto"/>
          <w:szCs w:val="21"/>
          <w:highlight w:val="none"/>
        </w:rPr>
        <w:t>日</w:t>
      </w:r>
    </w:p>
    <w:p>
      <w:pPr>
        <w:rPr>
          <w:rFonts w:hint="eastAsia" w:ascii="宋体" w:hAnsi="宋体" w:eastAsia="宋体" w:cs="宋体"/>
          <w:color w:val="auto"/>
          <w:szCs w:val="21"/>
          <w:highlight w:val="none"/>
        </w:rPr>
      </w:pPr>
    </w:p>
    <w:p>
      <w:pPr>
        <w:rPr>
          <w:rFonts w:hint="eastAsia" w:ascii="宋体" w:hAnsi="宋体" w:eastAsia="宋体" w:cs="宋体"/>
          <w:color w:val="auto"/>
          <w:szCs w:val="21"/>
          <w:highlight w:val="none"/>
        </w:rPr>
      </w:pPr>
    </w:p>
    <w:p>
      <w:pPr>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注：此表无需装订在</w:t>
      </w:r>
      <w:r>
        <w:rPr>
          <w:rFonts w:hint="eastAsia" w:ascii="仿宋" w:hAnsi="仿宋" w:eastAsia="仿宋" w:cs="仿宋"/>
          <w:b/>
          <w:color w:val="auto"/>
          <w:szCs w:val="21"/>
          <w:highlight w:val="none"/>
          <w:lang w:eastAsia="zh-CN"/>
        </w:rPr>
        <w:t>响应文件</w:t>
      </w:r>
      <w:r>
        <w:rPr>
          <w:rFonts w:hint="eastAsia" w:ascii="仿宋" w:hAnsi="仿宋" w:eastAsia="仿宋" w:cs="仿宋"/>
          <w:b/>
          <w:color w:val="auto"/>
          <w:szCs w:val="21"/>
          <w:highlight w:val="none"/>
        </w:rPr>
        <w:t>中，开标时单独提供。</w:t>
      </w:r>
    </w:p>
    <w:p>
      <w:pPr>
        <w:rPr>
          <w:rFonts w:hint="eastAsia" w:ascii="宋体" w:hAnsi="宋体" w:eastAsia="宋体" w:cs="宋体"/>
          <w:color w:val="auto"/>
          <w:szCs w:val="21"/>
          <w:highlight w:val="none"/>
        </w:rPr>
      </w:pPr>
    </w:p>
    <w:p>
      <w:pPr>
        <w:spacing w:before="6"/>
        <w:rPr>
          <w:rFonts w:hint="eastAsia" w:ascii="宋体" w:hAnsi="宋体" w:eastAsia="宋体" w:cs="宋体"/>
          <w:b/>
          <w:color w:val="auto"/>
          <w:szCs w:val="21"/>
          <w:highlight w:val="none"/>
        </w:rPr>
      </w:pPr>
    </w:p>
    <w:p>
      <w:pPr>
        <w:spacing w:before="6"/>
        <w:rPr>
          <w:rFonts w:hint="eastAsia" w:ascii="宋体" w:hAnsi="宋体" w:eastAsia="宋体" w:cs="宋体"/>
          <w:b/>
          <w:color w:val="auto"/>
          <w:szCs w:val="21"/>
          <w:highlight w:val="none"/>
        </w:rPr>
      </w:pPr>
    </w:p>
    <w:p>
      <w:pPr>
        <w:spacing w:before="6"/>
        <w:rPr>
          <w:rFonts w:hint="eastAsia" w:ascii="宋体" w:hAnsi="宋体" w:eastAsia="宋体" w:cs="宋体"/>
          <w:b/>
          <w:color w:val="auto"/>
          <w:szCs w:val="21"/>
          <w:highlight w:val="none"/>
        </w:rPr>
      </w:pPr>
    </w:p>
    <w:p>
      <w:pPr>
        <w:spacing w:before="6"/>
        <w:rPr>
          <w:rFonts w:hint="eastAsia" w:ascii="宋体" w:hAnsi="宋体" w:eastAsia="宋体" w:cs="宋体"/>
          <w:b/>
          <w:color w:val="auto"/>
          <w:szCs w:val="21"/>
          <w:highlight w:val="none"/>
        </w:rPr>
      </w:pPr>
    </w:p>
    <w:p>
      <w:pPr>
        <w:spacing w:before="6"/>
        <w:rPr>
          <w:rFonts w:hint="eastAsia" w:ascii="宋体" w:hAnsi="宋体" w:eastAsia="宋体" w:cs="宋体"/>
          <w:b/>
          <w:color w:val="auto"/>
          <w:szCs w:val="21"/>
          <w:highlight w:val="none"/>
        </w:rPr>
      </w:pPr>
    </w:p>
    <w:p>
      <w:pPr>
        <w:spacing w:before="6"/>
        <w:rPr>
          <w:rFonts w:hint="eastAsia" w:ascii="宋体" w:hAnsi="宋体" w:eastAsia="宋体" w:cs="宋体"/>
          <w:b/>
          <w:color w:val="auto"/>
          <w:szCs w:val="21"/>
          <w:highlight w:val="none"/>
        </w:rPr>
      </w:pPr>
    </w:p>
    <w:p>
      <w:pPr>
        <w:pStyle w:val="6"/>
        <w:spacing w:line="360" w:lineRule="auto"/>
        <w:rPr>
          <w:rFonts w:hint="eastAsia" w:ascii="宋体" w:hAnsi="宋体" w:eastAsia="宋体" w:cs="宋体"/>
          <w:color w:val="auto"/>
          <w:kern w:val="0"/>
          <w:sz w:val="24"/>
          <w:szCs w:val="24"/>
          <w:highlight w:val="none"/>
        </w:rPr>
      </w:pPr>
    </w:p>
    <w:sectPr>
      <w:headerReference r:id="rId3" w:type="default"/>
      <w:footerReference r:id="rId4" w:type="default"/>
      <w:pgSz w:w="11850" w:h="16783"/>
      <w:pgMar w:top="907" w:right="1304" w:bottom="907" w:left="1304" w:header="851" w:footer="992" w:gutter="0"/>
      <w:cols w:space="708"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monospace">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205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6"/>
                            <w:jc w:val="center"/>
                          </w:pPr>
                          <w:r>
                            <w:fldChar w:fldCharType="begin"/>
                          </w:r>
                          <w:r>
                            <w:instrText xml:space="preserve">PAGE   \* MERGEFORMAT</w:instrText>
                          </w:r>
                          <w:r>
                            <w:fldChar w:fldCharType="separate"/>
                          </w:r>
                          <w:r>
                            <w:t>44</w:t>
                          </w:r>
                          <w:r>
                            <w:fldChar w:fldCharType="end"/>
                          </w:r>
                        </w:p>
                      </w:txbxContent>
                    </wps:txbx>
                    <wps:bodyPr wrap="none" lIns="0" tIns="0" rIns="0" bIns="0" upright="1">
                      <a:spAutoFit/>
                    </wps:bodyPr>
                  </wps:wsp>
                </a:graphicData>
              </a:graphic>
            </wp:anchor>
          </w:drawing>
        </mc:Choice>
        <mc:Fallback>
          <w:pict>
            <v:shape id="文本框 2050"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HjbdR7LAQAAnAMAAA4AAAAAAAAAAQAgAAAAHgEAAGRycy9lMm9E&#10;b2MueG1sUEsFBgAAAAAGAAYAWQEAAFsFAAAAAA==&#10;">
              <v:fill on="f" focussize="0,0"/>
              <v:stroke on="f"/>
              <v:imagedata o:title=""/>
              <o:lock v:ext="edit" aspectratio="f"/>
              <v:textbox inset="0mm,0mm,0mm,0mm" style="mso-fit-shape-to-text:t;">
                <w:txbxContent>
                  <w:p>
                    <w:pPr>
                      <w:pStyle w:val="26"/>
                      <w:jc w:val="center"/>
                    </w:pPr>
                    <w:r>
                      <w:fldChar w:fldCharType="begin"/>
                    </w:r>
                    <w:r>
                      <w:instrText xml:space="preserve">PAGE   \* MERGEFORMAT</w:instrText>
                    </w:r>
                    <w:r>
                      <w:fldChar w:fldCharType="separate"/>
                    </w:r>
                    <w:r>
                      <w:t>44</w:t>
                    </w:r>
                    <w:r>
                      <w:fldChar w:fldCharType="end"/>
                    </w:r>
                  </w:p>
                </w:txbxContent>
              </v:textbox>
            </v:shape>
          </w:pict>
        </mc:Fallback>
      </mc:AlternateContent>
    </w:r>
  </w:p>
  <w:p>
    <w:pPr>
      <w:pStyle w:val="2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right="420"/>
      <w:jc w:val="both"/>
      <w:rPr>
        <w:rFonts w:hint="eastAsia"/>
      </w:rPr>
    </w:pPr>
    <w:r>
      <w:rPr>
        <w:rFonts w:hint="eastAsia"/>
        <w:iCs/>
        <w:sz w:val="21"/>
      </w:rPr>
      <w:t xml:space="preserve">                            </w:t>
    </w:r>
    <w:r>
      <w:rPr>
        <w:iCs/>
        <w:sz w:val="21"/>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D4988C"/>
    <w:multiLevelType w:val="singleLevel"/>
    <w:tmpl w:val="C6D4988C"/>
    <w:lvl w:ilvl="0" w:tentative="0">
      <w:start w:val="2"/>
      <w:numFmt w:val="decimal"/>
      <w:suff w:val="nothing"/>
      <w:lvlText w:val="%1、"/>
      <w:lvlJc w:val="left"/>
    </w:lvl>
  </w:abstractNum>
  <w:abstractNum w:abstractNumId="1">
    <w:nsid w:val="00000000"/>
    <w:multiLevelType w:val="singleLevel"/>
    <w:tmpl w:val="00000000"/>
    <w:lvl w:ilvl="0" w:tentative="0">
      <w:start w:val="1"/>
      <w:numFmt w:val="upperLetter"/>
      <w:pStyle w:val="7"/>
      <w:lvlText w:val="%1、"/>
      <w:lvlJc w:val="left"/>
      <w:pPr>
        <w:tabs>
          <w:tab w:val="left" w:pos="450"/>
        </w:tabs>
        <w:ind w:left="450" w:hanging="450"/>
      </w:pPr>
      <w:rPr>
        <w:rFonts w:hint="eastAsia"/>
      </w:rPr>
    </w:lvl>
  </w:abstractNum>
  <w:abstractNum w:abstractNumId="2">
    <w:nsid w:val="00000007"/>
    <w:multiLevelType w:val="singleLevel"/>
    <w:tmpl w:val="00000007"/>
    <w:lvl w:ilvl="0" w:tentative="0">
      <w:start w:val="1"/>
      <w:numFmt w:val="upperLetter"/>
      <w:pStyle w:val="5"/>
      <w:lvlText w:val="%1、"/>
      <w:lvlJc w:val="left"/>
      <w:pPr>
        <w:tabs>
          <w:tab w:val="left" w:pos="1320"/>
        </w:tabs>
        <w:ind w:left="1320" w:hanging="720"/>
      </w:pPr>
      <w:rPr>
        <w:rFonts w:hint="eastAsia"/>
      </w:rPr>
    </w:lvl>
  </w:abstractNum>
  <w:abstractNum w:abstractNumId="3">
    <w:nsid w:val="00000008"/>
    <w:multiLevelType w:val="multilevel"/>
    <w:tmpl w:val="00000008"/>
    <w:lvl w:ilvl="0" w:tentative="0">
      <w:start w:val="1"/>
      <w:numFmt w:val="upperLetter"/>
      <w:pStyle w:val="4"/>
      <w:lvlText w:val="%1、"/>
      <w:lvlJc w:val="left"/>
      <w:pPr>
        <w:tabs>
          <w:tab w:val="left" w:pos="1280"/>
        </w:tabs>
        <w:ind w:left="1280" w:hanging="720"/>
      </w:pPr>
      <w:rPr>
        <w:rFonts w:hint="eastAsia"/>
      </w:rPr>
    </w:lvl>
    <w:lvl w:ilvl="1" w:tentative="0">
      <w:start w:val="1"/>
      <w:numFmt w:val="lowerLetter"/>
      <w:lvlText w:val="%2)"/>
      <w:lvlJc w:val="left"/>
      <w:pPr>
        <w:tabs>
          <w:tab w:val="left" w:pos="1400"/>
        </w:tabs>
        <w:ind w:left="1400" w:hanging="420"/>
      </w:pPr>
    </w:lvl>
    <w:lvl w:ilvl="2" w:tentative="0">
      <w:start w:val="1"/>
      <w:numFmt w:val="lowerRoman"/>
      <w:lvlText w:val="%3."/>
      <w:lvlJc w:val="right"/>
      <w:pPr>
        <w:tabs>
          <w:tab w:val="left" w:pos="1820"/>
        </w:tabs>
        <w:ind w:left="1820" w:hanging="420"/>
      </w:p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abstractNum w:abstractNumId="4">
    <w:nsid w:val="5C946295"/>
    <w:multiLevelType w:val="singleLevel"/>
    <w:tmpl w:val="5C946295"/>
    <w:lvl w:ilvl="0" w:tentative="0">
      <w:start w:val="0"/>
      <w:numFmt w:val="none"/>
      <w:lvlText w:val=""/>
      <w:lvlJc w:val="left"/>
      <w:pPr>
        <w:tabs>
          <w:tab w:val="left" w:pos="360"/>
        </w:tabs>
      </w:pPr>
    </w:lvl>
  </w:abstractNum>
  <w:abstractNum w:abstractNumId="5">
    <w:nsid w:val="6EBD4934"/>
    <w:multiLevelType w:val="singleLevel"/>
    <w:tmpl w:val="6EBD4934"/>
    <w:lvl w:ilvl="0" w:tentative="0">
      <w:start w:val="1"/>
      <w:numFmt w:val="decimal"/>
      <w:suff w:val="nothing"/>
      <w:lvlText w:val="%1、"/>
      <w:lvlJc w:val="left"/>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420"/>
  <w:drawingGridHorizontalSpacing w:val="105"/>
  <w:drawingGridVerticalSpacing w:val="156"/>
  <w:noPunctuationKerning w:val="1"/>
  <w:characterSpacingControl w:val="compressPunctuation"/>
  <w:noLineBreaksAfter w:lang="zh-CN" w:val="([{·‘“〈《「『【〔〖（．［｛￡￥"/>
  <w:noLineBreaksBefore w:lang="zh-CN" w:val="!),.:;?]}¨·ˇˉ―‖’”…∶、。〃々〉》」』】〕〗！＂＇），．：；？］｀｜｝～￠"/>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I5YWMxOGNmZGQxNjY0YzQ0ZDkxZGEyNmUwZDFjMzQifQ=="/>
  </w:docVars>
  <w:rsids>
    <w:rsidRoot w:val="00172A27"/>
    <w:rsid w:val="00002670"/>
    <w:rsid w:val="000028F1"/>
    <w:rsid w:val="000036AE"/>
    <w:rsid w:val="00007844"/>
    <w:rsid w:val="000104A6"/>
    <w:rsid w:val="000209E9"/>
    <w:rsid w:val="000214F3"/>
    <w:rsid w:val="000270DF"/>
    <w:rsid w:val="000275B0"/>
    <w:rsid w:val="000307FD"/>
    <w:rsid w:val="00031E11"/>
    <w:rsid w:val="00033223"/>
    <w:rsid w:val="00033BC9"/>
    <w:rsid w:val="0003729D"/>
    <w:rsid w:val="00037B7C"/>
    <w:rsid w:val="00045C68"/>
    <w:rsid w:val="0004675E"/>
    <w:rsid w:val="00047A88"/>
    <w:rsid w:val="00051185"/>
    <w:rsid w:val="0005244C"/>
    <w:rsid w:val="000528C9"/>
    <w:rsid w:val="00053207"/>
    <w:rsid w:val="00054566"/>
    <w:rsid w:val="00054A6A"/>
    <w:rsid w:val="000567FE"/>
    <w:rsid w:val="0006061A"/>
    <w:rsid w:val="000618FF"/>
    <w:rsid w:val="00065492"/>
    <w:rsid w:val="00065771"/>
    <w:rsid w:val="000706F7"/>
    <w:rsid w:val="000720F5"/>
    <w:rsid w:val="000748C5"/>
    <w:rsid w:val="00075162"/>
    <w:rsid w:val="0007570F"/>
    <w:rsid w:val="00086679"/>
    <w:rsid w:val="00086767"/>
    <w:rsid w:val="00087A7A"/>
    <w:rsid w:val="00087F70"/>
    <w:rsid w:val="00092C44"/>
    <w:rsid w:val="00093518"/>
    <w:rsid w:val="0009532F"/>
    <w:rsid w:val="00097A1A"/>
    <w:rsid w:val="000A36E2"/>
    <w:rsid w:val="000A3D51"/>
    <w:rsid w:val="000A6E9F"/>
    <w:rsid w:val="000B07FA"/>
    <w:rsid w:val="000B4B99"/>
    <w:rsid w:val="000B7890"/>
    <w:rsid w:val="000B7C9E"/>
    <w:rsid w:val="000C0612"/>
    <w:rsid w:val="000C08A3"/>
    <w:rsid w:val="000C2213"/>
    <w:rsid w:val="000C52DE"/>
    <w:rsid w:val="000D17CC"/>
    <w:rsid w:val="000D261B"/>
    <w:rsid w:val="000E0FCE"/>
    <w:rsid w:val="000E1ED4"/>
    <w:rsid w:val="000E3421"/>
    <w:rsid w:val="000E34A4"/>
    <w:rsid w:val="000E6760"/>
    <w:rsid w:val="000E7A20"/>
    <w:rsid w:val="000F0EE7"/>
    <w:rsid w:val="000F378F"/>
    <w:rsid w:val="000F53AE"/>
    <w:rsid w:val="000F5F32"/>
    <w:rsid w:val="000F66CD"/>
    <w:rsid w:val="000F6F90"/>
    <w:rsid w:val="00101E9B"/>
    <w:rsid w:val="00102ECD"/>
    <w:rsid w:val="00105773"/>
    <w:rsid w:val="00107894"/>
    <w:rsid w:val="0011006B"/>
    <w:rsid w:val="0011153F"/>
    <w:rsid w:val="00111A5B"/>
    <w:rsid w:val="00111D8C"/>
    <w:rsid w:val="001126C6"/>
    <w:rsid w:val="0011362E"/>
    <w:rsid w:val="001162F0"/>
    <w:rsid w:val="00120F5A"/>
    <w:rsid w:val="00121AC4"/>
    <w:rsid w:val="00122E5F"/>
    <w:rsid w:val="0012532F"/>
    <w:rsid w:val="00125B1D"/>
    <w:rsid w:val="00126E68"/>
    <w:rsid w:val="00131C2F"/>
    <w:rsid w:val="00134415"/>
    <w:rsid w:val="00135F28"/>
    <w:rsid w:val="001405FF"/>
    <w:rsid w:val="00142C9F"/>
    <w:rsid w:val="001436D6"/>
    <w:rsid w:val="001533AA"/>
    <w:rsid w:val="0015775A"/>
    <w:rsid w:val="001614C9"/>
    <w:rsid w:val="00162CA9"/>
    <w:rsid w:val="00163D25"/>
    <w:rsid w:val="00163ECF"/>
    <w:rsid w:val="00170786"/>
    <w:rsid w:val="0017253C"/>
    <w:rsid w:val="001729F6"/>
    <w:rsid w:val="00173794"/>
    <w:rsid w:val="001824D0"/>
    <w:rsid w:val="00191440"/>
    <w:rsid w:val="001948C5"/>
    <w:rsid w:val="001A69C7"/>
    <w:rsid w:val="001B77B0"/>
    <w:rsid w:val="001B7962"/>
    <w:rsid w:val="001C0D72"/>
    <w:rsid w:val="001C0ED4"/>
    <w:rsid w:val="001C450E"/>
    <w:rsid w:val="001C6328"/>
    <w:rsid w:val="001C76D4"/>
    <w:rsid w:val="001D0939"/>
    <w:rsid w:val="001D14A3"/>
    <w:rsid w:val="001D19A0"/>
    <w:rsid w:val="001D33CB"/>
    <w:rsid w:val="001D402E"/>
    <w:rsid w:val="001E02CC"/>
    <w:rsid w:val="001E05B8"/>
    <w:rsid w:val="001E1797"/>
    <w:rsid w:val="001E4851"/>
    <w:rsid w:val="001F1A8C"/>
    <w:rsid w:val="001F1C93"/>
    <w:rsid w:val="001F3C84"/>
    <w:rsid w:val="001F4F29"/>
    <w:rsid w:val="001F68ED"/>
    <w:rsid w:val="001F6C0F"/>
    <w:rsid w:val="0020063E"/>
    <w:rsid w:val="002011D1"/>
    <w:rsid w:val="00201ADB"/>
    <w:rsid w:val="00203052"/>
    <w:rsid w:val="00203CC1"/>
    <w:rsid w:val="002040A4"/>
    <w:rsid w:val="002049E1"/>
    <w:rsid w:val="00206643"/>
    <w:rsid w:val="00207D99"/>
    <w:rsid w:val="002102AA"/>
    <w:rsid w:val="0021232D"/>
    <w:rsid w:val="00214D17"/>
    <w:rsid w:val="0021522A"/>
    <w:rsid w:val="0022016B"/>
    <w:rsid w:val="00222040"/>
    <w:rsid w:val="00222686"/>
    <w:rsid w:val="002256E7"/>
    <w:rsid w:val="002268A3"/>
    <w:rsid w:val="00230C1D"/>
    <w:rsid w:val="00230D4A"/>
    <w:rsid w:val="002314B0"/>
    <w:rsid w:val="00232B54"/>
    <w:rsid w:val="002330C0"/>
    <w:rsid w:val="00235B97"/>
    <w:rsid w:val="002379F2"/>
    <w:rsid w:val="00241292"/>
    <w:rsid w:val="00245413"/>
    <w:rsid w:val="00245DD7"/>
    <w:rsid w:val="00246C5B"/>
    <w:rsid w:val="00246DD7"/>
    <w:rsid w:val="0024718B"/>
    <w:rsid w:val="0024739A"/>
    <w:rsid w:val="00251D72"/>
    <w:rsid w:val="00251F81"/>
    <w:rsid w:val="00254898"/>
    <w:rsid w:val="0025766D"/>
    <w:rsid w:val="00260187"/>
    <w:rsid w:val="0026042C"/>
    <w:rsid w:val="002607A7"/>
    <w:rsid w:val="00260995"/>
    <w:rsid w:val="002622ED"/>
    <w:rsid w:val="00264AB4"/>
    <w:rsid w:val="00270A52"/>
    <w:rsid w:val="00272781"/>
    <w:rsid w:val="002727BB"/>
    <w:rsid w:val="00273C6F"/>
    <w:rsid w:val="002771E9"/>
    <w:rsid w:val="0027760C"/>
    <w:rsid w:val="00281080"/>
    <w:rsid w:val="00281470"/>
    <w:rsid w:val="00281A93"/>
    <w:rsid w:val="00284651"/>
    <w:rsid w:val="00287E34"/>
    <w:rsid w:val="00292238"/>
    <w:rsid w:val="00292A17"/>
    <w:rsid w:val="002952ED"/>
    <w:rsid w:val="002A0E81"/>
    <w:rsid w:val="002A213F"/>
    <w:rsid w:val="002A294D"/>
    <w:rsid w:val="002B1308"/>
    <w:rsid w:val="002B4D2F"/>
    <w:rsid w:val="002B5184"/>
    <w:rsid w:val="002B6792"/>
    <w:rsid w:val="002C15D7"/>
    <w:rsid w:val="002C1D21"/>
    <w:rsid w:val="002C38AB"/>
    <w:rsid w:val="002C3FBE"/>
    <w:rsid w:val="002C7F90"/>
    <w:rsid w:val="002D7149"/>
    <w:rsid w:val="002E1281"/>
    <w:rsid w:val="002E337A"/>
    <w:rsid w:val="002E643E"/>
    <w:rsid w:val="002F0696"/>
    <w:rsid w:val="002F2BD7"/>
    <w:rsid w:val="002F38B3"/>
    <w:rsid w:val="002F3AB0"/>
    <w:rsid w:val="002F3B63"/>
    <w:rsid w:val="002F4D10"/>
    <w:rsid w:val="002F6274"/>
    <w:rsid w:val="00301D9E"/>
    <w:rsid w:val="00305E1C"/>
    <w:rsid w:val="00305E5D"/>
    <w:rsid w:val="00307105"/>
    <w:rsid w:val="00312ED9"/>
    <w:rsid w:val="00313122"/>
    <w:rsid w:val="003214E3"/>
    <w:rsid w:val="00322218"/>
    <w:rsid w:val="00322B7E"/>
    <w:rsid w:val="00326166"/>
    <w:rsid w:val="00332743"/>
    <w:rsid w:val="00336316"/>
    <w:rsid w:val="003378B0"/>
    <w:rsid w:val="00341633"/>
    <w:rsid w:val="00343974"/>
    <w:rsid w:val="003454ED"/>
    <w:rsid w:val="00346681"/>
    <w:rsid w:val="00351435"/>
    <w:rsid w:val="003546C0"/>
    <w:rsid w:val="0035598D"/>
    <w:rsid w:val="003627E7"/>
    <w:rsid w:val="00363A83"/>
    <w:rsid w:val="00363FC0"/>
    <w:rsid w:val="00367086"/>
    <w:rsid w:val="003743BA"/>
    <w:rsid w:val="00386B8E"/>
    <w:rsid w:val="00392F8D"/>
    <w:rsid w:val="003963C8"/>
    <w:rsid w:val="003A14D6"/>
    <w:rsid w:val="003A2101"/>
    <w:rsid w:val="003A2148"/>
    <w:rsid w:val="003A78B5"/>
    <w:rsid w:val="003B13FB"/>
    <w:rsid w:val="003B3012"/>
    <w:rsid w:val="003B4A1F"/>
    <w:rsid w:val="003B73A1"/>
    <w:rsid w:val="003C1281"/>
    <w:rsid w:val="003C343F"/>
    <w:rsid w:val="003C6C02"/>
    <w:rsid w:val="003C72F0"/>
    <w:rsid w:val="003E565D"/>
    <w:rsid w:val="003E6CA4"/>
    <w:rsid w:val="003F0B57"/>
    <w:rsid w:val="003F20B6"/>
    <w:rsid w:val="003F248C"/>
    <w:rsid w:val="003F3329"/>
    <w:rsid w:val="003F4EB4"/>
    <w:rsid w:val="003F4F71"/>
    <w:rsid w:val="003F72CE"/>
    <w:rsid w:val="00403ED5"/>
    <w:rsid w:val="004050FF"/>
    <w:rsid w:val="00406305"/>
    <w:rsid w:val="00406A5D"/>
    <w:rsid w:val="00406E14"/>
    <w:rsid w:val="00407D0E"/>
    <w:rsid w:val="0041098A"/>
    <w:rsid w:val="00412E6A"/>
    <w:rsid w:val="00420B7C"/>
    <w:rsid w:val="00424BDB"/>
    <w:rsid w:val="0042558A"/>
    <w:rsid w:val="00426D4E"/>
    <w:rsid w:val="00426DC3"/>
    <w:rsid w:val="00433170"/>
    <w:rsid w:val="0043750E"/>
    <w:rsid w:val="00437809"/>
    <w:rsid w:val="004428FB"/>
    <w:rsid w:val="00442EDC"/>
    <w:rsid w:val="0044693A"/>
    <w:rsid w:val="00446AA3"/>
    <w:rsid w:val="004514DC"/>
    <w:rsid w:val="004544FA"/>
    <w:rsid w:val="00455CC9"/>
    <w:rsid w:val="0046258D"/>
    <w:rsid w:val="00462797"/>
    <w:rsid w:val="00464B93"/>
    <w:rsid w:val="00466840"/>
    <w:rsid w:val="00467800"/>
    <w:rsid w:val="004716BC"/>
    <w:rsid w:val="00475478"/>
    <w:rsid w:val="00476D72"/>
    <w:rsid w:val="00477450"/>
    <w:rsid w:val="00485172"/>
    <w:rsid w:val="0048704B"/>
    <w:rsid w:val="004872BD"/>
    <w:rsid w:val="00491734"/>
    <w:rsid w:val="00492466"/>
    <w:rsid w:val="0049294F"/>
    <w:rsid w:val="004933BE"/>
    <w:rsid w:val="004978C7"/>
    <w:rsid w:val="004A1B72"/>
    <w:rsid w:val="004A1FDB"/>
    <w:rsid w:val="004B1413"/>
    <w:rsid w:val="004B278D"/>
    <w:rsid w:val="004B4814"/>
    <w:rsid w:val="004B4B41"/>
    <w:rsid w:val="004C2BCB"/>
    <w:rsid w:val="004C2D6B"/>
    <w:rsid w:val="004C4C6E"/>
    <w:rsid w:val="004C7163"/>
    <w:rsid w:val="004D08E1"/>
    <w:rsid w:val="004D26AC"/>
    <w:rsid w:val="004D3DB7"/>
    <w:rsid w:val="004D5401"/>
    <w:rsid w:val="004E03ED"/>
    <w:rsid w:val="004E05A1"/>
    <w:rsid w:val="004E1425"/>
    <w:rsid w:val="004E4F23"/>
    <w:rsid w:val="004E60F9"/>
    <w:rsid w:val="004F0243"/>
    <w:rsid w:val="004F5558"/>
    <w:rsid w:val="004F5715"/>
    <w:rsid w:val="004F6C22"/>
    <w:rsid w:val="00500982"/>
    <w:rsid w:val="00501EBB"/>
    <w:rsid w:val="005025C2"/>
    <w:rsid w:val="00505287"/>
    <w:rsid w:val="00506DA7"/>
    <w:rsid w:val="00510228"/>
    <w:rsid w:val="005118ED"/>
    <w:rsid w:val="005132F6"/>
    <w:rsid w:val="00515EBF"/>
    <w:rsid w:val="00520615"/>
    <w:rsid w:val="00520E7E"/>
    <w:rsid w:val="0052669E"/>
    <w:rsid w:val="00530DA8"/>
    <w:rsid w:val="00530FB4"/>
    <w:rsid w:val="0053452B"/>
    <w:rsid w:val="005416A2"/>
    <w:rsid w:val="005432F4"/>
    <w:rsid w:val="005435A3"/>
    <w:rsid w:val="005445C5"/>
    <w:rsid w:val="0054654F"/>
    <w:rsid w:val="0054732A"/>
    <w:rsid w:val="00547418"/>
    <w:rsid w:val="005504D1"/>
    <w:rsid w:val="00550615"/>
    <w:rsid w:val="005508E5"/>
    <w:rsid w:val="00553617"/>
    <w:rsid w:val="00556399"/>
    <w:rsid w:val="005616F2"/>
    <w:rsid w:val="005649D5"/>
    <w:rsid w:val="005660C9"/>
    <w:rsid w:val="00570053"/>
    <w:rsid w:val="005718FE"/>
    <w:rsid w:val="00580556"/>
    <w:rsid w:val="005816AC"/>
    <w:rsid w:val="005853B8"/>
    <w:rsid w:val="00586173"/>
    <w:rsid w:val="00586256"/>
    <w:rsid w:val="0058627D"/>
    <w:rsid w:val="005937F4"/>
    <w:rsid w:val="0059485C"/>
    <w:rsid w:val="005A1C0C"/>
    <w:rsid w:val="005A2B3C"/>
    <w:rsid w:val="005A36BE"/>
    <w:rsid w:val="005A4C3D"/>
    <w:rsid w:val="005A55CD"/>
    <w:rsid w:val="005A750E"/>
    <w:rsid w:val="005B071F"/>
    <w:rsid w:val="005B4DB3"/>
    <w:rsid w:val="005B5210"/>
    <w:rsid w:val="005B60B0"/>
    <w:rsid w:val="005B7BA5"/>
    <w:rsid w:val="005C10BE"/>
    <w:rsid w:val="005C18DE"/>
    <w:rsid w:val="005C1A7D"/>
    <w:rsid w:val="005C4C2F"/>
    <w:rsid w:val="005C66EF"/>
    <w:rsid w:val="005D289F"/>
    <w:rsid w:val="005D6248"/>
    <w:rsid w:val="005E027D"/>
    <w:rsid w:val="005E1071"/>
    <w:rsid w:val="005E1598"/>
    <w:rsid w:val="005E2AA4"/>
    <w:rsid w:val="005E363D"/>
    <w:rsid w:val="005E4388"/>
    <w:rsid w:val="005E4630"/>
    <w:rsid w:val="005E57A6"/>
    <w:rsid w:val="005F0B4A"/>
    <w:rsid w:val="005F0D54"/>
    <w:rsid w:val="00604598"/>
    <w:rsid w:val="00605198"/>
    <w:rsid w:val="0060539C"/>
    <w:rsid w:val="006073DB"/>
    <w:rsid w:val="00607822"/>
    <w:rsid w:val="006115B2"/>
    <w:rsid w:val="00614814"/>
    <w:rsid w:val="00615C0C"/>
    <w:rsid w:val="00616D9D"/>
    <w:rsid w:val="00621C12"/>
    <w:rsid w:val="006279B7"/>
    <w:rsid w:val="006301D1"/>
    <w:rsid w:val="006316D6"/>
    <w:rsid w:val="0063370B"/>
    <w:rsid w:val="0063461E"/>
    <w:rsid w:val="0064365D"/>
    <w:rsid w:val="00644B91"/>
    <w:rsid w:val="006466C3"/>
    <w:rsid w:val="00646DCE"/>
    <w:rsid w:val="006535EF"/>
    <w:rsid w:val="00654096"/>
    <w:rsid w:val="0066786A"/>
    <w:rsid w:val="00672FC2"/>
    <w:rsid w:val="006739E8"/>
    <w:rsid w:val="006752D7"/>
    <w:rsid w:val="0067767E"/>
    <w:rsid w:val="0068135D"/>
    <w:rsid w:val="006820D1"/>
    <w:rsid w:val="0068293D"/>
    <w:rsid w:val="00687AC1"/>
    <w:rsid w:val="00690279"/>
    <w:rsid w:val="00691477"/>
    <w:rsid w:val="00695CE6"/>
    <w:rsid w:val="00696247"/>
    <w:rsid w:val="00697E94"/>
    <w:rsid w:val="00697EDA"/>
    <w:rsid w:val="006A158E"/>
    <w:rsid w:val="006A17E1"/>
    <w:rsid w:val="006A434E"/>
    <w:rsid w:val="006A5D00"/>
    <w:rsid w:val="006B26EC"/>
    <w:rsid w:val="006B270A"/>
    <w:rsid w:val="006B2768"/>
    <w:rsid w:val="006B6392"/>
    <w:rsid w:val="006B6F66"/>
    <w:rsid w:val="006C0ADA"/>
    <w:rsid w:val="006C5CE4"/>
    <w:rsid w:val="006C6556"/>
    <w:rsid w:val="006D3447"/>
    <w:rsid w:val="006D40A6"/>
    <w:rsid w:val="006D7B61"/>
    <w:rsid w:val="006E43BD"/>
    <w:rsid w:val="006E74B2"/>
    <w:rsid w:val="006F16D9"/>
    <w:rsid w:val="006F41AB"/>
    <w:rsid w:val="006F7DE3"/>
    <w:rsid w:val="00701D06"/>
    <w:rsid w:val="00702977"/>
    <w:rsid w:val="00703F85"/>
    <w:rsid w:val="00704A58"/>
    <w:rsid w:val="00710D07"/>
    <w:rsid w:val="00714A16"/>
    <w:rsid w:val="00720053"/>
    <w:rsid w:val="0072005B"/>
    <w:rsid w:val="00723031"/>
    <w:rsid w:val="00725D38"/>
    <w:rsid w:val="00725DAD"/>
    <w:rsid w:val="00730326"/>
    <w:rsid w:val="00731FF1"/>
    <w:rsid w:val="007348FD"/>
    <w:rsid w:val="00743BDD"/>
    <w:rsid w:val="007509F0"/>
    <w:rsid w:val="00751B8A"/>
    <w:rsid w:val="00753A7E"/>
    <w:rsid w:val="007542EA"/>
    <w:rsid w:val="007551F5"/>
    <w:rsid w:val="00760269"/>
    <w:rsid w:val="00761608"/>
    <w:rsid w:val="0076388B"/>
    <w:rsid w:val="007653C5"/>
    <w:rsid w:val="0077321B"/>
    <w:rsid w:val="00777700"/>
    <w:rsid w:val="00781477"/>
    <w:rsid w:val="00783F61"/>
    <w:rsid w:val="00795BAB"/>
    <w:rsid w:val="007A238B"/>
    <w:rsid w:val="007A46A6"/>
    <w:rsid w:val="007A5AED"/>
    <w:rsid w:val="007A5AFF"/>
    <w:rsid w:val="007A69C5"/>
    <w:rsid w:val="007A7640"/>
    <w:rsid w:val="007A7D1C"/>
    <w:rsid w:val="007B0879"/>
    <w:rsid w:val="007B240D"/>
    <w:rsid w:val="007B3D70"/>
    <w:rsid w:val="007B4FCB"/>
    <w:rsid w:val="007B63BE"/>
    <w:rsid w:val="007C02B1"/>
    <w:rsid w:val="007C0DB9"/>
    <w:rsid w:val="007C20B5"/>
    <w:rsid w:val="007C29B3"/>
    <w:rsid w:val="007C531E"/>
    <w:rsid w:val="007D34DE"/>
    <w:rsid w:val="007D6CD1"/>
    <w:rsid w:val="007D7625"/>
    <w:rsid w:val="007D7A83"/>
    <w:rsid w:val="007E0430"/>
    <w:rsid w:val="007E04E6"/>
    <w:rsid w:val="007E097A"/>
    <w:rsid w:val="007E1DE5"/>
    <w:rsid w:val="007E3566"/>
    <w:rsid w:val="007E4FBA"/>
    <w:rsid w:val="007F0994"/>
    <w:rsid w:val="007F1243"/>
    <w:rsid w:val="007F2C04"/>
    <w:rsid w:val="007F4305"/>
    <w:rsid w:val="007F562A"/>
    <w:rsid w:val="007F5E70"/>
    <w:rsid w:val="007F723B"/>
    <w:rsid w:val="007F7F27"/>
    <w:rsid w:val="007F7F77"/>
    <w:rsid w:val="00801825"/>
    <w:rsid w:val="008052C0"/>
    <w:rsid w:val="00807277"/>
    <w:rsid w:val="0081101A"/>
    <w:rsid w:val="00813BC3"/>
    <w:rsid w:val="00816364"/>
    <w:rsid w:val="008220DC"/>
    <w:rsid w:val="00823B8A"/>
    <w:rsid w:val="0082587C"/>
    <w:rsid w:val="00826A8A"/>
    <w:rsid w:val="0083071C"/>
    <w:rsid w:val="008313D9"/>
    <w:rsid w:val="008320C3"/>
    <w:rsid w:val="0083508A"/>
    <w:rsid w:val="00836906"/>
    <w:rsid w:val="0084024E"/>
    <w:rsid w:val="00841427"/>
    <w:rsid w:val="008430C3"/>
    <w:rsid w:val="008444CD"/>
    <w:rsid w:val="00844FDF"/>
    <w:rsid w:val="0084501C"/>
    <w:rsid w:val="00845109"/>
    <w:rsid w:val="0084760A"/>
    <w:rsid w:val="0085190A"/>
    <w:rsid w:val="008528E8"/>
    <w:rsid w:val="00857526"/>
    <w:rsid w:val="008609CD"/>
    <w:rsid w:val="00864BDB"/>
    <w:rsid w:val="00866F50"/>
    <w:rsid w:val="00867048"/>
    <w:rsid w:val="00874185"/>
    <w:rsid w:val="00885C50"/>
    <w:rsid w:val="008862AB"/>
    <w:rsid w:val="00886F16"/>
    <w:rsid w:val="00892DE7"/>
    <w:rsid w:val="00893B87"/>
    <w:rsid w:val="00895CB5"/>
    <w:rsid w:val="00896AEB"/>
    <w:rsid w:val="008973D1"/>
    <w:rsid w:val="008A5AE9"/>
    <w:rsid w:val="008A6841"/>
    <w:rsid w:val="008B0BD1"/>
    <w:rsid w:val="008B2B20"/>
    <w:rsid w:val="008B525D"/>
    <w:rsid w:val="008B69BB"/>
    <w:rsid w:val="008B7DFC"/>
    <w:rsid w:val="008B7EF8"/>
    <w:rsid w:val="008C02B7"/>
    <w:rsid w:val="008C09FA"/>
    <w:rsid w:val="008C0F9E"/>
    <w:rsid w:val="008C24D5"/>
    <w:rsid w:val="008C299D"/>
    <w:rsid w:val="008C3737"/>
    <w:rsid w:val="008D0BDE"/>
    <w:rsid w:val="008D24DC"/>
    <w:rsid w:val="008D3853"/>
    <w:rsid w:val="008D4513"/>
    <w:rsid w:val="008D7035"/>
    <w:rsid w:val="008E2941"/>
    <w:rsid w:val="008E62BB"/>
    <w:rsid w:val="008E7DA6"/>
    <w:rsid w:val="008F2452"/>
    <w:rsid w:val="008F2E04"/>
    <w:rsid w:val="008F6D50"/>
    <w:rsid w:val="009063D1"/>
    <w:rsid w:val="0090650B"/>
    <w:rsid w:val="00907A69"/>
    <w:rsid w:val="00911357"/>
    <w:rsid w:val="00911488"/>
    <w:rsid w:val="00911BD7"/>
    <w:rsid w:val="00920052"/>
    <w:rsid w:val="009204A1"/>
    <w:rsid w:val="00921927"/>
    <w:rsid w:val="00924663"/>
    <w:rsid w:val="00924DF5"/>
    <w:rsid w:val="00925FAB"/>
    <w:rsid w:val="0094095E"/>
    <w:rsid w:val="00942809"/>
    <w:rsid w:val="00952EF6"/>
    <w:rsid w:val="009530E2"/>
    <w:rsid w:val="00953366"/>
    <w:rsid w:val="00956822"/>
    <w:rsid w:val="0095795A"/>
    <w:rsid w:val="00957B58"/>
    <w:rsid w:val="00957D7D"/>
    <w:rsid w:val="0096006A"/>
    <w:rsid w:val="0096438E"/>
    <w:rsid w:val="00965C13"/>
    <w:rsid w:val="00965D06"/>
    <w:rsid w:val="009702A4"/>
    <w:rsid w:val="009749C1"/>
    <w:rsid w:val="0097504D"/>
    <w:rsid w:val="00975B59"/>
    <w:rsid w:val="00977772"/>
    <w:rsid w:val="009815F7"/>
    <w:rsid w:val="0098497C"/>
    <w:rsid w:val="00984B50"/>
    <w:rsid w:val="009874CD"/>
    <w:rsid w:val="00987CD0"/>
    <w:rsid w:val="00997434"/>
    <w:rsid w:val="00997E39"/>
    <w:rsid w:val="009A22A7"/>
    <w:rsid w:val="009A699A"/>
    <w:rsid w:val="009A7AC3"/>
    <w:rsid w:val="009B00ED"/>
    <w:rsid w:val="009B316B"/>
    <w:rsid w:val="009B6CEB"/>
    <w:rsid w:val="009B6FD6"/>
    <w:rsid w:val="009B7E36"/>
    <w:rsid w:val="009C2188"/>
    <w:rsid w:val="009C2800"/>
    <w:rsid w:val="009C31DA"/>
    <w:rsid w:val="009C61E9"/>
    <w:rsid w:val="009D1B50"/>
    <w:rsid w:val="009D34E7"/>
    <w:rsid w:val="009D7E03"/>
    <w:rsid w:val="009E51DD"/>
    <w:rsid w:val="009E5A73"/>
    <w:rsid w:val="009E6D29"/>
    <w:rsid w:val="009F31E3"/>
    <w:rsid w:val="009F423E"/>
    <w:rsid w:val="009F610E"/>
    <w:rsid w:val="009F6E4D"/>
    <w:rsid w:val="00A0035B"/>
    <w:rsid w:val="00A00A15"/>
    <w:rsid w:val="00A00B2E"/>
    <w:rsid w:val="00A03BE1"/>
    <w:rsid w:val="00A122EA"/>
    <w:rsid w:val="00A165D8"/>
    <w:rsid w:val="00A20763"/>
    <w:rsid w:val="00A22774"/>
    <w:rsid w:val="00A309DE"/>
    <w:rsid w:val="00A35826"/>
    <w:rsid w:val="00A4046F"/>
    <w:rsid w:val="00A40EDA"/>
    <w:rsid w:val="00A441D8"/>
    <w:rsid w:val="00A47954"/>
    <w:rsid w:val="00A50F54"/>
    <w:rsid w:val="00A52251"/>
    <w:rsid w:val="00A52C26"/>
    <w:rsid w:val="00A540A5"/>
    <w:rsid w:val="00A575B4"/>
    <w:rsid w:val="00A5790F"/>
    <w:rsid w:val="00A60252"/>
    <w:rsid w:val="00A6101B"/>
    <w:rsid w:val="00A61379"/>
    <w:rsid w:val="00A63D5E"/>
    <w:rsid w:val="00A64932"/>
    <w:rsid w:val="00A64C18"/>
    <w:rsid w:val="00A6570D"/>
    <w:rsid w:val="00A67F86"/>
    <w:rsid w:val="00A748D3"/>
    <w:rsid w:val="00A74ED5"/>
    <w:rsid w:val="00A76BC1"/>
    <w:rsid w:val="00A83CBA"/>
    <w:rsid w:val="00A90344"/>
    <w:rsid w:val="00A90964"/>
    <w:rsid w:val="00A91B92"/>
    <w:rsid w:val="00A952D4"/>
    <w:rsid w:val="00A97BD5"/>
    <w:rsid w:val="00AA4063"/>
    <w:rsid w:val="00AA4F3E"/>
    <w:rsid w:val="00AB4A9C"/>
    <w:rsid w:val="00AC2C7A"/>
    <w:rsid w:val="00AC2DD6"/>
    <w:rsid w:val="00AC392D"/>
    <w:rsid w:val="00AC50D9"/>
    <w:rsid w:val="00AC69F2"/>
    <w:rsid w:val="00AC6FE2"/>
    <w:rsid w:val="00AD1B1D"/>
    <w:rsid w:val="00AD4341"/>
    <w:rsid w:val="00AD455B"/>
    <w:rsid w:val="00AE6646"/>
    <w:rsid w:val="00AE7CA6"/>
    <w:rsid w:val="00AE7E68"/>
    <w:rsid w:val="00AF4AF5"/>
    <w:rsid w:val="00B01AB5"/>
    <w:rsid w:val="00B0223B"/>
    <w:rsid w:val="00B02C36"/>
    <w:rsid w:val="00B0355D"/>
    <w:rsid w:val="00B06005"/>
    <w:rsid w:val="00B072B7"/>
    <w:rsid w:val="00B111A6"/>
    <w:rsid w:val="00B136F8"/>
    <w:rsid w:val="00B14035"/>
    <w:rsid w:val="00B150A5"/>
    <w:rsid w:val="00B1512C"/>
    <w:rsid w:val="00B17681"/>
    <w:rsid w:val="00B26D14"/>
    <w:rsid w:val="00B26FCF"/>
    <w:rsid w:val="00B30AED"/>
    <w:rsid w:val="00B31BAC"/>
    <w:rsid w:val="00B34B1F"/>
    <w:rsid w:val="00B34F49"/>
    <w:rsid w:val="00B4050F"/>
    <w:rsid w:val="00B41953"/>
    <w:rsid w:val="00B441EC"/>
    <w:rsid w:val="00B47B49"/>
    <w:rsid w:val="00B5138A"/>
    <w:rsid w:val="00B52DFD"/>
    <w:rsid w:val="00B54B4C"/>
    <w:rsid w:val="00B5527A"/>
    <w:rsid w:val="00B5777B"/>
    <w:rsid w:val="00B64AD8"/>
    <w:rsid w:val="00B651CA"/>
    <w:rsid w:val="00B65967"/>
    <w:rsid w:val="00B67651"/>
    <w:rsid w:val="00B677DA"/>
    <w:rsid w:val="00B67DAB"/>
    <w:rsid w:val="00B71611"/>
    <w:rsid w:val="00B7412B"/>
    <w:rsid w:val="00B748DB"/>
    <w:rsid w:val="00B76166"/>
    <w:rsid w:val="00B767AE"/>
    <w:rsid w:val="00B83CB6"/>
    <w:rsid w:val="00B86BFE"/>
    <w:rsid w:val="00B961FD"/>
    <w:rsid w:val="00B96364"/>
    <w:rsid w:val="00B96F5C"/>
    <w:rsid w:val="00BA2B8D"/>
    <w:rsid w:val="00BA499B"/>
    <w:rsid w:val="00BA5464"/>
    <w:rsid w:val="00BA6A0B"/>
    <w:rsid w:val="00BA7B8D"/>
    <w:rsid w:val="00BB04A2"/>
    <w:rsid w:val="00BB212B"/>
    <w:rsid w:val="00BB2925"/>
    <w:rsid w:val="00BC0769"/>
    <w:rsid w:val="00BC1B2E"/>
    <w:rsid w:val="00BC1C5C"/>
    <w:rsid w:val="00BC23FC"/>
    <w:rsid w:val="00BC4813"/>
    <w:rsid w:val="00BC663E"/>
    <w:rsid w:val="00BD13D6"/>
    <w:rsid w:val="00BD1AB2"/>
    <w:rsid w:val="00BD1D0C"/>
    <w:rsid w:val="00BD2549"/>
    <w:rsid w:val="00BD37FB"/>
    <w:rsid w:val="00BD55DE"/>
    <w:rsid w:val="00BD6CDA"/>
    <w:rsid w:val="00BD79E1"/>
    <w:rsid w:val="00BE1D32"/>
    <w:rsid w:val="00BE2120"/>
    <w:rsid w:val="00BE5248"/>
    <w:rsid w:val="00BF10D8"/>
    <w:rsid w:val="00BF2E34"/>
    <w:rsid w:val="00BF4A5D"/>
    <w:rsid w:val="00C02898"/>
    <w:rsid w:val="00C05806"/>
    <w:rsid w:val="00C0690E"/>
    <w:rsid w:val="00C11D45"/>
    <w:rsid w:val="00C11E3D"/>
    <w:rsid w:val="00C14B86"/>
    <w:rsid w:val="00C16DB0"/>
    <w:rsid w:val="00C206BE"/>
    <w:rsid w:val="00C23472"/>
    <w:rsid w:val="00C23E1D"/>
    <w:rsid w:val="00C24A80"/>
    <w:rsid w:val="00C2681D"/>
    <w:rsid w:val="00C32410"/>
    <w:rsid w:val="00C363A5"/>
    <w:rsid w:val="00C37077"/>
    <w:rsid w:val="00C417E4"/>
    <w:rsid w:val="00C42AE8"/>
    <w:rsid w:val="00C46FCF"/>
    <w:rsid w:val="00C47B3F"/>
    <w:rsid w:val="00C513A7"/>
    <w:rsid w:val="00C51DFA"/>
    <w:rsid w:val="00C523AC"/>
    <w:rsid w:val="00C52AE5"/>
    <w:rsid w:val="00C532D1"/>
    <w:rsid w:val="00C53599"/>
    <w:rsid w:val="00C57404"/>
    <w:rsid w:val="00C6539F"/>
    <w:rsid w:val="00C67E81"/>
    <w:rsid w:val="00C70A7A"/>
    <w:rsid w:val="00C721D8"/>
    <w:rsid w:val="00C750AF"/>
    <w:rsid w:val="00C7616E"/>
    <w:rsid w:val="00C76187"/>
    <w:rsid w:val="00C776D1"/>
    <w:rsid w:val="00C77E29"/>
    <w:rsid w:val="00C803A8"/>
    <w:rsid w:val="00C807F0"/>
    <w:rsid w:val="00C81EF2"/>
    <w:rsid w:val="00C824D1"/>
    <w:rsid w:val="00C830FD"/>
    <w:rsid w:val="00C84857"/>
    <w:rsid w:val="00C853A2"/>
    <w:rsid w:val="00C85570"/>
    <w:rsid w:val="00C85AFA"/>
    <w:rsid w:val="00C86A38"/>
    <w:rsid w:val="00C86A6B"/>
    <w:rsid w:val="00C90D8F"/>
    <w:rsid w:val="00C91803"/>
    <w:rsid w:val="00C91BC1"/>
    <w:rsid w:val="00C91F33"/>
    <w:rsid w:val="00C9612A"/>
    <w:rsid w:val="00C97EC2"/>
    <w:rsid w:val="00CA06D8"/>
    <w:rsid w:val="00CA2C4E"/>
    <w:rsid w:val="00CA672F"/>
    <w:rsid w:val="00CA7B8C"/>
    <w:rsid w:val="00CB14B2"/>
    <w:rsid w:val="00CB3A14"/>
    <w:rsid w:val="00CB4D92"/>
    <w:rsid w:val="00CB701A"/>
    <w:rsid w:val="00CB7ABD"/>
    <w:rsid w:val="00CC014F"/>
    <w:rsid w:val="00CC28A0"/>
    <w:rsid w:val="00CC2BED"/>
    <w:rsid w:val="00CC2C72"/>
    <w:rsid w:val="00CC57A9"/>
    <w:rsid w:val="00CC7243"/>
    <w:rsid w:val="00CC7AFF"/>
    <w:rsid w:val="00CD07ED"/>
    <w:rsid w:val="00CD4B3A"/>
    <w:rsid w:val="00CE363F"/>
    <w:rsid w:val="00CE466F"/>
    <w:rsid w:val="00CE745B"/>
    <w:rsid w:val="00CF1767"/>
    <w:rsid w:val="00CF1E78"/>
    <w:rsid w:val="00CF2ECF"/>
    <w:rsid w:val="00CF358A"/>
    <w:rsid w:val="00CF710E"/>
    <w:rsid w:val="00D000C0"/>
    <w:rsid w:val="00D00E2B"/>
    <w:rsid w:val="00D054DB"/>
    <w:rsid w:val="00D104EB"/>
    <w:rsid w:val="00D13936"/>
    <w:rsid w:val="00D148FE"/>
    <w:rsid w:val="00D15570"/>
    <w:rsid w:val="00D15641"/>
    <w:rsid w:val="00D16986"/>
    <w:rsid w:val="00D1788D"/>
    <w:rsid w:val="00D179CE"/>
    <w:rsid w:val="00D24200"/>
    <w:rsid w:val="00D24244"/>
    <w:rsid w:val="00D2432E"/>
    <w:rsid w:val="00D24368"/>
    <w:rsid w:val="00D24EF3"/>
    <w:rsid w:val="00D26DD5"/>
    <w:rsid w:val="00D32100"/>
    <w:rsid w:val="00D33B7C"/>
    <w:rsid w:val="00D34027"/>
    <w:rsid w:val="00D36181"/>
    <w:rsid w:val="00D3747A"/>
    <w:rsid w:val="00D40DF1"/>
    <w:rsid w:val="00D41153"/>
    <w:rsid w:val="00D422B1"/>
    <w:rsid w:val="00D42BD4"/>
    <w:rsid w:val="00D454D5"/>
    <w:rsid w:val="00D462D7"/>
    <w:rsid w:val="00D46D6B"/>
    <w:rsid w:val="00D47415"/>
    <w:rsid w:val="00D47A27"/>
    <w:rsid w:val="00D514DE"/>
    <w:rsid w:val="00D5187C"/>
    <w:rsid w:val="00D532FD"/>
    <w:rsid w:val="00D54298"/>
    <w:rsid w:val="00D5666E"/>
    <w:rsid w:val="00D566F5"/>
    <w:rsid w:val="00D6139E"/>
    <w:rsid w:val="00D613AC"/>
    <w:rsid w:val="00D62D33"/>
    <w:rsid w:val="00D72120"/>
    <w:rsid w:val="00D72B02"/>
    <w:rsid w:val="00D76D1A"/>
    <w:rsid w:val="00D8001F"/>
    <w:rsid w:val="00D8156B"/>
    <w:rsid w:val="00D83022"/>
    <w:rsid w:val="00D83F47"/>
    <w:rsid w:val="00D845B8"/>
    <w:rsid w:val="00D877B8"/>
    <w:rsid w:val="00D90AB4"/>
    <w:rsid w:val="00D91024"/>
    <w:rsid w:val="00D92E5F"/>
    <w:rsid w:val="00D97E90"/>
    <w:rsid w:val="00DA037A"/>
    <w:rsid w:val="00DA136A"/>
    <w:rsid w:val="00DA1C73"/>
    <w:rsid w:val="00DA636A"/>
    <w:rsid w:val="00DA64D5"/>
    <w:rsid w:val="00DA716E"/>
    <w:rsid w:val="00DB27BC"/>
    <w:rsid w:val="00DC3B72"/>
    <w:rsid w:val="00DC5CB7"/>
    <w:rsid w:val="00DC5F47"/>
    <w:rsid w:val="00DC67BD"/>
    <w:rsid w:val="00DC6DED"/>
    <w:rsid w:val="00DD141D"/>
    <w:rsid w:val="00DD3AC3"/>
    <w:rsid w:val="00DD4AD0"/>
    <w:rsid w:val="00DD7C89"/>
    <w:rsid w:val="00DE3EB9"/>
    <w:rsid w:val="00DE68C7"/>
    <w:rsid w:val="00DE7061"/>
    <w:rsid w:val="00DE73A1"/>
    <w:rsid w:val="00DF027E"/>
    <w:rsid w:val="00DF1331"/>
    <w:rsid w:val="00DF244A"/>
    <w:rsid w:val="00DF6507"/>
    <w:rsid w:val="00E002BB"/>
    <w:rsid w:val="00E009FD"/>
    <w:rsid w:val="00E02790"/>
    <w:rsid w:val="00E15AAB"/>
    <w:rsid w:val="00E2295D"/>
    <w:rsid w:val="00E235B9"/>
    <w:rsid w:val="00E24B1B"/>
    <w:rsid w:val="00E251E6"/>
    <w:rsid w:val="00E2544E"/>
    <w:rsid w:val="00E25D7F"/>
    <w:rsid w:val="00E30ED1"/>
    <w:rsid w:val="00E3311D"/>
    <w:rsid w:val="00E341FF"/>
    <w:rsid w:val="00E344B2"/>
    <w:rsid w:val="00E350E0"/>
    <w:rsid w:val="00E3629F"/>
    <w:rsid w:val="00E36451"/>
    <w:rsid w:val="00E406AA"/>
    <w:rsid w:val="00E41599"/>
    <w:rsid w:val="00E42099"/>
    <w:rsid w:val="00E42B4A"/>
    <w:rsid w:val="00E4564F"/>
    <w:rsid w:val="00E46793"/>
    <w:rsid w:val="00E5126F"/>
    <w:rsid w:val="00E51840"/>
    <w:rsid w:val="00E52109"/>
    <w:rsid w:val="00E5484C"/>
    <w:rsid w:val="00E56C82"/>
    <w:rsid w:val="00E57F05"/>
    <w:rsid w:val="00E6447E"/>
    <w:rsid w:val="00E70CE2"/>
    <w:rsid w:val="00E73D80"/>
    <w:rsid w:val="00E7566A"/>
    <w:rsid w:val="00E80B0F"/>
    <w:rsid w:val="00E838C6"/>
    <w:rsid w:val="00E85196"/>
    <w:rsid w:val="00E878E1"/>
    <w:rsid w:val="00E908EA"/>
    <w:rsid w:val="00E922BE"/>
    <w:rsid w:val="00E924EF"/>
    <w:rsid w:val="00E9253F"/>
    <w:rsid w:val="00E92728"/>
    <w:rsid w:val="00E93B76"/>
    <w:rsid w:val="00E943D2"/>
    <w:rsid w:val="00E953CA"/>
    <w:rsid w:val="00E9556E"/>
    <w:rsid w:val="00E95F09"/>
    <w:rsid w:val="00E9616D"/>
    <w:rsid w:val="00E96920"/>
    <w:rsid w:val="00EA0C21"/>
    <w:rsid w:val="00EA482E"/>
    <w:rsid w:val="00EB5E69"/>
    <w:rsid w:val="00EB6737"/>
    <w:rsid w:val="00EC2E32"/>
    <w:rsid w:val="00EC581E"/>
    <w:rsid w:val="00EC6F0D"/>
    <w:rsid w:val="00ED2FEE"/>
    <w:rsid w:val="00ED3EB7"/>
    <w:rsid w:val="00ED6785"/>
    <w:rsid w:val="00ED6962"/>
    <w:rsid w:val="00EE70C0"/>
    <w:rsid w:val="00EE78AB"/>
    <w:rsid w:val="00F05A78"/>
    <w:rsid w:val="00F05BFD"/>
    <w:rsid w:val="00F121BB"/>
    <w:rsid w:val="00F12B4C"/>
    <w:rsid w:val="00F13575"/>
    <w:rsid w:val="00F14D4D"/>
    <w:rsid w:val="00F16E74"/>
    <w:rsid w:val="00F20DC0"/>
    <w:rsid w:val="00F25603"/>
    <w:rsid w:val="00F27276"/>
    <w:rsid w:val="00F30B78"/>
    <w:rsid w:val="00F33E2B"/>
    <w:rsid w:val="00F3401F"/>
    <w:rsid w:val="00F35980"/>
    <w:rsid w:val="00F35A81"/>
    <w:rsid w:val="00F36639"/>
    <w:rsid w:val="00F37224"/>
    <w:rsid w:val="00F37DB7"/>
    <w:rsid w:val="00F37E4C"/>
    <w:rsid w:val="00F41E74"/>
    <w:rsid w:val="00F425F0"/>
    <w:rsid w:val="00F42617"/>
    <w:rsid w:val="00F42D76"/>
    <w:rsid w:val="00F430BB"/>
    <w:rsid w:val="00F533C8"/>
    <w:rsid w:val="00F552DC"/>
    <w:rsid w:val="00F5596F"/>
    <w:rsid w:val="00F559BE"/>
    <w:rsid w:val="00F5654F"/>
    <w:rsid w:val="00F567F2"/>
    <w:rsid w:val="00F60C1D"/>
    <w:rsid w:val="00F61E3D"/>
    <w:rsid w:val="00F6219E"/>
    <w:rsid w:val="00F6472D"/>
    <w:rsid w:val="00F65245"/>
    <w:rsid w:val="00F65384"/>
    <w:rsid w:val="00F6790D"/>
    <w:rsid w:val="00F70BCA"/>
    <w:rsid w:val="00F72CE8"/>
    <w:rsid w:val="00F74450"/>
    <w:rsid w:val="00F7735D"/>
    <w:rsid w:val="00F773DF"/>
    <w:rsid w:val="00F829BC"/>
    <w:rsid w:val="00F90A6A"/>
    <w:rsid w:val="00F93B18"/>
    <w:rsid w:val="00FA1269"/>
    <w:rsid w:val="00FA26ED"/>
    <w:rsid w:val="00FA506B"/>
    <w:rsid w:val="00FA5B85"/>
    <w:rsid w:val="00FA7618"/>
    <w:rsid w:val="00FB0A1C"/>
    <w:rsid w:val="00FB16E3"/>
    <w:rsid w:val="00FB18E7"/>
    <w:rsid w:val="00FB323C"/>
    <w:rsid w:val="00FB3397"/>
    <w:rsid w:val="00FB3F52"/>
    <w:rsid w:val="00FB4BCE"/>
    <w:rsid w:val="00FB4DE0"/>
    <w:rsid w:val="00FB6E61"/>
    <w:rsid w:val="00FC52E3"/>
    <w:rsid w:val="00FC567E"/>
    <w:rsid w:val="00FC7464"/>
    <w:rsid w:val="00FD0547"/>
    <w:rsid w:val="00FD38A5"/>
    <w:rsid w:val="00FD4A3B"/>
    <w:rsid w:val="00FD4B48"/>
    <w:rsid w:val="00FD506E"/>
    <w:rsid w:val="00FE0634"/>
    <w:rsid w:val="00FF095A"/>
    <w:rsid w:val="00FF115F"/>
    <w:rsid w:val="00FF23C7"/>
    <w:rsid w:val="00FF2BB3"/>
    <w:rsid w:val="00FF3165"/>
    <w:rsid w:val="00FF47A6"/>
    <w:rsid w:val="00FF6E95"/>
    <w:rsid w:val="013C4968"/>
    <w:rsid w:val="014F5087"/>
    <w:rsid w:val="0152753D"/>
    <w:rsid w:val="015B0A7D"/>
    <w:rsid w:val="017D3E1D"/>
    <w:rsid w:val="01D047AA"/>
    <w:rsid w:val="01D07DB1"/>
    <w:rsid w:val="01DA6916"/>
    <w:rsid w:val="01E709DB"/>
    <w:rsid w:val="01E869A9"/>
    <w:rsid w:val="020E62D3"/>
    <w:rsid w:val="02174104"/>
    <w:rsid w:val="022E4A71"/>
    <w:rsid w:val="023F057A"/>
    <w:rsid w:val="025B748F"/>
    <w:rsid w:val="02A7046D"/>
    <w:rsid w:val="02A72B7C"/>
    <w:rsid w:val="02AD2018"/>
    <w:rsid w:val="02B71816"/>
    <w:rsid w:val="02E350E9"/>
    <w:rsid w:val="030047B1"/>
    <w:rsid w:val="0326142B"/>
    <w:rsid w:val="03993990"/>
    <w:rsid w:val="03A24CE3"/>
    <w:rsid w:val="03BA288C"/>
    <w:rsid w:val="04415456"/>
    <w:rsid w:val="046A20C2"/>
    <w:rsid w:val="04A04361"/>
    <w:rsid w:val="04AF32F1"/>
    <w:rsid w:val="04CF45F8"/>
    <w:rsid w:val="04D03B83"/>
    <w:rsid w:val="04DF2637"/>
    <w:rsid w:val="04FC01C9"/>
    <w:rsid w:val="050131D3"/>
    <w:rsid w:val="05040BD3"/>
    <w:rsid w:val="054C3B79"/>
    <w:rsid w:val="056340A1"/>
    <w:rsid w:val="05743707"/>
    <w:rsid w:val="05DC311E"/>
    <w:rsid w:val="05EA0B60"/>
    <w:rsid w:val="06273158"/>
    <w:rsid w:val="066E3D24"/>
    <w:rsid w:val="068D122E"/>
    <w:rsid w:val="06D4501D"/>
    <w:rsid w:val="06E12871"/>
    <w:rsid w:val="06F35EFC"/>
    <w:rsid w:val="06F71EB9"/>
    <w:rsid w:val="07175C55"/>
    <w:rsid w:val="072C1A65"/>
    <w:rsid w:val="076330B3"/>
    <w:rsid w:val="077E05DE"/>
    <w:rsid w:val="078F525D"/>
    <w:rsid w:val="079F3DE6"/>
    <w:rsid w:val="07A90BF6"/>
    <w:rsid w:val="07BD4A95"/>
    <w:rsid w:val="07C242E5"/>
    <w:rsid w:val="07D42E5F"/>
    <w:rsid w:val="07D6758F"/>
    <w:rsid w:val="07DE0DD7"/>
    <w:rsid w:val="07FC53C8"/>
    <w:rsid w:val="08006C1B"/>
    <w:rsid w:val="0835633A"/>
    <w:rsid w:val="08603091"/>
    <w:rsid w:val="087A63B8"/>
    <w:rsid w:val="08A71126"/>
    <w:rsid w:val="08B82A1E"/>
    <w:rsid w:val="08CC57C6"/>
    <w:rsid w:val="08D00684"/>
    <w:rsid w:val="08E417DD"/>
    <w:rsid w:val="090D607F"/>
    <w:rsid w:val="091C1796"/>
    <w:rsid w:val="094C3A6E"/>
    <w:rsid w:val="09712A8F"/>
    <w:rsid w:val="098951E0"/>
    <w:rsid w:val="099D25D2"/>
    <w:rsid w:val="09A661ED"/>
    <w:rsid w:val="09A70C7B"/>
    <w:rsid w:val="09BA2DA7"/>
    <w:rsid w:val="09CC2145"/>
    <w:rsid w:val="09E30E72"/>
    <w:rsid w:val="0A1129CB"/>
    <w:rsid w:val="0A262D77"/>
    <w:rsid w:val="0A493E05"/>
    <w:rsid w:val="0A8B5103"/>
    <w:rsid w:val="0AE169E5"/>
    <w:rsid w:val="0B401E50"/>
    <w:rsid w:val="0B40506C"/>
    <w:rsid w:val="0B894849"/>
    <w:rsid w:val="0BAA25F6"/>
    <w:rsid w:val="0BCA54F1"/>
    <w:rsid w:val="0BD80B4A"/>
    <w:rsid w:val="0BD82607"/>
    <w:rsid w:val="0C1528BA"/>
    <w:rsid w:val="0C325A15"/>
    <w:rsid w:val="0C4A0F6A"/>
    <w:rsid w:val="0C9D537B"/>
    <w:rsid w:val="0CA913D7"/>
    <w:rsid w:val="0CCF15B4"/>
    <w:rsid w:val="0D3B511F"/>
    <w:rsid w:val="0DA16507"/>
    <w:rsid w:val="0DAD3962"/>
    <w:rsid w:val="0DBB7AA7"/>
    <w:rsid w:val="0DC00B58"/>
    <w:rsid w:val="0DCE72AA"/>
    <w:rsid w:val="0DFF199C"/>
    <w:rsid w:val="0E1F015D"/>
    <w:rsid w:val="0E2B2090"/>
    <w:rsid w:val="0E2C35A1"/>
    <w:rsid w:val="0E3D4461"/>
    <w:rsid w:val="0E3D5863"/>
    <w:rsid w:val="0E7E189A"/>
    <w:rsid w:val="0E8E3B29"/>
    <w:rsid w:val="0EF031D2"/>
    <w:rsid w:val="0EF0726B"/>
    <w:rsid w:val="0EF64CC1"/>
    <w:rsid w:val="0F0D612D"/>
    <w:rsid w:val="0F155355"/>
    <w:rsid w:val="0F4A7C3A"/>
    <w:rsid w:val="0F6E755A"/>
    <w:rsid w:val="0F807E5E"/>
    <w:rsid w:val="0FB16BFD"/>
    <w:rsid w:val="0FB907F5"/>
    <w:rsid w:val="0FBC57D9"/>
    <w:rsid w:val="0FCE4855"/>
    <w:rsid w:val="100B76BA"/>
    <w:rsid w:val="101F714E"/>
    <w:rsid w:val="102173FB"/>
    <w:rsid w:val="102A06B0"/>
    <w:rsid w:val="104D63AD"/>
    <w:rsid w:val="107D71FE"/>
    <w:rsid w:val="10864034"/>
    <w:rsid w:val="10891B6A"/>
    <w:rsid w:val="108F41AA"/>
    <w:rsid w:val="10964231"/>
    <w:rsid w:val="109A15AA"/>
    <w:rsid w:val="10D67D9A"/>
    <w:rsid w:val="11C047FD"/>
    <w:rsid w:val="11F876F0"/>
    <w:rsid w:val="1227091D"/>
    <w:rsid w:val="122C6E71"/>
    <w:rsid w:val="123658D2"/>
    <w:rsid w:val="12382C34"/>
    <w:rsid w:val="1241137B"/>
    <w:rsid w:val="12480438"/>
    <w:rsid w:val="126E7232"/>
    <w:rsid w:val="12926769"/>
    <w:rsid w:val="1295335A"/>
    <w:rsid w:val="12C73B39"/>
    <w:rsid w:val="12C90E54"/>
    <w:rsid w:val="12E14B35"/>
    <w:rsid w:val="132A3000"/>
    <w:rsid w:val="137C786F"/>
    <w:rsid w:val="137F07BF"/>
    <w:rsid w:val="14102058"/>
    <w:rsid w:val="148205B2"/>
    <w:rsid w:val="14940F17"/>
    <w:rsid w:val="14A33E5B"/>
    <w:rsid w:val="14C6515D"/>
    <w:rsid w:val="14E44F24"/>
    <w:rsid w:val="14E62C30"/>
    <w:rsid w:val="151C3F28"/>
    <w:rsid w:val="155E47A2"/>
    <w:rsid w:val="155E69FB"/>
    <w:rsid w:val="15794AEB"/>
    <w:rsid w:val="1589487F"/>
    <w:rsid w:val="158C2293"/>
    <w:rsid w:val="159C2187"/>
    <w:rsid w:val="15B0138A"/>
    <w:rsid w:val="15B80948"/>
    <w:rsid w:val="15BB43DB"/>
    <w:rsid w:val="15D34833"/>
    <w:rsid w:val="15FC05F7"/>
    <w:rsid w:val="16665BE0"/>
    <w:rsid w:val="16823614"/>
    <w:rsid w:val="16C95778"/>
    <w:rsid w:val="16FA166D"/>
    <w:rsid w:val="172236E8"/>
    <w:rsid w:val="174B214C"/>
    <w:rsid w:val="174D5733"/>
    <w:rsid w:val="175514BA"/>
    <w:rsid w:val="17A35924"/>
    <w:rsid w:val="17BD7357"/>
    <w:rsid w:val="17D57C89"/>
    <w:rsid w:val="17F41E18"/>
    <w:rsid w:val="17F81389"/>
    <w:rsid w:val="18122E63"/>
    <w:rsid w:val="18650798"/>
    <w:rsid w:val="187E6B3B"/>
    <w:rsid w:val="188A129F"/>
    <w:rsid w:val="18A472F2"/>
    <w:rsid w:val="18C34BEB"/>
    <w:rsid w:val="19306F3A"/>
    <w:rsid w:val="195547DD"/>
    <w:rsid w:val="19880153"/>
    <w:rsid w:val="1992386B"/>
    <w:rsid w:val="19A42065"/>
    <w:rsid w:val="19C56DF9"/>
    <w:rsid w:val="19EE6ECE"/>
    <w:rsid w:val="19FD2D55"/>
    <w:rsid w:val="1A260479"/>
    <w:rsid w:val="1A301F1B"/>
    <w:rsid w:val="1A4F5857"/>
    <w:rsid w:val="1A66112A"/>
    <w:rsid w:val="1B0F5AAE"/>
    <w:rsid w:val="1B113FD6"/>
    <w:rsid w:val="1B2C0C87"/>
    <w:rsid w:val="1B6E4275"/>
    <w:rsid w:val="1B972C67"/>
    <w:rsid w:val="1BDA7A7F"/>
    <w:rsid w:val="1BE73FA6"/>
    <w:rsid w:val="1C076269"/>
    <w:rsid w:val="1C4270A3"/>
    <w:rsid w:val="1C4C0FBE"/>
    <w:rsid w:val="1C6018F2"/>
    <w:rsid w:val="1C8D769F"/>
    <w:rsid w:val="1CAE1AE5"/>
    <w:rsid w:val="1CB2022A"/>
    <w:rsid w:val="1DE820D1"/>
    <w:rsid w:val="1DF86D22"/>
    <w:rsid w:val="1E054491"/>
    <w:rsid w:val="1E283829"/>
    <w:rsid w:val="1E8A786D"/>
    <w:rsid w:val="1E902836"/>
    <w:rsid w:val="1EA12787"/>
    <w:rsid w:val="1EA34DAA"/>
    <w:rsid w:val="1EA715A8"/>
    <w:rsid w:val="1EB122AB"/>
    <w:rsid w:val="1EF56185"/>
    <w:rsid w:val="1F08515F"/>
    <w:rsid w:val="1F0D3FC9"/>
    <w:rsid w:val="1F16178D"/>
    <w:rsid w:val="1F2B035B"/>
    <w:rsid w:val="1F2D33E2"/>
    <w:rsid w:val="1F486A60"/>
    <w:rsid w:val="1F734DD8"/>
    <w:rsid w:val="1F7E2E85"/>
    <w:rsid w:val="1F9C10C8"/>
    <w:rsid w:val="1FC009DE"/>
    <w:rsid w:val="2079086D"/>
    <w:rsid w:val="20AE4496"/>
    <w:rsid w:val="20BB520D"/>
    <w:rsid w:val="20E864F3"/>
    <w:rsid w:val="20FD771D"/>
    <w:rsid w:val="210505CE"/>
    <w:rsid w:val="21327DF5"/>
    <w:rsid w:val="213A428D"/>
    <w:rsid w:val="216E76F9"/>
    <w:rsid w:val="21DC55F0"/>
    <w:rsid w:val="21DE6D8A"/>
    <w:rsid w:val="21FA1793"/>
    <w:rsid w:val="221C7C94"/>
    <w:rsid w:val="226C00A8"/>
    <w:rsid w:val="22825CBE"/>
    <w:rsid w:val="22AA1F8C"/>
    <w:rsid w:val="22C5630B"/>
    <w:rsid w:val="23160AE7"/>
    <w:rsid w:val="233C530F"/>
    <w:rsid w:val="23724AC1"/>
    <w:rsid w:val="23850515"/>
    <w:rsid w:val="23980349"/>
    <w:rsid w:val="239B4DDF"/>
    <w:rsid w:val="23BA3E0A"/>
    <w:rsid w:val="23C02A23"/>
    <w:rsid w:val="23D653DE"/>
    <w:rsid w:val="23DC7342"/>
    <w:rsid w:val="2406095D"/>
    <w:rsid w:val="242C54D0"/>
    <w:rsid w:val="2442122A"/>
    <w:rsid w:val="24810032"/>
    <w:rsid w:val="248A6115"/>
    <w:rsid w:val="24D30976"/>
    <w:rsid w:val="24E16A49"/>
    <w:rsid w:val="24EC61FE"/>
    <w:rsid w:val="251A5E40"/>
    <w:rsid w:val="255837B0"/>
    <w:rsid w:val="25846468"/>
    <w:rsid w:val="25B26102"/>
    <w:rsid w:val="25CF4E96"/>
    <w:rsid w:val="25EF54FC"/>
    <w:rsid w:val="26066C2E"/>
    <w:rsid w:val="263527F3"/>
    <w:rsid w:val="26393BB9"/>
    <w:rsid w:val="268F12BD"/>
    <w:rsid w:val="26D4431E"/>
    <w:rsid w:val="26EA7FA0"/>
    <w:rsid w:val="274577C6"/>
    <w:rsid w:val="274B7250"/>
    <w:rsid w:val="277B0F56"/>
    <w:rsid w:val="28243744"/>
    <w:rsid w:val="28290B41"/>
    <w:rsid w:val="284C53F8"/>
    <w:rsid w:val="28801F31"/>
    <w:rsid w:val="289C0BA2"/>
    <w:rsid w:val="28DF0EFC"/>
    <w:rsid w:val="29146F2D"/>
    <w:rsid w:val="293E0767"/>
    <w:rsid w:val="294D1534"/>
    <w:rsid w:val="29830BAC"/>
    <w:rsid w:val="298324DA"/>
    <w:rsid w:val="29E71205"/>
    <w:rsid w:val="2A047059"/>
    <w:rsid w:val="2A4B49AF"/>
    <w:rsid w:val="2A5C40A6"/>
    <w:rsid w:val="2A874FA3"/>
    <w:rsid w:val="2A9B27EB"/>
    <w:rsid w:val="2AB71340"/>
    <w:rsid w:val="2ACA0662"/>
    <w:rsid w:val="2B7A2885"/>
    <w:rsid w:val="2BB96AB0"/>
    <w:rsid w:val="2C0673E0"/>
    <w:rsid w:val="2C40402C"/>
    <w:rsid w:val="2C551D92"/>
    <w:rsid w:val="2C684B7E"/>
    <w:rsid w:val="2C6F6BF5"/>
    <w:rsid w:val="2C8072DC"/>
    <w:rsid w:val="2CAD51F5"/>
    <w:rsid w:val="2CB91925"/>
    <w:rsid w:val="2D25772B"/>
    <w:rsid w:val="2D332DEE"/>
    <w:rsid w:val="2D3D4B93"/>
    <w:rsid w:val="2D4C48ED"/>
    <w:rsid w:val="2D5810EC"/>
    <w:rsid w:val="2D813F39"/>
    <w:rsid w:val="2D90584D"/>
    <w:rsid w:val="2DAB2F75"/>
    <w:rsid w:val="2DB63C18"/>
    <w:rsid w:val="2DBA2DC9"/>
    <w:rsid w:val="2DC83BA2"/>
    <w:rsid w:val="2DCA4058"/>
    <w:rsid w:val="2DF53F7B"/>
    <w:rsid w:val="2E245F57"/>
    <w:rsid w:val="2E296558"/>
    <w:rsid w:val="2E4E1E9F"/>
    <w:rsid w:val="2E635E38"/>
    <w:rsid w:val="2E9F7340"/>
    <w:rsid w:val="2EA15558"/>
    <w:rsid w:val="2ECA6EBB"/>
    <w:rsid w:val="2EDA7AB3"/>
    <w:rsid w:val="2F13754F"/>
    <w:rsid w:val="2F1B3E0F"/>
    <w:rsid w:val="2F647319"/>
    <w:rsid w:val="2F68177C"/>
    <w:rsid w:val="2FB15722"/>
    <w:rsid w:val="2FED32ED"/>
    <w:rsid w:val="2FFD6B89"/>
    <w:rsid w:val="302725A9"/>
    <w:rsid w:val="30272682"/>
    <w:rsid w:val="30836C91"/>
    <w:rsid w:val="308E45D7"/>
    <w:rsid w:val="30972C5D"/>
    <w:rsid w:val="30B62F73"/>
    <w:rsid w:val="312C3B8C"/>
    <w:rsid w:val="316021DD"/>
    <w:rsid w:val="31C642CE"/>
    <w:rsid w:val="31C96F15"/>
    <w:rsid w:val="321A6BED"/>
    <w:rsid w:val="32317AA4"/>
    <w:rsid w:val="327E62E2"/>
    <w:rsid w:val="327E76AA"/>
    <w:rsid w:val="32C1597F"/>
    <w:rsid w:val="32D33F02"/>
    <w:rsid w:val="333C2336"/>
    <w:rsid w:val="3348615B"/>
    <w:rsid w:val="334C2CDE"/>
    <w:rsid w:val="335C0C55"/>
    <w:rsid w:val="337B56D7"/>
    <w:rsid w:val="338757C6"/>
    <w:rsid w:val="33B4252C"/>
    <w:rsid w:val="346169F0"/>
    <w:rsid w:val="34925515"/>
    <w:rsid w:val="34BC6225"/>
    <w:rsid w:val="34C03DDA"/>
    <w:rsid w:val="34FE36A0"/>
    <w:rsid w:val="35265025"/>
    <w:rsid w:val="3535671F"/>
    <w:rsid w:val="3620386D"/>
    <w:rsid w:val="363C139F"/>
    <w:rsid w:val="367A699F"/>
    <w:rsid w:val="368318D0"/>
    <w:rsid w:val="36ED6EC6"/>
    <w:rsid w:val="36F37D17"/>
    <w:rsid w:val="372A37DE"/>
    <w:rsid w:val="373A7D6E"/>
    <w:rsid w:val="37784AEB"/>
    <w:rsid w:val="379E5F38"/>
    <w:rsid w:val="379F6FDF"/>
    <w:rsid w:val="37B3792F"/>
    <w:rsid w:val="37C366AD"/>
    <w:rsid w:val="37C93347"/>
    <w:rsid w:val="37D269C4"/>
    <w:rsid w:val="37EF7CAD"/>
    <w:rsid w:val="38245420"/>
    <w:rsid w:val="389E60B9"/>
    <w:rsid w:val="390251E1"/>
    <w:rsid w:val="390E015D"/>
    <w:rsid w:val="39222671"/>
    <w:rsid w:val="39327032"/>
    <w:rsid w:val="3969756D"/>
    <w:rsid w:val="396B17FA"/>
    <w:rsid w:val="3978357E"/>
    <w:rsid w:val="39C46EEF"/>
    <w:rsid w:val="39FB36DB"/>
    <w:rsid w:val="3A1C713C"/>
    <w:rsid w:val="3A210459"/>
    <w:rsid w:val="3A2B1DED"/>
    <w:rsid w:val="3A5F5485"/>
    <w:rsid w:val="3A6C0564"/>
    <w:rsid w:val="3AA11D8E"/>
    <w:rsid w:val="3AA7140A"/>
    <w:rsid w:val="3ADB3A75"/>
    <w:rsid w:val="3B2437CD"/>
    <w:rsid w:val="3B3B0C73"/>
    <w:rsid w:val="3B8B4966"/>
    <w:rsid w:val="3BBB6089"/>
    <w:rsid w:val="3BDB1B66"/>
    <w:rsid w:val="3BE2323C"/>
    <w:rsid w:val="3BE9245F"/>
    <w:rsid w:val="3C090AAD"/>
    <w:rsid w:val="3C104FCA"/>
    <w:rsid w:val="3C445632"/>
    <w:rsid w:val="3C582C96"/>
    <w:rsid w:val="3D42505B"/>
    <w:rsid w:val="3D7F01F0"/>
    <w:rsid w:val="3DB75C7B"/>
    <w:rsid w:val="3DC96789"/>
    <w:rsid w:val="3E38350C"/>
    <w:rsid w:val="3E3942CD"/>
    <w:rsid w:val="3E395AD1"/>
    <w:rsid w:val="3E5A1BA6"/>
    <w:rsid w:val="3E623856"/>
    <w:rsid w:val="3EC80E18"/>
    <w:rsid w:val="3ED1395A"/>
    <w:rsid w:val="3ED65500"/>
    <w:rsid w:val="3EE04B2F"/>
    <w:rsid w:val="3EE81999"/>
    <w:rsid w:val="3F790A0F"/>
    <w:rsid w:val="3F943738"/>
    <w:rsid w:val="3FEE1AF6"/>
    <w:rsid w:val="3FEF04E9"/>
    <w:rsid w:val="3FF61E8F"/>
    <w:rsid w:val="4014756A"/>
    <w:rsid w:val="40177AC4"/>
    <w:rsid w:val="40403993"/>
    <w:rsid w:val="404878B4"/>
    <w:rsid w:val="404C1EDE"/>
    <w:rsid w:val="40841D1C"/>
    <w:rsid w:val="408931EF"/>
    <w:rsid w:val="40951AEC"/>
    <w:rsid w:val="40D71A22"/>
    <w:rsid w:val="40DE19EE"/>
    <w:rsid w:val="40E60A93"/>
    <w:rsid w:val="40E65CF6"/>
    <w:rsid w:val="411B55B4"/>
    <w:rsid w:val="411C0E37"/>
    <w:rsid w:val="419C767B"/>
    <w:rsid w:val="41AA02E2"/>
    <w:rsid w:val="41D96773"/>
    <w:rsid w:val="41FC6069"/>
    <w:rsid w:val="420D10E6"/>
    <w:rsid w:val="424B0661"/>
    <w:rsid w:val="425A18AE"/>
    <w:rsid w:val="426F39DD"/>
    <w:rsid w:val="42B11D04"/>
    <w:rsid w:val="42B72EA5"/>
    <w:rsid w:val="42C50871"/>
    <w:rsid w:val="42CD56F2"/>
    <w:rsid w:val="42D525E2"/>
    <w:rsid w:val="42E25B68"/>
    <w:rsid w:val="42EF74BA"/>
    <w:rsid w:val="43236F50"/>
    <w:rsid w:val="43577C10"/>
    <w:rsid w:val="436F77B7"/>
    <w:rsid w:val="43A46FE2"/>
    <w:rsid w:val="43C95804"/>
    <w:rsid w:val="44DC6BE8"/>
    <w:rsid w:val="44DF2487"/>
    <w:rsid w:val="44E4409F"/>
    <w:rsid w:val="45D2799F"/>
    <w:rsid w:val="45EE1F16"/>
    <w:rsid w:val="45F158E3"/>
    <w:rsid w:val="46132A4F"/>
    <w:rsid w:val="4644406C"/>
    <w:rsid w:val="464C3ADD"/>
    <w:rsid w:val="46AD32F1"/>
    <w:rsid w:val="46B61DA7"/>
    <w:rsid w:val="46B76676"/>
    <w:rsid w:val="46CF3AE5"/>
    <w:rsid w:val="46D62B7E"/>
    <w:rsid w:val="471844E2"/>
    <w:rsid w:val="47596347"/>
    <w:rsid w:val="475F1122"/>
    <w:rsid w:val="47993664"/>
    <w:rsid w:val="47D73C0D"/>
    <w:rsid w:val="480333BD"/>
    <w:rsid w:val="48070CD2"/>
    <w:rsid w:val="481A0E89"/>
    <w:rsid w:val="486C3D1A"/>
    <w:rsid w:val="48B34C8B"/>
    <w:rsid w:val="48EC6BE0"/>
    <w:rsid w:val="4909684D"/>
    <w:rsid w:val="49484FB9"/>
    <w:rsid w:val="494C47D1"/>
    <w:rsid w:val="49644ED7"/>
    <w:rsid w:val="49833671"/>
    <w:rsid w:val="499A0C72"/>
    <w:rsid w:val="49C62B94"/>
    <w:rsid w:val="49F147D9"/>
    <w:rsid w:val="4A011DE1"/>
    <w:rsid w:val="4A0A4A3D"/>
    <w:rsid w:val="4A1E12A2"/>
    <w:rsid w:val="4A4063B4"/>
    <w:rsid w:val="4A594D88"/>
    <w:rsid w:val="4A7C2F96"/>
    <w:rsid w:val="4ACF45E0"/>
    <w:rsid w:val="4AD14CFC"/>
    <w:rsid w:val="4B3347AA"/>
    <w:rsid w:val="4B4E284E"/>
    <w:rsid w:val="4B7F687C"/>
    <w:rsid w:val="4B885F35"/>
    <w:rsid w:val="4B8F194F"/>
    <w:rsid w:val="4B913217"/>
    <w:rsid w:val="4B9A5577"/>
    <w:rsid w:val="4BB12F7A"/>
    <w:rsid w:val="4BCD0FBC"/>
    <w:rsid w:val="4BE26CDC"/>
    <w:rsid w:val="4C2325C0"/>
    <w:rsid w:val="4C295BB6"/>
    <w:rsid w:val="4C425325"/>
    <w:rsid w:val="4C4455ED"/>
    <w:rsid w:val="4C5E6ED5"/>
    <w:rsid w:val="4C6A1C35"/>
    <w:rsid w:val="4C862F7B"/>
    <w:rsid w:val="4D3030C8"/>
    <w:rsid w:val="4D3D1D02"/>
    <w:rsid w:val="4D6946D9"/>
    <w:rsid w:val="4D884C69"/>
    <w:rsid w:val="4D9C12BE"/>
    <w:rsid w:val="4DAC192D"/>
    <w:rsid w:val="4DD21AF6"/>
    <w:rsid w:val="4DDC07C7"/>
    <w:rsid w:val="4E1E34F3"/>
    <w:rsid w:val="4E3318F1"/>
    <w:rsid w:val="4E5D7CAA"/>
    <w:rsid w:val="4E615C8A"/>
    <w:rsid w:val="4E664D2B"/>
    <w:rsid w:val="4E732D04"/>
    <w:rsid w:val="4E90709A"/>
    <w:rsid w:val="4EA73628"/>
    <w:rsid w:val="4EE736D4"/>
    <w:rsid w:val="4EF813A0"/>
    <w:rsid w:val="4F1D00AA"/>
    <w:rsid w:val="4F365C84"/>
    <w:rsid w:val="4F8146A4"/>
    <w:rsid w:val="4F9008E9"/>
    <w:rsid w:val="500923F8"/>
    <w:rsid w:val="500D7A7F"/>
    <w:rsid w:val="5033165C"/>
    <w:rsid w:val="50716043"/>
    <w:rsid w:val="50774293"/>
    <w:rsid w:val="516113CF"/>
    <w:rsid w:val="516F0DAB"/>
    <w:rsid w:val="518E183C"/>
    <w:rsid w:val="51C137DD"/>
    <w:rsid w:val="520134B7"/>
    <w:rsid w:val="52032DEE"/>
    <w:rsid w:val="523836FE"/>
    <w:rsid w:val="527A04BF"/>
    <w:rsid w:val="52922DF1"/>
    <w:rsid w:val="52BD411D"/>
    <w:rsid w:val="52F64B21"/>
    <w:rsid w:val="53037003"/>
    <w:rsid w:val="53655CD5"/>
    <w:rsid w:val="53744128"/>
    <w:rsid w:val="53A1084A"/>
    <w:rsid w:val="53B76F60"/>
    <w:rsid w:val="53DF5D81"/>
    <w:rsid w:val="54171842"/>
    <w:rsid w:val="54241CF2"/>
    <w:rsid w:val="545B33D9"/>
    <w:rsid w:val="5486329D"/>
    <w:rsid w:val="54E2631B"/>
    <w:rsid w:val="550305D3"/>
    <w:rsid w:val="55155CAC"/>
    <w:rsid w:val="5529020E"/>
    <w:rsid w:val="553571B1"/>
    <w:rsid w:val="556D575F"/>
    <w:rsid w:val="557E5E09"/>
    <w:rsid w:val="55846488"/>
    <w:rsid w:val="559F4A74"/>
    <w:rsid w:val="55A26875"/>
    <w:rsid w:val="56364508"/>
    <w:rsid w:val="566741A0"/>
    <w:rsid w:val="5677524E"/>
    <w:rsid w:val="56F76347"/>
    <w:rsid w:val="57032352"/>
    <w:rsid w:val="5736703E"/>
    <w:rsid w:val="573853F7"/>
    <w:rsid w:val="573F2242"/>
    <w:rsid w:val="577F2338"/>
    <w:rsid w:val="57D01981"/>
    <w:rsid w:val="57D72EC6"/>
    <w:rsid w:val="5819634B"/>
    <w:rsid w:val="58451FFE"/>
    <w:rsid w:val="585F39CE"/>
    <w:rsid w:val="58792857"/>
    <w:rsid w:val="58892D42"/>
    <w:rsid w:val="588D376D"/>
    <w:rsid w:val="58B95DC4"/>
    <w:rsid w:val="58D85950"/>
    <w:rsid w:val="592E796A"/>
    <w:rsid w:val="5996136C"/>
    <w:rsid w:val="5A0B4E19"/>
    <w:rsid w:val="5A66415A"/>
    <w:rsid w:val="5B40153C"/>
    <w:rsid w:val="5B404E1C"/>
    <w:rsid w:val="5B6014E7"/>
    <w:rsid w:val="5B9E6D6A"/>
    <w:rsid w:val="5BC45C0B"/>
    <w:rsid w:val="5C243BC0"/>
    <w:rsid w:val="5C5711F3"/>
    <w:rsid w:val="5CBB63ED"/>
    <w:rsid w:val="5CC77586"/>
    <w:rsid w:val="5D080CF3"/>
    <w:rsid w:val="5D2B68D8"/>
    <w:rsid w:val="5D495BED"/>
    <w:rsid w:val="5D4F7AD3"/>
    <w:rsid w:val="5D6450B7"/>
    <w:rsid w:val="5D9634AE"/>
    <w:rsid w:val="5DA973EE"/>
    <w:rsid w:val="5DF21B97"/>
    <w:rsid w:val="5E1B6CDE"/>
    <w:rsid w:val="5E2F2ECC"/>
    <w:rsid w:val="5E4F7085"/>
    <w:rsid w:val="5E6044CA"/>
    <w:rsid w:val="5E917B61"/>
    <w:rsid w:val="5EA60515"/>
    <w:rsid w:val="5EAA3686"/>
    <w:rsid w:val="5EB12459"/>
    <w:rsid w:val="5EB22C94"/>
    <w:rsid w:val="5F253995"/>
    <w:rsid w:val="5F272528"/>
    <w:rsid w:val="5F5E106D"/>
    <w:rsid w:val="5F8A765D"/>
    <w:rsid w:val="5FB34551"/>
    <w:rsid w:val="60441BEB"/>
    <w:rsid w:val="6073496F"/>
    <w:rsid w:val="60B1651C"/>
    <w:rsid w:val="60FF50AA"/>
    <w:rsid w:val="615220EC"/>
    <w:rsid w:val="61541A2B"/>
    <w:rsid w:val="61690F67"/>
    <w:rsid w:val="6173765E"/>
    <w:rsid w:val="618421B5"/>
    <w:rsid w:val="61F60B26"/>
    <w:rsid w:val="621A5DA1"/>
    <w:rsid w:val="622E6F31"/>
    <w:rsid w:val="623A2C9E"/>
    <w:rsid w:val="624D417F"/>
    <w:rsid w:val="63553C7D"/>
    <w:rsid w:val="63940578"/>
    <w:rsid w:val="639A2BF3"/>
    <w:rsid w:val="63C22BA1"/>
    <w:rsid w:val="63DD5DC7"/>
    <w:rsid w:val="63FD1CDA"/>
    <w:rsid w:val="642B00EA"/>
    <w:rsid w:val="6432706E"/>
    <w:rsid w:val="64654240"/>
    <w:rsid w:val="64666D94"/>
    <w:rsid w:val="64EC4740"/>
    <w:rsid w:val="65577B59"/>
    <w:rsid w:val="656F2874"/>
    <w:rsid w:val="6587585E"/>
    <w:rsid w:val="658E22BA"/>
    <w:rsid w:val="65AA45BB"/>
    <w:rsid w:val="65D34FE1"/>
    <w:rsid w:val="663B4799"/>
    <w:rsid w:val="666A394A"/>
    <w:rsid w:val="66765DE6"/>
    <w:rsid w:val="66BF0BCE"/>
    <w:rsid w:val="66C3345E"/>
    <w:rsid w:val="66D226A7"/>
    <w:rsid w:val="66FF2CA1"/>
    <w:rsid w:val="67144738"/>
    <w:rsid w:val="6731242A"/>
    <w:rsid w:val="676E2847"/>
    <w:rsid w:val="67B910FD"/>
    <w:rsid w:val="67CF7936"/>
    <w:rsid w:val="67E15346"/>
    <w:rsid w:val="67EB3F90"/>
    <w:rsid w:val="680F2A0F"/>
    <w:rsid w:val="68177B8F"/>
    <w:rsid w:val="682965CE"/>
    <w:rsid w:val="69484530"/>
    <w:rsid w:val="6980024D"/>
    <w:rsid w:val="6994688B"/>
    <w:rsid w:val="69A94551"/>
    <w:rsid w:val="6A1D04C1"/>
    <w:rsid w:val="6A7209D6"/>
    <w:rsid w:val="6ABD17C7"/>
    <w:rsid w:val="6AF27161"/>
    <w:rsid w:val="6B080048"/>
    <w:rsid w:val="6B533999"/>
    <w:rsid w:val="6C536F45"/>
    <w:rsid w:val="6C824D1D"/>
    <w:rsid w:val="6CA93683"/>
    <w:rsid w:val="6CAB2E3B"/>
    <w:rsid w:val="6CAD1824"/>
    <w:rsid w:val="6CE807E2"/>
    <w:rsid w:val="6D2B0967"/>
    <w:rsid w:val="6D364359"/>
    <w:rsid w:val="6D5C0181"/>
    <w:rsid w:val="6D7434DD"/>
    <w:rsid w:val="6D835F24"/>
    <w:rsid w:val="6DA6276C"/>
    <w:rsid w:val="6E041063"/>
    <w:rsid w:val="6E071C3D"/>
    <w:rsid w:val="6E3A672A"/>
    <w:rsid w:val="6E404082"/>
    <w:rsid w:val="6E4C799B"/>
    <w:rsid w:val="6E626A18"/>
    <w:rsid w:val="6E9147CA"/>
    <w:rsid w:val="6EA921C9"/>
    <w:rsid w:val="6EAE409E"/>
    <w:rsid w:val="6EB8304A"/>
    <w:rsid w:val="6EB92CCE"/>
    <w:rsid w:val="6EF02DA2"/>
    <w:rsid w:val="6F0D1F93"/>
    <w:rsid w:val="6F4A4F3C"/>
    <w:rsid w:val="6F8B7378"/>
    <w:rsid w:val="6F953213"/>
    <w:rsid w:val="6FA05FCE"/>
    <w:rsid w:val="6FA66E4A"/>
    <w:rsid w:val="6FEA1849"/>
    <w:rsid w:val="6FFA37D2"/>
    <w:rsid w:val="7026354B"/>
    <w:rsid w:val="713A7DA9"/>
    <w:rsid w:val="7178584D"/>
    <w:rsid w:val="71827605"/>
    <w:rsid w:val="71AB6595"/>
    <w:rsid w:val="71BC4788"/>
    <w:rsid w:val="71C24307"/>
    <w:rsid w:val="71CD6FD8"/>
    <w:rsid w:val="71CE1031"/>
    <w:rsid w:val="71EF2ADA"/>
    <w:rsid w:val="71F03744"/>
    <w:rsid w:val="7202431E"/>
    <w:rsid w:val="720560A8"/>
    <w:rsid w:val="7245653B"/>
    <w:rsid w:val="726109B2"/>
    <w:rsid w:val="72C041F1"/>
    <w:rsid w:val="72F1625A"/>
    <w:rsid w:val="73492ED4"/>
    <w:rsid w:val="73902E55"/>
    <w:rsid w:val="73B966D5"/>
    <w:rsid w:val="73D50A52"/>
    <w:rsid w:val="73D54181"/>
    <w:rsid w:val="73D665F4"/>
    <w:rsid w:val="73E813C2"/>
    <w:rsid w:val="73F26C95"/>
    <w:rsid w:val="741846DC"/>
    <w:rsid w:val="744842C0"/>
    <w:rsid w:val="74616967"/>
    <w:rsid w:val="74910149"/>
    <w:rsid w:val="74AC10B5"/>
    <w:rsid w:val="74FE39D9"/>
    <w:rsid w:val="750A0735"/>
    <w:rsid w:val="75100552"/>
    <w:rsid w:val="75110387"/>
    <w:rsid w:val="755D7C73"/>
    <w:rsid w:val="75654F74"/>
    <w:rsid w:val="759678AE"/>
    <w:rsid w:val="75C554E8"/>
    <w:rsid w:val="75ED7F99"/>
    <w:rsid w:val="75F94648"/>
    <w:rsid w:val="76B6159E"/>
    <w:rsid w:val="76B844D9"/>
    <w:rsid w:val="76BA3666"/>
    <w:rsid w:val="76E41859"/>
    <w:rsid w:val="770F317C"/>
    <w:rsid w:val="773E5389"/>
    <w:rsid w:val="775114AD"/>
    <w:rsid w:val="77516212"/>
    <w:rsid w:val="77A029C2"/>
    <w:rsid w:val="77C148AE"/>
    <w:rsid w:val="78126379"/>
    <w:rsid w:val="78502031"/>
    <w:rsid w:val="78C41BDF"/>
    <w:rsid w:val="79070254"/>
    <w:rsid w:val="791031D3"/>
    <w:rsid w:val="79152211"/>
    <w:rsid w:val="793F4FC7"/>
    <w:rsid w:val="79444C85"/>
    <w:rsid w:val="79621B53"/>
    <w:rsid w:val="799D611D"/>
    <w:rsid w:val="79C90CA7"/>
    <w:rsid w:val="79D92B76"/>
    <w:rsid w:val="7A2743C8"/>
    <w:rsid w:val="7A414AFD"/>
    <w:rsid w:val="7A455E85"/>
    <w:rsid w:val="7A774533"/>
    <w:rsid w:val="7A9C7B4B"/>
    <w:rsid w:val="7AD94668"/>
    <w:rsid w:val="7AE36509"/>
    <w:rsid w:val="7B565B12"/>
    <w:rsid w:val="7B7A5EA3"/>
    <w:rsid w:val="7B7F5E9E"/>
    <w:rsid w:val="7BCC7135"/>
    <w:rsid w:val="7BD64818"/>
    <w:rsid w:val="7BE65301"/>
    <w:rsid w:val="7C5E6695"/>
    <w:rsid w:val="7C75563C"/>
    <w:rsid w:val="7C965CC7"/>
    <w:rsid w:val="7CA0770A"/>
    <w:rsid w:val="7CA53795"/>
    <w:rsid w:val="7CB7505A"/>
    <w:rsid w:val="7CE070A8"/>
    <w:rsid w:val="7CFC6BB2"/>
    <w:rsid w:val="7D275F4B"/>
    <w:rsid w:val="7D367C7C"/>
    <w:rsid w:val="7D4F13B4"/>
    <w:rsid w:val="7D656304"/>
    <w:rsid w:val="7DBB6C02"/>
    <w:rsid w:val="7DD079E3"/>
    <w:rsid w:val="7DEC1B05"/>
    <w:rsid w:val="7E1C3FEF"/>
    <w:rsid w:val="7E54332C"/>
    <w:rsid w:val="7E715369"/>
    <w:rsid w:val="7E853440"/>
    <w:rsid w:val="7E8F11E8"/>
    <w:rsid w:val="7EB66740"/>
    <w:rsid w:val="7EB7136E"/>
    <w:rsid w:val="7EC55DBF"/>
    <w:rsid w:val="7ECD58A8"/>
    <w:rsid w:val="7F0B7C93"/>
    <w:rsid w:val="7F0D58A5"/>
    <w:rsid w:val="7F0F1A35"/>
    <w:rsid w:val="7F8E226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1"/>
    <w:qFormat/>
    <w:uiPriority w:val="99"/>
    <w:pPr>
      <w:keepNext/>
      <w:spacing w:line="480" w:lineRule="auto"/>
      <w:outlineLvl w:val="0"/>
    </w:pPr>
    <w:rPr>
      <w:b/>
      <w:bCs/>
      <w:spacing w:val="40"/>
      <w:sz w:val="24"/>
      <w:lang w:val="en-GB"/>
    </w:rPr>
  </w:style>
  <w:style w:type="paragraph" w:styleId="3">
    <w:name w:val="heading 2"/>
    <w:basedOn w:val="1"/>
    <w:next w:val="1"/>
    <w:link w:val="50"/>
    <w:qFormat/>
    <w:uiPriority w:val="0"/>
    <w:pPr>
      <w:keepNext/>
      <w:numPr>
        <w:ilvl w:val="0"/>
        <w:numId w:val="0"/>
      </w:numPr>
      <w:spacing w:line="480" w:lineRule="auto"/>
      <w:outlineLvl w:val="1"/>
    </w:pPr>
    <w:rPr>
      <w:rFonts w:ascii="宋体" w:hAnsi="宋体"/>
      <w:spacing w:val="40"/>
      <w:sz w:val="28"/>
      <w:lang w:val="en-GB"/>
    </w:rPr>
  </w:style>
  <w:style w:type="paragraph" w:styleId="4">
    <w:name w:val="heading 3"/>
    <w:basedOn w:val="1"/>
    <w:next w:val="1"/>
    <w:link w:val="52"/>
    <w:qFormat/>
    <w:uiPriority w:val="0"/>
    <w:pPr>
      <w:keepNext/>
      <w:numPr>
        <w:ilvl w:val="0"/>
        <w:numId w:val="1"/>
      </w:numPr>
      <w:outlineLvl w:val="2"/>
    </w:pPr>
    <w:rPr>
      <w:rFonts w:ascii="宋体" w:hAnsi="宋体"/>
      <w:b/>
      <w:bCs/>
      <w:sz w:val="28"/>
    </w:rPr>
  </w:style>
  <w:style w:type="paragraph" w:styleId="5">
    <w:name w:val="heading 4"/>
    <w:basedOn w:val="1"/>
    <w:next w:val="6"/>
    <w:link w:val="53"/>
    <w:qFormat/>
    <w:uiPriority w:val="0"/>
    <w:pPr>
      <w:keepNext/>
      <w:numPr>
        <w:ilvl w:val="0"/>
        <w:numId w:val="2"/>
      </w:numPr>
      <w:outlineLvl w:val="3"/>
    </w:pPr>
    <w:rPr>
      <w:rFonts w:ascii="仿宋_GB2312" w:eastAsia="仿宋_GB2312"/>
      <w:sz w:val="30"/>
      <w:szCs w:val="20"/>
    </w:rPr>
  </w:style>
  <w:style w:type="paragraph" w:styleId="7">
    <w:name w:val="heading 5"/>
    <w:basedOn w:val="1"/>
    <w:next w:val="6"/>
    <w:link w:val="55"/>
    <w:qFormat/>
    <w:uiPriority w:val="0"/>
    <w:pPr>
      <w:keepNext/>
      <w:numPr>
        <w:ilvl w:val="0"/>
        <w:numId w:val="3"/>
      </w:numPr>
      <w:jc w:val="left"/>
      <w:outlineLvl w:val="4"/>
    </w:pPr>
    <w:rPr>
      <w:rFonts w:ascii="仿宋_GB2312" w:eastAsia="仿宋_GB2312"/>
      <w:sz w:val="30"/>
      <w:szCs w:val="20"/>
    </w:rPr>
  </w:style>
  <w:style w:type="paragraph" w:styleId="8">
    <w:name w:val="heading 6"/>
    <w:basedOn w:val="1"/>
    <w:next w:val="1"/>
    <w:link w:val="56"/>
    <w:qFormat/>
    <w:uiPriority w:val="0"/>
    <w:pPr>
      <w:keepNext/>
      <w:keepLines/>
      <w:spacing w:before="240" w:after="64" w:line="317" w:lineRule="auto"/>
      <w:outlineLvl w:val="5"/>
    </w:pPr>
    <w:rPr>
      <w:rFonts w:ascii="Cambria" w:hAnsi="Cambria"/>
      <w:b/>
      <w:bCs/>
      <w:sz w:val="24"/>
    </w:rPr>
  </w:style>
  <w:style w:type="paragraph" w:styleId="9">
    <w:name w:val="heading 7"/>
    <w:basedOn w:val="1"/>
    <w:next w:val="1"/>
    <w:link w:val="57"/>
    <w:qFormat/>
    <w:uiPriority w:val="0"/>
    <w:pPr>
      <w:keepNext/>
      <w:keepLines/>
      <w:spacing w:before="240" w:after="64" w:line="317" w:lineRule="auto"/>
      <w:outlineLvl w:val="6"/>
    </w:pPr>
    <w:rPr>
      <w:rFonts w:ascii="Calibri" w:hAnsi="Calibri"/>
      <w:b/>
      <w:bCs/>
      <w:sz w:val="24"/>
    </w:rPr>
  </w:style>
  <w:style w:type="paragraph" w:styleId="10">
    <w:name w:val="heading 8"/>
    <w:basedOn w:val="1"/>
    <w:next w:val="1"/>
    <w:link w:val="58"/>
    <w:qFormat/>
    <w:uiPriority w:val="0"/>
    <w:pPr>
      <w:keepNext/>
      <w:keepLines/>
      <w:spacing w:before="240" w:after="64" w:line="317" w:lineRule="auto"/>
      <w:outlineLvl w:val="7"/>
    </w:pPr>
    <w:rPr>
      <w:rFonts w:ascii="Cambria" w:hAnsi="Cambria"/>
      <w:sz w:val="24"/>
    </w:rPr>
  </w:style>
  <w:style w:type="paragraph" w:styleId="11">
    <w:name w:val="heading 9"/>
    <w:basedOn w:val="1"/>
    <w:next w:val="1"/>
    <w:link w:val="59"/>
    <w:qFormat/>
    <w:uiPriority w:val="0"/>
    <w:pPr>
      <w:keepNext/>
      <w:keepLines/>
      <w:spacing w:before="240" w:after="64" w:line="317" w:lineRule="auto"/>
      <w:outlineLvl w:val="8"/>
    </w:pPr>
    <w:rPr>
      <w:rFonts w:ascii="Cambria" w:hAnsi="Cambria"/>
      <w:szCs w:val="21"/>
    </w:rPr>
  </w:style>
  <w:style w:type="character" w:default="1" w:styleId="39">
    <w:name w:val="Default Paragraph Font"/>
    <w:qFormat/>
    <w:uiPriority w:val="0"/>
    <w:rPr>
      <w:rFonts w:ascii="宋体" w:hAnsi="宋体" w:eastAsia="宋体"/>
      <w:kern w:val="2"/>
      <w:sz w:val="21"/>
      <w:szCs w:val="21"/>
      <w:lang w:val="en-US" w:eastAsia="zh-CN" w:bidi="ar-SA"/>
    </w:rPr>
  </w:style>
  <w:style w:type="table" w:default="1" w:styleId="38">
    <w:name w:val="Normal Table"/>
    <w:semiHidden/>
    <w:qFormat/>
    <w:uiPriority w:val="0"/>
    <w:tblPr>
      <w:tblCellMar>
        <w:top w:w="0" w:type="dxa"/>
        <w:left w:w="108" w:type="dxa"/>
        <w:bottom w:w="0" w:type="dxa"/>
        <w:right w:w="108" w:type="dxa"/>
      </w:tblCellMar>
    </w:tblPr>
  </w:style>
  <w:style w:type="paragraph" w:styleId="6">
    <w:name w:val="Normal Indent"/>
    <w:basedOn w:val="1"/>
    <w:next w:val="1"/>
    <w:link w:val="54"/>
    <w:qFormat/>
    <w:uiPriority w:val="0"/>
    <w:pPr>
      <w:ind w:firstLine="420"/>
    </w:pPr>
    <w:rPr>
      <w:rFonts w:eastAsia="仿宋_GB2312"/>
      <w:sz w:val="32"/>
      <w:szCs w:val="20"/>
    </w:rPr>
  </w:style>
  <w:style w:type="paragraph" w:styleId="12">
    <w:name w:val="Document Map"/>
    <w:basedOn w:val="1"/>
    <w:link w:val="60"/>
    <w:qFormat/>
    <w:uiPriority w:val="0"/>
    <w:pPr>
      <w:shd w:val="clear" w:color="auto" w:fill="000080"/>
    </w:pPr>
    <w:rPr>
      <w:kern w:val="0"/>
      <w:sz w:val="20"/>
      <w:shd w:val="clear" w:color="auto" w:fill="000080"/>
    </w:rPr>
  </w:style>
  <w:style w:type="paragraph" w:styleId="13">
    <w:name w:val="annotation text"/>
    <w:basedOn w:val="1"/>
    <w:link w:val="61"/>
    <w:qFormat/>
    <w:uiPriority w:val="0"/>
    <w:pPr>
      <w:jc w:val="left"/>
    </w:pPr>
    <w:rPr>
      <w:rFonts w:ascii="宋体" w:hAnsi="宋体"/>
    </w:rPr>
  </w:style>
  <w:style w:type="paragraph" w:styleId="14">
    <w:name w:val="Body Text 3"/>
    <w:basedOn w:val="1"/>
    <w:qFormat/>
    <w:uiPriority w:val="0"/>
    <w:pPr>
      <w:spacing w:line="520" w:lineRule="exact"/>
    </w:pPr>
    <w:rPr>
      <w:rFonts w:ascii="仿宋_GB2312" w:eastAsia="仿宋_GB2312"/>
      <w:sz w:val="32"/>
    </w:rPr>
  </w:style>
  <w:style w:type="paragraph" w:styleId="15">
    <w:name w:val="Body Text"/>
    <w:basedOn w:val="1"/>
    <w:next w:val="16"/>
    <w:link w:val="62"/>
    <w:qFormat/>
    <w:uiPriority w:val="0"/>
    <w:rPr>
      <w:sz w:val="28"/>
    </w:rPr>
  </w:style>
  <w:style w:type="paragraph" w:customStyle="1" w:styleId="16">
    <w:name w:val="Quote_706adb48-4320-46da-b0d4-408395452cb2"/>
    <w:basedOn w:val="1"/>
    <w:next w:val="1"/>
    <w:qFormat/>
    <w:uiPriority w:val="99"/>
    <w:rPr>
      <w:rFonts w:ascii="Calibri" w:hAnsi="Calibri" w:cs="Calibri"/>
      <w:i/>
      <w:iCs/>
      <w:color w:val="000000"/>
      <w:sz w:val="22"/>
    </w:rPr>
  </w:style>
  <w:style w:type="paragraph" w:styleId="17">
    <w:name w:val="Body Text Indent"/>
    <w:basedOn w:val="1"/>
    <w:qFormat/>
    <w:uiPriority w:val="0"/>
    <w:pPr>
      <w:spacing w:line="520" w:lineRule="exact"/>
      <w:ind w:firstLine="538" w:firstLineChars="192"/>
    </w:pPr>
    <w:rPr>
      <w:sz w:val="28"/>
    </w:rPr>
  </w:style>
  <w:style w:type="paragraph" w:styleId="18">
    <w:name w:val="Block Text"/>
    <w:basedOn w:val="1"/>
    <w:qFormat/>
    <w:uiPriority w:val="0"/>
    <w:pPr>
      <w:spacing w:line="280" w:lineRule="exact"/>
      <w:ind w:left="179" w:leftChars="56" w:right="38" w:rightChars="12"/>
    </w:pPr>
    <w:rPr>
      <w:rFonts w:eastAsia="仿宋_GB2312"/>
      <w:color w:val="000000"/>
      <w:sz w:val="24"/>
    </w:rPr>
  </w:style>
  <w:style w:type="paragraph" w:styleId="19">
    <w:name w:val="index 4"/>
    <w:basedOn w:val="1"/>
    <w:next w:val="1"/>
    <w:qFormat/>
    <w:uiPriority w:val="0"/>
    <w:pPr>
      <w:ind w:left="600" w:leftChars="600"/>
    </w:pPr>
    <w:rPr>
      <w:rFonts w:ascii="Calibri" w:hAnsi="Calibri" w:eastAsia="宋体"/>
    </w:rPr>
  </w:style>
  <w:style w:type="paragraph" w:styleId="20">
    <w:name w:val="toc 5"/>
    <w:basedOn w:val="1"/>
    <w:next w:val="1"/>
    <w:qFormat/>
    <w:uiPriority w:val="0"/>
    <w:pPr>
      <w:ind w:left="1680" w:leftChars="800"/>
    </w:pPr>
  </w:style>
  <w:style w:type="paragraph" w:styleId="21">
    <w:name w:val="toc 3"/>
    <w:basedOn w:val="1"/>
    <w:next w:val="1"/>
    <w:qFormat/>
    <w:uiPriority w:val="39"/>
    <w:pPr>
      <w:ind w:left="840" w:leftChars="400"/>
    </w:pPr>
  </w:style>
  <w:style w:type="paragraph" w:styleId="22">
    <w:name w:val="Plain Text"/>
    <w:basedOn w:val="1"/>
    <w:link w:val="63"/>
    <w:qFormat/>
    <w:uiPriority w:val="0"/>
    <w:rPr>
      <w:rFonts w:ascii="宋体" w:hAnsi="Courier New"/>
      <w:szCs w:val="20"/>
    </w:rPr>
  </w:style>
  <w:style w:type="paragraph" w:styleId="23">
    <w:name w:val="Date"/>
    <w:basedOn w:val="1"/>
    <w:next w:val="1"/>
    <w:link w:val="64"/>
    <w:qFormat/>
    <w:uiPriority w:val="0"/>
    <w:pPr>
      <w:ind w:left="100" w:leftChars="2500"/>
    </w:pPr>
  </w:style>
  <w:style w:type="paragraph" w:styleId="24">
    <w:name w:val="Body Text Indent 2"/>
    <w:basedOn w:val="1"/>
    <w:link w:val="65"/>
    <w:qFormat/>
    <w:uiPriority w:val="0"/>
    <w:pPr>
      <w:spacing w:after="120" w:line="480" w:lineRule="auto"/>
      <w:ind w:left="420" w:leftChars="200"/>
    </w:pPr>
    <w:rPr>
      <w:rFonts w:ascii="Calibri" w:hAnsi="Calibri"/>
      <w:sz w:val="24"/>
    </w:rPr>
  </w:style>
  <w:style w:type="paragraph" w:styleId="25">
    <w:name w:val="Balloon Text"/>
    <w:basedOn w:val="1"/>
    <w:link w:val="66"/>
    <w:qFormat/>
    <w:uiPriority w:val="0"/>
    <w:rPr>
      <w:sz w:val="18"/>
      <w:szCs w:val="18"/>
    </w:rPr>
  </w:style>
  <w:style w:type="paragraph" w:styleId="26">
    <w:name w:val="footer"/>
    <w:basedOn w:val="1"/>
    <w:link w:val="67"/>
    <w:qFormat/>
    <w:uiPriority w:val="0"/>
    <w:pPr>
      <w:tabs>
        <w:tab w:val="center" w:pos="4153"/>
        <w:tab w:val="right" w:pos="8306"/>
      </w:tabs>
      <w:snapToGrid w:val="0"/>
      <w:jc w:val="left"/>
    </w:pPr>
    <w:rPr>
      <w:sz w:val="18"/>
      <w:szCs w:val="18"/>
    </w:rPr>
  </w:style>
  <w:style w:type="paragraph" w:styleId="27">
    <w:name w:val="header"/>
    <w:basedOn w:val="1"/>
    <w:link w:val="68"/>
    <w:qFormat/>
    <w:uiPriority w:val="0"/>
    <w:pPr>
      <w:pBdr>
        <w:bottom w:val="single" w:color="auto" w:sz="6" w:space="1"/>
      </w:pBdr>
      <w:tabs>
        <w:tab w:val="center" w:pos="4153"/>
        <w:tab w:val="right" w:pos="8306"/>
      </w:tabs>
      <w:snapToGrid w:val="0"/>
      <w:jc w:val="center"/>
    </w:pPr>
    <w:rPr>
      <w:sz w:val="18"/>
      <w:szCs w:val="18"/>
    </w:rPr>
  </w:style>
  <w:style w:type="paragraph" w:styleId="28">
    <w:name w:val="toc 1"/>
    <w:basedOn w:val="1"/>
    <w:next w:val="1"/>
    <w:qFormat/>
    <w:uiPriority w:val="39"/>
    <w:pPr>
      <w:tabs>
        <w:tab w:val="right" w:leader="dot" w:pos="9060"/>
      </w:tabs>
      <w:jc w:val="center"/>
    </w:pPr>
  </w:style>
  <w:style w:type="paragraph" w:styleId="29">
    <w:name w:val="toc 4"/>
    <w:basedOn w:val="1"/>
    <w:next w:val="1"/>
    <w:qFormat/>
    <w:uiPriority w:val="39"/>
    <w:pPr>
      <w:ind w:left="1260" w:leftChars="600"/>
    </w:pPr>
  </w:style>
  <w:style w:type="paragraph" w:styleId="30">
    <w:name w:val="Subtitle"/>
    <w:basedOn w:val="1"/>
    <w:next w:val="1"/>
    <w:link w:val="69"/>
    <w:qFormat/>
    <w:uiPriority w:val="0"/>
    <w:pPr>
      <w:spacing w:before="240" w:after="60" w:line="312" w:lineRule="auto"/>
      <w:jc w:val="center"/>
      <w:outlineLvl w:val="1"/>
    </w:pPr>
    <w:rPr>
      <w:rFonts w:ascii="Cambria" w:hAnsi="Cambria"/>
      <w:b/>
      <w:bCs/>
      <w:kern w:val="28"/>
      <w:sz w:val="32"/>
      <w:szCs w:val="32"/>
    </w:rPr>
  </w:style>
  <w:style w:type="paragraph" w:styleId="31">
    <w:name w:val="Body Text Indent 3"/>
    <w:basedOn w:val="1"/>
    <w:qFormat/>
    <w:uiPriority w:val="0"/>
    <w:pPr>
      <w:spacing w:after="120" w:afterLines="0"/>
      <w:ind w:left="420" w:leftChars="200"/>
    </w:pPr>
    <w:rPr>
      <w:sz w:val="16"/>
      <w:szCs w:val="16"/>
    </w:rPr>
  </w:style>
  <w:style w:type="paragraph" w:styleId="32">
    <w:name w:val="toc 2"/>
    <w:basedOn w:val="1"/>
    <w:next w:val="1"/>
    <w:qFormat/>
    <w:uiPriority w:val="39"/>
    <w:pPr>
      <w:tabs>
        <w:tab w:val="right" w:leader="dot" w:pos="8302"/>
      </w:tabs>
      <w:ind w:left="420" w:leftChars="200"/>
    </w:pPr>
  </w:style>
  <w:style w:type="paragraph" w:styleId="33">
    <w:name w:val="Body Text 2"/>
    <w:basedOn w:val="1"/>
    <w:qFormat/>
    <w:uiPriority w:val="0"/>
    <w:pPr>
      <w:jc w:val="center"/>
    </w:pPr>
    <w:rPr>
      <w:rFonts w:eastAsia="仿宋_GB2312"/>
      <w:spacing w:val="-20"/>
      <w:w w:val="105"/>
      <w:kern w:val="56"/>
      <w:sz w:val="32"/>
    </w:rPr>
  </w:style>
  <w:style w:type="paragraph" w:styleId="34">
    <w:name w:val="Normal (Web)"/>
    <w:basedOn w:val="1"/>
    <w:qFormat/>
    <w:uiPriority w:val="0"/>
    <w:rPr>
      <w:rFonts w:ascii="Calibri" w:hAnsi="Calibri" w:eastAsia="宋体"/>
      <w:sz w:val="24"/>
      <w:szCs w:val="20"/>
    </w:rPr>
  </w:style>
  <w:style w:type="paragraph" w:styleId="35">
    <w:name w:val="Title"/>
    <w:basedOn w:val="1"/>
    <w:next w:val="1"/>
    <w:link w:val="70"/>
    <w:qFormat/>
    <w:uiPriority w:val="0"/>
    <w:pPr>
      <w:spacing w:before="240" w:beforeLines="0" w:after="60" w:afterLines="0"/>
      <w:jc w:val="center"/>
      <w:outlineLvl w:val="0"/>
    </w:pPr>
    <w:rPr>
      <w:rFonts w:ascii="Cambria" w:hAnsi="Cambria"/>
      <w:b/>
      <w:bCs/>
      <w:sz w:val="32"/>
      <w:szCs w:val="32"/>
    </w:rPr>
  </w:style>
  <w:style w:type="paragraph" w:styleId="36">
    <w:name w:val="annotation subject"/>
    <w:basedOn w:val="13"/>
    <w:next w:val="13"/>
    <w:qFormat/>
    <w:uiPriority w:val="0"/>
    <w:rPr>
      <w:b/>
      <w:bCs/>
    </w:rPr>
  </w:style>
  <w:style w:type="paragraph" w:styleId="37">
    <w:name w:val="Body Text First Indent 2"/>
    <w:basedOn w:val="17"/>
    <w:qFormat/>
    <w:uiPriority w:val="0"/>
    <w:pPr>
      <w:ind w:firstLine="420" w:firstLineChars="200"/>
    </w:pPr>
  </w:style>
  <w:style w:type="character" w:styleId="40">
    <w:name w:val="Strong"/>
    <w:qFormat/>
    <w:uiPriority w:val="0"/>
    <w:rPr>
      <w:rFonts w:ascii="宋体" w:hAnsi="宋体" w:eastAsia="宋体"/>
      <w:b/>
      <w:bCs/>
      <w:kern w:val="2"/>
      <w:sz w:val="21"/>
      <w:szCs w:val="21"/>
      <w:lang w:val="en-US" w:eastAsia="zh-CN" w:bidi="ar-SA"/>
    </w:rPr>
  </w:style>
  <w:style w:type="character" w:styleId="41">
    <w:name w:val="page number"/>
    <w:qFormat/>
    <w:uiPriority w:val="0"/>
    <w:rPr>
      <w:lang w:val="en-US" w:eastAsia="zh-CN" w:bidi="ar-SA"/>
    </w:rPr>
  </w:style>
  <w:style w:type="character" w:styleId="42">
    <w:name w:val="FollowedHyperlink"/>
    <w:qFormat/>
    <w:uiPriority w:val="0"/>
    <w:rPr>
      <w:rFonts w:ascii="宋体" w:hAnsi="宋体" w:eastAsia="宋体"/>
      <w:color w:val="800080"/>
      <w:kern w:val="2"/>
      <w:sz w:val="21"/>
      <w:szCs w:val="21"/>
      <w:u w:val="single"/>
      <w:lang w:val="en-US" w:eastAsia="zh-CN" w:bidi="ar-SA"/>
    </w:rPr>
  </w:style>
  <w:style w:type="character" w:styleId="43">
    <w:name w:val="Emphasis"/>
    <w:qFormat/>
    <w:uiPriority w:val="0"/>
    <w:rPr>
      <w:rFonts w:ascii="宋体" w:hAnsi="宋体" w:eastAsia="宋体"/>
      <w:i/>
      <w:iCs/>
      <w:kern w:val="2"/>
      <w:sz w:val="21"/>
      <w:szCs w:val="21"/>
      <w:lang w:val="en-US" w:eastAsia="zh-CN" w:bidi="ar-SA"/>
    </w:rPr>
  </w:style>
  <w:style w:type="character" w:styleId="44">
    <w:name w:val="Hyperlink"/>
    <w:qFormat/>
    <w:uiPriority w:val="99"/>
    <w:rPr>
      <w:rFonts w:ascii="宋体" w:hAnsi="宋体" w:eastAsia="宋体"/>
      <w:color w:val="0000FF"/>
      <w:kern w:val="2"/>
      <w:sz w:val="21"/>
      <w:szCs w:val="21"/>
      <w:u w:val="single"/>
      <w:lang w:val="en-US" w:eastAsia="zh-CN" w:bidi="ar-SA"/>
    </w:rPr>
  </w:style>
  <w:style w:type="character" w:styleId="45">
    <w:name w:val="HTML Code"/>
    <w:basedOn w:val="39"/>
    <w:qFormat/>
    <w:uiPriority w:val="0"/>
    <w:rPr>
      <w:rFonts w:hint="default" w:ascii="monospace" w:hAnsi="monospace" w:eastAsia="monospace" w:cs="monospace"/>
      <w:sz w:val="21"/>
      <w:szCs w:val="21"/>
    </w:rPr>
  </w:style>
  <w:style w:type="character" w:styleId="46">
    <w:name w:val="annotation reference"/>
    <w:qFormat/>
    <w:uiPriority w:val="0"/>
    <w:rPr>
      <w:rFonts w:ascii="宋体" w:hAnsi="宋体" w:eastAsia="宋体"/>
      <w:kern w:val="2"/>
      <w:sz w:val="21"/>
      <w:szCs w:val="21"/>
      <w:lang w:val="en-US" w:eastAsia="zh-CN" w:bidi="ar-SA"/>
    </w:rPr>
  </w:style>
  <w:style w:type="character" w:styleId="47">
    <w:name w:val="HTML Keyboard"/>
    <w:basedOn w:val="39"/>
    <w:qFormat/>
    <w:uiPriority w:val="0"/>
    <w:rPr>
      <w:rFonts w:ascii="monospace" w:hAnsi="monospace" w:eastAsia="monospace" w:cs="monospace"/>
      <w:sz w:val="21"/>
      <w:szCs w:val="21"/>
    </w:rPr>
  </w:style>
  <w:style w:type="character" w:styleId="48">
    <w:name w:val="HTML Sample"/>
    <w:basedOn w:val="39"/>
    <w:qFormat/>
    <w:uiPriority w:val="0"/>
    <w:rPr>
      <w:rFonts w:hint="default" w:ascii="monospace" w:hAnsi="monospace" w:eastAsia="monospace" w:cs="monospace"/>
      <w:sz w:val="21"/>
      <w:szCs w:val="21"/>
    </w:rPr>
  </w:style>
  <w:style w:type="paragraph" w:customStyle="1" w:styleId="49">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50">
    <w:name w:val="标题 2 Char"/>
    <w:link w:val="3"/>
    <w:qFormat/>
    <w:uiPriority w:val="0"/>
    <w:rPr>
      <w:rFonts w:ascii="宋体" w:hAnsi="宋体"/>
      <w:spacing w:val="40"/>
      <w:kern w:val="2"/>
      <w:sz w:val="28"/>
      <w:szCs w:val="24"/>
      <w:lang w:val="en-GB"/>
    </w:rPr>
  </w:style>
  <w:style w:type="character" w:customStyle="1" w:styleId="51">
    <w:name w:val="标题 1 Char"/>
    <w:link w:val="2"/>
    <w:qFormat/>
    <w:uiPriority w:val="99"/>
    <w:rPr>
      <w:b/>
      <w:bCs/>
      <w:spacing w:val="40"/>
      <w:kern w:val="2"/>
      <w:sz w:val="24"/>
      <w:szCs w:val="24"/>
      <w:lang w:val="en-GB"/>
    </w:rPr>
  </w:style>
  <w:style w:type="character" w:customStyle="1" w:styleId="52">
    <w:name w:val="标题 3 Char"/>
    <w:link w:val="4"/>
    <w:qFormat/>
    <w:uiPriority w:val="0"/>
    <w:rPr>
      <w:rFonts w:ascii="宋体" w:hAnsi="宋体"/>
      <w:b/>
      <w:bCs/>
      <w:kern w:val="2"/>
      <w:sz w:val="28"/>
      <w:szCs w:val="24"/>
    </w:rPr>
  </w:style>
  <w:style w:type="character" w:customStyle="1" w:styleId="53">
    <w:name w:val="标题 4 Char"/>
    <w:link w:val="5"/>
    <w:qFormat/>
    <w:uiPriority w:val="0"/>
    <w:rPr>
      <w:rFonts w:ascii="仿宋_GB2312" w:eastAsia="仿宋_GB2312"/>
      <w:kern w:val="2"/>
      <w:sz w:val="30"/>
    </w:rPr>
  </w:style>
  <w:style w:type="character" w:customStyle="1" w:styleId="54">
    <w:name w:val="正文缩进 Char"/>
    <w:link w:val="6"/>
    <w:qFormat/>
    <w:uiPriority w:val="0"/>
    <w:rPr>
      <w:rFonts w:eastAsia="仿宋_GB2312"/>
      <w:kern w:val="2"/>
      <w:sz w:val="32"/>
    </w:rPr>
  </w:style>
  <w:style w:type="character" w:customStyle="1" w:styleId="55">
    <w:name w:val="标题 5 Char"/>
    <w:link w:val="7"/>
    <w:qFormat/>
    <w:uiPriority w:val="0"/>
    <w:rPr>
      <w:rFonts w:ascii="仿宋_GB2312" w:eastAsia="仿宋_GB2312"/>
      <w:kern w:val="2"/>
      <w:sz w:val="30"/>
    </w:rPr>
  </w:style>
  <w:style w:type="character" w:customStyle="1" w:styleId="56">
    <w:name w:val="标题 6 Char"/>
    <w:link w:val="8"/>
    <w:qFormat/>
    <w:uiPriority w:val="0"/>
    <w:rPr>
      <w:rFonts w:ascii="Cambria" w:hAnsi="Cambria" w:eastAsia="宋体"/>
      <w:b/>
      <w:bCs/>
      <w:kern w:val="2"/>
      <w:sz w:val="24"/>
      <w:szCs w:val="24"/>
      <w:lang w:val="en-US" w:eastAsia="zh-CN" w:bidi="ar-SA"/>
    </w:rPr>
  </w:style>
  <w:style w:type="character" w:customStyle="1" w:styleId="57">
    <w:name w:val="标题 7 Char"/>
    <w:link w:val="9"/>
    <w:qFormat/>
    <w:uiPriority w:val="0"/>
    <w:rPr>
      <w:rFonts w:ascii="Calibri" w:hAnsi="Calibri" w:eastAsia="宋体"/>
      <w:b/>
      <w:bCs/>
      <w:kern w:val="2"/>
      <w:sz w:val="24"/>
      <w:szCs w:val="24"/>
      <w:lang w:val="en-US" w:eastAsia="zh-CN" w:bidi="ar-SA"/>
    </w:rPr>
  </w:style>
  <w:style w:type="character" w:customStyle="1" w:styleId="58">
    <w:name w:val="标题 8 Char"/>
    <w:link w:val="10"/>
    <w:qFormat/>
    <w:uiPriority w:val="0"/>
    <w:rPr>
      <w:rFonts w:ascii="Cambria" w:hAnsi="Cambria" w:eastAsia="宋体"/>
      <w:kern w:val="2"/>
      <w:sz w:val="24"/>
      <w:szCs w:val="24"/>
      <w:lang w:val="en-US" w:eastAsia="zh-CN" w:bidi="ar-SA"/>
    </w:rPr>
  </w:style>
  <w:style w:type="character" w:customStyle="1" w:styleId="59">
    <w:name w:val="标题 9 Char"/>
    <w:link w:val="11"/>
    <w:qFormat/>
    <w:uiPriority w:val="0"/>
    <w:rPr>
      <w:rFonts w:ascii="Cambria" w:hAnsi="Cambria" w:eastAsia="宋体"/>
      <w:kern w:val="2"/>
      <w:sz w:val="21"/>
      <w:szCs w:val="21"/>
      <w:lang w:val="en-US" w:eastAsia="zh-CN" w:bidi="ar-SA"/>
    </w:rPr>
  </w:style>
  <w:style w:type="character" w:customStyle="1" w:styleId="60">
    <w:name w:val="文档结构图 Char"/>
    <w:link w:val="12"/>
    <w:qFormat/>
    <w:uiPriority w:val="0"/>
    <w:rPr>
      <w:szCs w:val="24"/>
      <w:shd w:val="clear" w:color="auto" w:fill="000080"/>
    </w:rPr>
  </w:style>
  <w:style w:type="character" w:customStyle="1" w:styleId="61">
    <w:name w:val="批注文字 Char"/>
    <w:link w:val="13"/>
    <w:qFormat/>
    <w:uiPriority w:val="0"/>
    <w:rPr>
      <w:rFonts w:ascii="宋体" w:hAnsi="宋体" w:eastAsia="宋体"/>
      <w:kern w:val="2"/>
      <w:sz w:val="21"/>
      <w:szCs w:val="24"/>
      <w:lang w:val="en-US" w:eastAsia="zh-CN" w:bidi="ar-SA"/>
    </w:rPr>
  </w:style>
  <w:style w:type="character" w:customStyle="1" w:styleId="62">
    <w:name w:val="正文文本 Char"/>
    <w:link w:val="15"/>
    <w:qFormat/>
    <w:uiPriority w:val="0"/>
    <w:rPr>
      <w:kern w:val="2"/>
      <w:sz w:val="28"/>
      <w:szCs w:val="24"/>
    </w:rPr>
  </w:style>
  <w:style w:type="character" w:customStyle="1" w:styleId="63">
    <w:name w:val="纯文本 Char"/>
    <w:link w:val="22"/>
    <w:qFormat/>
    <w:locked/>
    <w:uiPriority w:val="0"/>
    <w:rPr>
      <w:rFonts w:ascii="宋体" w:hAnsi="Courier New"/>
      <w:kern w:val="2"/>
      <w:sz w:val="21"/>
    </w:rPr>
  </w:style>
  <w:style w:type="character" w:customStyle="1" w:styleId="64">
    <w:name w:val="日期 Char"/>
    <w:link w:val="23"/>
    <w:qFormat/>
    <w:uiPriority w:val="0"/>
    <w:rPr>
      <w:kern w:val="2"/>
      <w:sz w:val="21"/>
      <w:szCs w:val="24"/>
    </w:rPr>
  </w:style>
  <w:style w:type="character" w:customStyle="1" w:styleId="65">
    <w:name w:val="正文文本缩进 2 Char"/>
    <w:link w:val="24"/>
    <w:qFormat/>
    <w:uiPriority w:val="0"/>
    <w:rPr>
      <w:rFonts w:ascii="Calibri" w:hAnsi="Calibri" w:eastAsia="宋体"/>
      <w:kern w:val="2"/>
      <w:sz w:val="24"/>
      <w:szCs w:val="24"/>
      <w:lang w:val="en-US" w:eastAsia="zh-CN" w:bidi="ar-SA"/>
    </w:rPr>
  </w:style>
  <w:style w:type="character" w:customStyle="1" w:styleId="66">
    <w:name w:val="批注框文本 Char"/>
    <w:link w:val="25"/>
    <w:qFormat/>
    <w:uiPriority w:val="0"/>
    <w:rPr>
      <w:kern w:val="2"/>
      <w:sz w:val="18"/>
      <w:szCs w:val="18"/>
    </w:rPr>
  </w:style>
  <w:style w:type="character" w:customStyle="1" w:styleId="67">
    <w:name w:val="页脚 Char"/>
    <w:link w:val="26"/>
    <w:qFormat/>
    <w:uiPriority w:val="0"/>
    <w:rPr>
      <w:kern w:val="2"/>
      <w:sz w:val="18"/>
      <w:szCs w:val="18"/>
    </w:rPr>
  </w:style>
  <w:style w:type="character" w:customStyle="1" w:styleId="68">
    <w:name w:val="页眉 Char"/>
    <w:link w:val="27"/>
    <w:qFormat/>
    <w:uiPriority w:val="0"/>
    <w:rPr>
      <w:kern w:val="2"/>
      <w:sz w:val="18"/>
      <w:szCs w:val="18"/>
    </w:rPr>
  </w:style>
  <w:style w:type="character" w:customStyle="1" w:styleId="69">
    <w:name w:val="副标题 Char"/>
    <w:link w:val="30"/>
    <w:qFormat/>
    <w:uiPriority w:val="0"/>
    <w:rPr>
      <w:rFonts w:ascii="Cambria" w:hAnsi="Cambria" w:eastAsia="宋体" w:cs="Times New Roman"/>
      <w:b/>
      <w:bCs/>
      <w:kern w:val="28"/>
      <w:sz w:val="32"/>
      <w:szCs w:val="32"/>
      <w:lang w:val="en-US" w:eastAsia="zh-CN" w:bidi="ar-SA"/>
    </w:rPr>
  </w:style>
  <w:style w:type="character" w:customStyle="1" w:styleId="70">
    <w:name w:val="标题 Char"/>
    <w:link w:val="35"/>
    <w:qFormat/>
    <w:uiPriority w:val="0"/>
    <w:rPr>
      <w:rFonts w:ascii="Cambria" w:hAnsi="Cambria" w:eastAsia="宋体" w:cs="Times New Roman"/>
      <w:b/>
      <w:bCs/>
      <w:kern w:val="2"/>
      <w:sz w:val="32"/>
      <w:szCs w:val="32"/>
      <w:lang w:val="en-US" w:eastAsia="zh-CN" w:bidi="ar-SA"/>
    </w:rPr>
  </w:style>
  <w:style w:type="character" w:customStyle="1" w:styleId="71">
    <w:name w:val="页脚 Char1"/>
    <w:qFormat/>
    <w:uiPriority w:val="99"/>
    <w:rPr>
      <w:rFonts w:ascii="宋体"/>
      <w:sz w:val="18"/>
    </w:rPr>
  </w:style>
  <w:style w:type="character" w:customStyle="1" w:styleId="72">
    <w:name w:val="明显引用 Char"/>
    <w:link w:val="73"/>
    <w:qFormat/>
    <w:uiPriority w:val="0"/>
    <w:rPr>
      <w:b/>
      <w:bCs/>
      <w:i/>
      <w:iCs/>
      <w:color w:val="4F81BD"/>
      <w:kern w:val="2"/>
      <w:sz w:val="21"/>
      <w:szCs w:val="22"/>
    </w:rPr>
  </w:style>
  <w:style w:type="paragraph" w:styleId="73">
    <w:name w:val="Intense Quote"/>
    <w:basedOn w:val="1"/>
    <w:next w:val="1"/>
    <w:link w:val="72"/>
    <w:qFormat/>
    <w:uiPriority w:val="0"/>
    <w:pPr>
      <w:pBdr>
        <w:bottom w:val="single" w:color="4F81BD" w:sz="4" w:space="4"/>
      </w:pBdr>
      <w:spacing w:before="200" w:after="280"/>
      <w:ind w:left="936" w:right="936"/>
    </w:pPr>
    <w:rPr>
      <w:b/>
      <w:bCs/>
      <w:i/>
      <w:iCs/>
      <w:color w:val="4F81BD"/>
      <w:szCs w:val="22"/>
    </w:rPr>
  </w:style>
  <w:style w:type="character" w:customStyle="1" w:styleId="74">
    <w:name w:val="标题4 Char Char"/>
    <w:link w:val="75"/>
    <w:qFormat/>
    <w:uiPriority w:val="0"/>
    <w:rPr>
      <w:rFonts w:ascii="Arial" w:hAnsi="Arial"/>
      <w:b/>
      <w:bCs/>
      <w:sz w:val="24"/>
      <w:szCs w:val="32"/>
    </w:rPr>
  </w:style>
  <w:style w:type="paragraph" w:customStyle="1" w:styleId="75">
    <w:name w:val="标题4"/>
    <w:basedOn w:val="3"/>
    <w:next w:val="19"/>
    <w:link w:val="74"/>
    <w:qFormat/>
    <w:uiPriority w:val="0"/>
    <w:pPr>
      <w:keepLines/>
      <w:spacing w:before="260" w:after="260" w:line="413" w:lineRule="auto"/>
    </w:pPr>
    <w:rPr>
      <w:rFonts w:ascii="Arial" w:hAnsi="Arial" w:eastAsia="宋体"/>
      <w:b/>
      <w:bCs/>
      <w:spacing w:val="0"/>
      <w:kern w:val="0"/>
      <w:sz w:val="24"/>
      <w:szCs w:val="32"/>
    </w:rPr>
  </w:style>
  <w:style w:type="character" w:customStyle="1" w:styleId="76">
    <w:name w:val="明显引用 Char1"/>
    <w:qFormat/>
    <w:uiPriority w:val="99"/>
    <w:rPr>
      <w:rFonts w:ascii="宋体" w:hAnsi="宋体" w:eastAsia="宋体"/>
      <w:b/>
      <w:bCs/>
      <w:i/>
      <w:iCs/>
      <w:color w:val="4F81BD"/>
      <w:kern w:val="2"/>
      <w:sz w:val="21"/>
      <w:szCs w:val="24"/>
      <w:lang w:val="en-US" w:eastAsia="zh-CN" w:bidi="ar-SA"/>
    </w:rPr>
  </w:style>
  <w:style w:type="character" w:customStyle="1" w:styleId="77">
    <w:name w:val="引用 Char"/>
    <w:link w:val="78"/>
    <w:qFormat/>
    <w:uiPriority w:val="0"/>
    <w:rPr>
      <w:i/>
      <w:iCs/>
      <w:color w:val="000000"/>
      <w:kern w:val="2"/>
      <w:sz w:val="21"/>
      <w:szCs w:val="22"/>
    </w:rPr>
  </w:style>
  <w:style w:type="paragraph" w:styleId="78">
    <w:name w:val="Quote"/>
    <w:basedOn w:val="1"/>
    <w:next w:val="1"/>
    <w:link w:val="77"/>
    <w:qFormat/>
    <w:uiPriority w:val="0"/>
    <w:rPr>
      <w:i/>
      <w:iCs/>
      <w:color w:val="000000"/>
      <w:szCs w:val="22"/>
    </w:rPr>
  </w:style>
  <w:style w:type="character" w:customStyle="1" w:styleId="79">
    <w:name w:val="bord"/>
    <w:qFormat/>
    <w:uiPriority w:val="0"/>
    <w:rPr>
      <w:lang w:val="en-US" w:eastAsia="zh-CN" w:bidi="ar-SA"/>
    </w:rPr>
  </w:style>
  <w:style w:type="character" w:customStyle="1" w:styleId="80">
    <w:name w:val="列出段落 Char"/>
    <w:link w:val="81"/>
    <w:qFormat/>
    <w:uiPriority w:val="34"/>
    <w:rPr>
      <w:rFonts w:ascii="Calibri" w:hAnsi="Calibri"/>
      <w:kern w:val="2"/>
      <w:sz w:val="21"/>
      <w:szCs w:val="22"/>
    </w:rPr>
  </w:style>
  <w:style w:type="paragraph" w:styleId="81">
    <w:name w:val="List Paragraph"/>
    <w:basedOn w:val="1"/>
    <w:link w:val="80"/>
    <w:qFormat/>
    <w:uiPriority w:val="34"/>
    <w:pPr>
      <w:spacing w:line="240" w:lineRule="atLeast"/>
      <w:ind w:firstLine="420" w:firstLineChars="200"/>
    </w:pPr>
    <w:rPr>
      <w:rFonts w:ascii="Calibri" w:hAnsi="Calibri"/>
      <w:szCs w:val="22"/>
    </w:rPr>
  </w:style>
  <w:style w:type="character" w:customStyle="1" w:styleId="82">
    <w:name w:val="样式9 Char Char"/>
    <w:link w:val="83"/>
    <w:qFormat/>
    <w:uiPriority w:val="0"/>
    <w:rPr>
      <w:rFonts w:eastAsia="宋体"/>
      <w:spacing w:val="6"/>
      <w:sz w:val="24"/>
      <w:lang w:val="en-US" w:eastAsia="zh-CN" w:bidi="ar-SA"/>
    </w:rPr>
  </w:style>
  <w:style w:type="paragraph" w:customStyle="1" w:styleId="83">
    <w:name w:val="样式9 Char"/>
    <w:basedOn w:val="1"/>
    <w:link w:val="82"/>
    <w:qFormat/>
    <w:uiPriority w:val="0"/>
    <w:pPr>
      <w:widowControl/>
      <w:spacing w:line="440" w:lineRule="exact"/>
      <w:ind w:firstLine="200" w:firstLineChars="200"/>
      <w:jc w:val="left"/>
    </w:pPr>
    <w:rPr>
      <w:spacing w:val="6"/>
      <w:kern w:val="0"/>
      <w:sz w:val="24"/>
      <w:szCs w:val="20"/>
    </w:rPr>
  </w:style>
  <w:style w:type="character" w:customStyle="1" w:styleId="84">
    <w:name w:val="标题5 Char Char"/>
    <w:link w:val="85"/>
    <w:qFormat/>
    <w:uiPriority w:val="0"/>
    <w:rPr>
      <w:rFonts w:ascii="Arial" w:hAnsi="Arial"/>
      <w:b/>
      <w:bCs/>
      <w:sz w:val="24"/>
      <w:szCs w:val="32"/>
    </w:rPr>
  </w:style>
  <w:style w:type="paragraph" w:customStyle="1" w:styleId="85">
    <w:name w:val="标题5"/>
    <w:basedOn w:val="4"/>
    <w:link w:val="84"/>
    <w:qFormat/>
    <w:uiPriority w:val="0"/>
    <w:pPr>
      <w:keepLines/>
      <w:numPr>
        <w:ilvl w:val="0"/>
        <w:numId w:val="0"/>
      </w:numPr>
      <w:tabs>
        <w:tab w:val="clear" w:pos="1280"/>
      </w:tabs>
      <w:spacing w:before="260" w:after="260" w:line="413" w:lineRule="auto"/>
    </w:pPr>
    <w:rPr>
      <w:rFonts w:ascii="Arial" w:hAnsi="Arial"/>
      <w:kern w:val="0"/>
      <w:sz w:val="24"/>
      <w:szCs w:val="32"/>
    </w:rPr>
  </w:style>
  <w:style w:type="character" w:customStyle="1" w:styleId="86">
    <w:name w:val="文档结构图 Char1"/>
    <w:qFormat/>
    <w:uiPriority w:val="0"/>
    <w:rPr>
      <w:rFonts w:ascii="宋体" w:hAnsi="宋体" w:eastAsia="宋体"/>
      <w:kern w:val="2"/>
      <w:sz w:val="18"/>
      <w:szCs w:val="18"/>
      <w:lang w:val="en-US" w:eastAsia="zh-CN" w:bidi="ar-SA"/>
    </w:rPr>
  </w:style>
  <w:style w:type="character" w:customStyle="1" w:styleId="87">
    <w:name w:val="引用 Char1"/>
    <w:qFormat/>
    <w:uiPriority w:val="99"/>
    <w:rPr>
      <w:rFonts w:ascii="宋体" w:hAnsi="宋体" w:eastAsia="宋体"/>
      <w:i/>
      <w:iCs/>
      <w:color w:val="000000"/>
      <w:kern w:val="2"/>
      <w:sz w:val="21"/>
      <w:szCs w:val="24"/>
      <w:lang w:val="en-US" w:eastAsia="zh-CN" w:bidi="ar-SA"/>
    </w:rPr>
  </w:style>
  <w:style w:type="character" w:customStyle="1" w:styleId="88">
    <w:name w:val="纯文本 Char2"/>
    <w:qFormat/>
    <w:uiPriority w:val="0"/>
    <w:rPr>
      <w:rFonts w:ascii="宋体" w:hAnsi="Courier New" w:eastAsia="宋体"/>
      <w:spacing w:val="-8"/>
      <w:kern w:val="2"/>
      <w:sz w:val="24"/>
      <w:lang w:val="en-US" w:eastAsia="zh-CN" w:bidi="ar-SA"/>
    </w:rPr>
  </w:style>
  <w:style w:type="paragraph" w:customStyle="1" w:styleId="89">
    <w:name w:val="正文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0">
    <w:name w:val=" Char1"/>
    <w:basedOn w:val="1"/>
    <w:qFormat/>
    <w:uiPriority w:val="0"/>
    <w:rPr>
      <w:rFonts w:ascii="宋体" w:hAnsi="宋体"/>
      <w:szCs w:val="21"/>
    </w:rPr>
  </w:style>
  <w:style w:type="paragraph" w:customStyle="1" w:styleId="91">
    <w:name w:val="TOC 标题1"/>
    <w:basedOn w:val="2"/>
    <w:next w:val="1"/>
    <w:qFormat/>
    <w:uiPriority w:val="0"/>
    <w:pPr>
      <w:tabs>
        <w:tab w:val="left" w:pos="795"/>
      </w:tabs>
      <w:outlineLvl w:val="9"/>
    </w:pPr>
    <w:rPr>
      <w:rFonts w:ascii="Calibri" w:hAnsi="Calibri"/>
    </w:rPr>
  </w:style>
  <w:style w:type="paragraph" w:customStyle="1" w:styleId="92">
    <w:name w:val="普通 (Web)"/>
    <w:basedOn w:val="1"/>
    <w:qFormat/>
    <w:uiPriority w:val="0"/>
    <w:pPr>
      <w:widowControl/>
      <w:spacing w:before="100" w:beforeLines="0" w:beforeAutospacing="1" w:after="100" w:afterLines="0" w:afterAutospacing="1"/>
      <w:jc w:val="left"/>
    </w:pPr>
    <w:rPr>
      <w:rFonts w:ascii="宋体" w:hAnsi="宋体"/>
      <w:kern w:val="0"/>
      <w:sz w:val="24"/>
    </w:rPr>
  </w:style>
  <w:style w:type="paragraph" w:customStyle="1" w:styleId="93">
    <w:name w:val="Char Char Char Char"/>
    <w:basedOn w:val="1"/>
    <w:qFormat/>
    <w:uiPriority w:val="0"/>
    <w:pPr>
      <w:widowControl/>
      <w:spacing w:after="160" w:afterLines="0" w:line="240" w:lineRule="exact"/>
      <w:jc w:val="left"/>
    </w:pPr>
    <w:rPr>
      <w:rFonts w:ascii="宋体" w:hAnsi="宋体"/>
      <w:szCs w:val="21"/>
    </w:rPr>
  </w:style>
  <w:style w:type="paragraph" w:customStyle="1" w:styleId="94">
    <w:name w:val="彩色底纹 - 强调文字颜色 31"/>
    <w:basedOn w:val="1"/>
    <w:qFormat/>
    <w:uiPriority w:val="72"/>
    <w:pPr>
      <w:ind w:firstLine="420" w:firstLineChars="200"/>
    </w:pPr>
  </w:style>
  <w:style w:type="paragraph" w:customStyle="1" w:styleId="95">
    <w:name w:val="列出段落1"/>
    <w:basedOn w:val="1"/>
    <w:qFormat/>
    <w:uiPriority w:val="0"/>
    <w:pPr>
      <w:ind w:firstLine="420" w:firstLineChars="200"/>
    </w:pPr>
    <w:rPr>
      <w:rFonts w:ascii="Calibri" w:hAnsi="Calibri" w:eastAsia="宋体"/>
      <w:szCs w:val="21"/>
    </w:rPr>
  </w:style>
  <w:style w:type="paragraph" w:customStyle="1" w:styleId="96">
    <w:name w:val="正文-小四"/>
    <w:basedOn w:val="1"/>
    <w:qFormat/>
    <w:uiPriority w:val="0"/>
    <w:pPr>
      <w:spacing w:line="360" w:lineRule="auto"/>
      <w:ind w:firstLine="480"/>
    </w:pPr>
    <w:rPr>
      <w:rFonts w:ascii="宋体" w:hAnsi="宋体" w:eastAsia="宋体"/>
      <w:sz w:val="24"/>
    </w:rPr>
  </w:style>
  <w:style w:type="paragraph" w:customStyle="1" w:styleId="97">
    <w:name w:val="TOC Heading"/>
    <w:basedOn w:val="2"/>
    <w:next w:val="1"/>
    <w:qFormat/>
    <w:uiPriority w:val="0"/>
    <w:pPr>
      <w:keepLines/>
      <w:numPr>
        <w:ilvl w:val="0"/>
        <w:numId w:val="0"/>
      </w:numPr>
      <w:tabs>
        <w:tab w:val="left" w:pos="795"/>
      </w:tabs>
      <w:spacing w:before="340" w:after="330" w:line="578" w:lineRule="auto"/>
      <w:outlineLvl w:val="9"/>
    </w:pPr>
    <w:rPr>
      <w:spacing w:val="0"/>
      <w:kern w:val="44"/>
      <w:sz w:val="44"/>
      <w:szCs w:val="44"/>
      <w:lang w:val="en-US"/>
    </w:rPr>
  </w:style>
  <w:style w:type="paragraph" w:customStyle="1" w:styleId="98">
    <w:name w:val="Heading 2_0"/>
    <w:basedOn w:val="1"/>
    <w:qFormat/>
    <w:uiPriority w:val="1"/>
    <w:pPr>
      <w:ind w:left="8"/>
      <w:jc w:val="left"/>
      <w:outlineLvl w:val="2"/>
    </w:pPr>
    <w:rPr>
      <w:rFonts w:ascii="宋体" w:hAnsi="宋体"/>
      <w:kern w:val="0"/>
      <w:sz w:val="44"/>
      <w:szCs w:val="44"/>
      <w:lang w:eastAsia="en-US"/>
    </w:rPr>
  </w:style>
  <w:style w:type="paragraph" w:customStyle="1" w:styleId="99">
    <w:name w:val="p0"/>
    <w:basedOn w:val="1"/>
    <w:qFormat/>
    <w:uiPriority w:val="0"/>
    <w:pPr>
      <w:widowControl/>
    </w:pPr>
    <w:rPr>
      <w:rFonts w:ascii="Calibri" w:hAnsi="Calibri" w:cs="宋体"/>
      <w:kern w:val="0"/>
      <w:szCs w:val="21"/>
    </w:rPr>
  </w:style>
  <w:style w:type="paragraph" w:styleId="100">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101">
    <w:name w:val="编号1"/>
    <w:basedOn w:val="1"/>
    <w:next w:val="1"/>
    <w:qFormat/>
    <w:uiPriority w:val="0"/>
    <w:pPr>
      <w:tabs>
        <w:tab w:val="left" w:pos="839"/>
      </w:tabs>
      <w:ind w:firstLine="420"/>
    </w:pPr>
    <w:rPr>
      <w:rFonts w:ascii="Times New Roman" w:hAnsi="Times New Roman" w:eastAsia="宋体"/>
    </w:rPr>
  </w:style>
  <w:style w:type="paragraph" w:customStyle="1" w:styleId="102">
    <w:name w:val="_Style 26"/>
    <w:basedOn w:val="1"/>
    <w:qFormat/>
    <w:uiPriority w:val="0"/>
    <w:rPr>
      <w:rFonts w:ascii="宋体" w:hAnsi="宋体"/>
      <w:szCs w:val="21"/>
    </w:rPr>
  </w:style>
  <w:style w:type="paragraph" w:customStyle="1" w:styleId="103">
    <w:name w:val="样式 标题 2 + Times New Roman 四号 非加粗 段前: 5 磅 段后: 0 磅 行距: 固定值 20..."/>
    <w:basedOn w:val="3"/>
    <w:qFormat/>
    <w:uiPriority w:val="0"/>
    <w:pPr>
      <w:keepLines/>
      <w:spacing w:before="100" w:line="400" w:lineRule="exact"/>
    </w:pPr>
    <w:rPr>
      <w:rFonts w:ascii="Times New Roman" w:hAnsi="Times New Roman" w:eastAsia="黑体" w:cs="宋体"/>
      <w:spacing w:val="0"/>
      <w:kern w:val="0"/>
      <w:szCs w:val="20"/>
      <w:lang w:val="en-US"/>
    </w:rPr>
  </w:style>
  <w:style w:type="paragraph" w:customStyle="1" w:styleId="104">
    <w:name w:val="Char"/>
    <w:basedOn w:val="1"/>
    <w:qFormat/>
    <w:uiPriority w:val="0"/>
    <w:rPr>
      <w:rFonts w:ascii="Tahoma" w:hAnsi="Tahoma"/>
      <w:sz w:val="28"/>
      <w:szCs w:val="28"/>
    </w:rPr>
  </w:style>
  <w:style w:type="paragraph" w:customStyle="1" w:styleId="105">
    <w:name w:val="Z-正文小4号"/>
    <w:basedOn w:val="1"/>
    <w:qFormat/>
    <w:uiPriority w:val="0"/>
    <w:pPr>
      <w:widowControl w:val="0"/>
      <w:spacing w:after="0" w:line="360" w:lineRule="auto"/>
      <w:ind w:firstLine="480" w:firstLineChars="200"/>
      <w:jc w:val="both"/>
    </w:pPr>
    <w:rPr>
      <w:rFonts w:ascii="宋体" w:hAnsi="宋体" w:cs="Times New Roman"/>
      <w:color w:val="auto"/>
      <w:kern w:val="2"/>
      <w:sz w:val="24"/>
      <w:szCs w:val="24"/>
      <w:lang w:val="zh-CN" w:eastAsia="zh-CN"/>
    </w:rPr>
  </w:style>
  <w:style w:type="paragraph" w:customStyle="1" w:styleId="106">
    <w:name w:val=" Char Char Char Char"/>
    <w:basedOn w:val="1"/>
    <w:qFormat/>
    <w:uiPriority w:val="0"/>
    <w:rPr>
      <w:rFonts w:ascii="仿宋_GB2312" w:eastAsia="仿宋_GB2312"/>
      <w:kern w:val="0"/>
      <w:sz w:val="24"/>
      <w:szCs w:val="20"/>
    </w:rPr>
  </w:style>
  <w:style w:type="paragraph" w:customStyle="1" w:styleId="107">
    <w:name w:val=" Char"/>
    <w:basedOn w:val="1"/>
    <w:qFormat/>
    <w:uiPriority w:val="0"/>
    <w:rPr>
      <w:rFonts w:ascii="宋体" w:hAnsi="宋体"/>
      <w:szCs w:val="21"/>
    </w:rPr>
  </w:style>
  <w:style w:type="paragraph" w:customStyle="1" w:styleId="108">
    <w:name w:val="无间隔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109">
    <w:name w:val="正文缩进1"/>
    <w:basedOn w:val="1"/>
    <w:qFormat/>
    <w:uiPriority w:val="0"/>
    <w:pPr>
      <w:ind w:firstLine="420"/>
    </w:pPr>
    <w:rPr>
      <w:rFonts w:ascii="Times New Roman" w:hAnsi="Times New Roman"/>
      <w:sz w:val="24"/>
      <w:szCs w:val="20"/>
    </w:rPr>
  </w:style>
  <w:style w:type="table" w:customStyle="1" w:styleId="110">
    <w:name w:val="TableGrid"/>
    <w:qFormat/>
    <w:uiPriority w:val="0"/>
    <w:rPr>
      <w:lang w:val="en-US" w:eastAsia="zh-CN" w:bidi="ar-SA"/>
    </w:rPr>
    <w:tblPr>
      <w:tblCellMar>
        <w:top w:w="0" w:type="dxa"/>
        <w:left w:w="0" w:type="dxa"/>
        <w:bottom w:w="0" w:type="dxa"/>
        <w:right w:w="0" w:type="dxa"/>
      </w:tblCellMar>
    </w:tblPr>
  </w:style>
  <w:style w:type="paragraph" w:customStyle="1" w:styleId="111">
    <w:name w:val="正文_0"/>
    <w:qFormat/>
    <w:uiPriority w:val="99"/>
    <w:pPr>
      <w:widowControl w:val="0"/>
      <w:jc w:val="both"/>
    </w:pPr>
    <w:rPr>
      <w:rFonts w:ascii="Calibri" w:hAnsi="Calibri" w:eastAsia="宋体" w:cs="Times New Roman"/>
      <w:kern w:val="2"/>
      <w:sz w:val="21"/>
      <w:szCs w:val="22"/>
      <w:lang w:val="en-US" w:eastAsia="zh-CN" w:bidi="ar-SA"/>
    </w:rPr>
  </w:style>
  <w:style w:type="paragraph" w:customStyle="1" w:styleId="112">
    <w:name w:val="样式 标题 1 + 黑体 四号"/>
    <w:basedOn w:val="2"/>
    <w:qFormat/>
    <w:uiPriority w:val="99"/>
    <w:pPr>
      <w:spacing w:before="0" w:after="0" w:line="480" w:lineRule="auto"/>
    </w:pPr>
    <w:rPr>
      <w:rFonts w:ascii="宋体" w:hAnsi="黑体"/>
      <w:sz w:val="24"/>
      <w:szCs w:val="24"/>
    </w:rPr>
  </w:style>
  <w:style w:type="paragraph" w:customStyle="1" w:styleId="113">
    <w:name w:val="表内"/>
    <w:basedOn w:val="1"/>
    <w:qFormat/>
    <w:uiPriority w:val="0"/>
    <w:pPr>
      <w:spacing w:line="300" w:lineRule="auto"/>
    </w:pPr>
    <w:rPr>
      <w:bCs/>
      <w:kern w:val="0"/>
      <w:szCs w:val="21"/>
      <w:lang w:eastAsia="zh-TW"/>
    </w:rPr>
  </w:style>
  <w:style w:type="paragraph" w:customStyle="1" w:styleId="114">
    <w:name w:val="样式2"/>
    <w:basedOn w:val="21"/>
    <w:qFormat/>
    <w:uiPriority w:val="99"/>
    <w:pPr>
      <w:tabs>
        <w:tab w:val="right" w:leader="dot" w:pos="9458"/>
      </w:tabs>
      <w:ind w:left="420" w:leftChars="0"/>
      <w:jc w:val="left"/>
    </w:pPr>
    <w:rPr>
      <w:rFonts w:ascii="Arial" w:hAnsi="Calibri"/>
      <w:i/>
      <w:iCs/>
      <w:sz w:val="20"/>
    </w:rPr>
  </w:style>
  <w:style w:type="paragraph" w:customStyle="1" w:styleId="115">
    <w:name w:val="Table Paragraph"/>
    <w:basedOn w:val="1"/>
    <w:qFormat/>
    <w:uiPriority w:val="1"/>
    <w:pPr>
      <w:widowControl/>
      <w:jc w:val="left"/>
    </w:pPr>
    <w:rPr>
      <w:kern w:val="0"/>
      <w:szCs w:val="21"/>
      <w:lang w:val="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45</Pages>
  <Words>21990</Words>
  <Characters>23269</Characters>
  <Lines>193</Lines>
  <Paragraphs>54</Paragraphs>
  <TotalTime>33</TotalTime>
  <ScaleCrop>false</ScaleCrop>
  <LinksUpToDate>false</LinksUpToDate>
  <CharactersWithSpaces>24258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2021-01-27T02:31:00Z</dcterms:created>
  <dc:creator>x</dc:creator>
  <cp:lastModifiedBy>不悔</cp:lastModifiedBy>
  <cp:lastPrinted>2022-06-14T23:51:00Z</cp:lastPrinted>
  <dcterms:modified xsi:type="dcterms:W3CDTF">2022-09-26T08:03:52Z</dcterms:modified>
  <dc:title>招标文件</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B367FE07696F4726B84EC64191B2ABC8</vt:lpwstr>
  </property>
  <property fmtid="{D5CDD505-2E9C-101B-9397-08002B2CF9AE}" pid="3" name="KSOProductBuildVer">
    <vt:lpwstr>2052-11.1.0.12358</vt:lpwstr>
  </property>
</Properties>
</file>