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采购需求书</w:t>
      </w:r>
    </w:p>
    <w:p>
      <w:pPr>
        <w:rPr>
          <w:sz w:val="28"/>
          <w:szCs w:val="28"/>
        </w:rPr>
      </w:pPr>
    </w:p>
    <w:p>
      <w:pPr>
        <w:rPr>
          <w:sz w:val="28"/>
          <w:szCs w:val="28"/>
        </w:rPr>
      </w:pPr>
      <w:r>
        <w:rPr>
          <w:rFonts w:hint="eastAsia"/>
          <w:sz w:val="28"/>
          <w:szCs w:val="28"/>
        </w:rPr>
        <w:t>1、项目名称：琼海市嘉积镇泮水存量生活垃圾场筛分治理项目；</w:t>
      </w:r>
    </w:p>
    <w:p>
      <w:pPr>
        <w:rPr>
          <w:sz w:val="28"/>
          <w:szCs w:val="28"/>
        </w:rPr>
      </w:pPr>
      <w:r>
        <w:rPr>
          <w:rFonts w:hint="eastAsia"/>
          <w:sz w:val="28"/>
          <w:szCs w:val="28"/>
        </w:rPr>
        <w:t>2、项目单位：琼海市综合行政执法局；</w:t>
      </w:r>
    </w:p>
    <w:p>
      <w:pPr>
        <w:rPr>
          <w:sz w:val="28"/>
          <w:szCs w:val="28"/>
        </w:rPr>
      </w:pPr>
      <w:r>
        <w:rPr>
          <w:rFonts w:hint="eastAsia"/>
          <w:sz w:val="28"/>
          <w:szCs w:val="28"/>
        </w:rPr>
        <w:t>3、建设内容：琼海市嘉积镇泮水存量生活垃圾场垃圾量约</w:t>
      </w:r>
      <w:r>
        <w:rPr>
          <w:rFonts w:ascii="Calibri" w:hAnsi="Calibri" w:eastAsia="宋体" w:cs="Calibri"/>
          <w:i w:val="0"/>
          <w:iCs w:val="0"/>
          <w:color w:val="000000"/>
          <w:sz w:val="28"/>
          <w:szCs w:val="28"/>
          <w:u w:val="none"/>
        </w:rPr>
        <w:t>136675</w:t>
      </w:r>
      <w:bookmarkStart w:id="0" w:name="_GoBack"/>
      <w:bookmarkEnd w:id="0"/>
      <w:r>
        <w:rPr>
          <w:rFonts w:hint="eastAsia"/>
          <w:sz w:val="28"/>
          <w:szCs w:val="28"/>
        </w:rPr>
        <w:t>t，经筛分后筛上物（有机物质）运至琼海市生活垃圾焚烧发电厂进行掺烧处理；筛下物中的腐殖土运至琼海市配套飞灰填埋场进行填埋处理，危险废物及可回收物等其他物质由项目公司自费进行处置。项目建设主要内容包含存量生活垃圾堆体整形、垃圾挖掘筛分与运输、筛分厂房建设、临时覆盖系统、土方回填及绿化等。</w:t>
      </w:r>
    </w:p>
    <w:p>
      <w:pPr>
        <w:rPr>
          <w:sz w:val="28"/>
          <w:szCs w:val="28"/>
        </w:rPr>
      </w:pPr>
      <w:r>
        <w:rPr>
          <w:rFonts w:hint="eastAsia"/>
          <w:sz w:val="28"/>
          <w:szCs w:val="28"/>
        </w:rPr>
        <w:t xml:space="preserve">3、建设规模：本项目存量生活垃圾量约 </w:t>
      </w:r>
      <w:r>
        <w:rPr>
          <w:rFonts w:ascii="Calibri" w:hAnsi="Calibri" w:eastAsia="宋体" w:cs="Calibri"/>
          <w:i w:val="0"/>
          <w:iCs w:val="0"/>
          <w:color w:val="000000"/>
          <w:sz w:val="28"/>
          <w:szCs w:val="28"/>
          <w:u w:val="none"/>
          <w:bdr w:val="none" w:color="auto" w:sz="0" w:space="0"/>
        </w:rPr>
        <w:t>136675</w:t>
      </w:r>
      <w:r>
        <w:rPr>
          <w:rFonts w:hint="eastAsia"/>
          <w:sz w:val="28"/>
          <w:szCs w:val="28"/>
        </w:rPr>
        <w:t xml:space="preserve">t，筛分规模为 600t/d。经筛分后筛上物总量约 </w:t>
      </w:r>
      <w:r>
        <w:rPr>
          <w:rFonts w:ascii="Calibri" w:hAnsi="Calibri" w:eastAsia="宋体" w:cs="Calibri"/>
          <w:i w:val="0"/>
          <w:iCs w:val="0"/>
          <w:color w:val="000000"/>
          <w:sz w:val="28"/>
          <w:szCs w:val="28"/>
          <w:u w:val="none"/>
          <w:bdr w:val="none" w:color="auto" w:sz="0" w:space="0"/>
        </w:rPr>
        <w:t>68331</w:t>
      </w:r>
      <w:r>
        <w:rPr>
          <w:rFonts w:hint="eastAsia"/>
          <w:sz w:val="28"/>
          <w:szCs w:val="28"/>
        </w:rPr>
        <w:t>t，筛下物总量约</w:t>
      </w:r>
      <w:r>
        <w:rPr>
          <w:rFonts w:ascii="Calibri" w:hAnsi="Calibri" w:eastAsia="宋体" w:cs="Calibri"/>
          <w:i w:val="0"/>
          <w:iCs w:val="0"/>
          <w:color w:val="000000"/>
          <w:sz w:val="28"/>
          <w:szCs w:val="28"/>
          <w:u w:val="none"/>
          <w:bdr w:val="none" w:color="auto" w:sz="0" w:space="0"/>
        </w:rPr>
        <w:t>68344</w:t>
      </w:r>
      <w:r>
        <w:rPr>
          <w:rFonts w:hint="eastAsia"/>
          <w:sz w:val="28"/>
          <w:szCs w:val="28"/>
        </w:rPr>
        <w:t>t。</w:t>
      </w:r>
    </w:p>
    <w:p>
      <w:pPr>
        <w:rPr>
          <w:sz w:val="28"/>
          <w:szCs w:val="28"/>
        </w:rPr>
      </w:pPr>
      <w:r>
        <w:rPr>
          <w:rFonts w:hint="eastAsia"/>
          <w:sz w:val="28"/>
          <w:szCs w:val="28"/>
        </w:rPr>
        <w:t>4、监管及付费</w:t>
      </w:r>
    </w:p>
    <w:p>
      <w:pPr>
        <w:rPr>
          <w:sz w:val="28"/>
          <w:szCs w:val="28"/>
        </w:rPr>
      </w:pPr>
      <w:r>
        <w:rPr>
          <w:rFonts w:hint="eastAsia"/>
          <w:sz w:val="28"/>
          <w:szCs w:val="28"/>
        </w:rPr>
        <w:t>（1）琼海市执法局作为嘉积镇泮水存量生活垃圾场筛分治理服务的服务费支付主体，费用按月支付。每月服务费用如下：</w:t>
      </w:r>
    </w:p>
    <w:p>
      <w:pPr>
        <w:rPr>
          <w:sz w:val="28"/>
          <w:szCs w:val="28"/>
        </w:rPr>
      </w:pPr>
      <w:r>
        <w:rPr>
          <w:rFonts w:hint="eastAsia"/>
          <w:sz w:val="28"/>
          <w:szCs w:val="28"/>
        </w:rPr>
        <w:t xml:space="preserve">垃圾筛分月服务费用=成交单价×月垃圾筛分吨数； </w:t>
      </w:r>
    </w:p>
    <w:p>
      <w:pPr>
        <w:rPr>
          <w:sz w:val="28"/>
          <w:szCs w:val="28"/>
        </w:rPr>
      </w:pPr>
      <w:r>
        <w:rPr>
          <w:rFonts w:hint="eastAsia"/>
          <w:sz w:val="28"/>
          <w:szCs w:val="28"/>
        </w:rPr>
        <w:t xml:space="preserve">筛上物运输月服务费用=成交单价×月筛上物运输吨数； </w:t>
      </w:r>
    </w:p>
    <w:p>
      <w:pPr>
        <w:rPr>
          <w:sz w:val="28"/>
          <w:szCs w:val="28"/>
        </w:rPr>
      </w:pPr>
      <w:r>
        <w:rPr>
          <w:rFonts w:hint="eastAsia"/>
          <w:sz w:val="28"/>
          <w:szCs w:val="28"/>
        </w:rPr>
        <w:t xml:space="preserve">筛下物运输月服务费用=成交单价×月筛下物运输吨数； </w:t>
      </w:r>
    </w:p>
    <w:p>
      <w:pPr>
        <w:rPr>
          <w:sz w:val="28"/>
          <w:szCs w:val="28"/>
        </w:rPr>
      </w:pPr>
      <w:r>
        <w:rPr>
          <w:rFonts w:hint="eastAsia"/>
          <w:sz w:val="28"/>
          <w:szCs w:val="28"/>
        </w:rPr>
        <w:t>嘉积镇泮水存量生活垃圾场筛分治理月全额服务费=垃圾筛分月服务费用+筛上物运输月服务费用+筛下物运输月服务费用。</w:t>
      </w:r>
    </w:p>
    <w:p>
      <w:pPr>
        <w:rPr>
          <w:sz w:val="28"/>
          <w:szCs w:val="28"/>
        </w:rPr>
      </w:pPr>
      <w:r>
        <w:rPr>
          <w:rFonts w:hint="eastAsia"/>
          <w:sz w:val="28"/>
          <w:szCs w:val="28"/>
        </w:rPr>
        <w:t>（2）项目公司根据政府监管方认可的月考核结果开具发票，琼海市综合行政执法局在收到发票 10 个工作日内向项目公司支付无争议的服务费用。</w:t>
      </w:r>
    </w:p>
    <w:p>
      <w:pPr>
        <w:rPr>
          <w:sz w:val="28"/>
          <w:szCs w:val="28"/>
        </w:rPr>
      </w:pPr>
      <w:r>
        <w:rPr>
          <w:rFonts w:hint="eastAsia"/>
          <w:sz w:val="28"/>
          <w:szCs w:val="28"/>
        </w:rPr>
        <w:t>（3）本项目最终以实际筛分垃圾量、筛上物及筛下物外运量作为支付依据。</w:t>
      </w:r>
    </w:p>
    <w:p>
      <w:pPr>
        <w:rPr>
          <w:sz w:val="28"/>
          <w:szCs w:val="28"/>
        </w:rPr>
      </w:pPr>
      <w:r>
        <w:rPr>
          <w:rFonts w:hint="eastAsia"/>
          <w:sz w:val="28"/>
          <w:szCs w:val="28"/>
        </w:rPr>
        <w:t xml:space="preserve">5、服务期限：琼海市嘉积镇泮水存量生活垃圾场垃圾量约 </w:t>
      </w:r>
      <w:r>
        <w:rPr>
          <w:rFonts w:hint="default" w:ascii="Calibri" w:hAnsi="Calibri" w:eastAsia="宋体" w:cs="Calibri"/>
          <w:i w:val="0"/>
          <w:iCs w:val="0"/>
          <w:color w:val="000000"/>
          <w:kern w:val="0"/>
          <w:sz w:val="28"/>
          <w:szCs w:val="28"/>
          <w:u w:val="none"/>
          <w:lang w:val="en-US" w:eastAsia="zh-CN" w:bidi="ar"/>
        </w:rPr>
        <w:t>136675</w:t>
      </w:r>
      <w:r>
        <w:rPr>
          <w:rFonts w:hint="eastAsia"/>
          <w:sz w:val="28"/>
          <w:szCs w:val="28"/>
        </w:rPr>
        <w:t>t，筛分规模为 600t/d，本项目服务期限 240 天（八个月）。</w:t>
      </w:r>
    </w:p>
    <w:p>
      <w:pPr>
        <w:rPr>
          <w:sz w:val="28"/>
          <w:szCs w:val="28"/>
        </w:rPr>
      </w:pPr>
      <w:r>
        <w:rPr>
          <w:rFonts w:hint="eastAsia"/>
          <w:sz w:val="28"/>
          <w:szCs w:val="28"/>
        </w:rPr>
        <w:t>6、本次招标控制价（筛分治理服务费）为：17836290元。</w:t>
      </w:r>
    </w:p>
    <w:p>
      <w:pPr>
        <w:rPr>
          <w:sz w:val="28"/>
          <w:szCs w:val="28"/>
        </w:rPr>
      </w:pPr>
      <w:r>
        <w:rPr>
          <w:rFonts w:hint="eastAsia"/>
          <w:sz w:val="28"/>
          <w:szCs w:val="28"/>
        </w:rPr>
        <w:t>7、采购详细需求表：</w:t>
      </w:r>
    </w:p>
    <w:tbl>
      <w:tblPr>
        <w:tblStyle w:val="6"/>
        <w:tblW w:w="8887" w:type="dxa"/>
        <w:tblInd w:w="110" w:type="dxa"/>
        <w:tblLayout w:type="fixed"/>
        <w:tblCellMar>
          <w:top w:w="0" w:type="dxa"/>
          <w:left w:w="0" w:type="dxa"/>
          <w:bottom w:w="0" w:type="dxa"/>
          <w:right w:w="0" w:type="dxa"/>
        </w:tblCellMar>
      </w:tblPr>
      <w:tblGrid>
        <w:gridCol w:w="1005"/>
        <w:gridCol w:w="1422"/>
        <w:gridCol w:w="2151"/>
        <w:gridCol w:w="2268"/>
        <w:gridCol w:w="2041"/>
      </w:tblGrid>
      <w:tr>
        <w:tblPrEx>
          <w:tblCellMar>
            <w:top w:w="0" w:type="dxa"/>
            <w:left w:w="0" w:type="dxa"/>
            <w:bottom w:w="0" w:type="dxa"/>
            <w:right w:w="0" w:type="dxa"/>
          </w:tblCellMar>
        </w:tblPrEx>
        <w:trPr>
          <w:trHeight w:val="811" w:hRule="exact"/>
        </w:trPr>
        <w:tc>
          <w:tcPr>
            <w:tcW w:w="1005" w:type="dxa"/>
            <w:tcBorders>
              <w:top w:val="single" w:color="444444" w:sz="8" w:space="0"/>
              <w:left w:val="single" w:color="232328" w:sz="8" w:space="0"/>
              <w:bottom w:val="single" w:color="444448" w:sz="8" w:space="0"/>
              <w:right w:val="single" w:color="23232B" w:sz="8" w:space="0"/>
            </w:tcBorders>
            <w:vAlign w:val="center"/>
          </w:tcPr>
          <w:p>
            <w:pPr>
              <w:jc w:val="center"/>
              <w:rPr>
                <w:sz w:val="28"/>
                <w:szCs w:val="28"/>
                <w:lang w:eastAsia="en-US"/>
              </w:rPr>
            </w:pPr>
            <w:r>
              <w:rPr>
                <w:sz w:val="28"/>
                <w:szCs w:val="28"/>
                <w:lang w:eastAsia="en-US"/>
              </w:rPr>
              <w:t>序号</w:t>
            </w:r>
          </w:p>
        </w:tc>
        <w:tc>
          <w:tcPr>
            <w:tcW w:w="3573" w:type="dxa"/>
            <w:gridSpan w:val="2"/>
            <w:tcBorders>
              <w:top w:val="single" w:color="444444" w:sz="8" w:space="0"/>
              <w:left w:val="single" w:color="23232B" w:sz="8" w:space="0"/>
              <w:bottom w:val="single" w:color="444448" w:sz="8" w:space="0"/>
              <w:right w:val="single" w:color="282B2F" w:sz="6" w:space="0"/>
            </w:tcBorders>
            <w:vAlign w:val="center"/>
          </w:tcPr>
          <w:p>
            <w:pPr>
              <w:jc w:val="center"/>
              <w:rPr>
                <w:sz w:val="28"/>
                <w:szCs w:val="28"/>
                <w:lang w:eastAsia="en-US"/>
              </w:rPr>
            </w:pPr>
            <w:r>
              <w:rPr>
                <w:sz w:val="28"/>
                <w:szCs w:val="28"/>
                <w:lang w:eastAsia="en-US"/>
              </w:rPr>
              <w:t>采购品目名称</w:t>
            </w:r>
          </w:p>
        </w:tc>
        <w:tc>
          <w:tcPr>
            <w:tcW w:w="2268" w:type="dxa"/>
            <w:tcBorders>
              <w:top w:val="single" w:color="444444" w:sz="8" w:space="0"/>
              <w:left w:val="single" w:color="282B2F" w:sz="6" w:space="0"/>
              <w:bottom w:val="single" w:color="444448" w:sz="8" w:space="0"/>
              <w:right w:val="single" w:color="auto" w:sz="4" w:space="0"/>
            </w:tcBorders>
            <w:vAlign w:val="center"/>
          </w:tcPr>
          <w:p>
            <w:pPr>
              <w:jc w:val="center"/>
              <w:rPr>
                <w:sz w:val="28"/>
                <w:szCs w:val="28"/>
                <w:lang w:eastAsia="en-US"/>
              </w:rPr>
            </w:pPr>
            <w:r>
              <w:rPr>
                <w:sz w:val="28"/>
                <w:szCs w:val="28"/>
                <w:lang w:eastAsia="en-US"/>
              </w:rPr>
              <w:t>数量 （吨）</w:t>
            </w:r>
          </w:p>
        </w:tc>
        <w:tc>
          <w:tcPr>
            <w:tcW w:w="2041" w:type="dxa"/>
            <w:tcBorders>
              <w:top w:val="single" w:color="444444" w:sz="8" w:space="0"/>
              <w:left w:val="single" w:color="auto" w:sz="4" w:space="0"/>
              <w:bottom w:val="single" w:color="444448" w:sz="8" w:space="0"/>
              <w:right w:val="single" w:color="1C1C1F" w:sz="2" w:space="0"/>
            </w:tcBorders>
            <w:vAlign w:val="center"/>
          </w:tcPr>
          <w:p>
            <w:pPr>
              <w:jc w:val="center"/>
              <w:rPr>
                <w:sz w:val="28"/>
                <w:szCs w:val="28"/>
                <w:lang w:eastAsia="en-US"/>
              </w:rPr>
            </w:pPr>
            <w:r>
              <w:rPr>
                <w:sz w:val="28"/>
                <w:szCs w:val="28"/>
                <w:lang w:eastAsia="en-US"/>
              </w:rPr>
              <w:t>单价</w:t>
            </w:r>
            <w:r>
              <w:rPr>
                <w:rFonts w:hint="eastAsia"/>
                <w:sz w:val="28"/>
                <w:szCs w:val="28"/>
                <w:lang w:eastAsia="en-US"/>
              </w:rPr>
              <w:t>（元/吨）</w:t>
            </w:r>
          </w:p>
        </w:tc>
      </w:tr>
      <w:tr>
        <w:tblPrEx>
          <w:tblCellMar>
            <w:top w:w="0" w:type="dxa"/>
            <w:left w:w="0" w:type="dxa"/>
            <w:bottom w:w="0" w:type="dxa"/>
            <w:right w:w="0" w:type="dxa"/>
          </w:tblCellMar>
        </w:tblPrEx>
        <w:trPr>
          <w:trHeight w:val="1689" w:hRule="exact"/>
        </w:trPr>
        <w:tc>
          <w:tcPr>
            <w:tcW w:w="1005" w:type="dxa"/>
            <w:tcBorders>
              <w:top w:val="single" w:color="444448" w:sz="8" w:space="0"/>
              <w:left w:val="single" w:color="232328" w:sz="8" w:space="0"/>
              <w:bottom w:val="single" w:color="343438" w:sz="2" w:space="0"/>
              <w:right w:val="single" w:color="28282B" w:sz="8" w:space="0"/>
            </w:tcBorders>
            <w:vAlign w:val="center"/>
          </w:tcPr>
          <w:p>
            <w:pPr>
              <w:jc w:val="center"/>
              <w:rPr>
                <w:kern w:val="0"/>
                <w:sz w:val="28"/>
                <w:szCs w:val="28"/>
                <w:lang w:eastAsia="en-US"/>
              </w:rPr>
            </w:pPr>
            <w:r>
              <w:rPr>
                <w:rFonts w:hint="eastAsia"/>
                <w:kern w:val="0"/>
                <w:sz w:val="28"/>
                <w:szCs w:val="28"/>
                <w:lang w:eastAsia="en-US"/>
              </w:rPr>
              <w:t>1</w:t>
            </w:r>
          </w:p>
        </w:tc>
        <w:tc>
          <w:tcPr>
            <w:tcW w:w="1422" w:type="dxa"/>
            <w:vMerge w:val="restart"/>
            <w:tcBorders>
              <w:top w:val="single" w:color="444448" w:sz="8" w:space="0"/>
              <w:left w:val="single" w:color="28282B" w:sz="8" w:space="0"/>
              <w:right w:val="single" w:color="676B67" w:sz="2" w:space="0"/>
            </w:tcBorders>
            <w:vAlign w:val="center"/>
          </w:tcPr>
          <w:p>
            <w:pPr>
              <w:pStyle w:val="7"/>
              <w:ind w:left="109" w:right="-15"/>
              <w:jc w:val="center"/>
              <w:rPr>
                <w:kern w:val="2"/>
                <w:sz w:val="28"/>
                <w:szCs w:val="28"/>
                <w:lang w:eastAsia="zh-CN"/>
              </w:rPr>
            </w:pPr>
            <w:r>
              <w:rPr>
                <w:rFonts w:hint="eastAsia"/>
                <w:kern w:val="2"/>
                <w:sz w:val="28"/>
                <w:szCs w:val="28"/>
                <w:lang w:eastAsia="zh-CN"/>
              </w:rPr>
              <w:t>琼海市嘉积镇泮水存量生活垃圾场筛分治理</w:t>
            </w:r>
          </w:p>
        </w:tc>
        <w:tc>
          <w:tcPr>
            <w:tcW w:w="2151" w:type="dxa"/>
            <w:tcBorders>
              <w:top w:val="single" w:color="444448" w:sz="8" w:space="0"/>
              <w:left w:val="single" w:color="676B67" w:sz="2" w:space="0"/>
              <w:bottom w:val="single" w:color="000000" w:sz="2" w:space="0"/>
              <w:right w:val="single" w:color="282B2F" w:sz="6" w:space="0"/>
            </w:tcBorders>
            <w:vAlign w:val="center"/>
          </w:tcPr>
          <w:p>
            <w:pPr>
              <w:jc w:val="center"/>
              <w:rPr>
                <w:sz w:val="28"/>
                <w:szCs w:val="28"/>
                <w:lang w:eastAsia="en-US"/>
              </w:rPr>
            </w:pPr>
            <w:r>
              <w:rPr>
                <w:sz w:val="28"/>
                <w:szCs w:val="28"/>
                <w:lang w:eastAsia="en-US"/>
              </w:rPr>
              <w:t>筛分垃圾量</w:t>
            </w:r>
          </w:p>
        </w:tc>
        <w:tc>
          <w:tcPr>
            <w:tcW w:w="2268" w:type="dxa"/>
            <w:tcBorders>
              <w:top w:val="single" w:color="444448" w:sz="8" w:space="0"/>
              <w:left w:val="single" w:color="282B2F" w:sz="6" w:space="0"/>
              <w:bottom w:val="single" w:color="3F3F3F" w:sz="2" w:space="0"/>
              <w:right w:val="single" w:color="auto" w:sz="4" w:space="0"/>
            </w:tcBorders>
            <w:vAlign w:val="center"/>
          </w:tcPr>
          <w:p>
            <w:pPr>
              <w:keepNext w:val="0"/>
              <w:keepLines w:val="0"/>
              <w:widowControl/>
              <w:suppressLineNumbers w:val="0"/>
              <w:jc w:val="center"/>
              <w:textAlignment w:val="center"/>
              <w:rPr>
                <w:kern w:val="2"/>
                <w:sz w:val="28"/>
                <w:szCs w:val="28"/>
                <w:lang w:eastAsia="zh-CN"/>
              </w:rPr>
            </w:pPr>
            <w:r>
              <w:rPr>
                <w:rFonts w:hint="default" w:ascii="Calibri" w:hAnsi="Calibri" w:eastAsia="宋体" w:cs="Calibri"/>
                <w:i w:val="0"/>
                <w:iCs w:val="0"/>
                <w:color w:val="000000"/>
                <w:kern w:val="0"/>
                <w:sz w:val="28"/>
                <w:szCs w:val="28"/>
                <w:u w:val="none"/>
                <w:lang w:val="en-US" w:eastAsia="zh-CN" w:bidi="ar"/>
              </w:rPr>
              <w:t>136675</w:t>
            </w:r>
          </w:p>
        </w:tc>
        <w:tc>
          <w:tcPr>
            <w:tcW w:w="2041" w:type="dxa"/>
            <w:tcBorders>
              <w:top w:val="single" w:color="444448" w:sz="8" w:space="0"/>
              <w:left w:val="single" w:color="auto" w:sz="4" w:space="0"/>
              <w:bottom w:val="single" w:color="3F3F3F" w:sz="2" w:space="0"/>
              <w:right w:val="single" w:color="181C1F" w:sz="6" w:space="0"/>
            </w:tcBorders>
            <w:vAlign w:val="center"/>
          </w:tcPr>
          <w:p>
            <w:pPr>
              <w:keepNext w:val="0"/>
              <w:keepLines w:val="0"/>
              <w:widowControl/>
              <w:suppressLineNumbers w:val="0"/>
              <w:jc w:val="center"/>
              <w:textAlignment w:val="center"/>
              <w:rPr>
                <w:kern w:val="2"/>
                <w:sz w:val="28"/>
                <w:szCs w:val="28"/>
                <w:lang w:eastAsia="zh-CN"/>
              </w:rPr>
            </w:pPr>
            <w:r>
              <w:rPr>
                <w:rFonts w:hint="default" w:ascii="Calibri" w:hAnsi="Calibri" w:eastAsia="宋体" w:cs="Calibri"/>
                <w:i w:val="0"/>
                <w:iCs w:val="0"/>
                <w:color w:val="000000"/>
                <w:kern w:val="0"/>
                <w:sz w:val="28"/>
                <w:szCs w:val="28"/>
                <w:u w:val="none"/>
                <w:lang w:val="en-US" w:eastAsia="zh-CN" w:bidi="ar"/>
              </w:rPr>
              <w:t>107.34</w:t>
            </w:r>
          </w:p>
        </w:tc>
      </w:tr>
      <w:tr>
        <w:tblPrEx>
          <w:tblCellMar>
            <w:top w:w="0" w:type="dxa"/>
            <w:left w:w="0" w:type="dxa"/>
            <w:bottom w:w="0" w:type="dxa"/>
            <w:right w:w="0" w:type="dxa"/>
          </w:tblCellMar>
        </w:tblPrEx>
        <w:trPr>
          <w:trHeight w:val="2017" w:hRule="atLeast"/>
        </w:trPr>
        <w:tc>
          <w:tcPr>
            <w:tcW w:w="1005" w:type="dxa"/>
            <w:tcBorders>
              <w:top w:val="single" w:color="343438" w:sz="2" w:space="0"/>
              <w:left w:val="single" w:color="232328" w:sz="8" w:space="0"/>
              <w:bottom w:val="nil"/>
              <w:right w:val="single" w:color="28282B" w:sz="8" w:space="0"/>
            </w:tcBorders>
            <w:vAlign w:val="center"/>
          </w:tcPr>
          <w:p>
            <w:pPr>
              <w:jc w:val="center"/>
              <w:rPr>
                <w:sz w:val="28"/>
                <w:szCs w:val="28"/>
                <w:lang w:eastAsia="en-US"/>
              </w:rPr>
            </w:pPr>
            <w:r>
              <w:rPr>
                <w:rFonts w:hint="eastAsia"/>
                <w:sz w:val="28"/>
                <w:szCs w:val="28"/>
                <w:lang w:eastAsia="en-US"/>
              </w:rPr>
              <w:t>2</w:t>
            </w:r>
          </w:p>
        </w:tc>
        <w:tc>
          <w:tcPr>
            <w:tcW w:w="1422" w:type="dxa"/>
            <w:vMerge w:val="continue"/>
            <w:tcBorders>
              <w:left w:val="single" w:color="28282B" w:sz="8" w:space="0"/>
              <w:right w:val="single" w:color="676B67" w:sz="2" w:space="0"/>
            </w:tcBorders>
          </w:tcPr>
          <w:p>
            <w:pPr>
              <w:rPr>
                <w:sz w:val="28"/>
                <w:szCs w:val="28"/>
                <w:lang w:eastAsia="en-US"/>
              </w:rPr>
            </w:pPr>
          </w:p>
        </w:tc>
        <w:tc>
          <w:tcPr>
            <w:tcW w:w="2151" w:type="dxa"/>
            <w:tcBorders>
              <w:top w:val="single" w:color="auto" w:sz="4" w:space="0"/>
              <w:left w:val="single" w:color="676B67" w:sz="2" w:space="0"/>
              <w:bottom w:val="single" w:color="auto" w:sz="4" w:space="0"/>
              <w:right w:val="single" w:color="2B2B2F" w:sz="8" w:space="0"/>
            </w:tcBorders>
            <w:vAlign w:val="center"/>
          </w:tcPr>
          <w:p>
            <w:pPr>
              <w:jc w:val="center"/>
              <w:rPr>
                <w:sz w:val="28"/>
                <w:szCs w:val="28"/>
                <w:lang w:eastAsia="en-US"/>
              </w:rPr>
            </w:pPr>
            <w:r>
              <w:rPr>
                <w:sz w:val="28"/>
                <w:szCs w:val="28"/>
                <w:lang w:eastAsia="en-US"/>
              </w:rPr>
              <w:t>筛上物运输</w:t>
            </w:r>
            <w:r>
              <w:rPr>
                <w:rFonts w:hint="eastAsia"/>
                <w:sz w:val="28"/>
                <w:szCs w:val="28"/>
                <w:lang w:eastAsia="en-US"/>
              </w:rPr>
              <w:t>量</w:t>
            </w:r>
          </w:p>
        </w:tc>
        <w:tc>
          <w:tcPr>
            <w:tcW w:w="2268" w:type="dxa"/>
            <w:tcBorders>
              <w:top w:val="single" w:color="3F3F3F" w:sz="2" w:space="0"/>
              <w:left w:val="single" w:color="2B2B2F" w:sz="8" w:space="0"/>
              <w:bottom w:val="nil"/>
              <w:right w:val="single" w:color="auto" w:sz="4" w:space="0"/>
            </w:tcBorders>
            <w:vAlign w:val="center"/>
          </w:tcPr>
          <w:p>
            <w:pPr>
              <w:keepNext w:val="0"/>
              <w:keepLines w:val="0"/>
              <w:widowControl/>
              <w:suppressLineNumbers w:val="0"/>
              <w:jc w:val="center"/>
              <w:textAlignment w:val="center"/>
              <w:rPr>
                <w:sz w:val="28"/>
                <w:szCs w:val="28"/>
                <w:lang w:eastAsia="en-US"/>
              </w:rPr>
            </w:pPr>
            <w:r>
              <w:rPr>
                <w:rFonts w:hint="default" w:ascii="Calibri" w:hAnsi="Calibri" w:eastAsia="宋体" w:cs="Calibri"/>
                <w:i w:val="0"/>
                <w:iCs w:val="0"/>
                <w:color w:val="000000"/>
                <w:kern w:val="0"/>
                <w:sz w:val="28"/>
                <w:szCs w:val="28"/>
                <w:u w:val="none"/>
                <w:lang w:val="en-US" w:eastAsia="zh-CN" w:bidi="ar"/>
              </w:rPr>
              <w:t>68331</w:t>
            </w:r>
          </w:p>
        </w:tc>
        <w:tc>
          <w:tcPr>
            <w:tcW w:w="2041" w:type="dxa"/>
            <w:tcBorders>
              <w:top w:val="single" w:color="3F3F3F" w:sz="2" w:space="0"/>
              <w:left w:val="single" w:color="auto" w:sz="4" w:space="0"/>
              <w:bottom w:val="nil"/>
              <w:right w:val="single" w:color="2B2F2F" w:sz="8" w:space="0"/>
            </w:tcBorders>
            <w:vAlign w:val="center"/>
          </w:tcPr>
          <w:p>
            <w:pPr>
              <w:keepNext w:val="0"/>
              <w:keepLines w:val="0"/>
              <w:widowControl/>
              <w:suppressLineNumbers w:val="0"/>
              <w:jc w:val="center"/>
              <w:textAlignment w:val="center"/>
              <w:rPr>
                <w:sz w:val="28"/>
                <w:szCs w:val="28"/>
                <w:lang w:eastAsia="zh-CN"/>
              </w:rPr>
            </w:pPr>
            <w:r>
              <w:rPr>
                <w:rFonts w:hint="default" w:ascii="Calibri" w:hAnsi="Calibri" w:eastAsia="宋体" w:cs="Calibri"/>
                <w:i w:val="0"/>
                <w:iCs w:val="0"/>
                <w:color w:val="000000"/>
                <w:kern w:val="0"/>
                <w:sz w:val="28"/>
                <w:szCs w:val="28"/>
                <w:u w:val="none"/>
                <w:lang w:val="en-US" w:eastAsia="zh-CN" w:bidi="ar"/>
              </w:rPr>
              <w:t>13</w:t>
            </w:r>
          </w:p>
        </w:tc>
      </w:tr>
      <w:tr>
        <w:tblPrEx>
          <w:tblCellMar>
            <w:top w:w="0" w:type="dxa"/>
            <w:left w:w="0" w:type="dxa"/>
            <w:bottom w:w="0" w:type="dxa"/>
            <w:right w:w="0" w:type="dxa"/>
          </w:tblCellMar>
        </w:tblPrEx>
        <w:trPr>
          <w:trHeight w:val="1646" w:hRule="exact"/>
        </w:trPr>
        <w:tc>
          <w:tcPr>
            <w:tcW w:w="1005" w:type="dxa"/>
            <w:tcBorders>
              <w:top w:val="single" w:color="3B3F44" w:sz="8" w:space="0"/>
              <w:left w:val="single" w:color="232328" w:sz="8" w:space="0"/>
              <w:bottom w:val="single" w:color="auto" w:sz="4" w:space="0"/>
              <w:right w:val="single" w:color="28282B" w:sz="8" w:space="0"/>
            </w:tcBorders>
            <w:vAlign w:val="center"/>
          </w:tcPr>
          <w:p>
            <w:pPr>
              <w:jc w:val="center"/>
              <w:rPr>
                <w:sz w:val="28"/>
                <w:szCs w:val="28"/>
                <w:lang w:eastAsia="en-US"/>
              </w:rPr>
            </w:pPr>
            <w:r>
              <w:rPr>
                <w:rFonts w:hint="eastAsia"/>
                <w:sz w:val="28"/>
                <w:szCs w:val="28"/>
                <w:lang w:eastAsia="en-US"/>
              </w:rPr>
              <w:t>3</w:t>
            </w:r>
          </w:p>
        </w:tc>
        <w:tc>
          <w:tcPr>
            <w:tcW w:w="1422" w:type="dxa"/>
            <w:vMerge w:val="continue"/>
            <w:tcBorders>
              <w:left w:val="single" w:color="28282B" w:sz="8" w:space="0"/>
              <w:bottom w:val="single" w:color="auto" w:sz="4" w:space="0"/>
              <w:right w:val="single" w:color="676B67" w:sz="2" w:space="0"/>
            </w:tcBorders>
          </w:tcPr>
          <w:p>
            <w:pPr>
              <w:rPr>
                <w:sz w:val="28"/>
                <w:szCs w:val="28"/>
                <w:lang w:eastAsia="en-US"/>
              </w:rPr>
            </w:pPr>
          </w:p>
        </w:tc>
        <w:tc>
          <w:tcPr>
            <w:tcW w:w="2151" w:type="dxa"/>
            <w:tcBorders>
              <w:top w:val="single" w:color="auto" w:sz="4" w:space="0"/>
              <w:left w:val="single" w:color="676B67" w:sz="2" w:space="0"/>
              <w:bottom w:val="single" w:color="auto" w:sz="4" w:space="0"/>
              <w:right w:val="single" w:color="2B2B2F" w:sz="8" w:space="0"/>
            </w:tcBorders>
            <w:vAlign w:val="center"/>
          </w:tcPr>
          <w:p>
            <w:pPr>
              <w:jc w:val="center"/>
              <w:rPr>
                <w:sz w:val="28"/>
                <w:szCs w:val="28"/>
                <w:lang w:eastAsia="en-US"/>
              </w:rPr>
            </w:pPr>
            <w:r>
              <w:rPr>
                <w:sz w:val="28"/>
                <w:szCs w:val="28"/>
                <w:lang w:eastAsia="en-US"/>
              </w:rPr>
              <w:t>筛下物运输</w:t>
            </w:r>
            <w:r>
              <w:rPr>
                <w:rFonts w:hint="eastAsia"/>
                <w:sz w:val="28"/>
                <w:szCs w:val="28"/>
                <w:lang w:eastAsia="en-US"/>
              </w:rPr>
              <w:t>量</w:t>
            </w:r>
          </w:p>
        </w:tc>
        <w:tc>
          <w:tcPr>
            <w:tcW w:w="2268" w:type="dxa"/>
            <w:tcBorders>
              <w:top w:val="single" w:color="3F484B" w:sz="6" w:space="0"/>
              <w:left w:val="single" w:color="2B2B2F" w:sz="8" w:space="0"/>
              <w:bottom w:val="single" w:color="3F484B" w:sz="6" w:space="0"/>
              <w:right w:val="single" w:color="auto" w:sz="4" w:space="0"/>
            </w:tcBorders>
            <w:vAlign w:val="center"/>
          </w:tcPr>
          <w:p>
            <w:pPr>
              <w:keepNext w:val="0"/>
              <w:keepLines w:val="0"/>
              <w:widowControl/>
              <w:suppressLineNumbers w:val="0"/>
              <w:jc w:val="center"/>
              <w:textAlignment w:val="center"/>
              <w:rPr>
                <w:sz w:val="28"/>
                <w:szCs w:val="28"/>
                <w:lang w:eastAsia="en-US"/>
              </w:rPr>
            </w:pPr>
            <w:r>
              <w:rPr>
                <w:rFonts w:hint="default" w:ascii="Calibri" w:hAnsi="Calibri" w:eastAsia="宋体" w:cs="Calibri"/>
                <w:i w:val="0"/>
                <w:iCs w:val="0"/>
                <w:color w:val="000000"/>
                <w:kern w:val="0"/>
                <w:sz w:val="28"/>
                <w:szCs w:val="28"/>
                <w:u w:val="none"/>
                <w:lang w:val="en-US" w:eastAsia="zh-CN" w:bidi="ar"/>
              </w:rPr>
              <w:t>68344</w:t>
            </w:r>
          </w:p>
        </w:tc>
        <w:tc>
          <w:tcPr>
            <w:tcW w:w="2041" w:type="dxa"/>
            <w:tcBorders>
              <w:top w:val="single" w:color="3F484B" w:sz="6" w:space="0"/>
              <w:left w:val="single" w:color="auto" w:sz="4" w:space="0"/>
              <w:bottom w:val="single" w:color="3F484B" w:sz="6" w:space="0"/>
              <w:right w:val="single" w:color="2B2F2F" w:sz="8" w:space="0"/>
            </w:tcBorders>
            <w:vAlign w:val="center"/>
          </w:tcPr>
          <w:p>
            <w:pPr>
              <w:keepNext w:val="0"/>
              <w:keepLines w:val="0"/>
              <w:widowControl/>
              <w:suppressLineNumbers w:val="0"/>
              <w:jc w:val="center"/>
              <w:textAlignment w:val="center"/>
              <w:rPr>
                <w:sz w:val="28"/>
                <w:szCs w:val="28"/>
                <w:lang w:eastAsia="zh-CN"/>
              </w:rPr>
            </w:pPr>
            <w:r>
              <w:rPr>
                <w:rFonts w:hint="default" w:ascii="Calibri" w:hAnsi="Calibri" w:eastAsia="宋体" w:cs="Calibri"/>
                <w:i w:val="0"/>
                <w:iCs w:val="0"/>
                <w:color w:val="000000"/>
                <w:kern w:val="0"/>
                <w:sz w:val="28"/>
                <w:szCs w:val="28"/>
                <w:u w:val="none"/>
                <w:lang w:val="en-US" w:eastAsia="zh-CN" w:bidi="ar"/>
              </w:rPr>
              <w:t>33.32</w:t>
            </w:r>
          </w:p>
        </w:tc>
      </w:tr>
      <w:tr>
        <w:tblPrEx>
          <w:tblCellMar>
            <w:top w:w="0" w:type="dxa"/>
            <w:left w:w="0" w:type="dxa"/>
            <w:bottom w:w="0" w:type="dxa"/>
            <w:right w:w="0" w:type="dxa"/>
          </w:tblCellMar>
        </w:tblPrEx>
        <w:trPr>
          <w:trHeight w:val="1234" w:hRule="exact"/>
        </w:trPr>
        <w:tc>
          <w:tcPr>
            <w:tcW w:w="1005" w:type="dxa"/>
            <w:tcBorders>
              <w:top w:val="single" w:color="3B3F44" w:sz="8" w:space="0"/>
              <w:left w:val="single" w:color="232328" w:sz="8" w:space="0"/>
              <w:bottom w:val="single" w:color="3F3F44" w:sz="8" w:space="0"/>
              <w:right w:val="single" w:color="28282B" w:sz="8" w:space="0"/>
            </w:tcBorders>
            <w:vAlign w:val="center"/>
          </w:tcPr>
          <w:p>
            <w:pPr>
              <w:jc w:val="center"/>
              <w:rPr>
                <w:sz w:val="28"/>
                <w:szCs w:val="28"/>
                <w:lang w:eastAsia="en-US"/>
              </w:rPr>
            </w:pPr>
            <w:r>
              <w:rPr>
                <w:rFonts w:hint="eastAsia"/>
                <w:sz w:val="28"/>
                <w:szCs w:val="28"/>
                <w:lang w:eastAsia="en-US"/>
              </w:rPr>
              <w:t>注</w:t>
            </w:r>
          </w:p>
        </w:tc>
        <w:tc>
          <w:tcPr>
            <w:tcW w:w="7882" w:type="dxa"/>
            <w:gridSpan w:val="4"/>
            <w:tcBorders>
              <w:left w:val="single" w:color="28282B" w:sz="8" w:space="0"/>
              <w:bottom w:val="single" w:color="3F3F44" w:sz="8" w:space="0"/>
              <w:right w:val="single" w:color="2B2F2F" w:sz="8" w:space="0"/>
            </w:tcBorders>
            <w:vAlign w:val="center"/>
          </w:tcPr>
          <w:p>
            <w:pPr>
              <w:jc w:val="center"/>
              <w:rPr>
                <w:sz w:val="28"/>
                <w:szCs w:val="28"/>
                <w:lang w:eastAsia="zh-CN"/>
              </w:rPr>
            </w:pPr>
            <w:r>
              <w:rPr>
                <w:rFonts w:hint="eastAsia"/>
                <w:sz w:val="28"/>
                <w:szCs w:val="28"/>
                <w:lang w:eastAsia="zh-CN"/>
              </w:rPr>
              <w:t>投标人单价报价不得超过本表单价</w:t>
            </w:r>
          </w:p>
        </w:tc>
      </w:tr>
    </w:tbl>
    <w:p>
      <w:pPr>
        <w:rPr>
          <w:sz w:val="30"/>
          <w:szCs w:val="30"/>
        </w:rPr>
      </w:pPr>
      <w:r>
        <w:rPr>
          <w:rFonts w:hint="eastAsia"/>
          <w:sz w:val="30"/>
          <w:szCs w:val="30"/>
        </w:rPr>
        <w:t>8、本采购需求书如有未详尽或纰漏之处，有可能在采购文件中进行补充修正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YTYxNDlkZWYwOGNjZjYwZjZhMWM0Yzg5M2VkZTkifQ=="/>
  </w:docVars>
  <w:rsids>
    <w:rsidRoot w:val="001C0199"/>
    <w:rsid w:val="0008404D"/>
    <w:rsid w:val="00152143"/>
    <w:rsid w:val="001C0199"/>
    <w:rsid w:val="002474F2"/>
    <w:rsid w:val="004723C4"/>
    <w:rsid w:val="00576D0D"/>
    <w:rsid w:val="006843AF"/>
    <w:rsid w:val="006E6777"/>
    <w:rsid w:val="007B7365"/>
    <w:rsid w:val="00A7121D"/>
    <w:rsid w:val="00AB698B"/>
    <w:rsid w:val="00B527BD"/>
    <w:rsid w:val="00C16A36"/>
    <w:rsid w:val="00C37F9F"/>
    <w:rsid w:val="00C867C4"/>
    <w:rsid w:val="00DB067A"/>
    <w:rsid w:val="00DC367A"/>
    <w:rsid w:val="00DD0B46"/>
    <w:rsid w:val="00E52CEC"/>
    <w:rsid w:val="00F7206C"/>
    <w:rsid w:val="51061004"/>
    <w:rsid w:val="6FBC1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customStyle="1" w:styleId="6">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7">
    <w:name w:val="Table Paragraph"/>
    <w:basedOn w:val="1"/>
    <w:qFormat/>
    <w:uiPriority w:val="1"/>
    <w:pPr>
      <w:jc w:val="left"/>
    </w:pPr>
    <w:rPr>
      <w:kern w:val="0"/>
      <w:sz w:val="22"/>
      <w:lang w:eastAsia="en-US"/>
    </w:r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136</Words>
  <Characters>780</Characters>
  <Lines>6</Lines>
  <Paragraphs>1</Paragraphs>
  <TotalTime>2</TotalTime>
  <ScaleCrop>false</ScaleCrop>
  <LinksUpToDate>false</LinksUpToDate>
  <CharactersWithSpaces>915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2022-09-14T03:00:00Z</dcterms:created>
  <dc:creator>68555266@163.com</dc:creator>
  <cp:lastModifiedBy>海风</cp:lastModifiedBy>
  <dcterms:modified xsi:type="dcterms:W3CDTF">2022-09-15T12:10:27Z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FFAECB2211684FFF8B180290A485955D</vt:lpwstr>
  </property>
</Properties>
</file>