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480" w:lineRule="auto"/>
        <w:jc w:val="center"/>
        <w:rPr>
          <w:rFonts w:hint="default" w:hAnsi="宋体" w:eastAsia="宋体"/>
          <w:lang w:val="en-US" w:eastAsia="zh-CN"/>
        </w:rPr>
      </w:pPr>
      <w:r>
        <w:rPr>
          <w:rFonts w:hint="eastAsia" w:hAnsi="宋体"/>
          <w:lang w:val="en-US" w:eastAsia="zh-CN"/>
        </w:rPr>
        <w:t>需求书</w:t>
      </w:r>
      <w:bookmarkStart w:id="0" w:name="_GoBack"/>
      <w:bookmarkEnd w:id="0"/>
    </w:p>
    <w:p>
      <w:pPr>
        <w:adjustRightInd w:val="0"/>
        <w:snapToGrid w:val="0"/>
        <w:spacing w:line="360" w:lineRule="auto"/>
        <w:ind w:firstLine="482" w:firstLineChars="200"/>
        <w:rPr>
          <w:rFonts w:hint="eastAsia" w:hAnsi="宋体"/>
          <w:b/>
          <w:bCs/>
          <w:color w:val="000000"/>
          <w:sz w:val="24"/>
          <w:szCs w:val="24"/>
        </w:rPr>
      </w:pPr>
      <w:r>
        <w:rPr>
          <w:rFonts w:hint="eastAsia" w:hAnsi="宋体"/>
          <w:b/>
          <w:bCs/>
          <w:color w:val="000000"/>
          <w:sz w:val="24"/>
          <w:szCs w:val="24"/>
        </w:rPr>
        <w:t>一、项目名称：</w:t>
      </w:r>
      <w:r>
        <w:rPr>
          <w:rFonts w:hint="eastAsia" w:hAnsi="宋体"/>
          <w:color w:val="000000"/>
          <w:sz w:val="24"/>
          <w:szCs w:val="24"/>
        </w:rPr>
        <w:t>手持式定向频谱分析设备</w:t>
      </w:r>
    </w:p>
    <w:p>
      <w:pPr>
        <w:spacing w:line="360" w:lineRule="auto"/>
        <w:ind w:firstLine="480" w:firstLineChars="200"/>
        <w:rPr>
          <w:rFonts w:hint="eastAsia" w:hAnsi="宋体"/>
          <w:bCs/>
          <w:color w:val="000000"/>
          <w:kern w:val="2"/>
          <w:sz w:val="24"/>
          <w:szCs w:val="24"/>
        </w:rPr>
      </w:pPr>
      <w:r>
        <w:rPr>
          <w:rFonts w:hint="eastAsia"/>
          <w:kern w:val="2"/>
          <w:sz w:val="24"/>
          <w:szCs w:val="24"/>
        </w:rPr>
        <w:t>本项目购置手持式定向频谱分析设备5套，预算金额为人民币49万元，响应供应商的响应报价不能超过此预算金额，否则响应无效。</w:t>
      </w:r>
    </w:p>
    <w:p>
      <w:pPr>
        <w:adjustRightInd w:val="0"/>
        <w:snapToGrid w:val="0"/>
        <w:spacing w:line="360" w:lineRule="auto"/>
        <w:ind w:firstLine="482" w:firstLineChars="200"/>
        <w:rPr>
          <w:rFonts w:hint="eastAsia" w:hAnsi="宋体"/>
          <w:b/>
          <w:bCs/>
          <w:color w:val="000000"/>
          <w:sz w:val="24"/>
          <w:szCs w:val="24"/>
        </w:rPr>
      </w:pPr>
      <w:r>
        <w:rPr>
          <w:rFonts w:hint="eastAsia" w:hAnsi="宋体"/>
          <w:b/>
          <w:bCs/>
          <w:color w:val="000000"/>
          <w:sz w:val="24"/>
          <w:szCs w:val="24"/>
        </w:rPr>
        <w:t>二、项目概况</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本项目配备更加先进的手持式频谱分析设备,满足体积小、重量轻、续航时间长、内置软件功能简单、易操作、设备稳定及可靠性好等要求,为日常各项工作开展提供有力保障。</w:t>
      </w:r>
    </w:p>
    <w:p>
      <w:pPr>
        <w:adjustRightInd w:val="0"/>
        <w:snapToGrid w:val="0"/>
        <w:spacing w:line="360" w:lineRule="auto"/>
        <w:rPr>
          <w:rFonts w:hint="eastAsia" w:hAnsi="宋体"/>
          <w:b/>
          <w:bCs/>
          <w:color w:val="000000"/>
          <w:sz w:val="24"/>
          <w:szCs w:val="24"/>
        </w:rPr>
      </w:pPr>
      <w:r>
        <w:rPr>
          <w:rFonts w:hint="eastAsia" w:hAnsi="宋体"/>
          <w:b/>
          <w:bCs/>
          <w:color w:val="000000"/>
          <w:sz w:val="24"/>
          <w:szCs w:val="24"/>
        </w:rPr>
        <w:t xml:space="preserve">    三、总体要求</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（一）开放性。系统在设计方面参考国际、国内相关标准建议要求,进行系统标准化构建,搭建统一、开放的系统平台。</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（二）先进性。充分利用先进但相对成熟的技术和装备,使建设项目在尽可能长的时间内与社会发展相适应。</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（三）可靠性。从设备选型到系统搭建,选用成熟稳定的技术和产品,最大限度保障系统的稳定和可靠性。</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（四）安全性。由于无线电管理部门的工作特殊性,系统安全尤为重要。本项目中的系统安全方面,要采用多种安全措施,最大限度保证系统的安全。</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（五）可维护性。在系统设计及安装方面,考虑日常管理操作和后期维护等诸多因素,在保证安全、整体美观大方的前提下,要达到系统的可维护性。</w:t>
      </w:r>
    </w:p>
    <w:p>
      <w:pPr>
        <w:adjustRightInd w:val="0"/>
        <w:snapToGrid w:val="0"/>
        <w:spacing w:line="360" w:lineRule="auto"/>
        <w:ind w:firstLine="482" w:firstLineChars="200"/>
        <w:rPr>
          <w:rFonts w:hint="eastAsia" w:hAnsi="宋体"/>
          <w:b/>
          <w:bCs/>
          <w:color w:val="000000"/>
          <w:sz w:val="24"/>
          <w:szCs w:val="24"/>
        </w:rPr>
      </w:pPr>
      <w:r>
        <w:rPr>
          <w:rFonts w:hint="eastAsia" w:hAnsi="宋体"/>
          <w:b/>
          <w:bCs/>
          <w:color w:val="000000"/>
          <w:sz w:val="24"/>
          <w:szCs w:val="24"/>
        </w:rPr>
        <w:t>四、项目建设内容</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 xml:space="preserve"> </w:t>
      </w:r>
    </w:p>
    <w:tbl>
      <w:tblPr>
        <w:tblStyle w:val="5"/>
        <w:tblW w:w="0" w:type="auto"/>
        <w:tblInd w:w="0" w:type="dxa"/>
        <w:tblLayout w:type="fixed"/>
        <w:tblCellMar>
          <w:top w:w="0" w:type="dxa"/>
          <w:left w:w="108" w:type="dxa"/>
          <w:bottom w:w="0" w:type="dxa"/>
          <w:right w:w="108" w:type="dxa"/>
        </w:tblCellMar>
      </w:tblPr>
      <w:tblGrid>
        <w:gridCol w:w="873"/>
        <w:gridCol w:w="6323"/>
        <w:gridCol w:w="1332"/>
      </w:tblGrid>
      <w:tr>
        <w:tblPrEx>
          <w:tblCellMar>
            <w:top w:w="0" w:type="dxa"/>
            <w:left w:w="108" w:type="dxa"/>
            <w:bottom w:w="0" w:type="dxa"/>
            <w:right w:w="108" w:type="dxa"/>
          </w:tblCellMar>
        </w:tblPrEx>
        <w:trPr>
          <w:trHeight w:val="312" w:hRule="atLeast"/>
        </w:trPr>
        <w:tc>
          <w:tcPr>
            <w:tcW w:w="873"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spacing w:line="360" w:lineRule="auto"/>
              <w:jc w:val="center"/>
              <w:rPr>
                <w:rFonts w:hAnsi="宋体"/>
                <w:b/>
                <w:bCs/>
                <w:color w:val="000000"/>
                <w:sz w:val="24"/>
                <w:szCs w:val="24"/>
              </w:rPr>
            </w:pPr>
            <w:r>
              <w:rPr>
                <w:rFonts w:hint="eastAsia" w:hAnsi="宋体"/>
                <w:b/>
                <w:bCs/>
                <w:color w:val="000000"/>
                <w:sz w:val="24"/>
                <w:szCs w:val="24"/>
              </w:rPr>
              <w:t>序号</w:t>
            </w:r>
          </w:p>
        </w:tc>
        <w:tc>
          <w:tcPr>
            <w:tcW w:w="6323"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360" w:lineRule="auto"/>
              <w:jc w:val="center"/>
              <w:rPr>
                <w:rFonts w:hAnsi="宋体"/>
                <w:b/>
                <w:bCs/>
                <w:color w:val="000000"/>
                <w:sz w:val="24"/>
                <w:szCs w:val="24"/>
              </w:rPr>
            </w:pPr>
            <w:r>
              <w:rPr>
                <w:rFonts w:hint="eastAsia" w:hAnsi="宋体"/>
                <w:b/>
                <w:bCs/>
                <w:color w:val="000000"/>
                <w:sz w:val="24"/>
                <w:szCs w:val="24"/>
              </w:rPr>
              <w:t>建设内容</w:t>
            </w:r>
          </w:p>
        </w:tc>
        <w:tc>
          <w:tcPr>
            <w:tcW w:w="1332"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360" w:lineRule="auto"/>
              <w:jc w:val="center"/>
              <w:rPr>
                <w:rFonts w:hAnsi="宋体"/>
                <w:b/>
                <w:bCs/>
                <w:color w:val="000000"/>
                <w:sz w:val="24"/>
                <w:szCs w:val="24"/>
              </w:rPr>
            </w:pPr>
            <w:r>
              <w:rPr>
                <w:rFonts w:hint="eastAsia" w:hAnsi="宋体"/>
                <w:b/>
                <w:bCs/>
                <w:color w:val="000000"/>
                <w:sz w:val="24"/>
                <w:szCs w:val="24"/>
              </w:rPr>
              <w:t>数量</w:t>
            </w:r>
          </w:p>
        </w:tc>
      </w:tr>
      <w:tr>
        <w:tblPrEx>
          <w:tblCellMar>
            <w:top w:w="0" w:type="dxa"/>
            <w:left w:w="108" w:type="dxa"/>
            <w:bottom w:w="0" w:type="dxa"/>
            <w:right w:w="108" w:type="dxa"/>
          </w:tblCellMar>
        </w:tblPrEx>
        <w:trPr>
          <w:trHeight w:val="312" w:hRule="atLeast"/>
        </w:trPr>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Ansi="宋体"/>
                <w:color w:val="000000"/>
                <w:sz w:val="24"/>
                <w:szCs w:val="24"/>
              </w:rPr>
            </w:pPr>
            <w:r>
              <w:rPr>
                <w:rFonts w:hint="eastAsia" w:hAnsi="宋体"/>
                <w:color w:val="000000"/>
                <w:sz w:val="24"/>
                <w:szCs w:val="24"/>
              </w:rPr>
              <w:t>1</w:t>
            </w:r>
          </w:p>
        </w:tc>
        <w:tc>
          <w:tcPr>
            <w:tcW w:w="6323"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Ansi="宋体"/>
                <w:color w:val="000000"/>
                <w:sz w:val="24"/>
                <w:szCs w:val="24"/>
              </w:rPr>
            </w:pPr>
            <w:r>
              <w:rPr>
                <w:rFonts w:hint="eastAsia" w:hAnsi="宋体"/>
                <w:color w:val="000000"/>
                <w:sz w:val="24"/>
                <w:szCs w:val="24"/>
              </w:rPr>
              <w:t>手持式定向频谱分析仪</w:t>
            </w:r>
          </w:p>
        </w:tc>
        <w:tc>
          <w:tcPr>
            <w:tcW w:w="133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Ansi="宋体"/>
                <w:color w:val="000000"/>
                <w:sz w:val="24"/>
                <w:szCs w:val="24"/>
              </w:rPr>
            </w:pPr>
            <w:r>
              <w:rPr>
                <w:rFonts w:hint="eastAsia" w:hAnsi="宋体"/>
                <w:color w:val="000000"/>
                <w:sz w:val="24"/>
                <w:szCs w:val="24"/>
              </w:rPr>
              <w:t>5</w:t>
            </w:r>
            <w:r>
              <w:rPr>
                <w:rFonts w:hint="default" w:hAnsi="宋体"/>
                <w:color w:val="000000"/>
                <w:sz w:val="24"/>
                <w:szCs w:val="24"/>
              </w:rPr>
              <w:t>台</w:t>
            </w:r>
          </w:p>
        </w:tc>
      </w:tr>
      <w:tr>
        <w:tblPrEx>
          <w:tblCellMar>
            <w:top w:w="0" w:type="dxa"/>
            <w:left w:w="108" w:type="dxa"/>
            <w:bottom w:w="0" w:type="dxa"/>
            <w:right w:w="108" w:type="dxa"/>
          </w:tblCellMar>
        </w:tblPrEx>
        <w:trPr>
          <w:trHeight w:val="312" w:hRule="atLeast"/>
        </w:trPr>
        <w:tc>
          <w:tcPr>
            <w:tcW w:w="87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Ansi="宋体"/>
                <w:color w:val="000000"/>
                <w:sz w:val="24"/>
                <w:szCs w:val="24"/>
              </w:rPr>
            </w:pPr>
            <w:r>
              <w:rPr>
                <w:rFonts w:hint="eastAsia" w:hAnsi="宋体"/>
                <w:color w:val="000000"/>
                <w:sz w:val="24"/>
                <w:szCs w:val="24"/>
              </w:rPr>
              <w:t>2</w:t>
            </w:r>
          </w:p>
        </w:tc>
        <w:tc>
          <w:tcPr>
            <w:tcW w:w="6323" w:type="dxa"/>
            <w:tcBorders>
              <w:top w:val="nil"/>
              <w:left w:val="nil"/>
              <w:bottom w:val="single" w:color="auto" w:sz="4" w:space="0"/>
              <w:right w:val="single" w:color="auto" w:sz="4" w:space="0"/>
            </w:tcBorders>
            <w:noWrap w:val="0"/>
            <w:vAlign w:val="top"/>
          </w:tcPr>
          <w:p>
            <w:pPr>
              <w:widowControl/>
              <w:spacing w:line="360" w:lineRule="auto"/>
              <w:jc w:val="center"/>
              <w:rPr>
                <w:rFonts w:hAnsi="宋体"/>
                <w:color w:val="000000"/>
                <w:sz w:val="24"/>
                <w:szCs w:val="24"/>
              </w:rPr>
            </w:pPr>
            <w:r>
              <w:rPr>
                <w:rFonts w:hint="eastAsia" w:hAnsi="宋体"/>
                <w:color w:val="000000"/>
                <w:sz w:val="24"/>
                <w:szCs w:val="24"/>
              </w:rPr>
              <w:t>监测全向天线</w:t>
            </w:r>
          </w:p>
        </w:tc>
        <w:tc>
          <w:tcPr>
            <w:tcW w:w="1332" w:type="dxa"/>
            <w:tcBorders>
              <w:top w:val="nil"/>
              <w:left w:val="nil"/>
              <w:bottom w:val="single" w:color="auto" w:sz="4" w:space="0"/>
              <w:right w:val="single" w:color="auto" w:sz="4" w:space="0"/>
            </w:tcBorders>
            <w:noWrap w:val="0"/>
            <w:vAlign w:val="center"/>
          </w:tcPr>
          <w:p>
            <w:pPr>
              <w:widowControl/>
              <w:spacing w:line="360" w:lineRule="auto"/>
              <w:jc w:val="center"/>
              <w:rPr>
                <w:rFonts w:hAnsi="宋体"/>
                <w:color w:val="000000"/>
                <w:sz w:val="24"/>
                <w:szCs w:val="24"/>
              </w:rPr>
            </w:pPr>
            <w:r>
              <w:rPr>
                <w:rFonts w:hint="eastAsia" w:hAnsi="宋体"/>
                <w:color w:val="000000"/>
                <w:sz w:val="24"/>
                <w:szCs w:val="24"/>
              </w:rPr>
              <w:t>5</w:t>
            </w:r>
            <w:r>
              <w:rPr>
                <w:rFonts w:hint="default" w:hAnsi="宋体"/>
                <w:color w:val="000000"/>
                <w:sz w:val="24"/>
                <w:szCs w:val="24"/>
              </w:rPr>
              <w:t>副</w:t>
            </w:r>
          </w:p>
        </w:tc>
      </w:tr>
      <w:tr>
        <w:tblPrEx>
          <w:tblCellMar>
            <w:top w:w="0" w:type="dxa"/>
            <w:left w:w="108" w:type="dxa"/>
            <w:bottom w:w="0" w:type="dxa"/>
            <w:right w:w="108" w:type="dxa"/>
          </w:tblCellMar>
        </w:tblPrEx>
        <w:trPr>
          <w:trHeight w:val="312" w:hRule="atLeast"/>
        </w:trPr>
        <w:tc>
          <w:tcPr>
            <w:tcW w:w="87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Ansi="宋体"/>
                <w:color w:val="000000"/>
                <w:sz w:val="24"/>
                <w:szCs w:val="24"/>
              </w:rPr>
            </w:pPr>
            <w:r>
              <w:rPr>
                <w:rFonts w:hint="eastAsia" w:hAnsi="宋体"/>
                <w:color w:val="000000"/>
                <w:sz w:val="24"/>
                <w:szCs w:val="24"/>
              </w:rPr>
              <w:t>3</w:t>
            </w:r>
          </w:p>
        </w:tc>
        <w:tc>
          <w:tcPr>
            <w:tcW w:w="6323" w:type="dxa"/>
            <w:tcBorders>
              <w:top w:val="nil"/>
              <w:left w:val="nil"/>
              <w:bottom w:val="single" w:color="auto" w:sz="4" w:space="0"/>
              <w:right w:val="single" w:color="auto" w:sz="4" w:space="0"/>
            </w:tcBorders>
            <w:noWrap w:val="0"/>
            <w:vAlign w:val="top"/>
          </w:tcPr>
          <w:p>
            <w:pPr>
              <w:widowControl/>
              <w:spacing w:line="360" w:lineRule="auto"/>
              <w:jc w:val="center"/>
              <w:rPr>
                <w:rFonts w:hAnsi="宋体"/>
                <w:color w:val="000000"/>
                <w:sz w:val="24"/>
                <w:szCs w:val="24"/>
              </w:rPr>
            </w:pPr>
            <w:r>
              <w:rPr>
                <w:rFonts w:hint="eastAsia" w:hAnsi="宋体"/>
                <w:color w:val="000000"/>
                <w:sz w:val="24"/>
                <w:szCs w:val="24"/>
              </w:rPr>
              <w:t>测向定向天线</w:t>
            </w:r>
          </w:p>
        </w:tc>
        <w:tc>
          <w:tcPr>
            <w:tcW w:w="1332" w:type="dxa"/>
            <w:tcBorders>
              <w:top w:val="nil"/>
              <w:left w:val="nil"/>
              <w:bottom w:val="single" w:color="auto" w:sz="4" w:space="0"/>
              <w:right w:val="single" w:color="auto" w:sz="4" w:space="0"/>
            </w:tcBorders>
            <w:noWrap w:val="0"/>
            <w:vAlign w:val="center"/>
          </w:tcPr>
          <w:p>
            <w:pPr>
              <w:widowControl/>
              <w:spacing w:line="360" w:lineRule="auto"/>
              <w:jc w:val="center"/>
              <w:rPr>
                <w:rFonts w:hAnsi="宋体"/>
                <w:color w:val="000000"/>
                <w:sz w:val="24"/>
                <w:szCs w:val="24"/>
              </w:rPr>
            </w:pPr>
            <w:r>
              <w:rPr>
                <w:rFonts w:hint="eastAsia" w:hAnsi="宋体"/>
                <w:color w:val="000000"/>
                <w:sz w:val="24"/>
                <w:szCs w:val="24"/>
              </w:rPr>
              <w:t>5</w:t>
            </w:r>
            <w:r>
              <w:rPr>
                <w:rFonts w:hint="default" w:hAnsi="宋体"/>
                <w:color w:val="000000"/>
                <w:sz w:val="24"/>
                <w:szCs w:val="24"/>
              </w:rPr>
              <w:t>副</w:t>
            </w:r>
          </w:p>
        </w:tc>
      </w:tr>
      <w:tr>
        <w:tblPrEx>
          <w:tblCellMar>
            <w:top w:w="0" w:type="dxa"/>
            <w:left w:w="108" w:type="dxa"/>
            <w:bottom w:w="0" w:type="dxa"/>
            <w:right w:w="108" w:type="dxa"/>
          </w:tblCellMar>
        </w:tblPrEx>
        <w:trPr>
          <w:trHeight w:val="312" w:hRule="atLeast"/>
        </w:trPr>
        <w:tc>
          <w:tcPr>
            <w:tcW w:w="87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Ansi="宋体"/>
                <w:color w:val="000000"/>
                <w:sz w:val="24"/>
                <w:szCs w:val="24"/>
              </w:rPr>
            </w:pPr>
            <w:r>
              <w:rPr>
                <w:rFonts w:hint="eastAsia" w:hAnsi="宋体"/>
                <w:color w:val="000000"/>
                <w:sz w:val="24"/>
                <w:szCs w:val="24"/>
              </w:rPr>
              <w:t>4</w:t>
            </w:r>
          </w:p>
        </w:tc>
        <w:tc>
          <w:tcPr>
            <w:tcW w:w="6323" w:type="dxa"/>
            <w:tcBorders>
              <w:top w:val="nil"/>
              <w:left w:val="nil"/>
              <w:bottom w:val="single" w:color="auto" w:sz="4" w:space="0"/>
              <w:right w:val="single" w:color="auto" w:sz="4" w:space="0"/>
            </w:tcBorders>
            <w:noWrap w:val="0"/>
            <w:vAlign w:val="top"/>
          </w:tcPr>
          <w:p>
            <w:pPr>
              <w:widowControl/>
              <w:spacing w:line="360" w:lineRule="auto"/>
              <w:jc w:val="center"/>
              <w:rPr>
                <w:rFonts w:hAnsi="宋体"/>
                <w:color w:val="000000"/>
                <w:sz w:val="24"/>
                <w:szCs w:val="24"/>
              </w:rPr>
            </w:pPr>
            <w:r>
              <w:rPr>
                <w:rFonts w:hint="eastAsia" w:hAnsi="宋体"/>
                <w:color w:val="000000"/>
                <w:sz w:val="24"/>
                <w:szCs w:val="24"/>
              </w:rPr>
              <w:t>便携箱、便携软包、转接头、其他配件</w:t>
            </w:r>
          </w:p>
        </w:tc>
        <w:tc>
          <w:tcPr>
            <w:tcW w:w="1332" w:type="dxa"/>
            <w:tcBorders>
              <w:top w:val="nil"/>
              <w:left w:val="nil"/>
              <w:bottom w:val="single" w:color="auto" w:sz="4" w:space="0"/>
              <w:right w:val="single" w:color="auto" w:sz="4" w:space="0"/>
            </w:tcBorders>
            <w:noWrap w:val="0"/>
            <w:vAlign w:val="center"/>
          </w:tcPr>
          <w:p>
            <w:pPr>
              <w:widowControl/>
              <w:spacing w:line="360" w:lineRule="auto"/>
              <w:jc w:val="center"/>
              <w:rPr>
                <w:rFonts w:hAnsi="宋体"/>
                <w:color w:val="000000"/>
                <w:sz w:val="24"/>
                <w:szCs w:val="24"/>
              </w:rPr>
            </w:pPr>
            <w:r>
              <w:rPr>
                <w:rFonts w:hint="eastAsia" w:hAnsi="宋体"/>
                <w:color w:val="000000"/>
                <w:sz w:val="24"/>
                <w:szCs w:val="24"/>
              </w:rPr>
              <w:t>5</w:t>
            </w:r>
            <w:r>
              <w:rPr>
                <w:rFonts w:hint="default" w:hAnsi="宋体"/>
                <w:color w:val="000000"/>
                <w:sz w:val="24"/>
                <w:szCs w:val="24"/>
              </w:rPr>
              <w:t>组</w:t>
            </w:r>
          </w:p>
        </w:tc>
      </w:tr>
    </w:tbl>
    <w:p>
      <w:pPr>
        <w:spacing w:line="360" w:lineRule="auto"/>
        <w:ind w:firstLine="482" w:firstLineChars="200"/>
        <w:rPr>
          <w:rFonts w:hint="eastAsia" w:hAnsi="宋体"/>
          <w:b/>
          <w:bCs/>
          <w:color w:val="000000"/>
          <w:kern w:val="2"/>
          <w:sz w:val="24"/>
          <w:szCs w:val="24"/>
        </w:rPr>
      </w:pPr>
      <w:r>
        <w:rPr>
          <w:rFonts w:hint="eastAsia" w:hAnsi="宋体"/>
          <w:b/>
          <w:bCs/>
          <w:color w:val="000000"/>
          <w:sz w:val="24"/>
          <w:szCs w:val="24"/>
        </w:rPr>
        <w:t>五、功能与技术指标要求（注：以下指标中带▲的指标为重要指标，如不满足则将在评分中加重扣分）</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（一）主要功能要求</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1.符合国家及海南省“十四五”时期无线电管理规划的总体要求,符合国家无线电监测中心出台的《无线电监测应用子系统总体方案》《超短波无线电测向系统验收测试方法》等相关技术标准规范要求。</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2.设备具有先进、实用、可靠和可扩展等性能特点。采用国际标准化和专业化开发技术。</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3.内置频谱监控、音频解调、频率核查、干扰定位等实用功能。</w:t>
      </w:r>
    </w:p>
    <w:p>
      <w:pPr>
        <w:numPr>
          <w:ilvl w:val="0"/>
          <w:numId w:val="1"/>
        </w:num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系统功能要求</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1.可以单手手持完成多窗口多任务测量,频谱监控(投屏),音频解调、频率核查、干扰定位等任务;</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2.数据和控制接口:不少于 USB 接口、WiFi、蓝牙;</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3.显示:支持频谱和瀑布图显示;</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4.操作方式:触屏操作;</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▲5.频谱监控(投屏):当设备与其他电脑设备在同个WiFi 环境下时,可通过 WiFi 将频谱数据投屏至电脑进行频谱监控。</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6.音频解调:具有音频解调功能,可保存录音时间不低于 20 小时,录音应采用通用数字音频格式,录音内容可导出到其他设备播放,也可在设备内回放。</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7.频率核查:支持频率核查功能,支持显示主频标所在频点的频段归属信息显示,为区域内频率应用提供科学依据。</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▲8.干扰定位:配合定向天线的定向性,定位干扰信号。支持多个制高点进行 360 度环测,通过高处环测得到的功率来源方向向量交叉区域,确定干扰源大致方位;支持路面逼近测试,通过定向天线逐步逼近信号源。</w:t>
      </w:r>
    </w:p>
    <w:p>
      <w:pPr>
        <w:pStyle w:val="4"/>
        <w:rPr>
          <w:rFonts w:hint="eastAsia" w:hAnsi="宋体"/>
          <w:color w:val="000000"/>
          <w:sz w:val="24"/>
          <w:szCs w:val="24"/>
        </w:rPr>
      </w:pPr>
      <w:r>
        <w:rPr>
          <w:rFonts w:hint="eastAsia" w:hAnsi="宋体"/>
          <w:color w:val="000000"/>
          <w:sz w:val="24"/>
          <w:szCs w:val="24"/>
        </w:rPr>
        <w:t xml:space="preserve">    9.设备支持场强测试，支持室内WiFi测试。</w:t>
      </w:r>
    </w:p>
    <w:p>
      <w:pPr>
        <w:adjustRightInd w:val="0"/>
        <w:snapToGrid w:val="0"/>
        <w:spacing w:line="360" w:lineRule="auto"/>
        <w:ind w:firstLine="480" w:firstLineChars="200"/>
        <w:rPr>
          <w:rFonts w:hAnsi="宋体"/>
          <w:color w:val="000000"/>
          <w:sz w:val="24"/>
          <w:szCs w:val="24"/>
        </w:rPr>
      </w:pPr>
      <w:r>
        <w:rPr>
          <w:rFonts w:hint="eastAsia" w:hAnsi="宋体"/>
          <w:color w:val="000000"/>
          <w:sz w:val="24"/>
          <w:szCs w:val="24"/>
        </w:rPr>
        <w:t>10.能够将测量结果以截图、音频保存、结果输出等方式进行记录并回放,相关数据可导出;</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11.可与便携式方向性天线配合,对近距离到中等距离的目标进行测向定位;</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▲12.设备支持电子地图显示。</w:t>
      </w:r>
    </w:p>
    <w:p>
      <w:pPr>
        <w:numPr>
          <w:ilvl w:val="0"/>
          <w:numId w:val="1"/>
        </w:num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系统技术指标要求</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1.频谱仪技术指标</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▲（1）监测测向频率范围要求:9kHz-6GHz;</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▲（2）多信号分辨力:分辨率带宽范围 10Hz-5MHz;</w:t>
      </w:r>
    </w:p>
    <w:p>
      <w:pPr>
        <w:pStyle w:val="4"/>
        <w:ind w:firstLine="600"/>
        <w:rPr>
          <w:rFonts w:hint="eastAsia" w:hAnsi="宋体"/>
          <w:color w:val="000000"/>
          <w:sz w:val="24"/>
          <w:szCs w:val="24"/>
        </w:rPr>
      </w:pPr>
      <w:r>
        <w:rPr>
          <w:rFonts w:hint="eastAsia" w:hAnsi="宋体"/>
          <w:color w:val="000000"/>
          <w:sz w:val="24"/>
          <w:szCs w:val="24"/>
        </w:rPr>
        <w:t>（3）老化率：至少±2×10</w:t>
      </w:r>
      <w:r>
        <w:rPr>
          <w:rFonts w:hint="eastAsia" w:hAnsi="宋体"/>
          <w:color w:val="000000"/>
          <w:sz w:val="24"/>
          <w:szCs w:val="24"/>
          <w:vertAlign w:val="superscript"/>
        </w:rPr>
        <w:t>-6</w:t>
      </w:r>
      <w:r>
        <w:rPr>
          <w:rFonts w:hint="eastAsia" w:hAnsi="宋体"/>
          <w:color w:val="000000"/>
          <w:sz w:val="24"/>
          <w:szCs w:val="24"/>
        </w:rPr>
        <w:t>/年；</w:t>
      </w:r>
    </w:p>
    <w:p>
      <w:pPr>
        <w:pStyle w:val="4"/>
        <w:ind w:firstLine="600"/>
        <w:rPr>
          <w:rFonts w:hint="eastAsia" w:hAnsi="宋体"/>
          <w:color w:val="000000"/>
          <w:sz w:val="24"/>
          <w:szCs w:val="24"/>
        </w:rPr>
      </w:pPr>
      <w:r>
        <w:rPr>
          <w:rFonts w:hint="eastAsia" w:hAnsi="宋体"/>
          <w:color w:val="000000"/>
          <w:sz w:val="24"/>
          <w:szCs w:val="24"/>
        </w:rPr>
        <w:t>（4）扫描时间：至少10ms-100s（零扫宽下）</w:t>
      </w:r>
    </w:p>
    <w:p>
      <w:pPr>
        <w:pStyle w:val="4"/>
        <w:ind w:firstLine="600"/>
        <w:rPr>
          <w:rFonts w:hint="eastAsia" w:hAnsi="宋体"/>
          <w:color w:val="000000"/>
          <w:sz w:val="24"/>
          <w:szCs w:val="24"/>
        </w:rPr>
      </w:pPr>
      <w:r>
        <w:rPr>
          <w:rFonts w:hint="eastAsia" w:hAnsi="宋体"/>
          <w:color w:val="000000"/>
          <w:sz w:val="24"/>
          <w:szCs w:val="24"/>
        </w:rPr>
        <w:t xml:space="preserve">               至少100ms-1000s（非零扫宽下）；</w:t>
      </w:r>
    </w:p>
    <w:p>
      <w:pPr>
        <w:pStyle w:val="4"/>
        <w:ind w:firstLine="600"/>
        <w:rPr>
          <w:rFonts w:hint="eastAsia" w:hAnsi="宋体"/>
          <w:color w:val="000000"/>
          <w:sz w:val="24"/>
          <w:szCs w:val="24"/>
        </w:rPr>
      </w:pPr>
      <w:r>
        <w:rPr>
          <w:rFonts w:hint="eastAsia" w:hAnsi="宋体"/>
          <w:color w:val="000000"/>
          <w:sz w:val="24"/>
          <w:szCs w:val="24"/>
        </w:rPr>
        <w:t>（5）本底噪声电平：≤-120dBm；</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（6）灵活组合测试要求:测试窗口可多开,至少支持 4窗口;</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▲（7）便携性要求:手持式定向频谱分析仪重量不超过 1kg,提高测试效率;</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▲（8）续航能力要求:电池容量支持至少 4 小时操作时间;</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（9）测量参数与功能:通道功率、占用带宽、邻信道功率比、相位噪声、NdB 带宽、多窗口多任务测量、频谱监控(投屏)、音频解调、频率核查、干扰定位等;</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（10）显示波形图:至少支持 3 个波形,如波形 A,波形 B,波形 C;</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（11）波形操作:清除/写、最大保持、最小保持、平均、保持、隐藏等;</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（12）扫描方式:连续/单次;</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（13）频标:可支持不少于 8 个频标,支持 1 个参考频标和 7 个差值频标;</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（14）频标操作:峰值搜索、频标差值、增加频标、删除频标等;</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（15）检波方式:最大峰值检波、最小峰值检波、采样检波、平均值检波、均方根值检波等;</w:t>
      </w:r>
    </w:p>
    <w:p>
      <w:pPr>
        <w:pStyle w:val="4"/>
        <w:ind w:firstLine="600"/>
        <w:rPr>
          <w:rFonts w:hint="eastAsia" w:hAnsi="宋体"/>
          <w:color w:val="000000"/>
          <w:sz w:val="24"/>
          <w:szCs w:val="24"/>
        </w:rPr>
      </w:pPr>
      <w:r>
        <w:rPr>
          <w:rFonts w:hint="eastAsia" w:hAnsi="宋体"/>
          <w:color w:val="000000"/>
          <w:sz w:val="24"/>
          <w:szCs w:val="24"/>
        </w:rPr>
        <w:t>2.全向天线技术指标</w:t>
      </w:r>
    </w:p>
    <w:p>
      <w:pPr>
        <w:pStyle w:val="4"/>
        <w:ind w:firstLine="600"/>
        <w:rPr>
          <w:rFonts w:hint="eastAsia" w:hAnsi="宋体"/>
          <w:color w:val="000000"/>
          <w:sz w:val="24"/>
          <w:szCs w:val="24"/>
        </w:rPr>
      </w:pPr>
      <w:r>
        <w:rPr>
          <w:rFonts w:hint="eastAsia" w:hAnsi="宋体"/>
          <w:color w:val="000000"/>
          <w:sz w:val="24"/>
          <w:szCs w:val="24"/>
        </w:rPr>
        <w:t>（1）频率范围：10MHz～6GHz;</w:t>
      </w:r>
    </w:p>
    <w:p>
      <w:pPr>
        <w:pStyle w:val="4"/>
        <w:ind w:firstLine="600"/>
        <w:rPr>
          <w:rFonts w:hint="eastAsia" w:hAnsi="宋体"/>
          <w:color w:val="000000"/>
          <w:sz w:val="24"/>
          <w:szCs w:val="24"/>
        </w:rPr>
      </w:pPr>
      <w:r>
        <w:rPr>
          <w:rFonts w:hint="eastAsia" w:hAnsi="宋体"/>
          <w:color w:val="000000"/>
          <w:sz w:val="24"/>
          <w:szCs w:val="24"/>
        </w:rPr>
        <w:t>（2）方向性：全向天线;</w:t>
      </w:r>
    </w:p>
    <w:p>
      <w:pPr>
        <w:pStyle w:val="4"/>
        <w:ind w:firstLine="600"/>
        <w:rPr>
          <w:rFonts w:hint="eastAsia" w:hAnsi="宋体"/>
          <w:color w:val="000000"/>
          <w:sz w:val="24"/>
          <w:szCs w:val="24"/>
        </w:rPr>
      </w:pPr>
      <w:r>
        <w:rPr>
          <w:rFonts w:hint="eastAsia" w:hAnsi="宋体"/>
          <w:color w:val="000000"/>
          <w:sz w:val="24"/>
          <w:szCs w:val="24"/>
        </w:rPr>
        <w:t>（3）有无源：无源天线.</w:t>
      </w:r>
    </w:p>
    <w:p>
      <w:pPr>
        <w:pStyle w:val="4"/>
        <w:ind w:firstLine="600"/>
        <w:rPr>
          <w:rFonts w:hint="eastAsia" w:hAnsi="宋体"/>
          <w:color w:val="000000"/>
          <w:sz w:val="24"/>
          <w:szCs w:val="24"/>
        </w:rPr>
      </w:pPr>
      <w:r>
        <w:rPr>
          <w:rFonts w:hint="eastAsia" w:hAnsi="宋体"/>
          <w:color w:val="000000"/>
          <w:sz w:val="24"/>
          <w:szCs w:val="24"/>
        </w:rPr>
        <w:t>3.定向天线技术指标</w:t>
      </w:r>
    </w:p>
    <w:p>
      <w:pPr>
        <w:pStyle w:val="4"/>
        <w:ind w:firstLine="600"/>
        <w:rPr>
          <w:rFonts w:hint="eastAsia" w:hAnsi="宋体"/>
          <w:color w:val="000000"/>
          <w:sz w:val="24"/>
          <w:szCs w:val="24"/>
        </w:rPr>
      </w:pPr>
      <w:r>
        <w:rPr>
          <w:rFonts w:hint="eastAsia" w:hAnsi="宋体"/>
          <w:color w:val="000000"/>
          <w:sz w:val="24"/>
          <w:szCs w:val="24"/>
        </w:rPr>
        <w:t>（1）频率范围：20MHz～6GHz;</w:t>
      </w:r>
    </w:p>
    <w:p>
      <w:pPr>
        <w:pStyle w:val="4"/>
        <w:ind w:firstLine="600"/>
        <w:rPr>
          <w:rFonts w:hint="eastAsia" w:hAnsi="宋体"/>
          <w:color w:val="000000"/>
          <w:sz w:val="24"/>
          <w:szCs w:val="24"/>
        </w:rPr>
      </w:pPr>
      <w:r>
        <w:rPr>
          <w:rFonts w:hint="eastAsia" w:hAnsi="宋体"/>
          <w:color w:val="000000"/>
          <w:sz w:val="24"/>
          <w:szCs w:val="24"/>
        </w:rPr>
        <w:t>（2）方向性：定向天线;</w:t>
      </w:r>
    </w:p>
    <w:p>
      <w:pPr>
        <w:pStyle w:val="4"/>
        <w:ind w:firstLine="600"/>
        <w:rPr>
          <w:rFonts w:hint="eastAsia" w:hAnsi="宋体"/>
          <w:color w:val="000000"/>
          <w:sz w:val="24"/>
          <w:szCs w:val="24"/>
        </w:rPr>
      </w:pPr>
      <w:r>
        <w:rPr>
          <w:rFonts w:hint="eastAsia" w:hAnsi="宋体"/>
          <w:color w:val="000000"/>
          <w:sz w:val="24"/>
          <w:szCs w:val="24"/>
        </w:rPr>
        <w:t>（3）有无源：无源天线.</w:t>
      </w:r>
    </w:p>
    <w:p>
      <w:pPr>
        <w:adjustRightInd w:val="0"/>
        <w:snapToGrid w:val="0"/>
        <w:spacing w:line="360" w:lineRule="auto"/>
        <w:ind w:firstLine="482" w:firstLineChars="200"/>
        <w:rPr>
          <w:rFonts w:hint="eastAsia" w:hAnsi="宋体"/>
          <w:b/>
          <w:bCs/>
          <w:color w:val="000000"/>
          <w:sz w:val="24"/>
          <w:szCs w:val="24"/>
        </w:rPr>
      </w:pPr>
      <w:r>
        <w:rPr>
          <w:rFonts w:hint="eastAsia" w:hAnsi="宋体"/>
          <w:b/>
          <w:bCs/>
          <w:color w:val="000000"/>
          <w:sz w:val="24"/>
          <w:szCs w:val="24"/>
        </w:rPr>
        <w:t>六、验收及售后服务要求</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(一)交货及验收</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1.响应供应商在合同签订生效后的</w:t>
      </w:r>
      <w:r>
        <w:rPr>
          <w:rFonts w:hint="default" w:hAnsi="宋体"/>
          <w:color w:val="000000"/>
          <w:sz w:val="24"/>
          <w:szCs w:val="24"/>
        </w:rPr>
        <w:t>4</w:t>
      </w:r>
      <w:r>
        <w:rPr>
          <w:rFonts w:hint="eastAsia" w:hAnsi="宋体"/>
          <w:color w:val="000000"/>
          <w:sz w:val="24"/>
          <w:szCs w:val="24"/>
        </w:rPr>
        <w:t>个月内完成整个项目的交付。如由于采购人的原因造成合同延迟签订或验收的，时间顺延。交货验收时须提供原厂出厂检验合格证明材料。</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2.验收由采购人组织，响应供应商配合进行：</w:t>
      </w:r>
    </w:p>
    <w:p>
      <w:pPr>
        <w:adjustRightInd w:val="0"/>
        <w:snapToGrid w:val="0"/>
        <w:spacing w:line="560" w:lineRule="exact"/>
        <w:ind w:firstLine="480" w:firstLineChars="200"/>
        <w:rPr>
          <w:rFonts w:hint="eastAsia" w:hAnsi="宋体"/>
          <w:sz w:val="24"/>
          <w:szCs w:val="24"/>
        </w:rPr>
      </w:pPr>
      <w:r>
        <w:rPr>
          <w:rFonts w:hint="eastAsia" w:hAnsi="宋体"/>
          <w:sz w:val="24"/>
          <w:szCs w:val="24"/>
        </w:rPr>
        <w:t>（1）响应供应商在项目交付前须按照国家相关要求开展测试验证工作，提交测试报告后，采购人组织合同验收；</w:t>
      </w:r>
    </w:p>
    <w:p>
      <w:pPr>
        <w:adjustRightInd w:val="0"/>
        <w:snapToGrid w:val="0"/>
        <w:spacing w:line="560" w:lineRule="exact"/>
        <w:ind w:firstLine="480" w:firstLineChars="200"/>
        <w:rPr>
          <w:rFonts w:hint="eastAsia" w:hAnsi="宋体"/>
          <w:sz w:val="24"/>
          <w:szCs w:val="24"/>
        </w:rPr>
      </w:pPr>
      <w:r>
        <w:rPr>
          <w:rFonts w:hint="eastAsia" w:hAnsi="宋体"/>
          <w:sz w:val="24"/>
          <w:szCs w:val="24"/>
        </w:rPr>
        <w:t>（2）合同验收合格后，采购人组织初步验收。项目初步验收合格后，进入三个月试用期；</w:t>
      </w:r>
    </w:p>
    <w:p>
      <w:pPr>
        <w:adjustRightInd w:val="0"/>
        <w:snapToGrid w:val="0"/>
        <w:spacing w:line="560" w:lineRule="exact"/>
        <w:ind w:firstLine="480" w:firstLineChars="200"/>
        <w:rPr>
          <w:rFonts w:hint="eastAsia" w:hAnsi="宋体"/>
          <w:sz w:val="24"/>
          <w:szCs w:val="24"/>
        </w:rPr>
      </w:pPr>
      <w:r>
        <w:rPr>
          <w:rFonts w:hint="eastAsia" w:hAnsi="宋体"/>
          <w:sz w:val="24"/>
          <w:szCs w:val="24"/>
        </w:rPr>
        <w:t>（3）试运行三个月后，采购人组织竣工验收；</w:t>
      </w:r>
    </w:p>
    <w:p>
      <w:pPr>
        <w:adjustRightInd w:val="0"/>
        <w:snapToGrid w:val="0"/>
        <w:spacing w:line="560" w:lineRule="exact"/>
        <w:ind w:firstLine="480" w:firstLineChars="200"/>
        <w:rPr>
          <w:rFonts w:hint="eastAsia" w:hAnsi="宋体"/>
          <w:sz w:val="24"/>
          <w:szCs w:val="24"/>
        </w:rPr>
      </w:pPr>
      <w:r>
        <w:rPr>
          <w:rFonts w:hint="eastAsia" w:hAnsi="宋体"/>
          <w:sz w:val="24"/>
          <w:szCs w:val="24"/>
        </w:rPr>
        <w:t>（4）验收由采购人选派专家，所产生的费用（包括专家评审、交通、食宿等费用）由成交供应商负责。</w:t>
      </w:r>
    </w:p>
    <w:p>
      <w:pPr>
        <w:adjustRightInd w:val="0"/>
        <w:snapToGrid w:val="0"/>
        <w:spacing w:line="560" w:lineRule="exact"/>
        <w:ind w:firstLine="480" w:firstLineChars="200"/>
        <w:rPr>
          <w:rFonts w:hint="eastAsia" w:hAnsi="宋体"/>
          <w:sz w:val="24"/>
          <w:szCs w:val="24"/>
        </w:rPr>
      </w:pPr>
      <w:r>
        <w:rPr>
          <w:rFonts w:hint="eastAsia" w:hAnsi="宋体"/>
          <w:sz w:val="24"/>
          <w:szCs w:val="24"/>
        </w:rPr>
        <w:t>（5）验收标准：按磋商文件相关约定执行。系统安装完成后，响应供应商应首先给出具体测试计划、内容和方法，与采购人讨论并通过后，方可按计划进行项目验收。</w:t>
      </w:r>
    </w:p>
    <w:p>
      <w:pPr>
        <w:adjustRightInd w:val="0"/>
        <w:snapToGrid w:val="0"/>
        <w:spacing w:line="560" w:lineRule="exact"/>
        <w:ind w:firstLine="480" w:firstLineChars="200"/>
        <w:rPr>
          <w:rFonts w:hint="eastAsia" w:hAnsi="宋体"/>
          <w:color w:val="000000"/>
          <w:sz w:val="24"/>
          <w:szCs w:val="24"/>
        </w:rPr>
      </w:pPr>
      <w:r>
        <w:rPr>
          <w:rFonts w:hint="eastAsia" w:hAnsi="宋体"/>
          <w:sz w:val="24"/>
          <w:szCs w:val="24"/>
        </w:rPr>
        <w:t>3.响应供应商应负责在项目验收后将系统的全部有关产品说明书、原厂家安装手册、安装/验收报告、竣工文档、配置文档等</w:t>
      </w:r>
      <w:r>
        <w:rPr>
          <w:rFonts w:hint="eastAsia" w:hAnsi="宋体"/>
          <w:color w:val="000000"/>
          <w:sz w:val="24"/>
          <w:szCs w:val="24"/>
        </w:rPr>
        <w:t>文档汇集成册交付给采购人。</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（二）售后服务及承诺</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质量保证期：3年</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响应供应商应提供完善的技术支持和售后服务。所有仪器及附件从最终验收之日起均享有三年免费保修。对于保修期外的产品用户支付维修所发生的材料/工时费用。对于用户的维修/维护要求，响应供应商应在6小时内给予响应。若发生仪器设备故障，在维修期间，响应供应商必须提供替机服务。消除买方由此产生的利益损害。供应商保证所售仪器设备自停产之日起至少八年的备件供应。</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对发现的软件故障和存在的缺陷，响应供应商应及时修正。</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响应供应商应承诺定期对整套系统进行现场维护，包括软硬件维护、除尘等，保证维护周期内设备运行的可靠性，周期由双方协商决定。</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响应供应商应及时对购买后的软件进行免费正常升级。</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（三）培训</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响应供应商承诺接受培训的人员在培训后能够独立地对系统进行操作使用、管理、维护。</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培训内容包括系统产品使用培训和高级技术培训。产品培训至少包括系统介绍、安装调测、操作维护方法、系统配置和升级等方面；高级技术培训是指系统分析设计中的思想和方法。</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响应供应商必须在所提交技术建议书中明确提出：</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A、培训计划，其中应注明每次培训课程的时间、地点及课时；</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B、培训大纲，其中应注明每次课程的内容和目的；</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C、每次课程的文件和资料；</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D、培训教师介绍。</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培训地点在采购人所在地，人数10人、天数由响应供应商列出具体计划并安排实施。集中培训所产生的费用由成交供应商承担。</w:t>
      </w:r>
    </w:p>
    <w:p>
      <w:pPr>
        <w:adjustRightInd w:val="0"/>
        <w:snapToGrid w:val="0"/>
        <w:spacing w:line="360" w:lineRule="auto"/>
        <w:ind w:firstLine="482" w:firstLineChars="200"/>
        <w:rPr>
          <w:rFonts w:hint="eastAsia" w:hAnsi="宋体"/>
          <w:b/>
          <w:bCs/>
          <w:color w:val="000000"/>
          <w:sz w:val="24"/>
          <w:szCs w:val="24"/>
        </w:rPr>
      </w:pPr>
      <w:r>
        <w:rPr>
          <w:rFonts w:hint="eastAsia" w:hAnsi="宋体"/>
          <w:b/>
          <w:bCs/>
          <w:color w:val="000000"/>
          <w:sz w:val="24"/>
          <w:szCs w:val="24"/>
        </w:rPr>
        <w:t>七、其它要求</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（一）响应供应商报价应包括方案、售后服务、培训等费用和一切应付的税费；</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二）响应供应商必须根据所投产品的技术参数、资质资料编写磋商文件。在成交结果公示期间，采购人有权对成交候选人所投货物的技术指标、资质证书资料等进行核查，如发现与其响应文件中的描述不一，采购人有权取消其成交资格，没收响应保证金，并报政府采购主管部门严肃处理。</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三）成交供应商必须保证采购方在使用设备、服务时不受第三方提出侵犯其专利权、商标权和设计权的指控。一旦出现任何第三方提出侵权指控，成交供应商必须与第三方交涉，并承担可能发生的一切责任和费用。</w:t>
      </w:r>
    </w:p>
    <w:p>
      <w:pPr>
        <w:adjustRightInd w:val="0"/>
        <w:snapToGrid w:val="0"/>
        <w:spacing w:line="360" w:lineRule="auto"/>
        <w:ind w:firstLine="480" w:firstLineChars="200"/>
        <w:rPr>
          <w:rFonts w:hint="eastAsia" w:hAnsi="宋体"/>
          <w:color w:val="000000"/>
          <w:sz w:val="24"/>
          <w:szCs w:val="24"/>
        </w:rPr>
      </w:pPr>
      <w:r>
        <w:rPr>
          <w:rFonts w:hint="eastAsia" w:hAnsi="宋体"/>
          <w:color w:val="000000"/>
          <w:sz w:val="24"/>
          <w:szCs w:val="24"/>
        </w:rPr>
        <w:t>（四）成交供应商应提供功能适应性和完善性修改升级（软件），使设备更符合业务要求和更适应使用者的操作。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F00064"/>
    <w:multiLevelType w:val="multilevel"/>
    <w:tmpl w:val="1BF00064"/>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ZTA0ZDI0NzQxYzM5ZTMwZTc2NTYxYjhmZmFkMGEifQ=="/>
  </w:docVars>
  <w:rsids>
    <w:rsidRoot w:val="1EFC28A0"/>
    <w:rsid w:val="1EFC2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kern w:val="44"/>
      <w:sz w:val="32"/>
    </w:rPr>
  </w:style>
  <w:style w:type="paragraph" w:styleId="2">
    <w:name w:val="heading 2"/>
    <w:basedOn w:val="1"/>
    <w:next w:val="1"/>
    <w:qFormat/>
    <w:uiPriority w:val="0"/>
    <w:pPr>
      <w:keepNext/>
      <w:keepLines/>
      <w:spacing w:before="260" w:beforeLines="0" w:after="260" w:afterLines="0" w:line="500" w:lineRule="exact"/>
      <w:outlineLvl w:val="1"/>
    </w:pPr>
    <w:rPr>
      <w:rFonts w:ascii="Arial" w:hAnsi="Arial" w:eastAsia="黑体"/>
      <w:b/>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2022-08-18T02:35:00Z</dcterms:created>
  <dc:creator>阿谷爹</dc:creator>
  <cp:lastModifiedBy>阿谷爹</cp:lastModifiedBy>
  <dcterms:modified xsi:type="dcterms:W3CDTF">2022-08-18T02:36:03Z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7D9A7ABA4A2F4B56A26340FE4121FC79</vt:lpwstr>
  </property>
</Properties>
</file>