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微软雅黑" w:hAnsi="微软雅黑" w:eastAsia="微软雅黑" w:cs="微软雅黑"/>
          <w:b/>
          <w:bCs/>
          <w:color w:val="auto"/>
          <w:kern w:val="0"/>
          <w:sz w:val="72"/>
          <w:szCs w:val="72"/>
          <w:lang w:val="en-GB" w:eastAsia="zh-CN"/>
        </w:rPr>
      </w:pPr>
      <w:r>
        <w:rPr>
          <w:rFonts w:hint="eastAsia" w:ascii="宋体" w:hAnsi="宋体" w:cs="宋体"/>
          <w:b/>
          <w:bCs/>
          <w:color w:val="auto"/>
          <w:kern w:val="0"/>
          <w:sz w:val="72"/>
          <w:szCs w:val="72"/>
        </w:rPr>
        <w:drawing>
          <wp:inline distT="0" distB="0" distL="114300" distR="114300">
            <wp:extent cx="5761355" cy="1505585"/>
            <wp:effectExtent l="0" t="0" r="10795" b="18415"/>
            <wp:docPr id="10" name="图片 1" descr="logo-z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logo-zx"/>
                    <pic:cNvPicPr>
                      <a:picLocks noChangeAspect="1"/>
                    </pic:cNvPicPr>
                  </pic:nvPicPr>
                  <pic:blipFill>
                    <a:blip r:embed="rId11"/>
                    <a:stretch>
                      <a:fillRect/>
                    </a:stretch>
                  </pic:blipFill>
                  <pic:spPr>
                    <a:xfrm>
                      <a:off x="0" y="0"/>
                      <a:ext cx="5761355" cy="1505585"/>
                    </a:xfrm>
                    <a:prstGeom prst="rect">
                      <a:avLst/>
                    </a:prstGeom>
                    <a:noFill/>
                    <a:ln>
                      <a:noFill/>
                    </a:ln>
                  </pic:spPr>
                </pic:pic>
              </a:graphicData>
            </a:graphic>
          </wp:inline>
        </w:drawing>
      </w:r>
    </w:p>
    <w:p>
      <w:pPr>
        <w:autoSpaceDE w:val="0"/>
        <w:autoSpaceDN w:val="0"/>
        <w:snapToGrid w:val="0"/>
        <w:spacing w:line="360" w:lineRule="auto"/>
        <w:jc w:val="center"/>
        <w:rPr>
          <w:rFonts w:ascii="黑体" w:hAnsi="黑体" w:eastAsia="黑体" w:cs="黑体"/>
          <w:color w:val="auto"/>
          <w:kern w:val="0"/>
          <w:sz w:val="48"/>
          <w:szCs w:val="48"/>
        </w:rPr>
      </w:pPr>
    </w:p>
    <w:p>
      <w:pPr>
        <w:autoSpaceDE w:val="0"/>
        <w:autoSpaceDN w:val="0"/>
        <w:snapToGrid w:val="0"/>
        <w:spacing w:line="360" w:lineRule="auto"/>
        <w:jc w:val="center"/>
        <w:rPr>
          <w:rFonts w:hint="eastAsia" w:ascii="黑体" w:hAnsi="黑体" w:eastAsia="黑体" w:cs="黑体"/>
          <w:color w:val="auto"/>
          <w:kern w:val="0"/>
          <w:sz w:val="44"/>
          <w:szCs w:val="52"/>
          <w:lang w:eastAsia="zh-CN"/>
        </w:rPr>
      </w:pPr>
      <w:r>
        <w:rPr>
          <w:rFonts w:hint="eastAsia" w:ascii="黑体" w:hAnsi="黑体" w:eastAsia="黑体" w:cs="黑体"/>
          <w:color w:val="auto"/>
          <w:kern w:val="0"/>
          <w:sz w:val="48"/>
          <w:szCs w:val="56"/>
          <w:lang w:eastAsia="zh-CN"/>
        </w:rPr>
        <w:t>儋州市第二中学多功能报告厅及开放式书吧改造工程</w:t>
      </w:r>
    </w:p>
    <w:p>
      <w:pPr>
        <w:autoSpaceDE w:val="0"/>
        <w:autoSpaceDN w:val="0"/>
        <w:snapToGrid w:val="0"/>
        <w:spacing w:line="360" w:lineRule="auto"/>
        <w:jc w:val="center"/>
        <w:rPr>
          <w:rFonts w:hint="eastAsia" w:ascii="黑体" w:hAnsi="黑体" w:eastAsia="黑体" w:cs="黑体"/>
          <w:color w:val="auto"/>
          <w:kern w:val="0"/>
          <w:sz w:val="44"/>
          <w:szCs w:val="44"/>
          <w:lang w:eastAsia="zh-CN"/>
        </w:rPr>
      </w:pPr>
      <w:r>
        <w:rPr>
          <w:rFonts w:hint="eastAsia" w:ascii="黑体" w:hAnsi="黑体" w:eastAsia="黑体" w:cs="黑体"/>
          <w:color w:val="auto"/>
          <w:kern w:val="0"/>
          <w:sz w:val="44"/>
          <w:szCs w:val="44"/>
          <w:lang w:val="zh-CN"/>
        </w:rPr>
        <w:t>项目编号：</w:t>
      </w:r>
      <w:r>
        <w:rPr>
          <w:rFonts w:hint="eastAsia" w:ascii="黑体" w:hAnsi="黑体" w:eastAsia="黑体" w:cs="黑体"/>
          <w:color w:val="auto"/>
          <w:kern w:val="0"/>
          <w:sz w:val="44"/>
          <w:szCs w:val="44"/>
          <w:lang w:eastAsia="zh-CN"/>
        </w:rPr>
        <w:t>ZX2022-047</w:t>
      </w:r>
    </w:p>
    <w:p>
      <w:pPr>
        <w:autoSpaceDE w:val="0"/>
        <w:autoSpaceDN w:val="0"/>
        <w:snapToGrid w:val="0"/>
        <w:spacing w:line="360" w:lineRule="auto"/>
        <w:jc w:val="center"/>
        <w:rPr>
          <w:rFonts w:ascii="仿宋_GB2312" w:hAnsi="仿宋" w:eastAsia="仿宋_GB2312"/>
          <w:b/>
          <w:bCs/>
          <w:color w:val="auto"/>
          <w:kern w:val="0"/>
          <w:sz w:val="44"/>
          <w:szCs w:val="44"/>
        </w:rPr>
      </w:pPr>
    </w:p>
    <w:p>
      <w:pPr>
        <w:autoSpaceDE w:val="0"/>
        <w:autoSpaceDN w:val="0"/>
        <w:snapToGrid w:val="0"/>
        <w:spacing w:line="360" w:lineRule="auto"/>
        <w:jc w:val="center"/>
        <w:rPr>
          <w:rFonts w:ascii="仿宋_GB2312" w:hAnsi="仿宋" w:eastAsia="仿宋_GB2312"/>
          <w:b/>
          <w:bCs/>
          <w:color w:val="auto"/>
          <w:kern w:val="0"/>
          <w:sz w:val="44"/>
          <w:szCs w:val="44"/>
        </w:rPr>
      </w:pPr>
    </w:p>
    <w:p>
      <w:pPr>
        <w:autoSpaceDE w:val="0"/>
        <w:autoSpaceDN w:val="0"/>
        <w:snapToGrid w:val="0"/>
        <w:spacing w:line="360" w:lineRule="auto"/>
        <w:jc w:val="center"/>
        <w:rPr>
          <w:rFonts w:ascii="黑体" w:hAnsi="黑体" w:eastAsia="黑体" w:cs="黑体"/>
          <w:color w:val="auto"/>
          <w:kern w:val="0"/>
          <w:sz w:val="84"/>
          <w:szCs w:val="84"/>
        </w:rPr>
      </w:pPr>
      <w:r>
        <w:rPr>
          <w:rFonts w:hint="eastAsia" w:ascii="黑体" w:hAnsi="黑体" w:eastAsia="黑体" w:cs="黑体"/>
          <w:color w:val="auto"/>
          <w:kern w:val="0"/>
          <w:sz w:val="84"/>
          <w:szCs w:val="84"/>
        </w:rPr>
        <w:t>竞争性磋商文件</w:t>
      </w:r>
    </w:p>
    <w:p>
      <w:pPr>
        <w:autoSpaceDE w:val="0"/>
        <w:autoSpaceDN w:val="0"/>
        <w:snapToGrid w:val="0"/>
        <w:spacing w:line="360" w:lineRule="auto"/>
        <w:jc w:val="center"/>
        <w:rPr>
          <w:rFonts w:ascii="仿宋_GB2312" w:hAnsi="仿宋" w:eastAsia="仿宋_GB2312"/>
          <w:b/>
          <w:bCs/>
          <w:color w:val="auto"/>
          <w:kern w:val="0"/>
          <w:sz w:val="44"/>
          <w:szCs w:val="44"/>
        </w:rPr>
      </w:pPr>
    </w:p>
    <w:p>
      <w:pPr>
        <w:autoSpaceDE w:val="0"/>
        <w:autoSpaceDN w:val="0"/>
        <w:snapToGrid w:val="0"/>
        <w:spacing w:line="360" w:lineRule="auto"/>
        <w:jc w:val="center"/>
        <w:rPr>
          <w:rFonts w:ascii="仿宋_GB2312" w:hAnsi="仿宋" w:eastAsia="仿宋_GB2312"/>
          <w:b/>
          <w:bCs/>
          <w:color w:val="auto"/>
          <w:kern w:val="0"/>
          <w:sz w:val="44"/>
          <w:szCs w:val="44"/>
        </w:rPr>
      </w:pPr>
    </w:p>
    <w:p>
      <w:pPr>
        <w:autoSpaceDE w:val="0"/>
        <w:autoSpaceDN w:val="0"/>
        <w:snapToGrid w:val="0"/>
        <w:spacing w:line="480" w:lineRule="auto"/>
        <w:ind w:firstLine="2100" w:firstLineChars="750"/>
        <w:jc w:val="left"/>
        <w:rPr>
          <w:rFonts w:hint="eastAsia" w:ascii="黑体" w:hAnsi="黑体" w:eastAsia="黑体" w:cs="黑体"/>
          <w:color w:val="auto"/>
          <w:kern w:val="0"/>
          <w:sz w:val="28"/>
          <w:szCs w:val="28"/>
          <w:lang w:eastAsia="zh-CN"/>
        </w:rPr>
      </w:pPr>
      <w:r>
        <w:rPr>
          <w:rFonts w:hint="eastAsia" w:ascii="黑体" w:hAnsi="黑体" w:eastAsia="黑体" w:cs="黑体"/>
          <w:color w:val="auto"/>
          <w:kern w:val="0"/>
          <w:sz w:val="28"/>
          <w:szCs w:val="28"/>
        </w:rPr>
        <w:t>采 购 人：</w:t>
      </w:r>
      <w:r>
        <w:rPr>
          <w:rFonts w:hint="eastAsia" w:ascii="黑体" w:hAnsi="黑体" w:eastAsia="黑体" w:cs="黑体"/>
          <w:color w:val="auto"/>
          <w:kern w:val="0"/>
          <w:sz w:val="28"/>
          <w:szCs w:val="28"/>
          <w:lang w:eastAsia="zh-CN"/>
        </w:rPr>
        <w:t>儋州市第二中学</w:t>
      </w:r>
    </w:p>
    <w:p>
      <w:pPr>
        <w:autoSpaceDE w:val="0"/>
        <w:autoSpaceDN w:val="0"/>
        <w:snapToGrid w:val="0"/>
        <w:spacing w:line="480" w:lineRule="auto"/>
        <w:ind w:firstLine="2100" w:firstLineChars="750"/>
        <w:jc w:val="left"/>
        <w:rPr>
          <w:rFonts w:hint="eastAsia" w:ascii="黑体" w:hAnsi="黑体" w:eastAsia="黑体" w:cs="黑体"/>
          <w:color w:val="auto"/>
          <w:kern w:val="0"/>
          <w:sz w:val="28"/>
          <w:szCs w:val="28"/>
          <w:lang w:eastAsia="zh-CN"/>
        </w:rPr>
      </w:pPr>
      <w:r>
        <w:rPr>
          <w:rFonts w:hint="eastAsia" w:ascii="黑体" w:hAnsi="黑体" w:eastAsia="黑体" w:cs="黑体"/>
          <w:color w:val="auto"/>
          <w:kern w:val="0"/>
          <w:sz w:val="28"/>
          <w:szCs w:val="28"/>
        </w:rPr>
        <w:t>采购代理：</w:t>
      </w:r>
      <w:r>
        <w:rPr>
          <w:rFonts w:hint="eastAsia" w:ascii="黑体" w:hAnsi="黑体" w:eastAsia="黑体" w:cs="黑体"/>
          <w:color w:val="auto"/>
          <w:kern w:val="0"/>
          <w:sz w:val="28"/>
          <w:szCs w:val="28"/>
          <w:lang w:eastAsia="zh-CN"/>
        </w:rPr>
        <w:t>海南政鑫招标代理有限公司</w:t>
      </w:r>
    </w:p>
    <w:p>
      <w:pPr>
        <w:autoSpaceDE w:val="0"/>
        <w:autoSpaceDN w:val="0"/>
        <w:snapToGrid w:val="0"/>
        <w:jc w:val="center"/>
        <w:rPr>
          <w:rFonts w:ascii="黑体" w:hAnsi="黑体" w:eastAsia="黑体" w:cs="黑体"/>
          <w:color w:val="auto"/>
          <w:kern w:val="0"/>
          <w:sz w:val="72"/>
          <w:szCs w:val="72"/>
          <w:lang w:val="zh-CN"/>
        </w:rPr>
      </w:pPr>
      <w:r>
        <w:rPr>
          <w:rFonts w:hint="eastAsia" w:ascii="黑体" w:hAnsi="黑体" w:eastAsia="黑体" w:cs="黑体"/>
          <w:color w:val="auto"/>
          <w:kern w:val="0"/>
          <w:sz w:val="28"/>
          <w:szCs w:val="28"/>
        </w:rPr>
        <w:t>2022年</w:t>
      </w:r>
      <w:r>
        <w:rPr>
          <w:rFonts w:ascii="黑体" w:hAnsi="黑体" w:eastAsia="黑体" w:cs="黑体"/>
          <w:color w:val="auto"/>
          <w:kern w:val="0"/>
          <w:sz w:val="28"/>
          <w:szCs w:val="28"/>
        </w:rPr>
        <w:t>0</w:t>
      </w:r>
      <w:r>
        <w:rPr>
          <w:rFonts w:hint="eastAsia" w:ascii="黑体" w:hAnsi="黑体" w:eastAsia="黑体" w:cs="黑体"/>
          <w:color w:val="auto"/>
          <w:kern w:val="0"/>
          <w:sz w:val="28"/>
          <w:szCs w:val="28"/>
          <w:lang w:val="en-US" w:eastAsia="zh-CN"/>
        </w:rPr>
        <w:t>6</w:t>
      </w:r>
      <w:r>
        <w:rPr>
          <w:rFonts w:hint="eastAsia" w:ascii="黑体" w:hAnsi="黑体" w:eastAsia="黑体" w:cs="黑体"/>
          <w:color w:val="auto"/>
          <w:kern w:val="0"/>
          <w:sz w:val="28"/>
          <w:szCs w:val="28"/>
        </w:rPr>
        <w:t>月</w:t>
      </w:r>
      <w:r>
        <w:rPr>
          <w:rFonts w:ascii="黑体" w:hAnsi="黑体" w:eastAsia="黑体" w:cs="黑体"/>
          <w:color w:val="auto"/>
          <w:kern w:val="0"/>
          <w:sz w:val="28"/>
          <w:szCs w:val="28"/>
          <w:lang w:val="zh-CN"/>
        </w:rPr>
        <w:br w:type="page"/>
      </w:r>
    </w:p>
    <w:p>
      <w:pPr>
        <w:widowControl/>
        <w:jc w:val="center"/>
        <w:textAlignment w:val="baseline"/>
        <w:rPr>
          <w:rStyle w:val="43"/>
          <w:rFonts w:ascii="宋体" w:hAnsi="宋体" w:cs="宋体"/>
          <w:color w:val="auto"/>
        </w:rPr>
        <w:sectPr>
          <w:headerReference r:id="rId4" w:type="first"/>
          <w:headerReference r:id="rId3" w:type="default"/>
          <w:footerReference r:id="rId5" w:type="default"/>
          <w:footerReference r:id="rId6" w:type="even"/>
          <w:pgSz w:w="11906" w:h="16838"/>
          <w:pgMar w:top="1417" w:right="1417" w:bottom="1417" w:left="1417" w:header="851" w:footer="992" w:gutter="0"/>
          <w:cols w:space="720" w:num="1"/>
          <w:titlePg/>
          <w:docGrid w:type="lines" w:linePitch="312" w:charSpace="0"/>
        </w:sectPr>
      </w:pPr>
    </w:p>
    <w:p>
      <w:pPr>
        <w:pStyle w:val="27"/>
        <w:jc w:val="center"/>
        <w:rPr>
          <w:rFonts w:ascii="黑体" w:hAnsi="黑体" w:eastAsia="黑体" w:cs="黑体"/>
          <w:b/>
          <w:bCs/>
          <w:color w:val="auto"/>
          <w:kern w:val="2"/>
          <w:sz w:val="44"/>
          <w:szCs w:val="44"/>
          <w:lang w:val="zh-CN"/>
        </w:rPr>
      </w:pPr>
      <w:r>
        <w:rPr>
          <w:rFonts w:hint="eastAsia" w:ascii="黑体" w:hAnsi="黑体" w:eastAsia="黑体" w:cs="黑体"/>
          <w:b/>
          <w:bCs/>
          <w:color w:val="auto"/>
          <w:kern w:val="2"/>
          <w:sz w:val="44"/>
          <w:szCs w:val="44"/>
          <w:lang w:val="zh-CN"/>
        </w:rPr>
        <w:t>目</w:t>
      </w:r>
      <w:r>
        <w:rPr>
          <w:rFonts w:hint="eastAsia" w:ascii="黑体" w:hAnsi="黑体" w:eastAsia="黑体" w:cs="黑体"/>
          <w:b/>
          <w:bCs/>
          <w:color w:val="auto"/>
          <w:kern w:val="2"/>
          <w:sz w:val="44"/>
          <w:szCs w:val="44"/>
          <w:lang w:val="en-US" w:eastAsia="zh-CN"/>
        </w:rPr>
        <w:t xml:space="preserve">  </w:t>
      </w:r>
      <w:r>
        <w:rPr>
          <w:rFonts w:hint="eastAsia" w:ascii="黑体" w:hAnsi="黑体" w:eastAsia="黑体" w:cs="黑体"/>
          <w:b/>
          <w:bCs/>
          <w:color w:val="auto"/>
          <w:kern w:val="2"/>
          <w:sz w:val="44"/>
          <w:szCs w:val="44"/>
          <w:lang w:val="zh-CN"/>
        </w:rPr>
        <w:t>录</w:t>
      </w:r>
    </w:p>
    <w:p>
      <w:pPr>
        <w:tabs>
          <w:tab w:val="left" w:leader="dot" w:pos="8400"/>
        </w:tabs>
        <w:spacing w:line="480" w:lineRule="auto"/>
        <w:jc w:val="left"/>
        <w:rPr>
          <w:rFonts w:ascii="黑体" w:hAnsi="黑体" w:eastAsia="黑体" w:cs="黑体"/>
          <w:color w:val="auto"/>
          <w:sz w:val="32"/>
          <w:szCs w:val="32"/>
        </w:rPr>
      </w:pPr>
      <w:r>
        <w:rPr>
          <w:rFonts w:hint="eastAsia" w:ascii="黑体" w:hAnsi="黑体" w:eastAsia="黑体" w:cs="黑体"/>
          <w:color w:val="auto"/>
          <w:sz w:val="32"/>
          <w:szCs w:val="32"/>
        </w:rPr>
        <w:t>第一章  竞争性磋商公告</w:t>
      </w:r>
      <w:r>
        <w:rPr>
          <w:rFonts w:hint="eastAsia" w:ascii="黑体" w:hAnsi="黑体" w:eastAsia="黑体" w:cs="黑体"/>
          <w:color w:val="auto"/>
          <w:sz w:val="32"/>
          <w:szCs w:val="32"/>
        </w:rPr>
        <w:tab/>
      </w:r>
    </w:p>
    <w:p>
      <w:pPr>
        <w:tabs>
          <w:tab w:val="left" w:leader="dot" w:pos="8400"/>
        </w:tabs>
        <w:spacing w:line="480" w:lineRule="auto"/>
        <w:ind w:right="31" w:rightChars="15"/>
        <w:jc w:val="left"/>
        <w:rPr>
          <w:rFonts w:ascii="黑体" w:hAnsi="黑体" w:eastAsia="黑体" w:cs="黑体"/>
          <w:color w:val="auto"/>
          <w:sz w:val="32"/>
          <w:szCs w:val="32"/>
        </w:rPr>
      </w:pPr>
      <w:r>
        <w:rPr>
          <w:rFonts w:hint="eastAsia" w:ascii="黑体" w:hAnsi="黑体" w:eastAsia="黑体" w:cs="黑体"/>
          <w:color w:val="auto"/>
          <w:sz w:val="32"/>
          <w:szCs w:val="32"/>
        </w:rPr>
        <w:t>第二章  供应商须知</w:t>
      </w:r>
      <w:r>
        <w:rPr>
          <w:rFonts w:hint="eastAsia" w:ascii="黑体" w:hAnsi="黑体" w:eastAsia="黑体" w:cs="黑体"/>
          <w:color w:val="auto"/>
          <w:sz w:val="32"/>
          <w:szCs w:val="32"/>
        </w:rPr>
        <w:tab/>
      </w:r>
    </w:p>
    <w:p>
      <w:pPr>
        <w:tabs>
          <w:tab w:val="left" w:leader="dot" w:pos="8400"/>
        </w:tabs>
        <w:spacing w:line="480" w:lineRule="auto"/>
        <w:ind w:right="31" w:rightChars="15"/>
        <w:jc w:val="left"/>
        <w:rPr>
          <w:rFonts w:ascii="黑体" w:hAnsi="黑体" w:eastAsia="黑体" w:cs="黑体"/>
          <w:color w:val="auto"/>
          <w:sz w:val="32"/>
          <w:szCs w:val="32"/>
        </w:rPr>
      </w:pPr>
      <w:r>
        <w:rPr>
          <w:rFonts w:hint="eastAsia" w:ascii="黑体" w:hAnsi="黑体" w:eastAsia="黑体" w:cs="黑体"/>
          <w:color w:val="auto"/>
          <w:sz w:val="32"/>
          <w:szCs w:val="32"/>
        </w:rPr>
        <w:t>第三章  评审办法及标准</w:t>
      </w:r>
      <w:r>
        <w:rPr>
          <w:rFonts w:hint="eastAsia" w:ascii="黑体" w:hAnsi="黑体" w:eastAsia="黑体" w:cs="黑体"/>
          <w:color w:val="auto"/>
          <w:sz w:val="32"/>
          <w:szCs w:val="32"/>
        </w:rPr>
        <w:tab/>
      </w:r>
    </w:p>
    <w:p>
      <w:pPr>
        <w:tabs>
          <w:tab w:val="left" w:leader="dot" w:pos="8400"/>
        </w:tabs>
        <w:spacing w:line="480" w:lineRule="auto"/>
        <w:ind w:right="31" w:rightChars="15"/>
        <w:jc w:val="left"/>
        <w:rPr>
          <w:rFonts w:ascii="黑体" w:hAnsi="黑体" w:eastAsia="黑体" w:cs="黑体"/>
          <w:color w:val="auto"/>
          <w:sz w:val="32"/>
          <w:szCs w:val="32"/>
        </w:rPr>
      </w:pPr>
      <w:r>
        <w:rPr>
          <w:rFonts w:hint="eastAsia" w:ascii="黑体" w:hAnsi="黑体" w:eastAsia="黑体" w:cs="黑体"/>
          <w:color w:val="auto"/>
          <w:sz w:val="32"/>
          <w:szCs w:val="32"/>
        </w:rPr>
        <w:t>第四章  工程量清单及图纸</w:t>
      </w:r>
      <w:r>
        <w:rPr>
          <w:rFonts w:hint="eastAsia" w:ascii="黑体" w:hAnsi="黑体" w:eastAsia="黑体" w:cs="黑体"/>
          <w:color w:val="auto"/>
          <w:sz w:val="28"/>
          <w:szCs w:val="28"/>
        </w:rPr>
        <w:tab/>
      </w:r>
    </w:p>
    <w:p>
      <w:pPr>
        <w:tabs>
          <w:tab w:val="left" w:leader="dot" w:pos="8400"/>
        </w:tabs>
        <w:spacing w:line="480" w:lineRule="auto"/>
        <w:ind w:right="31" w:rightChars="15"/>
        <w:jc w:val="left"/>
        <w:rPr>
          <w:rFonts w:ascii="黑体" w:hAnsi="黑体" w:eastAsia="黑体" w:cs="黑体"/>
          <w:color w:val="auto"/>
          <w:kern w:val="0"/>
          <w:sz w:val="32"/>
          <w:szCs w:val="32"/>
        </w:rPr>
      </w:pPr>
      <w:r>
        <w:rPr>
          <w:rFonts w:hint="eastAsia" w:ascii="黑体" w:hAnsi="黑体" w:eastAsia="黑体" w:cs="黑体"/>
          <w:color w:val="auto"/>
          <w:sz w:val="32"/>
          <w:szCs w:val="32"/>
        </w:rPr>
        <w:t>第五章  合同条款及格式</w:t>
      </w:r>
      <w:r>
        <w:rPr>
          <w:rFonts w:hint="eastAsia" w:ascii="黑体" w:hAnsi="黑体" w:eastAsia="黑体" w:cs="黑体"/>
          <w:color w:val="auto"/>
          <w:kern w:val="0"/>
          <w:sz w:val="32"/>
          <w:szCs w:val="32"/>
        </w:rPr>
        <w:tab/>
      </w:r>
    </w:p>
    <w:p>
      <w:pPr>
        <w:tabs>
          <w:tab w:val="left" w:leader="dot" w:pos="8400"/>
        </w:tabs>
        <w:spacing w:line="480" w:lineRule="auto"/>
        <w:ind w:right="31" w:rightChars="15"/>
        <w:jc w:val="left"/>
        <w:rPr>
          <w:rFonts w:ascii="黑体" w:hAnsi="黑体" w:eastAsia="黑体" w:cs="黑体"/>
          <w:color w:val="auto"/>
          <w:sz w:val="32"/>
          <w:szCs w:val="32"/>
        </w:rPr>
      </w:pPr>
      <w:r>
        <w:rPr>
          <w:rFonts w:hint="eastAsia" w:ascii="黑体" w:hAnsi="黑体" w:eastAsia="黑体" w:cs="黑体"/>
          <w:color w:val="auto"/>
          <w:sz w:val="32"/>
          <w:szCs w:val="32"/>
        </w:rPr>
        <w:t>第六章  磋商响应文件格式</w:t>
      </w:r>
      <w:r>
        <w:rPr>
          <w:rFonts w:hint="eastAsia" w:ascii="黑体" w:hAnsi="黑体" w:eastAsia="黑体" w:cs="黑体"/>
          <w:color w:val="auto"/>
          <w:sz w:val="28"/>
          <w:szCs w:val="28"/>
        </w:rPr>
        <w:tab/>
      </w:r>
    </w:p>
    <w:p>
      <w:pPr>
        <w:rPr>
          <w:color w:val="auto"/>
          <w:lang w:val="zh-CN"/>
        </w:rPr>
      </w:pPr>
    </w:p>
    <w:p>
      <w:pPr>
        <w:jc w:val="center"/>
        <w:rPr>
          <w:color w:val="auto"/>
        </w:rPr>
      </w:pPr>
    </w:p>
    <w:p>
      <w:pPr>
        <w:pStyle w:val="4"/>
        <w:rPr>
          <w:color w:val="auto"/>
        </w:rPr>
      </w:pPr>
    </w:p>
    <w:p>
      <w:pPr>
        <w:rPr>
          <w:color w:val="auto"/>
        </w:rPr>
      </w:pPr>
    </w:p>
    <w:p>
      <w:pPr>
        <w:spacing w:before="250" w:beforeLines="50" w:after="250" w:afterLines="50" w:line="360" w:lineRule="auto"/>
        <w:jc w:val="center"/>
        <w:outlineLvl w:val="0"/>
        <w:rPr>
          <w:rStyle w:val="28"/>
          <w:rFonts w:ascii="黑体" w:hAnsi="黑体" w:eastAsia="黑体" w:cs="黑体"/>
          <w:b/>
          <w:color w:val="auto"/>
          <w:sz w:val="44"/>
          <w:szCs w:val="44"/>
        </w:rPr>
        <w:sectPr>
          <w:headerReference r:id="rId7" w:type="default"/>
          <w:pgSz w:w="11906" w:h="16838"/>
          <w:pgMar w:top="1417" w:right="1417" w:bottom="1417" w:left="1417" w:header="851" w:footer="992" w:gutter="0"/>
          <w:cols w:space="0" w:num="1"/>
          <w:docGrid w:type="lines" w:linePitch="500" w:charSpace="0"/>
        </w:sectPr>
      </w:pPr>
      <w:bookmarkStart w:id="0" w:name="_Toc433126975"/>
    </w:p>
    <w:p>
      <w:pPr>
        <w:spacing w:before="156" w:beforeLines="50" w:after="156" w:afterLines="50" w:line="360" w:lineRule="auto"/>
        <w:jc w:val="center"/>
        <w:outlineLvl w:val="0"/>
        <w:rPr>
          <w:rStyle w:val="28"/>
          <w:rFonts w:ascii="黑体" w:hAnsi="黑体" w:eastAsia="黑体" w:cs="黑体"/>
          <w:b/>
          <w:color w:val="auto"/>
          <w:sz w:val="44"/>
          <w:szCs w:val="44"/>
        </w:rPr>
      </w:pPr>
      <w:r>
        <w:rPr>
          <w:rStyle w:val="28"/>
          <w:rFonts w:hint="eastAsia" w:ascii="黑体" w:hAnsi="黑体" w:eastAsia="黑体" w:cs="黑体"/>
          <w:b/>
          <w:color w:val="auto"/>
          <w:sz w:val="44"/>
          <w:szCs w:val="44"/>
        </w:rPr>
        <w:t xml:space="preserve">第一章  </w:t>
      </w:r>
      <w:bookmarkEnd w:id="0"/>
      <w:r>
        <w:rPr>
          <w:rStyle w:val="28"/>
          <w:rFonts w:hint="eastAsia" w:ascii="黑体" w:hAnsi="黑体" w:eastAsia="黑体" w:cs="黑体"/>
          <w:b/>
          <w:color w:val="auto"/>
          <w:sz w:val="44"/>
          <w:szCs w:val="44"/>
        </w:rPr>
        <w:t>竞争性磋商公告</w:t>
      </w:r>
    </w:p>
    <w:p>
      <w:pPr>
        <w:pageBreakBefore w:val="0"/>
        <w:widowControl w:val="0"/>
        <w:kinsoku/>
        <w:wordWrap/>
        <w:overflowPunct/>
        <w:topLinePunct w:val="0"/>
        <w:autoSpaceDE/>
        <w:autoSpaceDN/>
        <w:bidi w:val="0"/>
        <w:adjustRightInd/>
        <w:spacing w:line="450" w:lineRule="exact"/>
        <w:textAlignment w:val="auto"/>
        <w:rPr>
          <w:rFonts w:ascii="宋体" w:hAnsi="宋体" w:cs="宋体"/>
          <w:b/>
          <w:color w:val="auto"/>
          <w:sz w:val="24"/>
        </w:rPr>
      </w:pPr>
      <w:r>
        <w:rPr>
          <w:rFonts w:hint="eastAsia" w:ascii="宋体" w:hAnsi="宋体" w:cs="宋体"/>
          <w:b/>
          <w:color w:val="auto"/>
          <w:sz w:val="24"/>
        </w:rPr>
        <w:t>项目概况</w:t>
      </w:r>
      <w:r>
        <w:rPr>
          <w:rFonts w:hint="eastAsia" w:ascii="宋体" w:hAnsi="宋体" w:cs="宋体"/>
          <w:b/>
          <w:color w:val="auto"/>
          <w:sz w:val="24"/>
        </w:rPr>
        <w:tab/>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b/>
          <w:color w:val="auto"/>
          <w:sz w:val="24"/>
        </w:rPr>
      </w:pPr>
      <w:r>
        <w:rPr>
          <w:rFonts w:hint="eastAsia" w:ascii="宋体" w:hAnsi="宋体" w:cs="宋体"/>
          <w:bCs/>
          <w:color w:val="auto"/>
          <w:sz w:val="24"/>
          <w:u w:val="single"/>
          <w:lang w:eastAsia="zh-CN"/>
        </w:rPr>
        <w:t>儋州市第二中学多功能报告厅及开放式书吧改造工程</w:t>
      </w:r>
      <w:r>
        <w:rPr>
          <w:rFonts w:hint="eastAsia" w:ascii="宋体" w:hAnsi="宋体" w:cs="宋体"/>
          <w:bCs/>
          <w:color w:val="auto"/>
          <w:sz w:val="24"/>
        </w:rPr>
        <w:t>采购项目的潜在供应商应在</w:t>
      </w:r>
      <w:r>
        <w:rPr>
          <w:rFonts w:hint="eastAsia" w:ascii="宋体" w:hAnsi="宋体" w:cs="宋体"/>
          <w:bCs/>
          <w:color w:val="auto"/>
          <w:sz w:val="24"/>
          <w:u w:val="single"/>
        </w:rPr>
        <w:t>海南政府采购网（www.ccgp-hainan.gov.cn）-海南省政府采购电子化交易管理系统（新）</w:t>
      </w:r>
      <w:r>
        <w:rPr>
          <w:rFonts w:hint="eastAsia" w:ascii="宋体" w:hAnsi="宋体" w:cs="宋体"/>
          <w:bCs/>
          <w:color w:val="auto"/>
          <w:sz w:val="24"/>
        </w:rPr>
        <w:t>获取采购文件，并于</w:t>
      </w:r>
      <w:r>
        <w:rPr>
          <w:rFonts w:hint="eastAsia" w:ascii="宋体" w:hAnsi="宋体" w:cs="宋体"/>
          <w:bCs/>
          <w:color w:val="auto"/>
          <w:sz w:val="24"/>
          <w:u w:val="single"/>
        </w:rPr>
        <w:t>2022年</w:t>
      </w:r>
      <w:r>
        <w:rPr>
          <w:rFonts w:hint="eastAsia" w:ascii="宋体" w:hAnsi="宋体" w:cs="宋体"/>
          <w:bCs/>
          <w:color w:val="auto"/>
          <w:sz w:val="24"/>
          <w:u w:val="single"/>
          <w:lang w:val="en-US" w:eastAsia="zh-CN"/>
        </w:rPr>
        <w:t>6</w:t>
      </w:r>
      <w:r>
        <w:rPr>
          <w:rFonts w:hint="eastAsia" w:ascii="宋体" w:hAnsi="宋体" w:cs="宋体"/>
          <w:bCs/>
          <w:color w:val="auto"/>
          <w:sz w:val="24"/>
          <w:u w:val="single"/>
        </w:rPr>
        <w:t>月</w:t>
      </w:r>
      <w:r>
        <w:rPr>
          <w:rFonts w:hint="eastAsia" w:ascii="宋体" w:hAnsi="宋体" w:cs="宋体"/>
          <w:bCs/>
          <w:color w:val="auto"/>
          <w:sz w:val="24"/>
          <w:u w:val="single"/>
          <w:lang w:val="en-US" w:eastAsia="zh-CN"/>
        </w:rPr>
        <w:t>28</w:t>
      </w:r>
      <w:r>
        <w:rPr>
          <w:rFonts w:hint="eastAsia" w:ascii="宋体" w:hAnsi="宋体" w:cs="宋体"/>
          <w:bCs/>
          <w:color w:val="auto"/>
          <w:sz w:val="24"/>
          <w:u w:val="single"/>
        </w:rPr>
        <w:t>日</w:t>
      </w:r>
      <w:r>
        <w:rPr>
          <w:rFonts w:hint="eastAsia" w:ascii="宋体" w:hAnsi="宋体" w:cs="宋体"/>
          <w:bCs/>
          <w:color w:val="auto"/>
          <w:sz w:val="24"/>
          <w:u w:val="single"/>
          <w:lang w:val="en-US" w:eastAsia="zh-CN"/>
        </w:rPr>
        <w:t>10</w:t>
      </w:r>
      <w:r>
        <w:rPr>
          <w:rFonts w:hint="eastAsia" w:ascii="宋体" w:hAnsi="宋体" w:cs="宋体"/>
          <w:bCs/>
          <w:color w:val="auto"/>
          <w:sz w:val="24"/>
          <w:u w:val="single"/>
        </w:rPr>
        <w:t>:</w:t>
      </w:r>
      <w:r>
        <w:rPr>
          <w:rFonts w:hint="eastAsia" w:ascii="宋体" w:hAnsi="宋体" w:cs="宋体"/>
          <w:bCs/>
          <w:color w:val="auto"/>
          <w:sz w:val="24"/>
          <w:u w:val="single"/>
          <w:lang w:val="en-US" w:eastAsia="zh-CN"/>
        </w:rPr>
        <w:t>3</w:t>
      </w:r>
      <w:r>
        <w:rPr>
          <w:rFonts w:hint="eastAsia" w:ascii="宋体" w:hAnsi="宋体" w:cs="宋体"/>
          <w:bCs/>
          <w:color w:val="auto"/>
          <w:sz w:val="24"/>
          <w:u w:val="single"/>
        </w:rPr>
        <w:t>0分（北京时间）</w:t>
      </w:r>
      <w:r>
        <w:rPr>
          <w:rFonts w:hint="eastAsia" w:ascii="宋体" w:hAnsi="宋体" w:cs="宋体"/>
          <w:bCs/>
          <w:color w:val="auto"/>
          <w:sz w:val="24"/>
        </w:rPr>
        <w:t>前提交响应文件。</w:t>
      </w:r>
    </w:p>
    <w:p>
      <w:pPr>
        <w:pageBreakBefore w:val="0"/>
        <w:widowControl w:val="0"/>
        <w:kinsoku/>
        <w:wordWrap/>
        <w:overflowPunct/>
        <w:topLinePunct w:val="0"/>
        <w:autoSpaceDE/>
        <w:autoSpaceDN/>
        <w:bidi w:val="0"/>
        <w:adjustRightInd/>
        <w:spacing w:line="450" w:lineRule="exact"/>
        <w:textAlignment w:val="auto"/>
        <w:rPr>
          <w:rFonts w:ascii="宋体" w:hAnsi="宋体" w:cs="宋体"/>
          <w:b/>
          <w:color w:val="auto"/>
          <w:sz w:val="24"/>
        </w:rPr>
      </w:pPr>
      <w:r>
        <w:rPr>
          <w:rFonts w:hint="eastAsia" w:ascii="宋体" w:hAnsi="宋体" w:cs="宋体"/>
          <w:b/>
          <w:color w:val="auto"/>
          <w:sz w:val="24"/>
        </w:rPr>
        <w:t>一、项目基本情况：</w:t>
      </w:r>
    </w:p>
    <w:p>
      <w:pPr>
        <w:pageBreakBefore w:val="0"/>
        <w:widowControl w:val="0"/>
        <w:kinsoku/>
        <w:wordWrap/>
        <w:overflowPunct/>
        <w:topLinePunct w:val="0"/>
        <w:autoSpaceDE/>
        <w:autoSpaceDN/>
        <w:bidi w:val="0"/>
        <w:adjustRightInd/>
        <w:spacing w:line="450" w:lineRule="exact"/>
        <w:ind w:firstLine="480" w:firstLineChars="200"/>
        <w:textAlignment w:val="auto"/>
        <w:rPr>
          <w:rFonts w:hint="eastAsia" w:ascii="宋体" w:hAnsi="宋体" w:eastAsia="宋体" w:cs="宋体"/>
          <w:color w:val="auto"/>
          <w:sz w:val="24"/>
          <w:lang w:eastAsia="zh-CN"/>
        </w:rPr>
      </w:pPr>
      <w:r>
        <w:rPr>
          <w:rFonts w:hint="eastAsia" w:ascii="宋体" w:hAnsi="宋体" w:cs="宋体"/>
          <w:color w:val="auto"/>
          <w:sz w:val="24"/>
        </w:rPr>
        <w:t>1.项目编号：</w:t>
      </w:r>
      <w:r>
        <w:rPr>
          <w:rFonts w:hint="eastAsia" w:ascii="宋体" w:hAnsi="宋体" w:cs="宋体"/>
          <w:color w:val="auto"/>
          <w:sz w:val="24"/>
          <w:lang w:eastAsia="zh-CN"/>
        </w:rPr>
        <w:t>ZX2022-047</w:t>
      </w:r>
    </w:p>
    <w:p>
      <w:pPr>
        <w:pageBreakBefore w:val="0"/>
        <w:widowControl w:val="0"/>
        <w:kinsoku/>
        <w:wordWrap/>
        <w:overflowPunct/>
        <w:topLinePunct w:val="0"/>
        <w:autoSpaceDE/>
        <w:autoSpaceDN/>
        <w:bidi w:val="0"/>
        <w:adjustRightInd/>
        <w:spacing w:line="450" w:lineRule="exact"/>
        <w:ind w:firstLine="480" w:firstLineChars="200"/>
        <w:textAlignment w:val="auto"/>
        <w:rPr>
          <w:rFonts w:hint="eastAsia" w:ascii="宋体" w:hAnsi="宋体" w:eastAsia="宋体" w:cs="宋体"/>
          <w:color w:val="auto"/>
          <w:sz w:val="24"/>
          <w:lang w:eastAsia="zh-CN"/>
        </w:rPr>
      </w:pPr>
      <w:r>
        <w:rPr>
          <w:rFonts w:hint="eastAsia" w:ascii="宋体" w:hAnsi="宋体" w:cs="宋体"/>
          <w:color w:val="auto"/>
          <w:sz w:val="24"/>
        </w:rPr>
        <w:t>2.项目名称：</w:t>
      </w:r>
      <w:r>
        <w:rPr>
          <w:rFonts w:hint="eastAsia" w:ascii="宋体" w:hAnsi="宋体" w:cs="宋体"/>
          <w:color w:val="auto"/>
          <w:sz w:val="24"/>
          <w:lang w:eastAsia="zh-CN"/>
        </w:rPr>
        <w:t>儋州市第二中学多功能报告厅及开放式书吧改造工程</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color w:val="auto"/>
          <w:sz w:val="24"/>
        </w:rPr>
      </w:pPr>
      <w:r>
        <w:rPr>
          <w:rFonts w:hint="eastAsia" w:ascii="宋体" w:hAnsi="宋体" w:cs="宋体"/>
          <w:color w:val="auto"/>
          <w:sz w:val="24"/>
        </w:rPr>
        <w:t>3.采购方式：竞争性磋商</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color w:val="auto"/>
          <w:sz w:val="24"/>
        </w:rPr>
      </w:pPr>
      <w:r>
        <w:rPr>
          <w:rFonts w:hint="eastAsia" w:ascii="宋体" w:hAnsi="宋体" w:cs="宋体"/>
          <w:color w:val="auto"/>
          <w:sz w:val="24"/>
        </w:rPr>
        <w:t>4.采购预算：</w:t>
      </w:r>
      <w:r>
        <w:rPr>
          <w:rFonts w:hint="eastAsia" w:ascii="宋体" w:hAnsi="宋体" w:cs="宋体"/>
          <w:color w:val="auto"/>
          <w:sz w:val="24"/>
          <w:lang w:eastAsia="zh-CN"/>
        </w:rPr>
        <w:t>3957543.9</w:t>
      </w:r>
      <w:r>
        <w:rPr>
          <w:rFonts w:hint="eastAsia" w:ascii="宋体" w:hAnsi="宋体" w:cs="宋体"/>
          <w:color w:val="auto"/>
          <w:sz w:val="24"/>
        </w:rPr>
        <w:t>元</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color w:val="auto"/>
          <w:sz w:val="24"/>
        </w:rPr>
      </w:pPr>
      <w:r>
        <w:rPr>
          <w:rFonts w:hint="eastAsia" w:ascii="宋体" w:hAnsi="宋体" w:cs="宋体"/>
          <w:color w:val="auto"/>
          <w:sz w:val="24"/>
        </w:rPr>
        <w:t>5.最高限价：</w:t>
      </w:r>
      <w:r>
        <w:rPr>
          <w:rFonts w:hint="eastAsia" w:ascii="宋体" w:hAnsi="宋体" w:cs="宋体"/>
          <w:color w:val="auto"/>
          <w:sz w:val="24"/>
          <w:lang w:eastAsia="zh-CN"/>
        </w:rPr>
        <w:t>3593448.83</w:t>
      </w:r>
      <w:r>
        <w:rPr>
          <w:rFonts w:hint="eastAsia" w:ascii="宋体" w:hAnsi="宋体" w:cs="宋体"/>
          <w:color w:val="auto"/>
          <w:sz w:val="24"/>
        </w:rPr>
        <w:t>元（招标控制价）</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color w:val="auto"/>
          <w:sz w:val="24"/>
        </w:rPr>
      </w:pPr>
      <w:r>
        <w:rPr>
          <w:rFonts w:hint="eastAsia" w:ascii="宋体" w:hAnsi="宋体" w:cs="宋体"/>
          <w:color w:val="auto"/>
          <w:sz w:val="24"/>
        </w:rPr>
        <w:t>6.采购需求：</w:t>
      </w:r>
    </w:p>
    <w:p>
      <w:pPr>
        <w:pageBreakBefore w:val="0"/>
        <w:widowControl w:val="0"/>
        <w:kinsoku/>
        <w:wordWrap/>
        <w:overflowPunct/>
        <w:topLinePunct w:val="0"/>
        <w:autoSpaceDE/>
        <w:autoSpaceDN/>
        <w:bidi w:val="0"/>
        <w:adjustRightInd/>
        <w:spacing w:line="450" w:lineRule="exact"/>
        <w:ind w:firstLine="480" w:firstLineChars="200"/>
        <w:textAlignment w:val="auto"/>
        <w:rPr>
          <w:color w:val="auto"/>
        </w:rPr>
      </w:pPr>
      <w:r>
        <w:rPr>
          <w:rFonts w:hint="eastAsia" w:ascii="宋体" w:hAnsi="宋体" w:cs="宋体"/>
          <w:color w:val="auto"/>
          <w:sz w:val="24"/>
        </w:rPr>
        <w:t>（1）项目建设地点：儋州市第二中学。</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color w:val="auto"/>
          <w:sz w:val="24"/>
        </w:rPr>
      </w:pPr>
      <w:r>
        <w:rPr>
          <w:rFonts w:hint="eastAsia" w:ascii="宋体" w:hAnsi="宋体" w:cs="宋体"/>
          <w:color w:val="auto"/>
          <w:sz w:val="24"/>
        </w:rPr>
        <w:t>（2）项目建设内容：</w:t>
      </w:r>
      <w:r>
        <w:rPr>
          <w:rFonts w:hint="eastAsia" w:ascii="宋体" w:hAnsi="宋体" w:cs="宋体"/>
          <w:color w:val="auto"/>
          <w:sz w:val="24"/>
          <w:lang w:val="en-US" w:eastAsia="zh-CN"/>
        </w:rPr>
        <w:t>室内</w:t>
      </w:r>
      <w:r>
        <w:rPr>
          <w:rFonts w:hint="eastAsia" w:ascii="宋体" w:hAnsi="宋体" w:cs="宋体"/>
          <w:color w:val="auto"/>
          <w:sz w:val="24"/>
        </w:rPr>
        <w:t>装饰</w:t>
      </w:r>
      <w:r>
        <w:rPr>
          <w:rFonts w:hint="eastAsia" w:ascii="宋体" w:hAnsi="宋体" w:cs="宋体"/>
          <w:color w:val="auto"/>
          <w:sz w:val="24"/>
          <w:lang w:eastAsia="zh-CN"/>
        </w:rPr>
        <w:t>、</w:t>
      </w:r>
      <w:r>
        <w:rPr>
          <w:rFonts w:hint="eastAsia" w:ascii="宋体" w:hAnsi="宋体" w:cs="宋体"/>
          <w:color w:val="auto"/>
          <w:sz w:val="24"/>
          <w:lang w:val="en-US" w:eastAsia="zh-CN"/>
        </w:rPr>
        <w:t>电气安装等</w:t>
      </w:r>
      <w:r>
        <w:rPr>
          <w:rFonts w:hint="eastAsia" w:ascii="宋体" w:hAnsi="宋体" w:cs="宋体"/>
          <w:color w:val="auto"/>
          <w:sz w:val="24"/>
        </w:rPr>
        <w:t>工程。</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color w:val="auto"/>
          <w:sz w:val="24"/>
        </w:rPr>
      </w:pPr>
      <w:r>
        <w:rPr>
          <w:rFonts w:hint="eastAsia" w:ascii="宋体" w:hAnsi="宋体" w:cs="宋体"/>
          <w:color w:val="auto"/>
          <w:sz w:val="24"/>
        </w:rPr>
        <w:t>（3）招标范围：</w:t>
      </w:r>
      <w:r>
        <w:rPr>
          <w:rFonts w:hint="eastAsia" w:ascii="宋体" w:hAnsi="宋体" w:cs="宋体"/>
          <w:color w:val="auto"/>
          <w:sz w:val="24"/>
          <w:lang w:val="en-US" w:eastAsia="zh-CN"/>
        </w:rPr>
        <w:t>室内</w:t>
      </w:r>
      <w:r>
        <w:rPr>
          <w:rFonts w:hint="eastAsia" w:ascii="宋体" w:hAnsi="宋体" w:cs="宋体"/>
          <w:color w:val="auto"/>
          <w:sz w:val="24"/>
        </w:rPr>
        <w:t>装饰</w:t>
      </w:r>
      <w:r>
        <w:rPr>
          <w:rFonts w:hint="eastAsia" w:ascii="宋体" w:hAnsi="宋体" w:cs="宋体"/>
          <w:color w:val="auto"/>
          <w:sz w:val="24"/>
          <w:lang w:eastAsia="zh-CN"/>
        </w:rPr>
        <w:t>、</w:t>
      </w:r>
      <w:r>
        <w:rPr>
          <w:rFonts w:hint="eastAsia" w:ascii="宋体" w:hAnsi="宋体" w:cs="宋体"/>
          <w:color w:val="auto"/>
          <w:sz w:val="24"/>
          <w:lang w:val="en-US" w:eastAsia="zh-CN"/>
        </w:rPr>
        <w:t>电气安装等</w:t>
      </w:r>
      <w:r>
        <w:rPr>
          <w:rFonts w:hint="eastAsia" w:ascii="宋体" w:hAnsi="宋体" w:cs="宋体"/>
          <w:color w:val="auto"/>
          <w:sz w:val="24"/>
        </w:rPr>
        <w:t>工程（具体内容详见工程量清单及施工图）。</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color w:val="auto"/>
          <w:sz w:val="24"/>
        </w:rPr>
      </w:pPr>
      <w:r>
        <w:rPr>
          <w:rFonts w:hint="eastAsia" w:ascii="宋体" w:hAnsi="宋体" w:cs="宋体"/>
          <w:color w:val="auto"/>
          <w:sz w:val="24"/>
        </w:rPr>
        <w:t>（4）质量要求：符合国家现行有关工程施工验收规范和标准要求的合格标准。</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color w:val="auto"/>
          <w:sz w:val="24"/>
        </w:rPr>
      </w:pPr>
      <w:r>
        <w:rPr>
          <w:rFonts w:hint="eastAsia" w:ascii="宋体" w:hAnsi="宋体" w:cs="宋体"/>
          <w:color w:val="auto"/>
          <w:sz w:val="24"/>
        </w:rPr>
        <w:t>7.合同履行期限：计划工期</w:t>
      </w:r>
      <w:r>
        <w:rPr>
          <w:rFonts w:ascii="宋体" w:hAnsi="宋体" w:cs="宋体"/>
          <w:color w:val="auto"/>
          <w:sz w:val="24"/>
        </w:rPr>
        <w:t>90日历天</w:t>
      </w:r>
      <w:r>
        <w:rPr>
          <w:rFonts w:hint="eastAsia" w:ascii="宋体" w:hAnsi="宋体" w:cs="宋体"/>
          <w:color w:val="auto"/>
          <w:sz w:val="24"/>
        </w:rPr>
        <w:t>。</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color w:val="auto"/>
          <w:sz w:val="24"/>
        </w:rPr>
      </w:pPr>
      <w:r>
        <w:rPr>
          <w:rFonts w:hint="eastAsia" w:ascii="宋体" w:hAnsi="宋体" w:cs="宋体"/>
          <w:color w:val="auto"/>
          <w:sz w:val="24"/>
        </w:rPr>
        <w:t>8.本项目不接受联合体投标。</w:t>
      </w:r>
    </w:p>
    <w:p>
      <w:pPr>
        <w:pageBreakBefore w:val="0"/>
        <w:widowControl w:val="0"/>
        <w:kinsoku/>
        <w:wordWrap/>
        <w:overflowPunct/>
        <w:topLinePunct w:val="0"/>
        <w:autoSpaceDE/>
        <w:autoSpaceDN/>
        <w:bidi w:val="0"/>
        <w:adjustRightInd/>
        <w:spacing w:line="450" w:lineRule="exact"/>
        <w:textAlignment w:val="auto"/>
        <w:rPr>
          <w:rFonts w:ascii="宋体" w:hAnsi="宋体" w:cs="宋体"/>
          <w:b/>
          <w:color w:val="auto"/>
          <w:sz w:val="24"/>
        </w:rPr>
      </w:pPr>
      <w:r>
        <w:rPr>
          <w:rFonts w:hint="eastAsia" w:ascii="宋体" w:hAnsi="宋体" w:cs="宋体"/>
          <w:b/>
          <w:color w:val="auto"/>
          <w:sz w:val="24"/>
        </w:rPr>
        <w:t>二、申请人的资格要求：</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bCs/>
          <w:color w:val="auto"/>
          <w:kern w:val="0"/>
          <w:sz w:val="24"/>
          <w:lang w:val="en-GB"/>
        </w:rPr>
      </w:pPr>
      <w:r>
        <w:rPr>
          <w:rFonts w:hint="eastAsia" w:ascii="宋体" w:hAnsi="宋体" w:cs="宋体"/>
          <w:bCs/>
          <w:color w:val="auto"/>
          <w:kern w:val="0"/>
          <w:sz w:val="24"/>
          <w:lang w:val="en-GB"/>
        </w:rPr>
        <w:t>1.满足《中华人民共和国政府采购法》第二十二条规定；</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bCs/>
          <w:color w:val="auto"/>
          <w:kern w:val="0"/>
          <w:sz w:val="24"/>
          <w:lang w:val="en-GB"/>
        </w:rPr>
      </w:pPr>
      <w:r>
        <w:rPr>
          <w:rFonts w:hint="eastAsia" w:ascii="宋体" w:hAnsi="宋体" w:cs="宋体"/>
          <w:bCs/>
          <w:color w:val="auto"/>
          <w:kern w:val="0"/>
          <w:sz w:val="24"/>
          <w:lang w:val="en-GB"/>
        </w:rPr>
        <w:t>2.</w:t>
      </w:r>
      <w:r>
        <w:rPr>
          <w:rFonts w:hint="eastAsia" w:ascii="宋体" w:hAnsi="宋体" w:cs="宋体"/>
          <w:color w:val="auto"/>
          <w:sz w:val="24"/>
        </w:rPr>
        <w:t>落实政府采购政策需满足的资格要求</w:t>
      </w:r>
      <w:r>
        <w:rPr>
          <w:rFonts w:hint="eastAsia" w:ascii="宋体" w:hAnsi="宋体" w:cs="宋体"/>
          <w:bCs/>
          <w:color w:val="auto"/>
          <w:kern w:val="0"/>
          <w:sz w:val="24"/>
          <w:lang w:val="en-GB"/>
        </w:rPr>
        <w:t>：无；</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bCs/>
          <w:color w:val="auto"/>
          <w:kern w:val="0"/>
          <w:sz w:val="24"/>
          <w:lang w:val="en-GB"/>
        </w:rPr>
      </w:pPr>
      <w:r>
        <w:rPr>
          <w:rFonts w:hint="eastAsia" w:ascii="宋体" w:hAnsi="宋体" w:cs="宋体"/>
          <w:bCs/>
          <w:color w:val="auto"/>
          <w:kern w:val="0"/>
          <w:sz w:val="24"/>
          <w:lang w:val="en-GB"/>
        </w:rPr>
        <w:t>3.本项目的特定资格要求：</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bCs/>
          <w:color w:val="auto"/>
          <w:kern w:val="0"/>
          <w:sz w:val="24"/>
          <w:lang w:val="en-GB"/>
        </w:rPr>
      </w:pPr>
      <w:r>
        <w:rPr>
          <w:rFonts w:hint="eastAsia" w:ascii="宋体" w:hAnsi="宋体" w:cs="宋体"/>
          <w:bCs/>
          <w:color w:val="auto"/>
          <w:kern w:val="0"/>
          <w:sz w:val="24"/>
          <w:lang w:val="en-GB"/>
        </w:rPr>
        <w:t>3.1 具有独立承担民事责任的能力：供应商须具备独立法人资格及有效的安全生产许可证，且具备建筑</w:t>
      </w:r>
      <w:r>
        <w:rPr>
          <w:rFonts w:hint="eastAsia" w:ascii="宋体" w:hAnsi="宋体" w:cs="宋体"/>
          <w:bCs/>
          <w:color w:val="auto"/>
          <w:kern w:val="0"/>
          <w:sz w:val="24"/>
          <w:lang w:val="en-US" w:eastAsia="zh-CN"/>
        </w:rPr>
        <w:t>装修装饰</w:t>
      </w:r>
      <w:r>
        <w:rPr>
          <w:rFonts w:hint="eastAsia" w:ascii="宋体" w:hAnsi="宋体" w:cs="宋体"/>
          <w:bCs/>
          <w:color w:val="auto"/>
          <w:kern w:val="0"/>
          <w:sz w:val="24"/>
          <w:lang w:val="en-GB"/>
        </w:rPr>
        <w:t>工程</w:t>
      </w:r>
      <w:r>
        <w:rPr>
          <w:rFonts w:hint="eastAsia" w:ascii="宋体" w:hAnsi="宋体" w:cs="宋体"/>
          <w:bCs/>
          <w:color w:val="auto"/>
          <w:kern w:val="0"/>
          <w:sz w:val="24"/>
          <w:lang w:val="en-US" w:eastAsia="zh-CN"/>
        </w:rPr>
        <w:t>专业</w:t>
      </w:r>
      <w:r>
        <w:rPr>
          <w:rFonts w:hint="eastAsia" w:ascii="宋体" w:hAnsi="宋体" w:cs="宋体"/>
          <w:bCs/>
          <w:color w:val="auto"/>
          <w:kern w:val="0"/>
          <w:sz w:val="24"/>
          <w:lang w:val="en-GB"/>
        </w:rPr>
        <w:t>承包</w:t>
      </w:r>
      <w:r>
        <w:rPr>
          <w:rFonts w:hint="eastAsia" w:ascii="宋体" w:hAnsi="宋体" w:cs="宋体"/>
          <w:bCs/>
          <w:color w:val="auto"/>
          <w:kern w:val="0"/>
          <w:sz w:val="24"/>
          <w:lang w:val="en-US" w:eastAsia="zh-CN"/>
        </w:rPr>
        <w:t>贰</w:t>
      </w:r>
      <w:r>
        <w:rPr>
          <w:rFonts w:hint="eastAsia" w:ascii="宋体" w:hAnsi="宋体" w:cs="宋体"/>
          <w:bCs/>
          <w:color w:val="auto"/>
          <w:kern w:val="0"/>
          <w:sz w:val="24"/>
          <w:lang w:val="en-GB"/>
        </w:rPr>
        <w:t>级（含）以上资质（或根据《住房和城乡建设部关于印发建设工程企业资质管理制度改革方案的通知（[建市〔2020〕94号]）的规定已换发新证取得相应资质证书的</w:t>
      </w:r>
      <w:r>
        <w:rPr>
          <w:rFonts w:hint="eastAsia" w:ascii="宋体" w:hAnsi="宋体" w:cs="宋体"/>
          <w:bCs/>
          <w:color w:val="auto"/>
          <w:kern w:val="0"/>
          <w:sz w:val="24"/>
          <w:lang w:val="en-US" w:eastAsia="zh-CN"/>
        </w:rPr>
        <w:t>提</w:t>
      </w:r>
      <w:r>
        <w:rPr>
          <w:rFonts w:hint="eastAsia" w:ascii="宋体" w:hAnsi="宋体" w:cs="宋体"/>
          <w:bCs/>
          <w:color w:val="auto"/>
          <w:kern w:val="0"/>
          <w:sz w:val="24"/>
          <w:lang w:val="en-GB"/>
        </w:rPr>
        <w:t>供新资质证书），并在人员、设备、资金等方面具有相应的施工能力，其中，投标人拟派项目经理须具备本单位注册的建筑工程专业贰级或以上注册建造师执业资格，要求未担任其他在施建设工程项目的项目负责人（项目经理）；</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bCs/>
          <w:color w:val="auto"/>
          <w:kern w:val="0"/>
          <w:sz w:val="24"/>
          <w:lang w:val="en-GB"/>
        </w:rPr>
      </w:pPr>
      <w:r>
        <w:rPr>
          <w:rFonts w:hint="eastAsia" w:ascii="宋体" w:hAnsi="宋体" w:cs="宋体"/>
          <w:bCs/>
          <w:color w:val="auto"/>
          <w:kern w:val="0"/>
          <w:sz w:val="24"/>
          <w:lang w:val="en-GB"/>
        </w:rPr>
        <w:t>3.2 具有良好的商业信誉和健全的财务会计制度（需提供2022年任意</w:t>
      </w:r>
      <w:r>
        <w:rPr>
          <w:rFonts w:hint="eastAsia" w:ascii="宋体" w:hAnsi="宋体" w:cs="宋体"/>
          <w:bCs/>
          <w:color w:val="auto"/>
          <w:kern w:val="0"/>
          <w:sz w:val="24"/>
          <w:lang w:val="en-US" w:eastAsia="zh-CN"/>
        </w:rPr>
        <w:t>一个季度或一</w:t>
      </w:r>
      <w:r>
        <w:rPr>
          <w:rFonts w:hint="eastAsia" w:ascii="宋体" w:hAnsi="宋体" w:cs="宋体"/>
          <w:bCs/>
          <w:color w:val="auto"/>
          <w:kern w:val="0"/>
          <w:sz w:val="24"/>
          <w:lang w:val="en-GB"/>
        </w:rPr>
        <w:t>个月的财务报表或者202</w:t>
      </w:r>
      <w:r>
        <w:rPr>
          <w:rFonts w:ascii="宋体" w:hAnsi="宋体" w:cs="宋体"/>
          <w:bCs/>
          <w:color w:val="auto"/>
          <w:kern w:val="0"/>
          <w:sz w:val="24"/>
          <w:lang w:val="en-GB"/>
        </w:rPr>
        <w:t>1</w:t>
      </w:r>
      <w:r>
        <w:rPr>
          <w:rFonts w:hint="eastAsia" w:ascii="宋体" w:hAnsi="宋体" w:cs="宋体"/>
          <w:bCs/>
          <w:color w:val="auto"/>
          <w:kern w:val="0"/>
          <w:sz w:val="24"/>
          <w:lang w:val="en-GB"/>
        </w:rPr>
        <w:t>年年度会计师事务所出具的财务审计报告，供应商成立时间不足的，按实际成立日期至今提供所有财务报表，提供复印件加盖公章）；</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bCs/>
          <w:color w:val="auto"/>
          <w:kern w:val="0"/>
          <w:sz w:val="24"/>
          <w:lang w:val="en-GB"/>
        </w:rPr>
      </w:pPr>
      <w:r>
        <w:rPr>
          <w:rFonts w:hint="eastAsia" w:ascii="宋体" w:hAnsi="宋体" w:cs="宋体"/>
          <w:bCs/>
          <w:color w:val="auto"/>
          <w:kern w:val="0"/>
          <w:sz w:val="24"/>
          <w:lang w:val="en-GB"/>
        </w:rPr>
        <w:t>3.3 具有履行合同所必需的设备和专业技术能力（提供承诺函）；</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bCs/>
          <w:color w:val="auto"/>
          <w:kern w:val="0"/>
          <w:sz w:val="24"/>
          <w:lang w:val="en-GB"/>
        </w:rPr>
      </w:pPr>
      <w:r>
        <w:rPr>
          <w:rFonts w:hint="eastAsia" w:ascii="宋体" w:hAnsi="宋体" w:cs="宋体"/>
          <w:bCs/>
          <w:color w:val="auto"/>
          <w:kern w:val="0"/>
          <w:sz w:val="24"/>
          <w:lang w:val="en-GB"/>
        </w:rPr>
        <w:t>3.4 有依法缴纳税收和社会保障资金的良好记录（需提供202</w:t>
      </w:r>
      <w:r>
        <w:rPr>
          <w:rFonts w:ascii="宋体" w:hAnsi="宋体" w:cs="宋体"/>
          <w:bCs/>
          <w:color w:val="auto"/>
          <w:kern w:val="0"/>
          <w:sz w:val="24"/>
          <w:lang w:val="en-GB"/>
        </w:rPr>
        <w:t>2</w:t>
      </w:r>
      <w:r>
        <w:rPr>
          <w:rFonts w:hint="eastAsia" w:ascii="宋体" w:hAnsi="宋体" w:cs="宋体"/>
          <w:bCs/>
          <w:color w:val="auto"/>
          <w:kern w:val="0"/>
          <w:sz w:val="24"/>
          <w:lang w:val="en-GB"/>
        </w:rPr>
        <w:t>年任意</w:t>
      </w:r>
      <w:r>
        <w:rPr>
          <w:rFonts w:hint="eastAsia" w:ascii="宋体" w:hAnsi="宋体" w:cs="宋体"/>
          <w:bCs/>
          <w:color w:val="auto"/>
          <w:kern w:val="0"/>
          <w:sz w:val="24"/>
          <w:lang w:val="en-US" w:eastAsia="zh-CN"/>
        </w:rPr>
        <w:t>一个季度或一</w:t>
      </w:r>
      <w:r>
        <w:rPr>
          <w:rFonts w:hint="eastAsia" w:ascii="宋体" w:hAnsi="宋体" w:cs="宋体"/>
          <w:bCs/>
          <w:color w:val="auto"/>
          <w:kern w:val="0"/>
          <w:sz w:val="24"/>
          <w:lang w:val="en-GB"/>
        </w:rPr>
        <w:t>个月的企业纳税证明和企业社保缴费记录凭证，提供复印件加盖公章）；</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bCs/>
          <w:color w:val="auto"/>
          <w:kern w:val="0"/>
          <w:sz w:val="24"/>
          <w:lang w:val="en-GB"/>
        </w:rPr>
      </w:pPr>
      <w:r>
        <w:rPr>
          <w:rFonts w:hint="eastAsia" w:ascii="宋体" w:hAnsi="宋体" w:cs="宋体"/>
          <w:bCs/>
          <w:color w:val="auto"/>
          <w:kern w:val="0"/>
          <w:sz w:val="24"/>
          <w:lang w:val="en-GB"/>
        </w:rPr>
        <w:t>3.5 参加政府采购活动前三年内，在经营活动中没有重大违法记录（成立不足三年的从成立之日起算，提供声明函）；</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bCs/>
          <w:color w:val="auto"/>
          <w:kern w:val="0"/>
          <w:sz w:val="24"/>
          <w:lang w:val="en-GB"/>
        </w:rPr>
      </w:pPr>
      <w:r>
        <w:rPr>
          <w:rFonts w:hint="eastAsia" w:ascii="宋体" w:hAnsi="宋体" w:cs="宋体"/>
          <w:bCs/>
          <w:color w:val="auto"/>
          <w:kern w:val="0"/>
          <w:sz w:val="24"/>
          <w:lang w:val="en-GB"/>
        </w:rPr>
        <w:t>3.6 法律、行政法规规定的其他条件（提供承诺函）；</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bCs/>
          <w:color w:val="auto"/>
          <w:kern w:val="0"/>
          <w:sz w:val="24"/>
          <w:lang w:val="en-GB"/>
        </w:rPr>
      </w:pPr>
      <w:r>
        <w:rPr>
          <w:rFonts w:hint="eastAsia" w:ascii="宋体" w:hAnsi="宋体" w:cs="宋体"/>
          <w:bCs/>
          <w:color w:val="auto"/>
          <w:kern w:val="0"/>
          <w:sz w:val="24"/>
          <w:lang w:val="en-GB"/>
        </w:rPr>
        <w:t>3.7 与招标人存在利害关系可能影响招标公正性的单位，不得参加本次投标；单位负责人为同一人、或者存在控股、管理关系的不同单位不得参加本次投标（提供承诺函），否则按否决其投标处理；</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bCs/>
          <w:color w:val="auto"/>
          <w:kern w:val="0"/>
          <w:sz w:val="24"/>
          <w:lang w:val="en-GB"/>
        </w:rPr>
      </w:pPr>
      <w:r>
        <w:rPr>
          <w:rFonts w:hint="eastAsia" w:ascii="宋体" w:hAnsi="宋体" w:cs="宋体"/>
          <w:bCs/>
          <w:color w:val="auto"/>
          <w:kern w:val="0"/>
          <w:sz w:val="24"/>
          <w:lang w:val="en-GB"/>
        </w:rPr>
        <w:t>3.8 “信用中国”网站（www.creditchina.gov.cn）查询：投标人被人民法院列为失信被执行人的，投标活动依法予以限制；</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bCs/>
          <w:color w:val="auto"/>
          <w:kern w:val="0"/>
          <w:sz w:val="24"/>
          <w:lang w:val="en-GB"/>
        </w:rPr>
      </w:pPr>
      <w:r>
        <w:rPr>
          <w:rFonts w:hint="eastAsia" w:ascii="宋体" w:hAnsi="宋体" w:cs="宋体"/>
          <w:bCs/>
          <w:color w:val="auto"/>
          <w:kern w:val="0"/>
          <w:sz w:val="24"/>
          <w:lang w:val="en-GB"/>
        </w:rPr>
        <w:t>3.9 在海南省住房和城乡建设厅海南省房屋建筑工程全过程监管信息平台完成《海南省建筑企业诚信档案手册》登记（提供网站截图证明）。</w:t>
      </w:r>
    </w:p>
    <w:p>
      <w:pPr>
        <w:pageBreakBefore w:val="0"/>
        <w:widowControl w:val="0"/>
        <w:kinsoku/>
        <w:wordWrap/>
        <w:overflowPunct/>
        <w:topLinePunct w:val="0"/>
        <w:autoSpaceDE/>
        <w:autoSpaceDN/>
        <w:bidi w:val="0"/>
        <w:adjustRightInd/>
        <w:spacing w:line="450" w:lineRule="exact"/>
        <w:textAlignment w:val="auto"/>
        <w:rPr>
          <w:rFonts w:ascii="宋体" w:hAnsi="宋体" w:cs="宋体"/>
          <w:b/>
          <w:color w:val="auto"/>
          <w:sz w:val="24"/>
        </w:rPr>
      </w:pPr>
      <w:r>
        <w:rPr>
          <w:rFonts w:hint="eastAsia" w:ascii="宋体" w:hAnsi="宋体" w:cs="宋体"/>
          <w:b/>
          <w:color w:val="auto"/>
          <w:sz w:val="24"/>
        </w:rPr>
        <w:t>三、获取采购文件：</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b/>
          <w:color w:val="auto"/>
          <w:sz w:val="24"/>
        </w:rPr>
      </w:pPr>
      <w:r>
        <w:rPr>
          <w:rFonts w:hint="eastAsia" w:ascii="宋体" w:hAnsi="宋体" w:cs="宋体"/>
          <w:color w:val="auto"/>
          <w:kern w:val="0"/>
          <w:sz w:val="24"/>
        </w:rPr>
        <w:t>1.时间：2022年</w:t>
      </w:r>
      <w:r>
        <w:rPr>
          <w:rFonts w:hint="eastAsia" w:ascii="宋体" w:hAnsi="宋体" w:cs="宋体"/>
          <w:color w:val="auto"/>
          <w:kern w:val="0"/>
          <w:sz w:val="24"/>
          <w:lang w:val="en-US" w:eastAsia="zh-CN"/>
        </w:rPr>
        <w:t>6</w:t>
      </w:r>
      <w:r>
        <w:rPr>
          <w:rFonts w:hint="eastAsia" w:ascii="宋体" w:hAnsi="宋体" w:cs="宋体"/>
          <w:color w:val="auto"/>
          <w:kern w:val="0"/>
          <w:sz w:val="24"/>
        </w:rPr>
        <w:t>月</w:t>
      </w:r>
      <w:r>
        <w:rPr>
          <w:rFonts w:hint="eastAsia" w:ascii="宋体" w:hAnsi="宋体" w:cs="宋体"/>
          <w:color w:val="auto"/>
          <w:kern w:val="0"/>
          <w:sz w:val="24"/>
          <w:lang w:val="en-US" w:eastAsia="zh-CN"/>
        </w:rPr>
        <w:t>17</w:t>
      </w:r>
      <w:r>
        <w:rPr>
          <w:rFonts w:hint="eastAsia" w:ascii="宋体" w:hAnsi="宋体" w:cs="宋体"/>
          <w:color w:val="auto"/>
          <w:kern w:val="0"/>
          <w:sz w:val="24"/>
        </w:rPr>
        <w:t>日00:00:01至2022年</w:t>
      </w:r>
      <w:r>
        <w:rPr>
          <w:rFonts w:hint="eastAsia" w:ascii="宋体" w:hAnsi="宋体" w:cs="宋体"/>
          <w:color w:val="auto"/>
          <w:kern w:val="0"/>
          <w:sz w:val="24"/>
          <w:lang w:val="en-US" w:eastAsia="zh-CN"/>
        </w:rPr>
        <w:t>6</w:t>
      </w:r>
      <w:r>
        <w:rPr>
          <w:rFonts w:hint="eastAsia" w:ascii="宋体" w:hAnsi="宋体" w:cs="宋体"/>
          <w:color w:val="auto"/>
          <w:kern w:val="0"/>
          <w:sz w:val="24"/>
        </w:rPr>
        <w:t>月</w:t>
      </w:r>
      <w:r>
        <w:rPr>
          <w:rFonts w:hint="eastAsia" w:ascii="宋体" w:hAnsi="宋体" w:cs="宋体"/>
          <w:color w:val="auto"/>
          <w:kern w:val="0"/>
          <w:sz w:val="24"/>
          <w:lang w:val="en-US" w:eastAsia="zh-CN"/>
        </w:rPr>
        <w:t>23</w:t>
      </w:r>
      <w:r>
        <w:rPr>
          <w:rFonts w:hint="eastAsia" w:ascii="宋体" w:hAnsi="宋体" w:cs="宋体"/>
          <w:color w:val="auto"/>
          <w:kern w:val="0"/>
          <w:sz w:val="24"/>
        </w:rPr>
        <w:t>日23:59:59；</w:t>
      </w:r>
    </w:p>
    <w:p>
      <w:pPr>
        <w:pageBreakBefore w:val="0"/>
        <w:widowControl w:val="0"/>
        <w:tabs>
          <w:tab w:val="left" w:pos="5580"/>
        </w:tabs>
        <w:kinsoku/>
        <w:wordWrap/>
        <w:overflowPunct/>
        <w:topLinePunct w:val="0"/>
        <w:autoSpaceDE/>
        <w:autoSpaceDN/>
        <w:bidi w:val="0"/>
        <w:adjustRightInd/>
        <w:snapToGrid w:val="0"/>
        <w:spacing w:line="450" w:lineRule="exact"/>
        <w:ind w:firstLine="480" w:firstLineChars="200"/>
        <w:textAlignment w:val="auto"/>
        <w:rPr>
          <w:rFonts w:ascii="宋体" w:hAnsi="宋体" w:cs="宋体"/>
          <w:color w:val="auto"/>
          <w:kern w:val="1"/>
          <w:sz w:val="24"/>
        </w:rPr>
      </w:pPr>
      <w:r>
        <w:rPr>
          <w:rFonts w:hint="eastAsia" w:ascii="宋体" w:hAnsi="宋体" w:cs="宋体"/>
          <w:color w:val="auto"/>
          <w:kern w:val="1"/>
          <w:sz w:val="24"/>
        </w:rPr>
        <w:t>2.地点：</w:t>
      </w:r>
      <w:r>
        <w:rPr>
          <w:rFonts w:hint="eastAsia" w:ascii="宋体" w:hAnsi="宋体" w:cs="宋体"/>
          <w:color w:val="auto"/>
          <w:sz w:val="24"/>
        </w:rPr>
        <w:t>海南政府采购网（www.ccgp-hainan.gov.cn）-海南省政府采购电子化交易管理系统（新）；</w:t>
      </w:r>
    </w:p>
    <w:p>
      <w:pPr>
        <w:pageBreakBefore w:val="0"/>
        <w:widowControl w:val="0"/>
        <w:tabs>
          <w:tab w:val="left" w:pos="5580"/>
          <w:tab w:val="left" w:pos="7286"/>
        </w:tabs>
        <w:kinsoku/>
        <w:wordWrap/>
        <w:overflowPunct/>
        <w:topLinePunct w:val="0"/>
        <w:autoSpaceDE/>
        <w:autoSpaceDN/>
        <w:bidi w:val="0"/>
        <w:adjustRightInd/>
        <w:snapToGrid w:val="0"/>
        <w:spacing w:line="450" w:lineRule="exact"/>
        <w:ind w:firstLine="480" w:firstLineChars="200"/>
        <w:textAlignment w:val="auto"/>
        <w:rPr>
          <w:rFonts w:ascii="宋体" w:hAnsi="宋体" w:cs="宋体"/>
          <w:color w:val="auto"/>
          <w:sz w:val="24"/>
        </w:rPr>
      </w:pPr>
      <w:r>
        <w:rPr>
          <w:rFonts w:hint="eastAsia" w:ascii="宋体" w:hAnsi="宋体" w:cs="宋体"/>
          <w:color w:val="auto"/>
          <w:kern w:val="1"/>
          <w:sz w:val="24"/>
        </w:rPr>
        <w:t>3.方式：网上下载</w:t>
      </w:r>
      <w:r>
        <w:rPr>
          <w:rFonts w:hint="eastAsia" w:ascii="宋体" w:hAnsi="宋体" w:cs="宋体"/>
          <w:color w:val="auto"/>
          <w:sz w:val="24"/>
        </w:rPr>
        <w:t>。</w:t>
      </w:r>
    </w:p>
    <w:p>
      <w:pPr>
        <w:pageBreakBefore w:val="0"/>
        <w:widowControl w:val="0"/>
        <w:tabs>
          <w:tab w:val="left" w:pos="5580"/>
          <w:tab w:val="left" w:pos="7286"/>
        </w:tabs>
        <w:kinsoku/>
        <w:wordWrap/>
        <w:overflowPunct/>
        <w:topLinePunct w:val="0"/>
        <w:autoSpaceDE/>
        <w:autoSpaceDN/>
        <w:bidi w:val="0"/>
        <w:adjustRightInd/>
        <w:snapToGrid w:val="0"/>
        <w:spacing w:line="450" w:lineRule="exact"/>
        <w:ind w:firstLine="480" w:firstLineChars="200"/>
        <w:textAlignment w:val="auto"/>
        <w:rPr>
          <w:rFonts w:ascii="宋体" w:hAnsi="宋体" w:cs="宋体"/>
          <w:color w:val="auto"/>
          <w:sz w:val="24"/>
        </w:rPr>
      </w:pPr>
      <w:r>
        <w:rPr>
          <w:rFonts w:hint="eastAsia" w:ascii="宋体" w:hAnsi="宋体" w:cs="宋体"/>
          <w:color w:val="auto"/>
          <w:kern w:val="0"/>
          <w:sz w:val="24"/>
        </w:rPr>
        <w:t>4.售价：500元/份</w:t>
      </w: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开标现场缴纳</w:t>
      </w:r>
      <w:r>
        <w:rPr>
          <w:rFonts w:hint="eastAsia" w:ascii="宋体" w:hAnsi="宋体" w:cs="宋体"/>
          <w:color w:val="auto"/>
          <w:kern w:val="0"/>
          <w:sz w:val="24"/>
          <w:lang w:eastAsia="zh-CN"/>
        </w:rPr>
        <w:t>）</w:t>
      </w:r>
      <w:r>
        <w:rPr>
          <w:rFonts w:hint="eastAsia" w:ascii="宋体" w:hAnsi="宋体" w:cs="宋体"/>
          <w:color w:val="auto"/>
          <w:kern w:val="0"/>
          <w:sz w:val="24"/>
        </w:rPr>
        <w:t>。</w:t>
      </w:r>
    </w:p>
    <w:p>
      <w:pPr>
        <w:pageBreakBefore w:val="0"/>
        <w:widowControl w:val="0"/>
        <w:kinsoku/>
        <w:wordWrap/>
        <w:overflowPunct/>
        <w:topLinePunct w:val="0"/>
        <w:autoSpaceDE/>
        <w:autoSpaceDN/>
        <w:bidi w:val="0"/>
        <w:adjustRightInd/>
        <w:spacing w:line="450" w:lineRule="exact"/>
        <w:textAlignment w:val="auto"/>
        <w:rPr>
          <w:rFonts w:ascii="宋体" w:hAnsi="宋体" w:cs="宋体"/>
          <w:b/>
          <w:color w:val="auto"/>
          <w:sz w:val="24"/>
        </w:rPr>
      </w:pPr>
      <w:r>
        <w:rPr>
          <w:rFonts w:hint="eastAsia" w:ascii="宋体" w:hAnsi="宋体" w:cs="宋体"/>
          <w:b/>
          <w:color w:val="auto"/>
          <w:sz w:val="24"/>
        </w:rPr>
        <w:t>四、响应文件提交：</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color w:val="auto"/>
          <w:kern w:val="0"/>
          <w:sz w:val="24"/>
        </w:rPr>
      </w:pPr>
      <w:r>
        <w:rPr>
          <w:rFonts w:hint="eastAsia" w:ascii="宋体" w:hAnsi="宋体" w:cs="宋体"/>
          <w:color w:val="auto"/>
          <w:kern w:val="0"/>
          <w:sz w:val="24"/>
        </w:rPr>
        <w:t>1.截止时间：2022年</w:t>
      </w:r>
      <w:r>
        <w:rPr>
          <w:rFonts w:hint="eastAsia" w:ascii="宋体" w:hAnsi="宋体" w:cs="宋体"/>
          <w:color w:val="auto"/>
          <w:kern w:val="0"/>
          <w:sz w:val="24"/>
          <w:lang w:val="en-US" w:eastAsia="zh-CN"/>
        </w:rPr>
        <w:t>6</w:t>
      </w:r>
      <w:r>
        <w:rPr>
          <w:rFonts w:hint="eastAsia" w:ascii="宋体" w:hAnsi="宋体" w:cs="宋体"/>
          <w:color w:val="auto"/>
          <w:kern w:val="0"/>
          <w:sz w:val="24"/>
        </w:rPr>
        <w:t>月</w:t>
      </w:r>
      <w:r>
        <w:rPr>
          <w:rFonts w:hint="eastAsia" w:ascii="宋体" w:hAnsi="宋体" w:cs="宋体"/>
          <w:color w:val="auto"/>
          <w:kern w:val="0"/>
          <w:sz w:val="24"/>
          <w:lang w:val="en-US" w:eastAsia="zh-CN"/>
        </w:rPr>
        <w:t>28</w:t>
      </w:r>
      <w:r>
        <w:rPr>
          <w:rFonts w:hint="eastAsia" w:ascii="宋体" w:hAnsi="宋体" w:cs="宋体"/>
          <w:color w:val="auto"/>
          <w:kern w:val="0"/>
          <w:sz w:val="24"/>
        </w:rPr>
        <w:t>日</w:t>
      </w:r>
      <w:r>
        <w:rPr>
          <w:rFonts w:hint="eastAsia" w:ascii="宋体" w:hAnsi="宋体" w:cs="宋体"/>
          <w:color w:val="auto"/>
          <w:kern w:val="0"/>
          <w:sz w:val="24"/>
          <w:lang w:val="en-US" w:eastAsia="zh-CN"/>
        </w:rPr>
        <w:t>10</w:t>
      </w:r>
      <w:r>
        <w:rPr>
          <w:rFonts w:hint="eastAsia" w:ascii="宋体" w:hAnsi="宋体" w:cs="宋体"/>
          <w:color w:val="auto"/>
          <w:kern w:val="0"/>
          <w:sz w:val="24"/>
        </w:rPr>
        <w:t>点</w:t>
      </w:r>
      <w:r>
        <w:rPr>
          <w:rFonts w:hint="eastAsia" w:ascii="宋体" w:hAnsi="宋体" w:cs="宋体"/>
          <w:color w:val="auto"/>
          <w:kern w:val="0"/>
          <w:sz w:val="24"/>
          <w:lang w:val="en-US" w:eastAsia="zh-CN"/>
        </w:rPr>
        <w:t>3</w:t>
      </w:r>
      <w:r>
        <w:rPr>
          <w:rFonts w:hint="eastAsia" w:ascii="宋体" w:hAnsi="宋体" w:cs="宋体"/>
          <w:color w:val="auto"/>
          <w:kern w:val="0"/>
          <w:sz w:val="24"/>
        </w:rPr>
        <w:t>0分（北京时间）；</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color w:val="auto"/>
          <w:kern w:val="0"/>
          <w:sz w:val="24"/>
        </w:rPr>
      </w:pPr>
      <w:r>
        <w:rPr>
          <w:rFonts w:hint="eastAsia" w:ascii="宋体" w:hAnsi="宋体" w:cs="宋体"/>
          <w:color w:val="auto"/>
          <w:kern w:val="0"/>
          <w:sz w:val="24"/>
        </w:rPr>
        <w:t>2.递交地点：</w:t>
      </w:r>
      <w:r>
        <w:rPr>
          <w:rFonts w:hint="eastAsia" w:ascii="宋体" w:hAnsi="宋体" w:cs="宋体"/>
          <w:color w:val="auto"/>
          <w:sz w:val="24"/>
          <w:lang w:eastAsia="zh-CN"/>
        </w:rPr>
        <w:t>海南省海口市美兰区金坡路6号中鹏苑A幢第1层101房</w:t>
      </w:r>
      <w:r>
        <w:rPr>
          <w:rFonts w:hint="eastAsia" w:ascii="宋体" w:hAnsi="宋体" w:cs="宋体"/>
          <w:color w:val="auto"/>
          <w:kern w:val="0"/>
          <w:sz w:val="24"/>
        </w:rPr>
        <w:t>。</w:t>
      </w:r>
    </w:p>
    <w:p>
      <w:pPr>
        <w:pageBreakBefore w:val="0"/>
        <w:widowControl w:val="0"/>
        <w:kinsoku/>
        <w:wordWrap/>
        <w:overflowPunct/>
        <w:topLinePunct w:val="0"/>
        <w:autoSpaceDE/>
        <w:autoSpaceDN/>
        <w:bidi w:val="0"/>
        <w:adjustRightInd/>
        <w:spacing w:line="450" w:lineRule="exact"/>
        <w:textAlignment w:val="auto"/>
        <w:rPr>
          <w:rFonts w:ascii="宋体" w:hAnsi="宋体" w:cs="宋体"/>
          <w:b/>
          <w:color w:val="auto"/>
          <w:sz w:val="24"/>
        </w:rPr>
      </w:pPr>
      <w:r>
        <w:rPr>
          <w:rFonts w:hint="eastAsia" w:ascii="宋体" w:hAnsi="宋体" w:cs="宋体"/>
          <w:b/>
          <w:color w:val="auto"/>
          <w:sz w:val="24"/>
        </w:rPr>
        <w:t>五、开启：</w:t>
      </w:r>
    </w:p>
    <w:p>
      <w:pPr>
        <w:pageBreakBefore w:val="0"/>
        <w:widowControl w:val="0"/>
        <w:tabs>
          <w:tab w:val="left" w:pos="5580"/>
        </w:tabs>
        <w:kinsoku/>
        <w:wordWrap/>
        <w:overflowPunct/>
        <w:topLinePunct w:val="0"/>
        <w:autoSpaceDE/>
        <w:autoSpaceDN/>
        <w:bidi w:val="0"/>
        <w:adjustRightInd/>
        <w:snapToGrid w:val="0"/>
        <w:spacing w:line="450" w:lineRule="exact"/>
        <w:ind w:firstLine="480" w:firstLineChars="200"/>
        <w:textAlignment w:val="auto"/>
        <w:rPr>
          <w:rFonts w:ascii="宋体" w:hAnsi="宋体" w:cs="宋体"/>
          <w:color w:val="auto"/>
          <w:kern w:val="0"/>
          <w:sz w:val="24"/>
        </w:rPr>
      </w:pPr>
      <w:r>
        <w:rPr>
          <w:rFonts w:hint="eastAsia" w:ascii="宋体" w:hAnsi="宋体" w:cs="宋体"/>
          <w:color w:val="auto"/>
          <w:kern w:val="1"/>
          <w:sz w:val="24"/>
        </w:rPr>
        <w:t>1.时间：</w:t>
      </w:r>
      <w:r>
        <w:rPr>
          <w:rFonts w:hint="eastAsia" w:ascii="宋体" w:hAnsi="宋体" w:cs="宋体"/>
          <w:color w:val="auto"/>
          <w:kern w:val="0"/>
          <w:sz w:val="24"/>
        </w:rPr>
        <w:t>2022年</w:t>
      </w:r>
      <w:r>
        <w:rPr>
          <w:rFonts w:hint="eastAsia" w:ascii="宋体" w:hAnsi="宋体" w:cs="宋体"/>
          <w:color w:val="auto"/>
          <w:kern w:val="0"/>
          <w:sz w:val="24"/>
          <w:lang w:val="en-US" w:eastAsia="zh-CN"/>
        </w:rPr>
        <w:t>6</w:t>
      </w:r>
      <w:r>
        <w:rPr>
          <w:rFonts w:hint="eastAsia" w:ascii="宋体" w:hAnsi="宋体" w:cs="宋体"/>
          <w:color w:val="auto"/>
          <w:kern w:val="0"/>
          <w:sz w:val="24"/>
        </w:rPr>
        <w:t>月</w:t>
      </w:r>
      <w:r>
        <w:rPr>
          <w:rFonts w:hint="eastAsia" w:ascii="宋体" w:hAnsi="宋体" w:cs="宋体"/>
          <w:color w:val="auto"/>
          <w:kern w:val="0"/>
          <w:sz w:val="24"/>
          <w:lang w:val="en-US" w:eastAsia="zh-CN"/>
        </w:rPr>
        <w:t>28</w:t>
      </w:r>
      <w:r>
        <w:rPr>
          <w:rFonts w:hint="eastAsia" w:ascii="宋体" w:hAnsi="宋体" w:cs="宋体"/>
          <w:color w:val="auto"/>
          <w:kern w:val="0"/>
          <w:sz w:val="24"/>
        </w:rPr>
        <w:t>日</w:t>
      </w:r>
      <w:r>
        <w:rPr>
          <w:rFonts w:hint="eastAsia" w:ascii="宋体" w:hAnsi="宋体" w:cs="宋体"/>
          <w:color w:val="auto"/>
          <w:kern w:val="0"/>
          <w:sz w:val="24"/>
          <w:lang w:val="en-US" w:eastAsia="zh-CN"/>
        </w:rPr>
        <w:t>10</w:t>
      </w:r>
      <w:r>
        <w:rPr>
          <w:rFonts w:hint="eastAsia" w:ascii="宋体" w:hAnsi="宋体" w:cs="宋体"/>
          <w:color w:val="auto"/>
          <w:kern w:val="0"/>
          <w:sz w:val="24"/>
        </w:rPr>
        <w:t>点</w:t>
      </w:r>
      <w:r>
        <w:rPr>
          <w:rFonts w:hint="eastAsia" w:ascii="宋体" w:hAnsi="宋体" w:cs="宋体"/>
          <w:color w:val="auto"/>
          <w:kern w:val="0"/>
          <w:sz w:val="24"/>
          <w:lang w:val="en-US" w:eastAsia="zh-CN"/>
        </w:rPr>
        <w:t>3</w:t>
      </w:r>
      <w:r>
        <w:rPr>
          <w:rFonts w:hint="eastAsia" w:ascii="宋体" w:hAnsi="宋体" w:cs="宋体"/>
          <w:color w:val="auto"/>
          <w:kern w:val="0"/>
          <w:sz w:val="24"/>
        </w:rPr>
        <w:t>0分（北京时间）；</w:t>
      </w:r>
    </w:p>
    <w:p>
      <w:pPr>
        <w:pageBreakBefore w:val="0"/>
        <w:widowControl w:val="0"/>
        <w:tabs>
          <w:tab w:val="left" w:pos="5580"/>
        </w:tabs>
        <w:kinsoku/>
        <w:wordWrap/>
        <w:overflowPunct/>
        <w:topLinePunct w:val="0"/>
        <w:autoSpaceDE/>
        <w:autoSpaceDN/>
        <w:bidi w:val="0"/>
        <w:adjustRightInd/>
        <w:snapToGrid w:val="0"/>
        <w:spacing w:line="450" w:lineRule="exact"/>
        <w:ind w:firstLine="480" w:firstLineChars="200"/>
        <w:textAlignment w:val="auto"/>
        <w:rPr>
          <w:rFonts w:ascii="宋体" w:hAnsi="宋体" w:cs="宋体"/>
          <w:color w:val="auto"/>
          <w:kern w:val="1"/>
          <w:sz w:val="24"/>
        </w:rPr>
      </w:pPr>
      <w:r>
        <w:rPr>
          <w:rFonts w:hint="eastAsia" w:ascii="宋体" w:hAnsi="宋体" w:cs="宋体"/>
          <w:color w:val="auto"/>
          <w:kern w:val="0"/>
          <w:sz w:val="24"/>
        </w:rPr>
        <w:t>2.地点：</w:t>
      </w:r>
      <w:r>
        <w:rPr>
          <w:rFonts w:hint="eastAsia" w:ascii="宋体" w:hAnsi="宋体" w:cs="宋体"/>
          <w:color w:val="auto"/>
          <w:sz w:val="24"/>
          <w:lang w:eastAsia="zh-CN"/>
        </w:rPr>
        <w:t>海南省海口市美兰区金坡路6号中鹏苑A幢第1层101房</w:t>
      </w:r>
      <w:r>
        <w:rPr>
          <w:rFonts w:hint="eastAsia" w:ascii="宋体" w:hAnsi="宋体" w:cs="宋体"/>
          <w:color w:val="auto"/>
          <w:sz w:val="24"/>
        </w:rPr>
        <w:t>。</w:t>
      </w:r>
    </w:p>
    <w:p>
      <w:pPr>
        <w:pageBreakBefore w:val="0"/>
        <w:widowControl w:val="0"/>
        <w:kinsoku/>
        <w:wordWrap/>
        <w:overflowPunct/>
        <w:topLinePunct w:val="0"/>
        <w:autoSpaceDE/>
        <w:autoSpaceDN/>
        <w:bidi w:val="0"/>
        <w:adjustRightInd/>
        <w:spacing w:line="450" w:lineRule="exact"/>
        <w:textAlignment w:val="auto"/>
        <w:rPr>
          <w:rFonts w:ascii="宋体" w:hAnsi="宋体" w:cs="宋体"/>
          <w:b/>
          <w:color w:val="auto"/>
          <w:sz w:val="24"/>
        </w:rPr>
      </w:pPr>
      <w:r>
        <w:rPr>
          <w:rFonts w:hint="eastAsia" w:ascii="宋体" w:hAnsi="宋体" w:cs="宋体"/>
          <w:b/>
          <w:color w:val="auto"/>
          <w:sz w:val="24"/>
        </w:rPr>
        <w:t>六、公告期限：</w:t>
      </w:r>
    </w:p>
    <w:p>
      <w:pPr>
        <w:pageBreakBefore w:val="0"/>
        <w:widowControl w:val="0"/>
        <w:tabs>
          <w:tab w:val="left" w:pos="5580"/>
        </w:tabs>
        <w:kinsoku/>
        <w:wordWrap/>
        <w:overflowPunct/>
        <w:topLinePunct w:val="0"/>
        <w:autoSpaceDE/>
        <w:autoSpaceDN/>
        <w:bidi w:val="0"/>
        <w:adjustRightInd/>
        <w:snapToGrid w:val="0"/>
        <w:spacing w:line="450" w:lineRule="exact"/>
        <w:ind w:firstLine="480" w:firstLineChars="200"/>
        <w:textAlignment w:val="auto"/>
        <w:rPr>
          <w:rFonts w:ascii="宋体" w:hAnsi="宋体" w:cs="宋体"/>
          <w:color w:val="auto"/>
          <w:kern w:val="0"/>
          <w:sz w:val="24"/>
        </w:rPr>
      </w:pPr>
      <w:r>
        <w:rPr>
          <w:rFonts w:hint="eastAsia" w:ascii="宋体" w:hAnsi="宋体" w:cs="宋体"/>
          <w:color w:val="auto"/>
          <w:kern w:val="0"/>
          <w:sz w:val="24"/>
        </w:rPr>
        <w:t>自本公告发布之日起3个工作日。</w:t>
      </w:r>
    </w:p>
    <w:p>
      <w:pPr>
        <w:pageBreakBefore w:val="0"/>
        <w:widowControl w:val="0"/>
        <w:kinsoku/>
        <w:wordWrap/>
        <w:overflowPunct/>
        <w:topLinePunct w:val="0"/>
        <w:autoSpaceDE/>
        <w:autoSpaceDN/>
        <w:bidi w:val="0"/>
        <w:adjustRightInd/>
        <w:spacing w:line="450" w:lineRule="exact"/>
        <w:textAlignment w:val="auto"/>
        <w:rPr>
          <w:rFonts w:ascii="宋体" w:hAnsi="宋体" w:cs="宋体"/>
          <w:b/>
          <w:color w:val="auto"/>
          <w:sz w:val="24"/>
        </w:rPr>
      </w:pPr>
      <w:r>
        <w:rPr>
          <w:rFonts w:hint="eastAsia" w:ascii="宋体" w:hAnsi="宋体" w:cs="宋体"/>
          <w:b/>
          <w:color w:val="auto"/>
          <w:sz w:val="24"/>
        </w:rPr>
        <w:t>七、其他补充事宜：</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w:t>
      </w:r>
      <w:r>
        <w:rPr>
          <w:rFonts w:hint="eastAsia" w:ascii="宋体" w:hAnsi="宋体" w:cs="宋体"/>
          <w:color w:val="auto"/>
          <w:sz w:val="24"/>
        </w:rPr>
        <w:t xml:space="preserve">获取招标文件：投标人须在海南政府采购网(https://www.ccgp-hainan.gov.cn/zhuzhan/)中的海南省政府采购电子化交易管理系统平台进行注册。（网站联系电话：0898-68546705） </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color w:val="auto"/>
          <w:sz w:val="24"/>
        </w:rPr>
      </w:pPr>
      <w:r>
        <w:rPr>
          <w:rFonts w:hint="eastAsia" w:ascii="宋体" w:hAnsi="宋体" w:cs="宋体"/>
          <w:color w:val="auto"/>
          <w:sz w:val="24"/>
        </w:rPr>
        <w:t xml:space="preserve">2.投标人完成上述交易平台注册及现场提交报名材料并缴纳报名费用后，登陆交易平台进行投标参与并下载查看电子版采购文件及其他文件，平台系统中投标参与所需上传的材料应与提交现场审核的材料一致；未按时在系统平台注册、投标参与，或上传的材料不符合要求的视为无效报名。 </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.采购信息及采购结果发布媒体海南省政府采购网https://www.ccgp-hainan.gov.cn/。</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 采购项目需落实的政府采购政策：《政府采购促进中小企业发展管理办法》《节能产品政府采购实施意见》《关于环境标志产品政府采购实施的意见》《关于信息安全产品实施政府采购的通知》《关于促进残疾人就业政府采购政策的通知》《财政部司法部关于政府采购支持监狱企业发展有关问题的通知书》《政府采购进口产品管理办法》。</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color w:val="auto"/>
          <w:sz w:val="24"/>
        </w:rPr>
      </w:pPr>
      <w:r>
        <w:rPr>
          <w:rFonts w:hint="eastAsia" w:ascii="宋体" w:hAnsi="宋体" w:cs="宋体"/>
          <w:color w:val="auto"/>
          <w:sz w:val="24"/>
          <w:lang w:val="en-US" w:eastAsia="zh-CN"/>
        </w:rPr>
        <w:t>5</w:t>
      </w:r>
      <w:r>
        <w:rPr>
          <w:rFonts w:ascii="宋体" w:hAnsi="宋体" w:cs="宋体"/>
          <w:color w:val="auto"/>
          <w:sz w:val="24"/>
        </w:rPr>
        <w:t xml:space="preserve">. </w:t>
      </w:r>
      <w:r>
        <w:rPr>
          <w:rFonts w:hint="eastAsia" w:ascii="宋体" w:hAnsi="宋体" w:cs="宋体"/>
          <w:color w:val="auto"/>
          <w:sz w:val="24"/>
        </w:rPr>
        <w:t>有关本项目竞争性磋商文件的补遗、澄清及变更信息以上述网站公告与下载为准，采购代理机构不再另行通知，竞争性磋商文件与更正公告的内容相互矛盾时，以最后发出的更正公告内容为准。</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color w:val="auto"/>
          <w:sz w:val="24"/>
        </w:rPr>
      </w:pPr>
      <w:r>
        <w:rPr>
          <w:rFonts w:hint="eastAsia" w:ascii="宋体" w:hAnsi="宋体" w:cs="宋体"/>
          <w:color w:val="auto"/>
          <w:sz w:val="24"/>
          <w:lang w:val="en-US" w:eastAsia="zh-CN"/>
        </w:rPr>
        <w:t>6</w:t>
      </w:r>
      <w:r>
        <w:rPr>
          <w:rFonts w:ascii="宋体" w:hAnsi="宋体" w:cs="宋体"/>
          <w:color w:val="auto"/>
          <w:sz w:val="24"/>
        </w:rPr>
        <w:t xml:space="preserve">. </w:t>
      </w:r>
      <w:r>
        <w:rPr>
          <w:rFonts w:hint="eastAsia" w:ascii="宋体" w:hAnsi="宋体" w:cs="宋体"/>
          <w:color w:val="auto"/>
          <w:sz w:val="24"/>
        </w:rPr>
        <w:t>注意事项：本项目采用电子辅助操作，供应商应详细阅读海南政府采购网的通知《关于实施政府采购电子化交易管理系统试点应用工作的通知》，供应商使用交易系统遇到问题可致电技术支持：0898-68546705。</w:t>
      </w:r>
    </w:p>
    <w:p>
      <w:pPr>
        <w:pageBreakBefore w:val="0"/>
        <w:widowControl w:val="0"/>
        <w:kinsoku/>
        <w:wordWrap/>
        <w:overflowPunct/>
        <w:topLinePunct w:val="0"/>
        <w:autoSpaceDE/>
        <w:autoSpaceDN/>
        <w:bidi w:val="0"/>
        <w:adjustRightInd/>
        <w:snapToGrid w:val="0"/>
        <w:spacing w:line="450" w:lineRule="exact"/>
        <w:ind w:left="10" w:hanging="10" w:hangingChars="4"/>
        <w:textAlignment w:val="auto"/>
        <w:rPr>
          <w:rFonts w:ascii="宋体" w:hAnsi="宋体" w:cs="宋体"/>
          <w:b/>
          <w:color w:val="auto"/>
          <w:kern w:val="1"/>
          <w:sz w:val="24"/>
        </w:rPr>
      </w:pPr>
      <w:r>
        <w:rPr>
          <w:rFonts w:hint="eastAsia" w:ascii="宋体" w:hAnsi="宋体" w:cs="宋体"/>
          <w:b/>
          <w:color w:val="auto"/>
          <w:kern w:val="0"/>
          <w:sz w:val="24"/>
        </w:rPr>
        <w:t>八、凡对本次采购提出询问，请按以下方式联系：</w:t>
      </w:r>
    </w:p>
    <w:p>
      <w:pPr>
        <w:pStyle w:val="4"/>
        <w:pageBreakBefore w:val="0"/>
        <w:widowControl w:val="0"/>
        <w:kinsoku/>
        <w:wordWrap/>
        <w:overflowPunct/>
        <w:topLinePunct w:val="0"/>
        <w:autoSpaceDE/>
        <w:autoSpaceDN/>
        <w:bidi w:val="0"/>
        <w:adjustRightInd/>
        <w:spacing w:before="0" w:after="0" w:line="450" w:lineRule="exact"/>
        <w:ind w:firstLine="482" w:firstLineChars="200"/>
        <w:textAlignment w:val="auto"/>
        <w:rPr>
          <w:rFonts w:ascii="宋体" w:hAnsi="宋体" w:eastAsia="宋体" w:cs="宋体"/>
          <w:bCs w:val="0"/>
          <w:color w:val="auto"/>
          <w:sz w:val="24"/>
          <w:szCs w:val="24"/>
        </w:rPr>
      </w:pPr>
      <w:bookmarkStart w:id="1" w:name="_Toc35393806"/>
      <w:bookmarkStart w:id="2" w:name="_Toc35393637"/>
      <w:bookmarkStart w:id="3" w:name="_Toc28359019"/>
      <w:bookmarkStart w:id="4" w:name="_Toc28359096"/>
      <w:r>
        <w:rPr>
          <w:rFonts w:hint="eastAsia" w:ascii="宋体" w:hAnsi="宋体" w:eastAsia="宋体" w:cs="宋体"/>
          <w:bCs w:val="0"/>
          <w:color w:val="auto"/>
          <w:sz w:val="24"/>
          <w:szCs w:val="24"/>
        </w:rPr>
        <w:t>1.采购人信息</w:t>
      </w:r>
      <w:bookmarkEnd w:id="1"/>
      <w:bookmarkEnd w:id="2"/>
      <w:bookmarkEnd w:id="3"/>
      <w:bookmarkEnd w:id="4"/>
    </w:p>
    <w:p>
      <w:pPr>
        <w:pageBreakBefore w:val="0"/>
        <w:widowControl w:val="0"/>
        <w:kinsoku/>
        <w:wordWrap/>
        <w:overflowPunct/>
        <w:topLinePunct w:val="0"/>
        <w:autoSpaceDE/>
        <w:autoSpaceDN/>
        <w:bidi w:val="0"/>
        <w:adjustRightInd/>
        <w:spacing w:line="450" w:lineRule="exact"/>
        <w:ind w:firstLine="480" w:firstLineChars="200"/>
        <w:textAlignment w:val="auto"/>
        <w:rPr>
          <w:rFonts w:hint="eastAsia" w:ascii="宋体" w:hAnsi="宋体" w:eastAsia="宋体" w:cs="宋体"/>
          <w:bCs/>
          <w:color w:val="auto"/>
          <w:kern w:val="0"/>
          <w:sz w:val="24"/>
          <w:lang w:eastAsia="zh-CN"/>
        </w:rPr>
      </w:pPr>
      <w:r>
        <w:rPr>
          <w:rFonts w:hint="eastAsia" w:ascii="宋体" w:hAnsi="宋体" w:cs="宋体"/>
          <w:bCs/>
          <w:color w:val="auto"/>
          <w:kern w:val="0"/>
          <w:sz w:val="24"/>
          <w:lang w:val="en-GB"/>
        </w:rPr>
        <w:t>名称：</w:t>
      </w:r>
      <w:r>
        <w:rPr>
          <w:rFonts w:hint="eastAsia" w:ascii="宋体" w:hAnsi="宋体" w:cs="宋体"/>
          <w:bCs/>
          <w:color w:val="auto"/>
          <w:kern w:val="0"/>
          <w:sz w:val="24"/>
          <w:lang w:eastAsia="zh-CN"/>
        </w:rPr>
        <w:t>儋州市第二中学</w:t>
      </w:r>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bCs/>
          <w:color w:val="auto"/>
          <w:kern w:val="0"/>
          <w:sz w:val="24"/>
        </w:rPr>
      </w:pPr>
      <w:bookmarkStart w:id="5" w:name="_Toc35393638"/>
      <w:bookmarkStart w:id="6" w:name="_Toc35393807"/>
      <w:bookmarkStart w:id="7" w:name="_Toc28359097"/>
      <w:bookmarkStart w:id="8" w:name="_Toc28359020"/>
      <w:r>
        <w:rPr>
          <w:rFonts w:hint="eastAsia" w:ascii="宋体" w:hAnsi="宋体" w:cs="宋体"/>
          <w:bCs/>
          <w:color w:val="auto"/>
          <w:kern w:val="0"/>
          <w:sz w:val="24"/>
          <w:lang w:val="en-GB"/>
        </w:rPr>
        <w:t>地址：海南省儋州市区那大镇文化中路</w:t>
      </w:r>
    </w:p>
    <w:p>
      <w:pPr>
        <w:pageBreakBefore w:val="0"/>
        <w:widowControl w:val="0"/>
        <w:kinsoku/>
        <w:wordWrap/>
        <w:overflowPunct/>
        <w:topLinePunct w:val="0"/>
        <w:autoSpaceDE/>
        <w:autoSpaceDN/>
        <w:bidi w:val="0"/>
        <w:adjustRightInd/>
        <w:spacing w:line="450" w:lineRule="exact"/>
        <w:ind w:firstLine="480" w:firstLineChars="200"/>
        <w:textAlignment w:val="auto"/>
        <w:rPr>
          <w:rFonts w:hint="default" w:ascii="宋体" w:hAnsi="宋体" w:eastAsia="宋体" w:cs="宋体"/>
          <w:bCs/>
          <w:color w:val="auto"/>
          <w:kern w:val="0"/>
          <w:sz w:val="24"/>
          <w:lang w:val="en-US" w:eastAsia="zh-CN"/>
        </w:rPr>
      </w:pPr>
      <w:r>
        <w:rPr>
          <w:rFonts w:hint="eastAsia" w:ascii="宋体" w:hAnsi="宋体" w:cs="宋体"/>
          <w:bCs/>
          <w:color w:val="auto"/>
          <w:kern w:val="0"/>
          <w:sz w:val="24"/>
          <w:lang w:val="en-GB"/>
        </w:rPr>
        <w:t>联系方式：</w:t>
      </w:r>
      <w:r>
        <w:rPr>
          <w:rFonts w:hint="eastAsia" w:ascii="宋体" w:hAnsi="宋体" w:cs="宋体"/>
          <w:bCs/>
          <w:color w:val="auto"/>
          <w:kern w:val="0"/>
          <w:sz w:val="24"/>
          <w:lang w:val="en-US" w:eastAsia="zh-CN"/>
        </w:rPr>
        <w:t>罗老师</w:t>
      </w:r>
      <w:r>
        <w:rPr>
          <w:rFonts w:hint="eastAsia" w:ascii="宋体" w:hAnsi="宋体" w:cs="宋体"/>
          <w:bCs/>
          <w:color w:val="auto"/>
          <w:kern w:val="0"/>
          <w:sz w:val="24"/>
          <w:lang w:val="en-GB" w:eastAsia="zh-CN"/>
        </w:rPr>
        <w:t>0898-233</w:t>
      </w:r>
      <w:r>
        <w:rPr>
          <w:rFonts w:hint="eastAsia" w:ascii="宋体" w:hAnsi="宋体" w:cs="宋体"/>
          <w:bCs/>
          <w:color w:val="auto"/>
          <w:kern w:val="0"/>
          <w:sz w:val="24"/>
          <w:lang w:val="en-US" w:eastAsia="zh-CN"/>
        </w:rPr>
        <w:t>18651</w:t>
      </w:r>
    </w:p>
    <w:p>
      <w:pPr>
        <w:pStyle w:val="4"/>
        <w:pageBreakBefore w:val="0"/>
        <w:widowControl w:val="0"/>
        <w:kinsoku/>
        <w:wordWrap/>
        <w:overflowPunct/>
        <w:topLinePunct w:val="0"/>
        <w:autoSpaceDE/>
        <w:autoSpaceDN/>
        <w:bidi w:val="0"/>
        <w:adjustRightInd/>
        <w:spacing w:before="0" w:after="0" w:line="450" w:lineRule="exact"/>
        <w:ind w:firstLine="482" w:firstLineChars="200"/>
        <w:textAlignment w:val="auto"/>
        <w:rPr>
          <w:rFonts w:ascii="宋体" w:hAnsi="宋体" w:eastAsia="宋体" w:cs="宋体"/>
          <w:bCs w:val="0"/>
          <w:color w:val="auto"/>
          <w:sz w:val="24"/>
          <w:szCs w:val="24"/>
        </w:rPr>
      </w:pPr>
      <w:r>
        <w:rPr>
          <w:rFonts w:hint="eastAsia" w:ascii="宋体" w:hAnsi="宋体" w:eastAsia="宋体" w:cs="宋体"/>
          <w:bCs w:val="0"/>
          <w:color w:val="auto"/>
          <w:sz w:val="24"/>
          <w:szCs w:val="24"/>
        </w:rPr>
        <w:t>2.采购代理机构信息</w:t>
      </w:r>
      <w:bookmarkEnd w:id="5"/>
      <w:bookmarkEnd w:id="6"/>
      <w:bookmarkEnd w:id="7"/>
      <w:bookmarkEnd w:id="8"/>
    </w:p>
    <w:p>
      <w:pPr>
        <w:pageBreakBefore w:val="0"/>
        <w:widowControl w:val="0"/>
        <w:kinsoku/>
        <w:wordWrap/>
        <w:overflowPunct/>
        <w:topLinePunct w:val="0"/>
        <w:autoSpaceDE/>
        <w:autoSpaceDN/>
        <w:bidi w:val="0"/>
        <w:adjustRightInd/>
        <w:spacing w:line="450" w:lineRule="exact"/>
        <w:ind w:firstLine="480" w:firstLineChars="200"/>
        <w:textAlignment w:val="auto"/>
        <w:rPr>
          <w:rFonts w:hint="eastAsia" w:ascii="宋体" w:hAnsi="宋体" w:eastAsia="宋体" w:cs="宋体"/>
          <w:bCs/>
          <w:color w:val="auto"/>
          <w:kern w:val="0"/>
          <w:sz w:val="24"/>
          <w:lang w:val="en-GB" w:eastAsia="zh-CN"/>
        </w:rPr>
      </w:pPr>
      <w:r>
        <w:rPr>
          <w:rFonts w:hint="eastAsia" w:ascii="宋体" w:hAnsi="宋体" w:cs="宋体"/>
          <w:bCs/>
          <w:color w:val="auto"/>
          <w:kern w:val="0"/>
          <w:sz w:val="24"/>
          <w:lang w:val="en-GB"/>
        </w:rPr>
        <w:t>名称：</w:t>
      </w:r>
      <w:r>
        <w:rPr>
          <w:rFonts w:hint="eastAsia" w:ascii="宋体" w:hAnsi="宋体" w:cs="宋体"/>
          <w:bCs/>
          <w:color w:val="auto"/>
          <w:kern w:val="0"/>
          <w:sz w:val="24"/>
          <w:lang w:val="en-GB" w:eastAsia="zh-CN"/>
        </w:rPr>
        <w:t>海南政鑫招标代理有限公司</w:t>
      </w:r>
    </w:p>
    <w:p>
      <w:pPr>
        <w:pageBreakBefore w:val="0"/>
        <w:widowControl w:val="0"/>
        <w:kinsoku/>
        <w:wordWrap/>
        <w:overflowPunct/>
        <w:topLinePunct w:val="0"/>
        <w:autoSpaceDE/>
        <w:autoSpaceDN/>
        <w:bidi w:val="0"/>
        <w:adjustRightInd/>
        <w:spacing w:line="450" w:lineRule="exact"/>
        <w:ind w:firstLine="480" w:firstLineChars="200"/>
        <w:textAlignment w:val="auto"/>
        <w:rPr>
          <w:rFonts w:hint="eastAsia" w:ascii="宋体" w:hAnsi="宋体" w:eastAsia="宋体" w:cs="宋体"/>
          <w:bCs/>
          <w:color w:val="auto"/>
          <w:kern w:val="0"/>
          <w:sz w:val="24"/>
          <w:lang w:val="en-GB" w:eastAsia="zh-CN"/>
        </w:rPr>
      </w:pPr>
      <w:r>
        <w:rPr>
          <w:rFonts w:hint="eastAsia" w:ascii="宋体" w:hAnsi="宋体" w:cs="宋体"/>
          <w:bCs/>
          <w:color w:val="auto"/>
          <w:kern w:val="0"/>
          <w:sz w:val="24"/>
          <w:lang w:val="en-GB"/>
        </w:rPr>
        <w:t>地址：</w:t>
      </w:r>
      <w:r>
        <w:rPr>
          <w:rFonts w:hint="eastAsia" w:ascii="宋体" w:hAnsi="宋体" w:cs="宋体"/>
          <w:bCs/>
          <w:color w:val="auto"/>
          <w:kern w:val="0"/>
          <w:sz w:val="24"/>
          <w:lang w:val="en-GB" w:eastAsia="zh-CN"/>
        </w:rPr>
        <w:t>海南省海口市美兰区金坡路6号中鹏苑A幢第1层101房</w:t>
      </w:r>
    </w:p>
    <w:p>
      <w:pPr>
        <w:pageBreakBefore w:val="0"/>
        <w:widowControl w:val="0"/>
        <w:kinsoku/>
        <w:wordWrap/>
        <w:overflowPunct/>
        <w:topLinePunct w:val="0"/>
        <w:autoSpaceDE/>
        <w:autoSpaceDN/>
        <w:bidi w:val="0"/>
        <w:adjustRightInd/>
        <w:spacing w:line="450" w:lineRule="exact"/>
        <w:ind w:firstLine="480" w:firstLineChars="200"/>
        <w:textAlignment w:val="auto"/>
        <w:rPr>
          <w:rFonts w:hint="eastAsia" w:ascii="宋体" w:hAnsi="宋体" w:eastAsia="宋体" w:cs="宋体"/>
          <w:bCs/>
          <w:color w:val="auto"/>
          <w:kern w:val="0"/>
          <w:sz w:val="24"/>
          <w:lang w:eastAsia="zh-CN"/>
        </w:rPr>
      </w:pPr>
      <w:r>
        <w:rPr>
          <w:rFonts w:hint="eastAsia" w:ascii="宋体" w:hAnsi="宋体" w:cs="宋体"/>
          <w:bCs/>
          <w:color w:val="auto"/>
          <w:kern w:val="0"/>
          <w:sz w:val="24"/>
          <w:lang w:val="en-GB"/>
        </w:rPr>
        <w:t>联系方式：</w:t>
      </w:r>
      <w:r>
        <w:rPr>
          <w:rFonts w:hint="eastAsia" w:ascii="宋体" w:hAnsi="宋体" w:cs="宋体"/>
          <w:bCs/>
          <w:color w:val="auto"/>
          <w:kern w:val="0"/>
          <w:sz w:val="24"/>
          <w:lang w:val="en-US" w:eastAsia="zh-CN"/>
        </w:rPr>
        <w:t>黄</w:t>
      </w:r>
      <w:r>
        <w:rPr>
          <w:rFonts w:hint="eastAsia" w:ascii="宋体" w:hAnsi="宋体" w:cs="宋体"/>
          <w:bCs/>
          <w:color w:val="auto"/>
          <w:kern w:val="0"/>
          <w:sz w:val="24"/>
        </w:rPr>
        <w:t>女士0898-</w:t>
      </w:r>
      <w:r>
        <w:rPr>
          <w:rFonts w:hint="eastAsia" w:ascii="宋体" w:hAnsi="宋体" w:cs="宋体"/>
          <w:bCs/>
          <w:color w:val="auto"/>
          <w:kern w:val="0"/>
          <w:sz w:val="24"/>
          <w:lang w:eastAsia="zh-CN"/>
        </w:rPr>
        <w:t>65220359</w:t>
      </w:r>
    </w:p>
    <w:p>
      <w:pPr>
        <w:pStyle w:val="4"/>
        <w:pageBreakBefore w:val="0"/>
        <w:widowControl w:val="0"/>
        <w:kinsoku/>
        <w:wordWrap/>
        <w:overflowPunct/>
        <w:topLinePunct w:val="0"/>
        <w:autoSpaceDE/>
        <w:autoSpaceDN/>
        <w:bidi w:val="0"/>
        <w:adjustRightInd/>
        <w:spacing w:before="0" w:after="0" w:line="450" w:lineRule="exact"/>
        <w:ind w:firstLine="482" w:firstLineChars="200"/>
        <w:textAlignment w:val="auto"/>
        <w:rPr>
          <w:rFonts w:ascii="宋体" w:hAnsi="宋体" w:eastAsia="宋体" w:cs="宋体"/>
          <w:bCs w:val="0"/>
          <w:color w:val="auto"/>
          <w:sz w:val="24"/>
          <w:szCs w:val="24"/>
        </w:rPr>
      </w:pPr>
      <w:bookmarkStart w:id="9" w:name="_Toc28359021"/>
      <w:bookmarkStart w:id="10" w:name="_Toc35393639"/>
      <w:bookmarkStart w:id="11" w:name="_Toc28359098"/>
      <w:bookmarkStart w:id="12" w:name="_Toc35393808"/>
      <w:r>
        <w:rPr>
          <w:rFonts w:hint="eastAsia" w:ascii="宋体" w:hAnsi="宋体" w:eastAsia="宋体" w:cs="宋体"/>
          <w:bCs w:val="0"/>
          <w:color w:val="auto"/>
          <w:sz w:val="24"/>
          <w:szCs w:val="24"/>
        </w:rPr>
        <w:t>3.项目联系方式</w:t>
      </w:r>
      <w:bookmarkEnd w:id="9"/>
      <w:bookmarkEnd w:id="10"/>
      <w:bookmarkEnd w:id="11"/>
      <w:bookmarkEnd w:id="12"/>
    </w:p>
    <w:p>
      <w:pPr>
        <w:pageBreakBefore w:val="0"/>
        <w:widowControl w:val="0"/>
        <w:kinsoku/>
        <w:wordWrap/>
        <w:overflowPunct/>
        <w:topLinePunct w:val="0"/>
        <w:autoSpaceDE/>
        <w:autoSpaceDN/>
        <w:bidi w:val="0"/>
        <w:adjustRightInd/>
        <w:spacing w:line="450" w:lineRule="exact"/>
        <w:ind w:firstLine="480" w:firstLineChars="200"/>
        <w:textAlignment w:val="auto"/>
        <w:rPr>
          <w:rFonts w:ascii="宋体" w:hAnsi="宋体" w:cs="宋体"/>
          <w:bCs/>
          <w:color w:val="auto"/>
          <w:kern w:val="0"/>
          <w:sz w:val="24"/>
        </w:rPr>
      </w:pPr>
      <w:r>
        <w:rPr>
          <w:rFonts w:hint="eastAsia" w:ascii="宋体" w:hAnsi="宋体" w:cs="宋体"/>
          <w:bCs/>
          <w:color w:val="auto"/>
          <w:kern w:val="0"/>
          <w:sz w:val="24"/>
          <w:lang w:val="en-GB"/>
        </w:rPr>
        <w:t>项目联系人：</w:t>
      </w:r>
      <w:r>
        <w:rPr>
          <w:rFonts w:hint="eastAsia" w:ascii="宋体" w:hAnsi="宋体" w:cs="宋体"/>
          <w:bCs/>
          <w:color w:val="auto"/>
          <w:kern w:val="0"/>
          <w:sz w:val="24"/>
          <w:lang w:val="en-US" w:eastAsia="zh-CN"/>
        </w:rPr>
        <w:t>黄</w:t>
      </w:r>
      <w:r>
        <w:rPr>
          <w:rFonts w:hint="eastAsia" w:ascii="宋体" w:hAnsi="宋体" w:cs="宋体"/>
          <w:bCs/>
          <w:color w:val="auto"/>
          <w:kern w:val="0"/>
          <w:sz w:val="24"/>
        </w:rPr>
        <w:t>女士</w:t>
      </w:r>
    </w:p>
    <w:p>
      <w:pPr>
        <w:pageBreakBefore w:val="0"/>
        <w:widowControl w:val="0"/>
        <w:kinsoku/>
        <w:wordWrap/>
        <w:overflowPunct/>
        <w:topLinePunct w:val="0"/>
        <w:autoSpaceDE/>
        <w:autoSpaceDN/>
        <w:bidi w:val="0"/>
        <w:adjustRightInd/>
        <w:spacing w:line="450" w:lineRule="exact"/>
        <w:ind w:firstLine="480" w:firstLineChars="200"/>
        <w:textAlignment w:val="auto"/>
        <w:rPr>
          <w:rFonts w:hint="eastAsia" w:ascii="宋体" w:hAnsi="宋体" w:eastAsia="宋体" w:cs="宋体"/>
          <w:color w:val="auto"/>
          <w:kern w:val="0"/>
          <w:sz w:val="24"/>
          <w:lang w:eastAsia="zh-CN"/>
        </w:rPr>
      </w:pPr>
      <w:r>
        <w:rPr>
          <w:rFonts w:hint="eastAsia" w:ascii="宋体" w:hAnsi="宋体" w:cs="宋体"/>
          <w:bCs/>
          <w:color w:val="auto"/>
          <w:kern w:val="0"/>
          <w:sz w:val="24"/>
          <w:lang w:val="en-GB"/>
        </w:rPr>
        <w:t>电话：</w:t>
      </w:r>
      <w:r>
        <w:rPr>
          <w:rFonts w:hint="eastAsia" w:ascii="宋体" w:hAnsi="宋体" w:cs="宋体"/>
          <w:bCs/>
          <w:color w:val="auto"/>
          <w:kern w:val="0"/>
          <w:sz w:val="24"/>
        </w:rPr>
        <w:t>0898-</w:t>
      </w:r>
      <w:r>
        <w:rPr>
          <w:rFonts w:hint="eastAsia" w:ascii="宋体" w:hAnsi="宋体" w:cs="宋体"/>
          <w:bCs/>
          <w:color w:val="auto"/>
          <w:kern w:val="0"/>
          <w:sz w:val="24"/>
          <w:lang w:eastAsia="zh-CN"/>
        </w:rPr>
        <w:t>65220359</w:t>
      </w:r>
    </w:p>
    <w:p>
      <w:pPr>
        <w:spacing w:before="156" w:beforeLines="50" w:after="156" w:afterLines="50" w:line="360" w:lineRule="auto"/>
        <w:jc w:val="center"/>
        <w:outlineLvl w:val="0"/>
        <w:rPr>
          <w:rStyle w:val="28"/>
          <w:rFonts w:ascii="黑体" w:hAnsi="黑体" w:eastAsia="黑体" w:cs="黑体"/>
          <w:b/>
          <w:color w:val="auto"/>
          <w:sz w:val="44"/>
          <w:szCs w:val="44"/>
        </w:rPr>
      </w:pPr>
      <w:r>
        <w:rPr>
          <w:rStyle w:val="43"/>
          <w:rFonts w:hint="eastAsia" w:ascii="宋体" w:hAnsi="宋体" w:cs="宋体"/>
          <w:b/>
          <w:bCs/>
          <w:color w:val="auto"/>
          <w:kern w:val="44"/>
          <w:sz w:val="44"/>
          <w:szCs w:val="44"/>
        </w:rPr>
        <w:br w:type="page"/>
      </w:r>
      <w:r>
        <w:rPr>
          <w:rStyle w:val="28"/>
          <w:rFonts w:hint="eastAsia" w:ascii="黑体" w:hAnsi="黑体" w:eastAsia="黑体" w:cs="黑体"/>
          <w:b/>
          <w:color w:val="auto"/>
          <w:sz w:val="44"/>
          <w:szCs w:val="44"/>
        </w:rPr>
        <w:t>第二章  供应商须知</w:t>
      </w:r>
    </w:p>
    <w:p>
      <w:pPr>
        <w:pStyle w:val="4"/>
        <w:spacing w:before="156" w:beforeLines="50" w:after="156" w:afterLines="50"/>
        <w:jc w:val="center"/>
        <w:rPr>
          <w:rFonts w:ascii="黑体" w:hAnsi="黑体" w:cs="黑体"/>
          <w:color w:val="auto"/>
        </w:rPr>
      </w:pPr>
      <w:bookmarkStart w:id="13" w:name="_Toc152045528"/>
      <w:bookmarkStart w:id="14" w:name="_Toc246996174"/>
      <w:bookmarkStart w:id="15" w:name="_Toc247085688"/>
      <w:bookmarkStart w:id="16" w:name="_Toc425177119"/>
      <w:bookmarkStart w:id="17" w:name="_Toc246996917"/>
      <w:bookmarkStart w:id="18" w:name="_Toc152042304"/>
      <w:bookmarkStart w:id="19" w:name="_Toc20912"/>
      <w:bookmarkStart w:id="20" w:name="_Toc144974496"/>
      <w:bookmarkStart w:id="21" w:name="_Toc179632545"/>
      <w:bookmarkStart w:id="22" w:name="_Toc433126983"/>
      <w:r>
        <w:rPr>
          <w:rFonts w:hint="eastAsia" w:ascii="黑体" w:hAnsi="黑体" w:cs="黑体"/>
          <w:color w:val="auto"/>
        </w:rPr>
        <w:t>供应商须知前附表</w:t>
      </w:r>
      <w:bookmarkEnd w:id="13"/>
      <w:bookmarkEnd w:id="14"/>
      <w:bookmarkEnd w:id="15"/>
      <w:bookmarkEnd w:id="16"/>
      <w:bookmarkEnd w:id="17"/>
      <w:bookmarkEnd w:id="18"/>
      <w:bookmarkEnd w:id="19"/>
      <w:bookmarkEnd w:id="20"/>
      <w:bookmarkEnd w:id="21"/>
    </w:p>
    <w:tbl>
      <w:tblPr>
        <w:tblStyle w:val="22"/>
        <w:tblW w:w="9780" w:type="dxa"/>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910"/>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b/>
                <w:color w:val="auto"/>
                <w:sz w:val="24"/>
              </w:rPr>
            </w:pPr>
            <w:r>
              <w:rPr>
                <w:rFonts w:hint="eastAsia" w:ascii="宋体" w:hAnsi="宋体" w:cs="宋体"/>
                <w:b/>
                <w:color w:val="auto"/>
                <w:sz w:val="24"/>
              </w:rPr>
              <w:t>条款号</w:t>
            </w:r>
          </w:p>
        </w:tc>
        <w:tc>
          <w:tcPr>
            <w:tcW w:w="1910" w:type="dxa"/>
            <w:vAlign w:val="center"/>
          </w:tcPr>
          <w:p>
            <w:pPr>
              <w:spacing w:line="440" w:lineRule="exact"/>
              <w:jc w:val="center"/>
              <w:rPr>
                <w:rFonts w:ascii="宋体" w:hAnsi="宋体" w:cs="宋体"/>
                <w:b/>
                <w:color w:val="auto"/>
                <w:sz w:val="24"/>
              </w:rPr>
            </w:pPr>
            <w:r>
              <w:rPr>
                <w:rFonts w:hint="eastAsia" w:ascii="宋体" w:hAnsi="宋体" w:cs="宋体"/>
                <w:b/>
                <w:color w:val="auto"/>
                <w:sz w:val="24"/>
              </w:rPr>
              <w:t>条 款 名 称</w:t>
            </w:r>
          </w:p>
        </w:tc>
        <w:tc>
          <w:tcPr>
            <w:tcW w:w="6900" w:type="dxa"/>
            <w:vAlign w:val="center"/>
          </w:tcPr>
          <w:p>
            <w:pPr>
              <w:spacing w:line="440" w:lineRule="exact"/>
              <w:jc w:val="center"/>
              <w:rPr>
                <w:rFonts w:ascii="宋体" w:hAnsi="宋体" w:cs="宋体"/>
                <w:b/>
                <w:color w:val="auto"/>
                <w:sz w:val="24"/>
              </w:rPr>
            </w:pPr>
            <w:r>
              <w:rPr>
                <w:rFonts w:hint="eastAsia" w:ascii="宋体" w:hAnsi="宋体" w:cs="宋体"/>
                <w:b/>
                <w:color w:val="auto"/>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1.1.2</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采购人</w:t>
            </w:r>
          </w:p>
        </w:tc>
        <w:tc>
          <w:tcPr>
            <w:tcW w:w="6900" w:type="dxa"/>
            <w:vAlign w:val="center"/>
          </w:tcPr>
          <w:p>
            <w:pPr>
              <w:spacing w:line="440" w:lineRule="exact"/>
              <w:rPr>
                <w:rFonts w:hint="eastAsia" w:ascii="宋体" w:hAnsi="宋体" w:eastAsia="宋体" w:cs="宋体"/>
                <w:color w:val="auto"/>
                <w:sz w:val="24"/>
                <w:lang w:eastAsia="zh-CN"/>
              </w:rPr>
            </w:pPr>
            <w:r>
              <w:rPr>
                <w:rFonts w:hint="eastAsia" w:ascii="宋体" w:hAnsi="宋体" w:cs="宋体"/>
                <w:color w:val="auto"/>
                <w:sz w:val="24"/>
              </w:rPr>
              <w:t>名称：</w:t>
            </w:r>
            <w:r>
              <w:rPr>
                <w:rFonts w:hint="eastAsia" w:ascii="宋体" w:hAnsi="宋体" w:cs="宋体"/>
                <w:color w:val="auto"/>
                <w:sz w:val="24"/>
                <w:lang w:eastAsia="zh-CN"/>
              </w:rPr>
              <w:t>儋州市第二中学</w:t>
            </w:r>
          </w:p>
          <w:p>
            <w:pPr>
              <w:spacing w:line="440" w:lineRule="exact"/>
              <w:rPr>
                <w:rFonts w:ascii="宋体" w:hAnsi="宋体" w:cs="宋体"/>
                <w:color w:val="auto"/>
                <w:sz w:val="24"/>
              </w:rPr>
            </w:pPr>
            <w:r>
              <w:rPr>
                <w:rFonts w:hint="eastAsia" w:ascii="宋体" w:hAnsi="宋体" w:cs="宋体"/>
                <w:color w:val="auto"/>
                <w:sz w:val="24"/>
              </w:rPr>
              <w:t>地址：</w:t>
            </w:r>
            <w:r>
              <w:rPr>
                <w:rFonts w:hint="eastAsia" w:ascii="宋体" w:hAnsi="宋体" w:cs="宋体"/>
                <w:bCs/>
                <w:color w:val="auto"/>
                <w:kern w:val="0"/>
                <w:sz w:val="24"/>
                <w:lang w:val="en-GB"/>
              </w:rPr>
              <w:t>海南省儋州市区那大镇文化中路</w:t>
            </w:r>
          </w:p>
          <w:p>
            <w:pPr>
              <w:spacing w:line="440" w:lineRule="exact"/>
              <w:rPr>
                <w:rFonts w:ascii="宋体" w:hAnsi="宋体" w:cs="宋体"/>
                <w:color w:val="auto"/>
                <w:sz w:val="24"/>
              </w:rPr>
            </w:pPr>
            <w:r>
              <w:rPr>
                <w:rFonts w:hint="eastAsia" w:ascii="宋体" w:hAnsi="宋体" w:cs="宋体"/>
                <w:color w:val="auto"/>
                <w:sz w:val="24"/>
              </w:rPr>
              <w:t>联系人：</w:t>
            </w:r>
            <w:r>
              <w:rPr>
                <w:rFonts w:hint="eastAsia" w:ascii="宋体" w:hAnsi="宋体" w:cs="宋体"/>
                <w:bCs/>
                <w:color w:val="auto"/>
                <w:kern w:val="0"/>
                <w:sz w:val="24"/>
                <w:lang w:val="en-US" w:eastAsia="zh-CN"/>
              </w:rPr>
              <w:t>罗老师</w:t>
            </w:r>
          </w:p>
          <w:p>
            <w:pPr>
              <w:spacing w:line="440" w:lineRule="exact"/>
              <w:rPr>
                <w:rFonts w:hint="eastAsia" w:ascii="宋体" w:hAnsi="宋体" w:eastAsia="宋体" w:cs="宋体"/>
                <w:color w:val="auto"/>
                <w:sz w:val="24"/>
                <w:lang w:eastAsia="zh-CN"/>
              </w:rPr>
            </w:pPr>
            <w:r>
              <w:rPr>
                <w:rFonts w:hint="eastAsia" w:ascii="宋体" w:hAnsi="宋体" w:cs="宋体"/>
                <w:color w:val="auto"/>
                <w:sz w:val="24"/>
              </w:rPr>
              <w:t>电话：</w:t>
            </w:r>
            <w:r>
              <w:rPr>
                <w:rFonts w:hint="eastAsia" w:ascii="宋体" w:hAnsi="宋体" w:cs="宋体"/>
                <w:bCs/>
                <w:color w:val="auto"/>
                <w:kern w:val="0"/>
                <w:sz w:val="24"/>
                <w:lang w:val="en-GB" w:eastAsia="zh-CN"/>
              </w:rPr>
              <w:t>0898-233</w:t>
            </w:r>
            <w:r>
              <w:rPr>
                <w:rFonts w:hint="eastAsia" w:ascii="宋体" w:hAnsi="宋体" w:cs="宋体"/>
                <w:bCs/>
                <w:color w:val="auto"/>
                <w:kern w:val="0"/>
                <w:sz w:val="24"/>
                <w:lang w:val="en-US" w:eastAsia="zh-CN"/>
              </w:rPr>
              <w:t>18651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1.1.3</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采购代理机构</w:t>
            </w:r>
          </w:p>
        </w:tc>
        <w:tc>
          <w:tcPr>
            <w:tcW w:w="6900" w:type="dxa"/>
            <w:vAlign w:val="center"/>
          </w:tcPr>
          <w:p>
            <w:pPr>
              <w:spacing w:line="440" w:lineRule="exact"/>
              <w:rPr>
                <w:rFonts w:hint="eastAsia" w:ascii="宋体" w:hAnsi="宋体" w:eastAsia="宋体" w:cs="宋体"/>
                <w:color w:val="auto"/>
                <w:sz w:val="24"/>
                <w:lang w:eastAsia="zh-CN"/>
              </w:rPr>
            </w:pPr>
            <w:r>
              <w:rPr>
                <w:rFonts w:hint="eastAsia" w:ascii="宋体" w:hAnsi="宋体" w:cs="宋体"/>
                <w:color w:val="auto"/>
                <w:sz w:val="24"/>
              </w:rPr>
              <w:t>名称：</w:t>
            </w:r>
            <w:r>
              <w:rPr>
                <w:rFonts w:hint="eastAsia" w:ascii="宋体" w:hAnsi="宋体" w:cs="宋体"/>
                <w:color w:val="auto"/>
                <w:sz w:val="24"/>
                <w:lang w:eastAsia="zh-CN"/>
              </w:rPr>
              <w:t>海南政鑫招标代理有限公司</w:t>
            </w:r>
          </w:p>
          <w:p>
            <w:pPr>
              <w:spacing w:line="440" w:lineRule="exact"/>
              <w:rPr>
                <w:rFonts w:hint="eastAsia" w:ascii="宋体" w:hAnsi="宋体" w:eastAsia="宋体" w:cs="宋体"/>
                <w:bCs/>
                <w:color w:val="auto"/>
                <w:kern w:val="0"/>
                <w:sz w:val="24"/>
                <w:lang w:val="en-GB" w:eastAsia="zh-CN"/>
              </w:rPr>
            </w:pPr>
            <w:r>
              <w:rPr>
                <w:rFonts w:hint="eastAsia" w:ascii="宋体" w:hAnsi="宋体" w:cs="宋体"/>
                <w:color w:val="auto"/>
                <w:sz w:val="24"/>
              </w:rPr>
              <w:t>地址：</w:t>
            </w:r>
            <w:r>
              <w:rPr>
                <w:rFonts w:hint="eastAsia" w:ascii="宋体" w:hAnsi="宋体" w:cs="宋体"/>
                <w:bCs/>
                <w:color w:val="auto"/>
                <w:kern w:val="0"/>
                <w:sz w:val="24"/>
                <w:lang w:val="en-GB" w:eastAsia="zh-CN"/>
              </w:rPr>
              <w:t>海南省海口市美兰区金坡路6号中鹏苑A幢第1层101房</w:t>
            </w:r>
          </w:p>
          <w:p>
            <w:pPr>
              <w:spacing w:line="440" w:lineRule="exact"/>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lang w:val="en-US" w:eastAsia="zh-CN"/>
              </w:rPr>
              <w:t>黄</w:t>
            </w:r>
            <w:r>
              <w:rPr>
                <w:rFonts w:hint="eastAsia" w:ascii="宋体" w:hAnsi="宋体" w:cs="宋体"/>
                <w:bCs/>
                <w:color w:val="auto"/>
                <w:kern w:val="0"/>
                <w:sz w:val="24"/>
              </w:rPr>
              <w:t>女士</w:t>
            </w:r>
          </w:p>
          <w:p>
            <w:pPr>
              <w:spacing w:line="440" w:lineRule="exact"/>
              <w:rPr>
                <w:rFonts w:hint="eastAsia" w:ascii="宋体" w:hAnsi="宋体" w:eastAsia="宋体" w:cs="宋体"/>
                <w:color w:val="auto"/>
                <w:sz w:val="24"/>
                <w:lang w:eastAsia="zh-CN"/>
              </w:rPr>
            </w:pPr>
            <w:r>
              <w:rPr>
                <w:rFonts w:hint="eastAsia" w:ascii="宋体" w:hAnsi="宋体" w:cs="宋体"/>
                <w:color w:val="auto"/>
                <w:sz w:val="24"/>
              </w:rPr>
              <w:t>电话：</w:t>
            </w:r>
            <w:r>
              <w:rPr>
                <w:rFonts w:hint="eastAsia" w:ascii="宋体" w:hAnsi="宋体" w:cs="宋体"/>
                <w:bCs/>
                <w:color w:val="auto"/>
                <w:kern w:val="0"/>
                <w:sz w:val="24"/>
              </w:rPr>
              <w:t>0898-</w:t>
            </w:r>
            <w:r>
              <w:rPr>
                <w:rFonts w:hint="eastAsia" w:ascii="宋体" w:hAnsi="宋体" w:cs="宋体"/>
                <w:bCs/>
                <w:color w:val="auto"/>
                <w:kern w:val="0"/>
                <w:sz w:val="24"/>
                <w:lang w:eastAsia="zh-CN"/>
              </w:rPr>
              <w:t>65220359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1.1.4</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项目名称</w:t>
            </w:r>
          </w:p>
        </w:tc>
        <w:tc>
          <w:tcPr>
            <w:tcW w:w="6900" w:type="dxa"/>
            <w:vAlign w:val="center"/>
          </w:tcPr>
          <w:p>
            <w:pPr>
              <w:spacing w:line="440" w:lineRule="exact"/>
              <w:rPr>
                <w:rFonts w:hint="eastAsia" w:ascii="宋体" w:hAnsi="宋体" w:eastAsia="宋体" w:cs="宋体"/>
                <w:color w:val="auto"/>
                <w:sz w:val="24"/>
                <w:lang w:eastAsia="zh-CN"/>
              </w:rPr>
            </w:pPr>
            <w:r>
              <w:rPr>
                <w:rFonts w:hint="eastAsia" w:ascii="宋体" w:hAnsi="宋体" w:cs="宋体"/>
                <w:bCs/>
                <w:color w:val="auto"/>
                <w:kern w:val="0"/>
                <w:sz w:val="24"/>
                <w:lang w:val="en-GB" w:eastAsia="zh-CN"/>
              </w:rPr>
              <w:t>儋州市第二中学多功能报告厅及开放式书吧改造工程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1.1.5</w:t>
            </w:r>
          </w:p>
        </w:tc>
        <w:tc>
          <w:tcPr>
            <w:tcW w:w="1910" w:type="dxa"/>
            <w:vAlign w:val="center"/>
          </w:tcPr>
          <w:p>
            <w:pPr>
              <w:spacing w:line="440" w:lineRule="exact"/>
              <w:jc w:val="center"/>
              <w:rPr>
                <w:rFonts w:ascii="宋体" w:hAnsi="宋体" w:cs="宋体"/>
                <w:bCs/>
                <w:color w:val="auto"/>
                <w:kern w:val="0"/>
                <w:sz w:val="24"/>
                <w:lang w:val="en-GB"/>
              </w:rPr>
            </w:pPr>
            <w:r>
              <w:rPr>
                <w:rFonts w:hint="eastAsia" w:ascii="宋体" w:hAnsi="宋体" w:cs="宋体"/>
                <w:bCs/>
                <w:color w:val="auto"/>
                <w:kern w:val="0"/>
                <w:sz w:val="24"/>
                <w:lang w:val="en-GB"/>
              </w:rPr>
              <w:t>建设地点</w:t>
            </w:r>
          </w:p>
        </w:tc>
        <w:tc>
          <w:tcPr>
            <w:tcW w:w="6900" w:type="dxa"/>
            <w:vAlign w:val="center"/>
          </w:tcPr>
          <w:p>
            <w:pPr>
              <w:spacing w:line="440" w:lineRule="exact"/>
              <w:rPr>
                <w:rFonts w:ascii="宋体" w:hAnsi="宋体" w:cs="宋体"/>
                <w:bCs/>
                <w:color w:val="auto"/>
                <w:kern w:val="0"/>
                <w:sz w:val="24"/>
                <w:lang w:val="en-GB"/>
              </w:rPr>
            </w:pPr>
            <w:r>
              <w:rPr>
                <w:rFonts w:hint="eastAsia" w:ascii="宋体" w:hAnsi="宋体" w:cs="宋体"/>
                <w:bCs/>
                <w:color w:val="auto"/>
                <w:kern w:val="0"/>
                <w:sz w:val="24"/>
                <w:lang w:val="en-GB" w:eastAsia="zh-CN"/>
              </w:rPr>
              <w:t>儋州市第二中学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1.2.1</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资金来源</w:t>
            </w:r>
          </w:p>
        </w:tc>
        <w:tc>
          <w:tcPr>
            <w:tcW w:w="6900" w:type="dxa"/>
            <w:vAlign w:val="center"/>
          </w:tcPr>
          <w:p>
            <w:pPr>
              <w:spacing w:line="440" w:lineRule="exact"/>
              <w:rPr>
                <w:rFonts w:hint="default" w:ascii="宋体" w:hAnsi="宋体" w:eastAsia="宋体" w:cs="宋体"/>
                <w:color w:val="auto"/>
                <w:sz w:val="24"/>
                <w:lang w:val="en-US" w:eastAsia="zh-CN"/>
              </w:rPr>
            </w:pPr>
            <w:r>
              <w:rPr>
                <w:rFonts w:hint="eastAsia" w:ascii="宋体" w:hAnsi="宋体" w:cs="宋体"/>
                <w:color w:val="auto"/>
                <w:sz w:val="24"/>
                <w:lang w:val="en-US" w:eastAsia="zh-CN"/>
              </w:rPr>
              <w:t>政府资金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1.2.2</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出资比例</w:t>
            </w:r>
          </w:p>
        </w:tc>
        <w:tc>
          <w:tcPr>
            <w:tcW w:w="6900" w:type="dxa"/>
            <w:vAlign w:val="center"/>
          </w:tcPr>
          <w:p>
            <w:pPr>
              <w:spacing w:line="440" w:lineRule="exact"/>
              <w:rPr>
                <w:rFonts w:ascii="宋体" w:hAnsi="宋体" w:cs="宋体"/>
                <w:color w:val="auto"/>
                <w:sz w:val="24"/>
              </w:rPr>
            </w:pPr>
            <w:r>
              <w:rPr>
                <w:rFonts w:hint="eastAsia" w:ascii="宋体" w:hAnsi="宋体" w:cs="宋体"/>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1.2.3</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资金落实情况</w:t>
            </w:r>
          </w:p>
        </w:tc>
        <w:tc>
          <w:tcPr>
            <w:tcW w:w="6900" w:type="dxa"/>
            <w:vAlign w:val="center"/>
          </w:tcPr>
          <w:p>
            <w:pPr>
              <w:spacing w:line="440" w:lineRule="exact"/>
              <w:rPr>
                <w:rFonts w:ascii="宋体" w:hAnsi="宋体" w:cs="宋体"/>
                <w:color w:val="auto"/>
                <w:sz w:val="24"/>
              </w:rPr>
            </w:pPr>
            <w:r>
              <w:rPr>
                <w:rFonts w:hint="eastAsia" w:ascii="宋体" w:hAnsi="宋体" w:cs="宋体"/>
                <w:color w:val="auto"/>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1.3.1</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招标范围</w:t>
            </w:r>
          </w:p>
        </w:tc>
        <w:tc>
          <w:tcPr>
            <w:tcW w:w="6900" w:type="dxa"/>
            <w:vAlign w:val="center"/>
          </w:tcPr>
          <w:p>
            <w:pPr>
              <w:shd w:val="solid" w:color="FFFFFF" w:fill="auto"/>
              <w:spacing w:line="440" w:lineRule="exact"/>
              <w:ind w:right="199" w:rightChars="95"/>
              <w:rPr>
                <w:rFonts w:ascii="宋体" w:hAnsi="宋体" w:cs="宋体"/>
                <w:color w:val="auto"/>
                <w:sz w:val="24"/>
              </w:rPr>
            </w:pPr>
            <w:r>
              <w:rPr>
                <w:rFonts w:hint="eastAsia" w:ascii="宋体" w:hAnsi="宋体" w:cs="宋体"/>
                <w:color w:val="auto"/>
                <w:sz w:val="24"/>
                <w:lang w:val="en-US" w:eastAsia="zh-CN"/>
              </w:rPr>
              <w:t>室内</w:t>
            </w:r>
            <w:r>
              <w:rPr>
                <w:rFonts w:hint="eastAsia" w:ascii="宋体" w:hAnsi="宋体" w:cs="宋体"/>
                <w:color w:val="auto"/>
                <w:sz w:val="24"/>
              </w:rPr>
              <w:t>装饰</w:t>
            </w:r>
            <w:r>
              <w:rPr>
                <w:rFonts w:hint="eastAsia" w:ascii="宋体" w:hAnsi="宋体" w:cs="宋体"/>
                <w:color w:val="auto"/>
                <w:sz w:val="24"/>
                <w:lang w:eastAsia="zh-CN"/>
              </w:rPr>
              <w:t>、</w:t>
            </w:r>
            <w:r>
              <w:rPr>
                <w:rFonts w:hint="eastAsia" w:ascii="宋体" w:hAnsi="宋体" w:cs="宋体"/>
                <w:color w:val="auto"/>
                <w:sz w:val="24"/>
                <w:lang w:val="en-US" w:eastAsia="zh-CN"/>
              </w:rPr>
              <w:t>电气安装等</w:t>
            </w:r>
            <w:r>
              <w:rPr>
                <w:rFonts w:hint="eastAsia" w:ascii="宋体" w:hAnsi="宋体" w:cs="宋体"/>
                <w:color w:val="auto"/>
                <w:sz w:val="24"/>
              </w:rPr>
              <w:t>工程（具体内容详见工程量清单及施工图）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1.3.2</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计划工期</w:t>
            </w:r>
          </w:p>
        </w:tc>
        <w:tc>
          <w:tcPr>
            <w:tcW w:w="6900" w:type="dxa"/>
            <w:vAlign w:val="center"/>
          </w:tcPr>
          <w:p>
            <w:pPr>
              <w:spacing w:line="440" w:lineRule="exact"/>
              <w:rPr>
                <w:rFonts w:ascii="宋体" w:hAnsi="宋体" w:cs="宋体"/>
                <w:color w:val="auto"/>
                <w:sz w:val="24"/>
              </w:rPr>
            </w:pPr>
            <w:r>
              <w:rPr>
                <w:rFonts w:ascii="宋体" w:hAnsi="宋体" w:cs="宋体"/>
                <w:color w:val="auto"/>
                <w:sz w:val="24"/>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1.3.3</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质量要求</w:t>
            </w:r>
          </w:p>
        </w:tc>
        <w:tc>
          <w:tcPr>
            <w:tcW w:w="6900" w:type="dxa"/>
            <w:vAlign w:val="center"/>
          </w:tcPr>
          <w:p>
            <w:pPr>
              <w:spacing w:line="440" w:lineRule="exact"/>
              <w:rPr>
                <w:rFonts w:ascii="宋体" w:hAnsi="宋体" w:cs="宋体"/>
                <w:color w:val="auto"/>
                <w:sz w:val="24"/>
              </w:rPr>
            </w:pPr>
            <w:r>
              <w:rPr>
                <w:rFonts w:hint="eastAsia" w:ascii="宋体" w:hAnsi="宋体"/>
                <w:color w:val="auto"/>
                <w:sz w:val="24"/>
              </w:rPr>
              <w:t>符合国家现行有关工程施工验收规范和标准要求的合格标准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 xml:space="preserve"> 1.4.1</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供应商资质条件、能力</w:t>
            </w:r>
          </w:p>
        </w:tc>
        <w:tc>
          <w:tcPr>
            <w:tcW w:w="6900" w:type="dxa"/>
            <w:vAlign w:val="center"/>
          </w:tcPr>
          <w:p>
            <w:pPr>
              <w:spacing w:line="440" w:lineRule="exact"/>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
                <w:bCs/>
                <w:color w:val="auto"/>
                <w:sz w:val="24"/>
              </w:rPr>
              <w:t>资质要求：</w:t>
            </w:r>
            <w:r>
              <w:rPr>
                <w:rFonts w:hint="eastAsia" w:ascii="宋体" w:hAnsi="宋体" w:cs="宋体"/>
                <w:bCs/>
                <w:color w:val="auto"/>
                <w:kern w:val="0"/>
                <w:sz w:val="24"/>
                <w:lang w:val="en-GB"/>
              </w:rPr>
              <w:t>须具备独立法人资格及有效的安全生产许可证，且具备建筑</w:t>
            </w:r>
            <w:r>
              <w:rPr>
                <w:rFonts w:hint="eastAsia" w:ascii="宋体" w:hAnsi="宋体" w:cs="宋体"/>
                <w:bCs/>
                <w:color w:val="auto"/>
                <w:kern w:val="0"/>
                <w:sz w:val="24"/>
                <w:lang w:val="en-US" w:eastAsia="zh-CN"/>
              </w:rPr>
              <w:t>装修装饰</w:t>
            </w:r>
            <w:r>
              <w:rPr>
                <w:rFonts w:hint="eastAsia" w:ascii="宋体" w:hAnsi="宋体" w:cs="宋体"/>
                <w:bCs/>
                <w:color w:val="auto"/>
                <w:kern w:val="0"/>
                <w:sz w:val="24"/>
                <w:lang w:val="en-GB"/>
              </w:rPr>
              <w:t>工程</w:t>
            </w:r>
            <w:r>
              <w:rPr>
                <w:rFonts w:hint="eastAsia" w:ascii="宋体" w:hAnsi="宋体" w:cs="宋体"/>
                <w:bCs/>
                <w:color w:val="auto"/>
                <w:kern w:val="0"/>
                <w:sz w:val="24"/>
                <w:lang w:val="en-US" w:eastAsia="zh-CN"/>
              </w:rPr>
              <w:t>专业</w:t>
            </w:r>
            <w:r>
              <w:rPr>
                <w:rFonts w:hint="eastAsia" w:ascii="宋体" w:hAnsi="宋体" w:cs="宋体"/>
                <w:bCs/>
                <w:color w:val="auto"/>
                <w:kern w:val="0"/>
                <w:sz w:val="24"/>
                <w:lang w:val="en-GB"/>
              </w:rPr>
              <w:t>承包</w:t>
            </w:r>
            <w:r>
              <w:rPr>
                <w:rFonts w:hint="eastAsia" w:ascii="宋体" w:hAnsi="宋体" w:cs="宋体"/>
                <w:bCs/>
                <w:color w:val="auto"/>
                <w:kern w:val="0"/>
                <w:sz w:val="24"/>
                <w:lang w:val="en-US" w:eastAsia="zh-CN"/>
              </w:rPr>
              <w:t>贰</w:t>
            </w:r>
            <w:r>
              <w:rPr>
                <w:rFonts w:hint="eastAsia" w:ascii="宋体" w:hAnsi="宋体" w:cs="宋体"/>
                <w:bCs/>
                <w:color w:val="auto"/>
                <w:kern w:val="0"/>
                <w:sz w:val="24"/>
                <w:lang w:val="en-GB"/>
              </w:rPr>
              <w:t>级（含）以上资质（或根据《住房和城乡建设部关于印发建设工程企业资质管理制度改革方案的通知（[建市〔2020〕94号]）的规定已换发新证取得相应资质证书的</w:t>
            </w:r>
            <w:r>
              <w:rPr>
                <w:rFonts w:hint="eastAsia" w:ascii="宋体" w:hAnsi="宋体" w:cs="宋体"/>
                <w:bCs/>
                <w:color w:val="auto"/>
                <w:kern w:val="0"/>
                <w:sz w:val="24"/>
                <w:lang w:val="en-US" w:eastAsia="zh-CN"/>
              </w:rPr>
              <w:t>提</w:t>
            </w:r>
            <w:r>
              <w:rPr>
                <w:rFonts w:hint="eastAsia" w:ascii="宋体" w:hAnsi="宋体" w:cs="宋体"/>
                <w:bCs/>
                <w:color w:val="auto"/>
                <w:kern w:val="0"/>
                <w:sz w:val="24"/>
                <w:lang w:val="en-GB"/>
              </w:rPr>
              <w:t>供新资质证书）</w:t>
            </w:r>
            <w:r>
              <w:rPr>
                <w:rFonts w:hint="eastAsia" w:asciiTheme="majorEastAsia" w:hAnsiTheme="majorEastAsia" w:eastAsiaTheme="majorEastAsia" w:cstheme="majorEastAsia"/>
                <w:bCs/>
                <w:color w:val="auto"/>
                <w:sz w:val="24"/>
              </w:rPr>
              <w:t>。</w:t>
            </w:r>
          </w:p>
          <w:p>
            <w:pP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证明材料：提供营业执照副本、资质证书副本、安全生产许可证副本复印件加盖公章。</w:t>
            </w:r>
          </w:p>
          <w:p>
            <w:pP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b/>
                <w:color w:val="auto"/>
                <w:sz w:val="24"/>
              </w:rPr>
              <w:t>项目经理：</w:t>
            </w:r>
            <w:r>
              <w:rPr>
                <w:rFonts w:hint="eastAsia" w:ascii="宋体" w:hAnsi="宋体" w:cs="宋体"/>
                <w:bCs/>
                <w:color w:val="auto"/>
                <w:kern w:val="0"/>
                <w:sz w:val="24"/>
                <w:lang w:val="en-GB"/>
              </w:rPr>
              <w:t>拟派项目经理须具备本单位注册的建筑工程专业贰级或以上注册建造师执业资格，要求未担任其他在施建设工程项目的项目负责人（项目经理）</w:t>
            </w:r>
            <w:r>
              <w:rPr>
                <w:rFonts w:hint="eastAsia" w:asciiTheme="majorEastAsia" w:hAnsiTheme="majorEastAsia" w:eastAsiaTheme="majorEastAsia" w:cstheme="majorEastAsia"/>
                <w:color w:val="auto"/>
                <w:sz w:val="24"/>
              </w:rPr>
              <w:t>。</w:t>
            </w:r>
          </w:p>
          <w:p>
            <w:pP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证明材料：提供注册证复印件加盖公章（提供未在建承诺书，格式自拟）。</w:t>
            </w:r>
          </w:p>
          <w:p>
            <w:pP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b/>
                <w:color w:val="auto"/>
                <w:sz w:val="24"/>
              </w:rPr>
              <w:t>信誉要求：</w:t>
            </w:r>
            <w:r>
              <w:rPr>
                <w:rFonts w:hint="eastAsia" w:asciiTheme="majorEastAsia" w:hAnsiTheme="majorEastAsia" w:eastAsiaTheme="majorEastAsia" w:cstheme="majorEastAsia"/>
                <w:color w:val="auto"/>
                <w:sz w:val="24"/>
              </w:rPr>
              <w:t>1、投标资格没有被取消、暂停；2、没有处于被责令停业、财产被接管、冻结、破产状态；3、在最近三年内没有骗取中标行为或严重违约行为或重大工程质量问题的。（提供承诺函，格式自拟）</w:t>
            </w:r>
          </w:p>
          <w:p>
            <w:pPr>
              <w:shd w:val="solid" w:color="FFFFFF" w:fill="auto"/>
              <w:autoSpaceDN w:val="0"/>
              <w:spacing w:line="440" w:lineRule="exact"/>
              <w:ind w:right="199" w:rightChars="95"/>
              <w:rPr>
                <w:rFonts w:asciiTheme="majorEastAsia" w:hAnsiTheme="majorEastAsia" w:eastAsiaTheme="majorEastAsia" w:cstheme="majorEastAsia"/>
                <w:color w:val="auto"/>
                <w:sz w:val="24"/>
                <w:shd w:val="clear" w:color="auto" w:fill="FFFFFF"/>
              </w:rPr>
            </w:pPr>
            <w:r>
              <w:rPr>
                <w:rFonts w:hint="eastAsia" w:asciiTheme="majorEastAsia" w:hAnsiTheme="majorEastAsia" w:eastAsiaTheme="majorEastAsia" w:cstheme="majorEastAsia"/>
                <w:b/>
                <w:color w:val="auto"/>
                <w:sz w:val="24"/>
              </w:rPr>
              <w:t>其他要求：</w:t>
            </w:r>
          </w:p>
          <w:p>
            <w:pPr>
              <w:spacing w:line="440" w:lineRule="exact"/>
              <w:rPr>
                <w:rFonts w:asciiTheme="majorEastAsia" w:hAnsiTheme="majorEastAsia" w:eastAsiaTheme="majorEastAsia" w:cstheme="majorEastAsia"/>
                <w:bCs/>
                <w:color w:val="auto"/>
                <w:kern w:val="0"/>
                <w:sz w:val="24"/>
                <w:lang w:val="en-GB"/>
              </w:rPr>
            </w:pPr>
            <w:r>
              <w:rPr>
                <w:rFonts w:hint="eastAsia" w:asciiTheme="majorEastAsia" w:hAnsiTheme="majorEastAsia" w:eastAsiaTheme="majorEastAsia" w:cstheme="majorEastAsia"/>
                <w:bCs/>
                <w:color w:val="auto"/>
                <w:kern w:val="0"/>
                <w:sz w:val="24"/>
              </w:rPr>
              <w:t>1.</w:t>
            </w:r>
            <w:r>
              <w:rPr>
                <w:rFonts w:hint="eastAsia" w:ascii="宋体" w:hAnsi="宋体" w:cs="宋体"/>
                <w:bCs/>
                <w:color w:val="auto"/>
                <w:kern w:val="0"/>
                <w:sz w:val="24"/>
                <w:lang w:val="en-GB"/>
              </w:rPr>
              <w:t>具有良好的商业信誉和健全的财务会计制度（需提供2022年任意</w:t>
            </w:r>
            <w:r>
              <w:rPr>
                <w:rFonts w:hint="eastAsia" w:ascii="宋体" w:hAnsi="宋体" w:cs="宋体"/>
                <w:bCs/>
                <w:color w:val="auto"/>
                <w:kern w:val="0"/>
                <w:sz w:val="24"/>
                <w:lang w:val="en-US" w:eastAsia="zh-CN"/>
              </w:rPr>
              <w:t>一个季度或一</w:t>
            </w:r>
            <w:r>
              <w:rPr>
                <w:rFonts w:hint="eastAsia" w:ascii="宋体" w:hAnsi="宋体" w:cs="宋体"/>
                <w:bCs/>
                <w:color w:val="auto"/>
                <w:kern w:val="0"/>
                <w:sz w:val="24"/>
                <w:lang w:val="en-GB"/>
              </w:rPr>
              <w:t>个月的财务报表或者202</w:t>
            </w:r>
            <w:r>
              <w:rPr>
                <w:rFonts w:ascii="宋体" w:hAnsi="宋体" w:cs="宋体"/>
                <w:bCs/>
                <w:color w:val="auto"/>
                <w:kern w:val="0"/>
                <w:sz w:val="24"/>
                <w:lang w:val="en-GB"/>
              </w:rPr>
              <w:t>1</w:t>
            </w:r>
            <w:r>
              <w:rPr>
                <w:rFonts w:hint="eastAsia" w:ascii="宋体" w:hAnsi="宋体" w:cs="宋体"/>
                <w:bCs/>
                <w:color w:val="auto"/>
                <w:kern w:val="0"/>
                <w:sz w:val="24"/>
                <w:lang w:val="en-GB"/>
              </w:rPr>
              <w:t>年年度会计师事务所出具的财务审计报告，供应商成立时间不足的，按实际成立日期至今提供所有财务报表，提供复印件加盖公章）</w:t>
            </w:r>
            <w:r>
              <w:rPr>
                <w:rFonts w:hint="eastAsia" w:asciiTheme="majorEastAsia" w:hAnsiTheme="majorEastAsia" w:eastAsiaTheme="majorEastAsia" w:cstheme="majorEastAsia"/>
                <w:bCs/>
                <w:color w:val="auto"/>
                <w:kern w:val="0"/>
                <w:sz w:val="24"/>
                <w:lang w:val="en-GB"/>
              </w:rPr>
              <w:t>；</w:t>
            </w:r>
          </w:p>
          <w:p>
            <w:pPr>
              <w:spacing w:line="440" w:lineRule="exact"/>
              <w:rPr>
                <w:rFonts w:asciiTheme="majorEastAsia" w:hAnsiTheme="majorEastAsia" w:eastAsiaTheme="majorEastAsia" w:cstheme="majorEastAsia"/>
                <w:bCs/>
                <w:color w:val="auto"/>
                <w:kern w:val="0"/>
                <w:sz w:val="24"/>
                <w:lang w:val="en-GB"/>
              </w:rPr>
            </w:pPr>
            <w:r>
              <w:rPr>
                <w:rFonts w:hint="eastAsia" w:asciiTheme="majorEastAsia" w:hAnsiTheme="majorEastAsia" w:eastAsiaTheme="majorEastAsia" w:cstheme="majorEastAsia"/>
                <w:bCs/>
                <w:color w:val="auto"/>
                <w:kern w:val="0"/>
                <w:sz w:val="24"/>
              </w:rPr>
              <w:t>2.</w:t>
            </w:r>
            <w:r>
              <w:rPr>
                <w:rFonts w:hint="eastAsia" w:ascii="宋体" w:hAnsi="宋体" w:cs="宋体"/>
                <w:bCs/>
                <w:color w:val="auto"/>
                <w:kern w:val="0"/>
                <w:sz w:val="24"/>
                <w:lang w:val="en-GB"/>
              </w:rPr>
              <w:t>具有履行合同所必需的设备和专业技术能力（提供承诺函）</w:t>
            </w:r>
            <w:r>
              <w:rPr>
                <w:rFonts w:hint="eastAsia" w:asciiTheme="majorEastAsia" w:hAnsiTheme="majorEastAsia" w:eastAsiaTheme="majorEastAsia" w:cstheme="majorEastAsia"/>
                <w:bCs/>
                <w:color w:val="auto"/>
                <w:kern w:val="0"/>
                <w:sz w:val="24"/>
                <w:lang w:val="en-GB"/>
              </w:rPr>
              <w:t>；</w:t>
            </w:r>
          </w:p>
          <w:p>
            <w:pPr>
              <w:spacing w:line="440" w:lineRule="exact"/>
              <w:rPr>
                <w:rFonts w:asciiTheme="majorEastAsia" w:hAnsiTheme="majorEastAsia" w:eastAsiaTheme="majorEastAsia" w:cstheme="majorEastAsia"/>
                <w:bCs/>
                <w:color w:val="auto"/>
                <w:kern w:val="0"/>
                <w:sz w:val="24"/>
                <w:lang w:val="en-GB"/>
              </w:rPr>
            </w:pPr>
            <w:r>
              <w:rPr>
                <w:rFonts w:hint="eastAsia" w:asciiTheme="majorEastAsia" w:hAnsiTheme="majorEastAsia" w:eastAsiaTheme="majorEastAsia" w:cstheme="majorEastAsia"/>
                <w:bCs/>
                <w:color w:val="auto"/>
                <w:kern w:val="0"/>
                <w:sz w:val="24"/>
              </w:rPr>
              <w:t>3.</w:t>
            </w:r>
            <w:r>
              <w:rPr>
                <w:rFonts w:hint="eastAsia" w:ascii="宋体" w:hAnsi="宋体" w:cs="宋体"/>
                <w:bCs/>
                <w:color w:val="auto"/>
                <w:kern w:val="0"/>
                <w:sz w:val="24"/>
                <w:lang w:val="en-GB"/>
              </w:rPr>
              <w:t>有依法缴纳税收和社会保障资金的良好记录（需提供202</w:t>
            </w:r>
            <w:r>
              <w:rPr>
                <w:rFonts w:ascii="宋体" w:hAnsi="宋体" w:cs="宋体"/>
                <w:bCs/>
                <w:color w:val="auto"/>
                <w:kern w:val="0"/>
                <w:sz w:val="24"/>
                <w:lang w:val="en-GB"/>
              </w:rPr>
              <w:t>2</w:t>
            </w:r>
            <w:r>
              <w:rPr>
                <w:rFonts w:hint="eastAsia" w:ascii="宋体" w:hAnsi="宋体" w:cs="宋体"/>
                <w:bCs/>
                <w:color w:val="auto"/>
                <w:kern w:val="0"/>
                <w:sz w:val="24"/>
                <w:lang w:val="en-GB"/>
              </w:rPr>
              <w:t>年任意</w:t>
            </w:r>
            <w:r>
              <w:rPr>
                <w:rFonts w:hint="eastAsia" w:ascii="宋体" w:hAnsi="宋体" w:cs="宋体"/>
                <w:bCs/>
                <w:color w:val="auto"/>
                <w:kern w:val="0"/>
                <w:sz w:val="24"/>
                <w:lang w:val="en-US" w:eastAsia="zh-CN"/>
              </w:rPr>
              <w:t>一个季度或一</w:t>
            </w:r>
            <w:r>
              <w:rPr>
                <w:rFonts w:hint="eastAsia" w:ascii="宋体" w:hAnsi="宋体" w:cs="宋体"/>
                <w:bCs/>
                <w:color w:val="auto"/>
                <w:kern w:val="0"/>
                <w:sz w:val="24"/>
                <w:lang w:val="en-GB"/>
              </w:rPr>
              <w:t>个月的企业纳税证明和企业社保缴费记录凭证，提供复印件加盖公章）</w:t>
            </w:r>
            <w:r>
              <w:rPr>
                <w:rFonts w:hint="eastAsia" w:asciiTheme="majorEastAsia" w:hAnsiTheme="majorEastAsia" w:eastAsiaTheme="majorEastAsia" w:cstheme="majorEastAsia"/>
                <w:bCs/>
                <w:color w:val="auto"/>
                <w:kern w:val="0"/>
                <w:sz w:val="24"/>
                <w:lang w:val="en-GB"/>
              </w:rPr>
              <w:t>；</w:t>
            </w:r>
          </w:p>
          <w:p>
            <w:pPr>
              <w:spacing w:line="440" w:lineRule="exact"/>
              <w:rPr>
                <w:rFonts w:asciiTheme="majorEastAsia" w:hAnsiTheme="majorEastAsia" w:eastAsiaTheme="majorEastAsia" w:cstheme="majorEastAsia"/>
                <w:bCs/>
                <w:color w:val="auto"/>
                <w:kern w:val="0"/>
                <w:sz w:val="24"/>
                <w:lang w:val="en-GB"/>
              </w:rPr>
            </w:pPr>
            <w:r>
              <w:rPr>
                <w:rFonts w:hint="eastAsia" w:asciiTheme="majorEastAsia" w:hAnsiTheme="majorEastAsia" w:eastAsiaTheme="majorEastAsia" w:cstheme="majorEastAsia"/>
                <w:bCs/>
                <w:color w:val="auto"/>
                <w:kern w:val="0"/>
                <w:sz w:val="24"/>
              </w:rPr>
              <w:t>4.</w:t>
            </w:r>
            <w:r>
              <w:rPr>
                <w:rFonts w:hint="eastAsia" w:ascii="宋体" w:hAnsi="宋体" w:cs="宋体"/>
                <w:bCs/>
                <w:color w:val="auto"/>
                <w:kern w:val="0"/>
                <w:sz w:val="24"/>
                <w:lang w:val="en-GB"/>
              </w:rPr>
              <w:t>参加政府采购活动前三年内，在经营活动中没有重大违法记录（成立不足三年的从成立之日起算，提供声明函）</w:t>
            </w:r>
            <w:r>
              <w:rPr>
                <w:rFonts w:hint="eastAsia" w:asciiTheme="majorEastAsia" w:hAnsiTheme="majorEastAsia" w:eastAsiaTheme="majorEastAsia" w:cstheme="majorEastAsia"/>
                <w:bCs/>
                <w:color w:val="auto"/>
                <w:kern w:val="0"/>
                <w:sz w:val="24"/>
                <w:lang w:val="en-GB"/>
              </w:rPr>
              <w:t>；</w:t>
            </w:r>
          </w:p>
          <w:p>
            <w:pPr>
              <w:spacing w:line="440" w:lineRule="exact"/>
              <w:rPr>
                <w:rFonts w:asciiTheme="majorEastAsia" w:hAnsiTheme="majorEastAsia" w:eastAsiaTheme="majorEastAsia" w:cstheme="majorEastAsia"/>
                <w:bCs/>
                <w:color w:val="auto"/>
                <w:kern w:val="0"/>
                <w:sz w:val="24"/>
                <w:lang w:val="en-GB"/>
              </w:rPr>
            </w:pPr>
            <w:r>
              <w:rPr>
                <w:rFonts w:hint="eastAsia" w:asciiTheme="majorEastAsia" w:hAnsiTheme="majorEastAsia" w:eastAsiaTheme="majorEastAsia" w:cstheme="majorEastAsia"/>
                <w:bCs/>
                <w:color w:val="auto"/>
                <w:kern w:val="0"/>
                <w:sz w:val="24"/>
              </w:rPr>
              <w:t>5.</w:t>
            </w:r>
            <w:r>
              <w:rPr>
                <w:rFonts w:hint="eastAsia" w:ascii="宋体" w:hAnsi="宋体" w:cs="宋体"/>
                <w:bCs/>
                <w:color w:val="auto"/>
                <w:kern w:val="0"/>
                <w:sz w:val="24"/>
                <w:lang w:val="en-GB"/>
              </w:rPr>
              <w:t>法律、行政法规规定的其他条件（提供承诺函）</w:t>
            </w:r>
            <w:r>
              <w:rPr>
                <w:rFonts w:hint="eastAsia" w:asciiTheme="majorEastAsia" w:hAnsiTheme="majorEastAsia" w:eastAsiaTheme="majorEastAsia" w:cstheme="majorEastAsia"/>
                <w:bCs/>
                <w:color w:val="auto"/>
                <w:kern w:val="0"/>
                <w:sz w:val="24"/>
                <w:lang w:val="en-GB"/>
              </w:rPr>
              <w:t>；</w:t>
            </w:r>
          </w:p>
          <w:p>
            <w:pPr>
              <w:spacing w:line="440" w:lineRule="exact"/>
              <w:rPr>
                <w:rFonts w:asciiTheme="majorEastAsia" w:hAnsiTheme="majorEastAsia" w:eastAsiaTheme="majorEastAsia" w:cstheme="majorEastAsia"/>
                <w:bCs/>
                <w:color w:val="auto"/>
                <w:kern w:val="0"/>
                <w:sz w:val="24"/>
              </w:rPr>
            </w:pPr>
            <w:r>
              <w:rPr>
                <w:rFonts w:hint="eastAsia" w:asciiTheme="majorEastAsia" w:hAnsiTheme="majorEastAsia" w:eastAsiaTheme="majorEastAsia" w:cstheme="majorEastAsia"/>
                <w:bCs/>
                <w:color w:val="auto"/>
                <w:kern w:val="0"/>
                <w:sz w:val="24"/>
              </w:rPr>
              <w:t>6.</w:t>
            </w:r>
            <w:r>
              <w:rPr>
                <w:rFonts w:hint="eastAsia" w:ascii="宋体" w:hAnsi="宋体" w:cs="宋体"/>
                <w:bCs/>
                <w:color w:val="auto"/>
                <w:kern w:val="0"/>
                <w:sz w:val="24"/>
                <w:lang w:val="en-GB"/>
              </w:rPr>
              <w:t>与招标人存在利害关系可能影响招标公正性的单位，不得参加本次投标；单位负责人为同一人、或者存在控股、管理关系的不同单位不得参加本次投标（提供承诺函），否则按否决其投标处理</w:t>
            </w:r>
            <w:r>
              <w:rPr>
                <w:rFonts w:hint="eastAsia" w:asciiTheme="majorEastAsia" w:hAnsiTheme="majorEastAsia" w:eastAsiaTheme="majorEastAsia" w:cstheme="majorEastAsia"/>
                <w:bCs/>
                <w:color w:val="auto"/>
                <w:kern w:val="0"/>
                <w:sz w:val="24"/>
              </w:rPr>
              <w:t>；</w:t>
            </w:r>
          </w:p>
          <w:p>
            <w:pPr>
              <w:spacing w:line="480" w:lineRule="exact"/>
              <w:rPr>
                <w:rFonts w:ascii="宋体" w:hAnsi="宋体" w:cs="宋体"/>
                <w:bCs/>
                <w:color w:val="auto"/>
                <w:kern w:val="0"/>
                <w:sz w:val="24"/>
                <w:lang w:val="en-GB"/>
              </w:rPr>
            </w:pPr>
            <w:r>
              <w:rPr>
                <w:rFonts w:hint="eastAsia" w:asciiTheme="majorEastAsia" w:hAnsiTheme="majorEastAsia" w:eastAsiaTheme="majorEastAsia" w:cstheme="majorEastAsia"/>
                <w:bCs/>
                <w:color w:val="auto"/>
                <w:kern w:val="0"/>
                <w:sz w:val="24"/>
              </w:rPr>
              <w:t>7.</w:t>
            </w:r>
            <w:r>
              <w:rPr>
                <w:rFonts w:hint="eastAsia" w:ascii="宋体" w:hAnsi="宋体" w:cs="宋体"/>
                <w:bCs/>
                <w:color w:val="auto"/>
                <w:kern w:val="0"/>
                <w:sz w:val="24"/>
                <w:lang w:val="en-GB"/>
              </w:rPr>
              <w:t>“信用中国”网站（www.creditchina.gov.cn）查询：投标人被人民法院列为失信被执行人的，投标活动依法予以限制；</w:t>
            </w:r>
          </w:p>
          <w:p>
            <w:pPr>
              <w:spacing w:line="440" w:lineRule="exact"/>
              <w:rPr>
                <w:rFonts w:asciiTheme="majorEastAsia" w:hAnsiTheme="majorEastAsia" w:eastAsiaTheme="majorEastAsia" w:cstheme="majorEastAsia"/>
                <w:color w:val="auto"/>
                <w:sz w:val="24"/>
              </w:rPr>
            </w:pPr>
            <w:r>
              <w:rPr>
                <w:rFonts w:hint="eastAsia" w:ascii="宋体" w:hAnsi="宋体" w:cs="宋体"/>
                <w:bCs/>
                <w:color w:val="auto"/>
                <w:kern w:val="0"/>
                <w:sz w:val="24"/>
              </w:rPr>
              <w:t>8.</w:t>
            </w:r>
            <w:r>
              <w:rPr>
                <w:rFonts w:hint="eastAsia" w:ascii="宋体" w:hAnsi="宋体" w:cs="宋体"/>
                <w:bCs/>
                <w:color w:val="auto"/>
                <w:kern w:val="0"/>
                <w:sz w:val="24"/>
                <w:lang w:val="en-GB"/>
              </w:rPr>
              <w:t>在海南省住房和城乡建设厅海南省房屋建筑工程全过程监管信息平台完成《海南省建筑企业诚信档案手册》登记（提供网站截图证明）。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1.9.1</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踏勘现场</w:t>
            </w:r>
          </w:p>
        </w:tc>
        <w:tc>
          <w:tcPr>
            <w:tcW w:w="6900" w:type="dxa"/>
            <w:vAlign w:val="center"/>
          </w:tcPr>
          <w:p>
            <w:pPr>
              <w:pStyle w:val="10"/>
              <w:topLinePunct/>
              <w:spacing w:line="440" w:lineRule="exact"/>
              <w:rPr>
                <w:rFonts w:hAnsi="宋体" w:cs="宋体"/>
                <w:color w:val="auto"/>
                <w:szCs w:val="24"/>
              </w:rPr>
            </w:pPr>
            <w:r>
              <w:rPr>
                <w:rFonts w:hint="eastAsia" w:hAnsi="宋体" w:cs="宋体"/>
                <w:color w:val="auto"/>
                <w:szCs w:val="24"/>
              </w:rPr>
              <w:t>√不组织</w:t>
            </w:r>
          </w:p>
          <w:p>
            <w:pPr>
              <w:spacing w:line="440" w:lineRule="exact"/>
              <w:rPr>
                <w:rFonts w:ascii="宋体" w:hAnsi="宋体" w:cs="宋体"/>
                <w:color w:val="auto"/>
                <w:sz w:val="24"/>
              </w:rPr>
            </w:pPr>
            <w:r>
              <w:rPr>
                <w:rFonts w:hint="eastAsia" w:ascii="宋体" w:hAnsi="宋体" w:cs="宋体"/>
                <w:color w:val="auto"/>
                <w:sz w:val="24"/>
              </w:rPr>
              <w:t>□组织，踏勘时间：</w:t>
            </w:r>
          </w:p>
          <w:p>
            <w:pPr>
              <w:spacing w:line="440" w:lineRule="exact"/>
              <w:rPr>
                <w:rFonts w:ascii="宋体" w:hAnsi="宋体" w:cs="宋体"/>
                <w:color w:val="auto"/>
                <w:sz w:val="24"/>
              </w:rPr>
            </w:pPr>
            <w:r>
              <w:rPr>
                <w:rFonts w:hint="eastAsia" w:ascii="宋体" w:hAnsi="宋体" w:cs="宋体"/>
                <w:color w:val="auto"/>
                <w:sz w:val="24"/>
              </w:rPr>
              <w:t xml:space="preserve">        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1.10.1</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投标预备会</w:t>
            </w:r>
          </w:p>
        </w:tc>
        <w:tc>
          <w:tcPr>
            <w:tcW w:w="6900" w:type="dxa"/>
            <w:vAlign w:val="center"/>
          </w:tcPr>
          <w:p>
            <w:pPr>
              <w:pStyle w:val="10"/>
              <w:topLinePunct/>
              <w:spacing w:line="440" w:lineRule="exact"/>
              <w:rPr>
                <w:rFonts w:hAnsi="宋体" w:cs="宋体"/>
                <w:color w:val="auto"/>
                <w:szCs w:val="24"/>
              </w:rPr>
            </w:pPr>
            <w:r>
              <w:rPr>
                <w:rFonts w:hint="eastAsia" w:hAnsi="宋体" w:cs="宋体"/>
                <w:color w:val="auto"/>
                <w:szCs w:val="24"/>
              </w:rPr>
              <w:t>√不召开</w:t>
            </w:r>
          </w:p>
          <w:p>
            <w:pPr>
              <w:spacing w:line="440" w:lineRule="exact"/>
              <w:rPr>
                <w:rFonts w:ascii="宋体" w:hAnsi="宋体" w:cs="宋体"/>
                <w:color w:val="auto"/>
                <w:sz w:val="24"/>
              </w:rPr>
            </w:pPr>
            <w:r>
              <w:rPr>
                <w:rFonts w:hint="eastAsia" w:ascii="宋体" w:hAnsi="宋体" w:cs="宋体"/>
                <w:color w:val="auto"/>
                <w:sz w:val="24"/>
              </w:rPr>
              <w:t>□召开，召开时间：</w:t>
            </w:r>
          </w:p>
          <w:p>
            <w:pPr>
              <w:pStyle w:val="10"/>
              <w:topLinePunct/>
              <w:spacing w:line="440" w:lineRule="exact"/>
              <w:rPr>
                <w:rFonts w:hAnsi="宋体" w:cs="宋体"/>
                <w:color w:val="auto"/>
                <w:szCs w:val="24"/>
              </w:rPr>
            </w:pPr>
            <w:r>
              <w:rPr>
                <w:rFonts w:hint="eastAsia" w:hAnsi="宋体" w:cs="宋体"/>
                <w:color w:val="auto"/>
                <w:szCs w:val="24"/>
              </w:rPr>
              <w:t xml:space="preserve">       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1.10.2</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供应商提出问题的截止时间</w:t>
            </w:r>
          </w:p>
        </w:tc>
        <w:tc>
          <w:tcPr>
            <w:tcW w:w="6900" w:type="dxa"/>
            <w:vAlign w:val="center"/>
          </w:tcPr>
          <w:p>
            <w:pPr>
              <w:spacing w:line="440" w:lineRule="exact"/>
              <w:rPr>
                <w:rFonts w:ascii="宋体" w:hAnsi="宋体" w:cs="宋体"/>
                <w:color w:val="auto"/>
                <w:sz w:val="24"/>
              </w:rPr>
            </w:pPr>
            <w:r>
              <w:rPr>
                <w:rFonts w:hint="eastAsia" w:ascii="宋体" w:hAnsi="宋体" w:cs="宋体"/>
                <w:color w:val="auto"/>
                <w:sz w:val="24"/>
              </w:rPr>
              <w:t>递交磋商响应文件截止日期前以书面形式向采购人或代理人提出澄清要求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1.10.3</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采购人书面澄清的时间</w:t>
            </w:r>
          </w:p>
        </w:tc>
        <w:tc>
          <w:tcPr>
            <w:tcW w:w="6900" w:type="dxa"/>
            <w:vAlign w:val="center"/>
          </w:tcPr>
          <w:p>
            <w:pPr>
              <w:spacing w:line="440" w:lineRule="exact"/>
              <w:rPr>
                <w:rFonts w:ascii="宋体" w:hAnsi="宋体" w:cs="宋体"/>
                <w:color w:val="auto"/>
                <w:sz w:val="24"/>
              </w:rPr>
            </w:pPr>
            <w:r>
              <w:rPr>
                <w:rFonts w:hint="eastAsia" w:ascii="宋体" w:hAnsi="宋体" w:cs="宋体"/>
                <w:color w:val="auto"/>
                <w:sz w:val="24"/>
              </w:rPr>
              <w:t>递交磋商响应文件截止日期前以书面形式向供应商发出澄清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1.11</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偏离</w:t>
            </w:r>
          </w:p>
        </w:tc>
        <w:tc>
          <w:tcPr>
            <w:tcW w:w="6900" w:type="dxa"/>
            <w:vAlign w:val="center"/>
          </w:tcPr>
          <w:p>
            <w:pPr>
              <w:pStyle w:val="10"/>
              <w:topLinePunct/>
              <w:spacing w:line="440" w:lineRule="exact"/>
              <w:rPr>
                <w:rFonts w:hAnsi="宋体" w:cs="宋体"/>
                <w:color w:val="auto"/>
                <w:szCs w:val="24"/>
              </w:rPr>
            </w:pPr>
            <w:r>
              <w:rPr>
                <w:rFonts w:hint="eastAsia" w:hAnsi="宋体" w:cs="宋体"/>
                <w:color w:val="auto"/>
                <w:szCs w:val="24"/>
              </w:rPr>
              <w:t>√不允许</w:t>
            </w:r>
          </w:p>
          <w:p>
            <w:pPr>
              <w:pStyle w:val="10"/>
              <w:topLinePunct/>
              <w:spacing w:line="440" w:lineRule="exact"/>
              <w:rPr>
                <w:rFonts w:hAnsi="宋体" w:cs="宋体"/>
                <w:color w:val="auto"/>
                <w:szCs w:val="24"/>
              </w:rPr>
            </w:pPr>
            <w:r>
              <w:rPr>
                <w:rFonts w:hint="eastAsia" w:hAnsi="宋体" w:cs="宋体"/>
                <w:color w:val="auto"/>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2.1</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构成磋商文件的其他材料</w:t>
            </w:r>
          </w:p>
        </w:tc>
        <w:tc>
          <w:tcPr>
            <w:tcW w:w="6900" w:type="dxa"/>
            <w:vAlign w:val="center"/>
          </w:tcPr>
          <w:p>
            <w:pPr>
              <w:spacing w:line="440" w:lineRule="exact"/>
              <w:rPr>
                <w:rFonts w:ascii="宋体" w:hAnsi="宋体" w:cs="宋体"/>
                <w:color w:val="auto"/>
                <w:sz w:val="24"/>
              </w:rPr>
            </w:pPr>
            <w:r>
              <w:rPr>
                <w:rFonts w:hint="eastAsia" w:ascii="宋体" w:hAnsi="宋体" w:cs="宋体"/>
                <w:color w:val="auto"/>
                <w:sz w:val="24"/>
              </w:rPr>
              <w:t>磋商文件的澄清、修改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2.2.1</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供应商要求澄清磋商文件的截止时间</w:t>
            </w:r>
          </w:p>
        </w:tc>
        <w:tc>
          <w:tcPr>
            <w:tcW w:w="6900" w:type="dxa"/>
            <w:vAlign w:val="center"/>
          </w:tcPr>
          <w:p>
            <w:pPr>
              <w:spacing w:line="440" w:lineRule="exact"/>
              <w:rPr>
                <w:rFonts w:ascii="宋体" w:hAnsi="宋体" w:cs="宋体"/>
                <w:color w:val="auto"/>
                <w:sz w:val="24"/>
              </w:rPr>
            </w:pPr>
            <w:r>
              <w:rPr>
                <w:rFonts w:hint="eastAsia" w:ascii="宋体" w:hAnsi="宋体" w:cs="宋体"/>
                <w:color w:val="auto"/>
                <w:sz w:val="24"/>
              </w:rPr>
              <w:t>递交磋商响应文件截止日期前以书面形式向采购人或代理人提出澄清要求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2.2.2</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投标截止时间</w:t>
            </w:r>
          </w:p>
        </w:tc>
        <w:tc>
          <w:tcPr>
            <w:tcW w:w="6900" w:type="dxa"/>
            <w:vAlign w:val="center"/>
          </w:tcPr>
          <w:p>
            <w:pPr>
              <w:spacing w:line="440" w:lineRule="exact"/>
              <w:rPr>
                <w:rFonts w:ascii="宋体" w:hAnsi="宋体" w:cs="宋体"/>
                <w:color w:val="auto"/>
                <w:sz w:val="24"/>
              </w:rPr>
            </w:pPr>
            <w:r>
              <w:rPr>
                <w:rFonts w:hint="eastAsia" w:ascii="宋体" w:hAnsi="宋体" w:cs="宋体"/>
                <w:color w:val="auto"/>
                <w:kern w:val="0"/>
                <w:sz w:val="24"/>
              </w:rPr>
              <w:t>2022年</w:t>
            </w:r>
            <w:r>
              <w:rPr>
                <w:rFonts w:hint="eastAsia" w:ascii="宋体" w:hAnsi="宋体" w:cs="宋体"/>
                <w:color w:val="auto"/>
                <w:kern w:val="0"/>
                <w:sz w:val="24"/>
                <w:lang w:val="en-US" w:eastAsia="zh-CN"/>
              </w:rPr>
              <w:t>6</w:t>
            </w:r>
            <w:r>
              <w:rPr>
                <w:rFonts w:hint="eastAsia" w:ascii="宋体" w:hAnsi="宋体" w:cs="宋体"/>
                <w:color w:val="auto"/>
                <w:kern w:val="0"/>
                <w:sz w:val="24"/>
              </w:rPr>
              <w:t>月</w:t>
            </w:r>
            <w:r>
              <w:rPr>
                <w:rFonts w:hint="eastAsia" w:ascii="宋体" w:hAnsi="宋体" w:cs="宋体"/>
                <w:color w:val="auto"/>
                <w:kern w:val="0"/>
                <w:sz w:val="24"/>
                <w:lang w:val="en-US" w:eastAsia="zh-CN"/>
              </w:rPr>
              <w:t>28</w:t>
            </w:r>
            <w:r>
              <w:rPr>
                <w:rFonts w:hint="eastAsia" w:ascii="宋体" w:hAnsi="宋体" w:cs="宋体"/>
                <w:color w:val="auto"/>
                <w:kern w:val="0"/>
                <w:sz w:val="24"/>
              </w:rPr>
              <w:t>日</w:t>
            </w:r>
            <w:r>
              <w:rPr>
                <w:rFonts w:hint="eastAsia" w:ascii="宋体" w:hAnsi="宋体" w:cs="宋体"/>
                <w:color w:val="auto"/>
                <w:kern w:val="0"/>
                <w:sz w:val="24"/>
                <w:lang w:val="en-US" w:eastAsia="zh-CN"/>
              </w:rPr>
              <w:t>10</w:t>
            </w:r>
            <w:r>
              <w:rPr>
                <w:rFonts w:hint="eastAsia" w:ascii="宋体" w:hAnsi="宋体" w:cs="宋体"/>
                <w:color w:val="auto"/>
                <w:kern w:val="0"/>
                <w:sz w:val="24"/>
              </w:rPr>
              <w:t>点</w:t>
            </w:r>
            <w:r>
              <w:rPr>
                <w:rFonts w:hint="eastAsia" w:ascii="宋体" w:hAnsi="宋体" w:cs="宋体"/>
                <w:color w:val="auto"/>
                <w:kern w:val="0"/>
                <w:sz w:val="24"/>
                <w:lang w:val="en-US" w:eastAsia="zh-CN"/>
              </w:rPr>
              <w:t>3</w:t>
            </w:r>
            <w:r>
              <w:rPr>
                <w:rFonts w:hint="eastAsia" w:ascii="宋体" w:hAnsi="宋体" w:cs="宋体"/>
                <w:color w:val="auto"/>
                <w:kern w:val="0"/>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2.2.3</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供应商确认收到磋商文件澄清的时间</w:t>
            </w:r>
          </w:p>
        </w:tc>
        <w:tc>
          <w:tcPr>
            <w:tcW w:w="6900" w:type="dxa"/>
            <w:vAlign w:val="center"/>
          </w:tcPr>
          <w:p>
            <w:pPr>
              <w:spacing w:line="440" w:lineRule="exact"/>
              <w:rPr>
                <w:rFonts w:ascii="宋体" w:hAnsi="宋体" w:cs="宋体"/>
                <w:color w:val="auto"/>
                <w:sz w:val="24"/>
              </w:rPr>
            </w:pPr>
            <w:r>
              <w:rPr>
                <w:rFonts w:hint="eastAsia" w:ascii="宋体" w:hAnsi="宋体" w:cs="宋体"/>
                <w:color w:val="auto"/>
                <w:sz w:val="24"/>
              </w:rPr>
              <w:t>收到澄清文件后应于24小时内，以书面形式给予确认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2.3.2</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供应商确认收到磋商文件修改的时间</w:t>
            </w:r>
          </w:p>
        </w:tc>
        <w:tc>
          <w:tcPr>
            <w:tcW w:w="6900" w:type="dxa"/>
            <w:vAlign w:val="center"/>
          </w:tcPr>
          <w:p>
            <w:pPr>
              <w:spacing w:line="440" w:lineRule="exact"/>
              <w:rPr>
                <w:rFonts w:ascii="宋体" w:hAnsi="宋体" w:cs="宋体"/>
                <w:color w:val="auto"/>
                <w:sz w:val="24"/>
              </w:rPr>
            </w:pPr>
            <w:r>
              <w:rPr>
                <w:rFonts w:hint="eastAsia" w:ascii="宋体" w:hAnsi="宋体" w:cs="宋体"/>
                <w:color w:val="auto"/>
                <w:sz w:val="24"/>
              </w:rPr>
              <w:t>收到修改文件后应于24小时内，以书面形式给予确认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3.1.1</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构成磋商响应文件的其他材料</w:t>
            </w:r>
          </w:p>
        </w:tc>
        <w:tc>
          <w:tcPr>
            <w:tcW w:w="6900" w:type="dxa"/>
            <w:vAlign w:val="center"/>
          </w:tcPr>
          <w:p>
            <w:pPr>
              <w:spacing w:line="440" w:lineRule="exact"/>
              <w:rPr>
                <w:rFonts w:ascii="宋体" w:hAnsi="宋体" w:cs="宋体"/>
                <w:color w:val="auto"/>
                <w:sz w:val="24"/>
              </w:rPr>
            </w:pPr>
            <w:r>
              <w:rPr>
                <w:rFonts w:hint="eastAsia" w:ascii="宋体" w:hAnsi="宋体" w:cs="宋体"/>
                <w:color w:val="auto"/>
                <w:sz w:val="24"/>
              </w:rPr>
              <w:t>磋商文件要求的其他材料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3.2</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最高投标限价（招标控制价）</w:t>
            </w:r>
          </w:p>
        </w:tc>
        <w:tc>
          <w:tcPr>
            <w:tcW w:w="6900" w:type="dxa"/>
            <w:vAlign w:val="center"/>
          </w:tcPr>
          <w:p>
            <w:pPr>
              <w:spacing w:line="440" w:lineRule="exact"/>
              <w:rPr>
                <w:rFonts w:hint="eastAsia" w:ascii="宋体" w:hAnsi="宋体" w:cs="宋体"/>
                <w:color w:val="auto"/>
                <w:sz w:val="24"/>
                <w:lang w:eastAsia="zh-CN"/>
              </w:rPr>
            </w:pPr>
            <w:r>
              <w:rPr>
                <w:rFonts w:hint="eastAsia" w:ascii="宋体" w:hAnsi="宋体" w:cs="宋体"/>
                <w:color w:val="auto"/>
                <w:sz w:val="24"/>
                <w:lang w:eastAsia="zh-CN"/>
              </w:rPr>
              <w:t>招标控制价为：</w:t>
            </w:r>
            <w:r>
              <w:rPr>
                <w:rFonts w:hint="eastAsia" w:ascii="宋体" w:hAnsi="宋体" w:cs="宋体"/>
                <w:color w:val="auto"/>
                <w:sz w:val="24"/>
                <w:u w:val="single"/>
                <w:lang w:eastAsia="zh-CN"/>
              </w:rPr>
              <w:t>3593448.83</w:t>
            </w:r>
            <w:r>
              <w:rPr>
                <w:rFonts w:hint="eastAsia" w:ascii="宋体" w:hAnsi="宋体" w:cs="宋体"/>
                <w:color w:val="auto"/>
                <w:sz w:val="24"/>
                <w:u w:val="single"/>
              </w:rPr>
              <w:t>元</w:t>
            </w:r>
            <w:r>
              <w:rPr>
                <w:rFonts w:hint="eastAsia" w:ascii="宋体" w:hAnsi="宋体" w:cs="宋体"/>
                <w:color w:val="auto"/>
                <w:sz w:val="24"/>
                <w:lang w:eastAsia="zh-CN"/>
              </w:rPr>
              <w:t>，</w:t>
            </w:r>
          </w:p>
          <w:p>
            <w:pPr>
              <w:spacing w:line="440" w:lineRule="exact"/>
              <w:rPr>
                <w:rFonts w:ascii="宋体" w:hAnsi="宋体" w:cs="宋体"/>
                <w:b/>
                <w:color w:val="auto"/>
                <w:sz w:val="24"/>
              </w:rPr>
            </w:pPr>
            <w:r>
              <w:rPr>
                <w:rFonts w:hint="eastAsia" w:ascii="宋体" w:hAnsi="宋体" w:cs="宋体"/>
                <w:bCs/>
                <w:color w:val="auto"/>
                <w:sz w:val="24"/>
              </w:rPr>
              <w:t>（</w:t>
            </w:r>
            <w:r>
              <w:rPr>
                <w:rFonts w:hint="eastAsia" w:ascii="宋体" w:hAnsi="宋体" w:cs="宋体"/>
                <w:color w:val="auto"/>
                <w:sz w:val="24"/>
              </w:rPr>
              <w:t>供应商投标报价超出最高限价为无效报价，做废标处理</w:t>
            </w:r>
            <w:r>
              <w:rPr>
                <w:rFonts w:hint="eastAsia" w:ascii="宋体" w:hAnsi="宋体" w:cs="宋体"/>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3.3.1</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投标有效期</w:t>
            </w:r>
          </w:p>
        </w:tc>
        <w:tc>
          <w:tcPr>
            <w:tcW w:w="6900" w:type="dxa"/>
            <w:vAlign w:val="center"/>
          </w:tcPr>
          <w:p>
            <w:pPr>
              <w:spacing w:line="440" w:lineRule="exact"/>
              <w:rPr>
                <w:rFonts w:ascii="宋体" w:hAnsi="宋体" w:cs="宋体"/>
                <w:color w:val="auto"/>
                <w:sz w:val="24"/>
              </w:rPr>
            </w:pPr>
            <w:r>
              <w:rPr>
                <w:rFonts w:hint="eastAsia" w:ascii="宋体" w:hAnsi="宋体" w:cs="宋体"/>
                <w:color w:val="auto"/>
                <w:sz w:val="24"/>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3.4.1</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磋商保证金</w:t>
            </w:r>
          </w:p>
        </w:tc>
        <w:tc>
          <w:tcPr>
            <w:tcW w:w="6900" w:type="dxa"/>
            <w:vAlign w:val="center"/>
          </w:tcPr>
          <w:p>
            <w:pPr>
              <w:spacing w:line="440" w:lineRule="exact"/>
              <w:rPr>
                <w:rFonts w:ascii="宋体" w:hAnsi="宋体" w:cs="宋体"/>
                <w:color w:val="auto"/>
                <w:sz w:val="24"/>
              </w:rPr>
            </w:pPr>
            <w:r>
              <w:rPr>
                <w:rFonts w:hint="eastAsia" w:ascii="宋体" w:hAnsi="宋体" w:cs="宋体"/>
                <w:color w:val="auto"/>
                <w:sz w:val="24"/>
              </w:rPr>
              <w:t>磋商保证金的形式：转帐，须从供应商基本账户转出。</w:t>
            </w:r>
          </w:p>
          <w:p>
            <w:pPr>
              <w:spacing w:line="440" w:lineRule="exact"/>
              <w:rPr>
                <w:rFonts w:ascii="宋体" w:hAnsi="宋体" w:cs="宋体"/>
                <w:color w:val="auto"/>
                <w:sz w:val="24"/>
              </w:rPr>
            </w:pPr>
            <w:r>
              <w:rPr>
                <w:rFonts w:hint="eastAsia" w:ascii="宋体" w:hAnsi="宋体" w:cs="宋体"/>
                <w:color w:val="auto"/>
                <w:sz w:val="24"/>
              </w:rPr>
              <w:t>磋商保证金的金额：人民币壹万元整（¥</w:t>
            </w:r>
            <w:r>
              <w:rPr>
                <w:rFonts w:ascii="宋体" w:hAnsi="宋体" w:cs="宋体"/>
                <w:color w:val="auto"/>
                <w:sz w:val="24"/>
              </w:rPr>
              <w:t>1</w:t>
            </w:r>
            <w:r>
              <w:rPr>
                <w:rFonts w:hint="eastAsia" w:ascii="宋体" w:hAnsi="宋体" w:cs="宋体"/>
                <w:color w:val="auto"/>
                <w:sz w:val="24"/>
                <w:lang w:val="en-US" w:eastAsia="zh-CN"/>
              </w:rPr>
              <w:t>0</w:t>
            </w:r>
            <w:r>
              <w:rPr>
                <w:rFonts w:hint="eastAsia" w:ascii="宋体" w:hAnsi="宋体" w:cs="宋体"/>
                <w:color w:val="auto"/>
                <w:sz w:val="24"/>
              </w:rPr>
              <w:t>000.00元）</w:t>
            </w:r>
          </w:p>
          <w:p>
            <w:pPr>
              <w:spacing w:line="440" w:lineRule="exact"/>
              <w:rPr>
                <w:rFonts w:ascii="宋体" w:hAnsi="宋体" w:cs="宋体"/>
                <w:color w:val="auto"/>
                <w:sz w:val="24"/>
              </w:rPr>
            </w:pPr>
            <w:r>
              <w:rPr>
                <w:rFonts w:hint="eastAsia" w:ascii="宋体" w:hAnsi="宋体" w:cs="宋体"/>
                <w:color w:val="auto"/>
                <w:sz w:val="24"/>
              </w:rPr>
              <w:t>递交磋商保证金截止时间：</w:t>
            </w:r>
            <w:r>
              <w:rPr>
                <w:rFonts w:hint="eastAsia" w:ascii="宋体" w:hAnsi="宋体" w:cs="宋体"/>
                <w:color w:val="auto"/>
                <w:kern w:val="0"/>
                <w:sz w:val="24"/>
              </w:rPr>
              <w:t>2022年</w:t>
            </w:r>
            <w:r>
              <w:rPr>
                <w:rFonts w:hint="eastAsia" w:ascii="宋体" w:hAnsi="宋体" w:cs="宋体"/>
                <w:color w:val="auto"/>
                <w:kern w:val="0"/>
                <w:sz w:val="24"/>
                <w:lang w:val="en-US" w:eastAsia="zh-CN"/>
              </w:rPr>
              <w:t>6</w:t>
            </w:r>
            <w:r>
              <w:rPr>
                <w:rFonts w:hint="eastAsia" w:ascii="宋体" w:hAnsi="宋体" w:cs="宋体"/>
                <w:color w:val="auto"/>
                <w:kern w:val="0"/>
                <w:sz w:val="24"/>
              </w:rPr>
              <w:t>月</w:t>
            </w:r>
            <w:r>
              <w:rPr>
                <w:rFonts w:hint="eastAsia" w:ascii="宋体" w:hAnsi="宋体" w:cs="宋体"/>
                <w:color w:val="auto"/>
                <w:kern w:val="0"/>
                <w:sz w:val="24"/>
                <w:lang w:val="en-US" w:eastAsia="zh-CN"/>
              </w:rPr>
              <w:t>28</w:t>
            </w:r>
            <w:r>
              <w:rPr>
                <w:rFonts w:hint="eastAsia" w:ascii="宋体" w:hAnsi="宋体" w:cs="宋体"/>
                <w:color w:val="auto"/>
                <w:kern w:val="0"/>
                <w:sz w:val="24"/>
              </w:rPr>
              <w:t>日</w:t>
            </w:r>
            <w:r>
              <w:rPr>
                <w:rFonts w:hint="eastAsia" w:ascii="宋体" w:hAnsi="宋体" w:cs="宋体"/>
                <w:color w:val="auto"/>
                <w:kern w:val="0"/>
                <w:sz w:val="24"/>
                <w:lang w:val="en-US" w:eastAsia="zh-CN"/>
              </w:rPr>
              <w:t>10</w:t>
            </w:r>
            <w:r>
              <w:rPr>
                <w:rFonts w:hint="eastAsia" w:ascii="宋体" w:hAnsi="宋体" w:cs="宋体"/>
                <w:color w:val="auto"/>
                <w:kern w:val="0"/>
                <w:sz w:val="24"/>
              </w:rPr>
              <w:t>点</w:t>
            </w:r>
            <w:r>
              <w:rPr>
                <w:rFonts w:hint="eastAsia" w:ascii="宋体" w:hAnsi="宋体" w:cs="宋体"/>
                <w:color w:val="auto"/>
                <w:kern w:val="0"/>
                <w:sz w:val="24"/>
                <w:lang w:val="en-US" w:eastAsia="zh-CN"/>
              </w:rPr>
              <w:t>3</w:t>
            </w:r>
            <w:r>
              <w:rPr>
                <w:rFonts w:hint="eastAsia" w:ascii="宋体" w:hAnsi="宋体" w:cs="宋体"/>
                <w:color w:val="auto"/>
                <w:kern w:val="0"/>
                <w:sz w:val="24"/>
              </w:rPr>
              <w:t>0分</w:t>
            </w:r>
            <w:r>
              <w:rPr>
                <w:rFonts w:hint="eastAsia" w:ascii="宋体" w:hAnsi="宋体" w:cs="宋体"/>
                <w:color w:val="auto"/>
                <w:sz w:val="24"/>
                <w:u w:val="none"/>
              </w:rPr>
              <w:t>前</w:t>
            </w:r>
            <w:r>
              <w:rPr>
                <w:rFonts w:hint="eastAsia" w:ascii="宋体" w:hAnsi="宋体" w:cs="宋体"/>
                <w:color w:val="auto"/>
                <w:sz w:val="24"/>
              </w:rPr>
              <w:t>（以进入指定帐户时间为准）递交至以下账户，禁止代交代缴。</w:t>
            </w:r>
          </w:p>
          <w:p>
            <w:pPr>
              <w:spacing w:line="440" w:lineRule="exact"/>
              <w:rPr>
                <w:rFonts w:hint="eastAsia" w:ascii="宋体" w:hAnsi="宋体" w:eastAsia="宋体" w:cs="宋体"/>
                <w:color w:val="auto"/>
                <w:sz w:val="24"/>
                <w:lang w:eastAsia="zh-CN"/>
              </w:rPr>
            </w:pPr>
            <w:r>
              <w:rPr>
                <w:rFonts w:hint="eastAsia" w:ascii="宋体" w:hAnsi="宋体" w:cs="宋体"/>
                <w:color w:val="auto"/>
                <w:sz w:val="24"/>
              </w:rPr>
              <w:t>开户户名：</w:t>
            </w:r>
            <w:r>
              <w:rPr>
                <w:rFonts w:hint="eastAsia" w:ascii="宋体" w:hAnsi="宋体" w:cs="宋体"/>
                <w:color w:val="auto"/>
                <w:sz w:val="24"/>
                <w:lang w:eastAsia="zh-CN"/>
              </w:rPr>
              <w:t>海南政鑫招标代理有限公司</w:t>
            </w:r>
          </w:p>
          <w:p>
            <w:pPr>
              <w:spacing w:line="440" w:lineRule="exact"/>
              <w:rPr>
                <w:rFonts w:ascii="宋体" w:hAnsi="宋体" w:cs="宋体"/>
                <w:color w:val="auto"/>
                <w:sz w:val="24"/>
              </w:rPr>
            </w:pPr>
            <w:r>
              <w:rPr>
                <w:rFonts w:hint="eastAsia" w:ascii="宋体" w:hAnsi="宋体" w:cs="宋体"/>
                <w:color w:val="auto"/>
                <w:sz w:val="24"/>
              </w:rPr>
              <w:t>银行账号：</w:t>
            </w:r>
            <w:r>
              <w:rPr>
                <w:rFonts w:hint="eastAsia" w:ascii="宋体" w:hAnsi="宋体" w:cs="宋体"/>
                <w:bCs/>
                <w:color w:val="auto"/>
                <w:kern w:val="0"/>
                <w:sz w:val="24"/>
                <w:lang w:val="en-GB"/>
              </w:rPr>
              <w:t>4605 0100 4636 0000 0101</w:t>
            </w:r>
          </w:p>
          <w:p>
            <w:pPr>
              <w:spacing w:line="440" w:lineRule="exact"/>
              <w:rPr>
                <w:rFonts w:ascii="宋体" w:hAnsi="宋体" w:cs="宋体"/>
                <w:color w:val="auto"/>
                <w:sz w:val="24"/>
              </w:rPr>
            </w:pPr>
            <w:r>
              <w:rPr>
                <w:rFonts w:hint="eastAsia" w:ascii="宋体" w:hAnsi="宋体" w:cs="宋体"/>
                <w:color w:val="auto"/>
                <w:sz w:val="24"/>
              </w:rPr>
              <w:t>开户银行：</w:t>
            </w:r>
            <w:r>
              <w:rPr>
                <w:rFonts w:hint="eastAsia" w:ascii="宋体" w:hAnsi="宋体" w:cs="宋体"/>
                <w:bCs/>
                <w:color w:val="auto"/>
                <w:kern w:val="0"/>
                <w:sz w:val="24"/>
                <w:lang w:val="en-GB"/>
              </w:rPr>
              <w:t>中国建设银行海口蓝天路支行</w:t>
            </w:r>
          </w:p>
          <w:p>
            <w:pPr>
              <w:widowControl/>
              <w:spacing w:line="420" w:lineRule="exact"/>
              <w:ind w:left="1205" w:hanging="1205" w:hangingChars="500"/>
              <w:textAlignment w:val="baseline"/>
              <w:rPr>
                <w:rStyle w:val="43"/>
                <w:rFonts w:ascii="宋体" w:hAnsi="宋体" w:cs="宋体"/>
                <w:b/>
                <w:bCs/>
                <w:color w:val="auto"/>
                <w:sz w:val="24"/>
              </w:rPr>
            </w:pPr>
            <w:r>
              <w:rPr>
                <w:rStyle w:val="43"/>
                <w:rFonts w:hint="eastAsia" w:ascii="宋体" w:hAnsi="宋体" w:cs="宋体"/>
                <w:b/>
                <w:bCs/>
                <w:color w:val="auto"/>
                <w:sz w:val="24"/>
              </w:rPr>
              <w:t>注：</w:t>
            </w:r>
          </w:p>
          <w:p>
            <w:pPr>
              <w:widowControl/>
              <w:spacing w:line="420" w:lineRule="exact"/>
              <w:textAlignment w:val="baseline"/>
              <w:rPr>
                <w:rStyle w:val="43"/>
                <w:rFonts w:ascii="宋体" w:hAnsi="宋体" w:cs="宋体"/>
                <w:color w:val="auto"/>
                <w:sz w:val="24"/>
              </w:rPr>
            </w:pPr>
            <w:r>
              <w:rPr>
                <w:rStyle w:val="43"/>
                <w:rFonts w:hint="eastAsia" w:ascii="宋体" w:hAnsi="宋体" w:cs="宋体"/>
                <w:color w:val="auto"/>
                <w:sz w:val="24"/>
              </w:rPr>
              <w:t>（1）缴纳保证金时注明项目名称（可简写）或项目编号；</w:t>
            </w:r>
          </w:p>
          <w:p>
            <w:pPr>
              <w:spacing w:line="440" w:lineRule="exact"/>
              <w:rPr>
                <w:rFonts w:ascii="宋体" w:hAnsi="宋体" w:cs="宋体"/>
                <w:color w:val="auto"/>
                <w:sz w:val="24"/>
              </w:rPr>
            </w:pPr>
            <w:r>
              <w:rPr>
                <w:rStyle w:val="43"/>
                <w:rFonts w:hint="eastAsia" w:ascii="宋体" w:hAnsi="宋体" w:cs="宋体"/>
                <w:color w:val="auto"/>
                <w:sz w:val="24"/>
              </w:rPr>
              <w:t>（2）未按规定递交磋商保证金的响应文件按废标处理。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3.4.2</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近年财务状况的年份要求</w:t>
            </w:r>
          </w:p>
        </w:tc>
        <w:tc>
          <w:tcPr>
            <w:tcW w:w="6900" w:type="dxa"/>
            <w:vAlign w:val="center"/>
          </w:tcPr>
          <w:p>
            <w:pPr>
              <w:spacing w:line="440" w:lineRule="exact"/>
              <w:rPr>
                <w:rFonts w:ascii="宋体" w:hAnsi="宋体" w:cs="宋体"/>
                <w:color w:val="auto"/>
                <w:sz w:val="24"/>
              </w:rPr>
            </w:pPr>
            <w:r>
              <w:rPr>
                <w:rFonts w:hint="eastAsia" w:asciiTheme="majorEastAsia" w:hAnsiTheme="majorEastAsia" w:eastAsiaTheme="majorEastAsia" w:cstheme="majorEastAsia"/>
                <w:bCs/>
                <w:color w:val="auto"/>
                <w:kern w:val="0"/>
                <w:sz w:val="24"/>
                <w:lang w:val="en-GB"/>
              </w:rPr>
              <w:t>2022年任意</w:t>
            </w:r>
            <w:r>
              <w:rPr>
                <w:rFonts w:hint="eastAsia" w:asciiTheme="majorEastAsia" w:hAnsiTheme="majorEastAsia" w:eastAsiaTheme="majorEastAsia" w:cstheme="majorEastAsia"/>
                <w:bCs/>
                <w:color w:val="auto"/>
                <w:kern w:val="0"/>
                <w:sz w:val="24"/>
                <w:lang w:val="en-US" w:eastAsia="zh-CN"/>
              </w:rPr>
              <w:t>一个季度或一</w:t>
            </w:r>
            <w:r>
              <w:rPr>
                <w:rFonts w:hint="eastAsia" w:asciiTheme="majorEastAsia" w:hAnsiTheme="majorEastAsia" w:eastAsiaTheme="majorEastAsia" w:cstheme="majorEastAsia"/>
                <w:bCs/>
                <w:color w:val="auto"/>
                <w:kern w:val="0"/>
                <w:sz w:val="24"/>
                <w:lang w:val="en-GB"/>
              </w:rPr>
              <w:t>个月的财务报表或者20</w:t>
            </w:r>
            <w:r>
              <w:rPr>
                <w:rFonts w:hint="eastAsia" w:asciiTheme="majorEastAsia" w:hAnsiTheme="majorEastAsia" w:eastAsiaTheme="majorEastAsia" w:cstheme="majorEastAsia"/>
                <w:bCs/>
                <w:color w:val="auto"/>
                <w:kern w:val="0"/>
                <w:sz w:val="24"/>
              </w:rPr>
              <w:t>2</w:t>
            </w:r>
            <w:r>
              <w:rPr>
                <w:rFonts w:asciiTheme="majorEastAsia" w:hAnsiTheme="majorEastAsia" w:eastAsiaTheme="majorEastAsia" w:cstheme="majorEastAsia"/>
                <w:bCs/>
                <w:color w:val="auto"/>
                <w:kern w:val="0"/>
                <w:sz w:val="24"/>
              </w:rPr>
              <w:t>1</w:t>
            </w:r>
            <w:r>
              <w:rPr>
                <w:rFonts w:hint="eastAsia" w:asciiTheme="majorEastAsia" w:hAnsiTheme="majorEastAsia" w:eastAsiaTheme="majorEastAsia" w:cstheme="majorEastAsia"/>
                <w:bCs/>
                <w:color w:val="auto"/>
                <w:kern w:val="0"/>
                <w:sz w:val="24"/>
              </w:rPr>
              <w:t>年</w:t>
            </w:r>
            <w:r>
              <w:rPr>
                <w:rFonts w:hint="eastAsia" w:asciiTheme="majorEastAsia" w:hAnsiTheme="majorEastAsia" w:eastAsiaTheme="majorEastAsia" w:cstheme="majorEastAsia"/>
                <w:bCs/>
                <w:color w:val="auto"/>
                <w:kern w:val="0"/>
                <w:sz w:val="24"/>
                <w:lang w:val="en-GB"/>
              </w:rPr>
              <w:t>年度会计师事务所出具的财务审计报告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3.4.3</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近年完成的类似项目的年份要求</w:t>
            </w:r>
          </w:p>
        </w:tc>
        <w:tc>
          <w:tcPr>
            <w:tcW w:w="6900" w:type="dxa"/>
            <w:vAlign w:val="center"/>
          </w:tcPr>
          <w:p>
            <w:pPr>
              <w:spacing w:line="440" w:lineRule="exact"/>
              <w:rPr>
                <w:rFonts w:hint="eastAsia" w:ascii="宋体" w:hAnsi="宋体" w:eastAsia="宋体" w:cs="宋体"/>
                <w:color w:val="auto"/>
                <w:sz w:val="24"/>
                <w:lang w:eastAsia="zh-CN"/>
              </w:rPr>
            </w:pPr>
            <w:r>
              <w:rPr>
                <w:rFonts w:hint="eastAsia" w:ascii="宋体" w:hAnsi="宋体" w:cs="宋体"/>
                <w:color w:val="auto"/>
                <w:sz w:val="24"/>
                <w:lang w:val="en-US" w:eastAsia="zh-CN"/>
              </w:rPr>
              <w:t>本项目不作要求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3.4.4</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近年发生的诉讼及仲裁情况年份要求</w:t>
            </w:r>
          </w:p>
        </w:tc>
        <w:tc>
          <w:tcPr>
            <w:tcW w:w="6900" w:type="dxa"/>
            <w:vAlign w:val="center"/>
          </w:tcPr>
          <w:p>
            <w:pPr>
              <w:spacing w:line="440" w:lineRule="exact"/>
              <w:rPr>
                <w:rFonts w:ascii="宋体" w:hAnsi="宋体" w:cs="宋体"/>
                <w:color w:val="auto"/>
                <w:sz w:val="24"/>
              </w:rPr>
            </w:pPr>
            <w:r>
              <w:rPr>
                <w:rFonts w:hint="eastAsia" w:ascii="宋体" w:hAnsi="宋体" w:cs="宋体"/>
                <w:color w:val="auto"/>
                <w:sz w:val="24"/>
              </w:rPr>
              <w:t>201</w:t>
            </w:r>
            <w:r>
              <w:rPr>
                <w:rFonts w:ascii="宋体" w:hAnsi="宋体" w:cs="宋体"/>
                <w:color w:val="auto"/>
                <w:sz w:val="24"/>
              </w:rPr>
              <w:t>9</w:t>
            </w:r>
            <w:r>
              <w:rPr>
                <w:rFonts w:hint="eastAsia" w:ascii="宋体" w:hAnsi="宋体" w:cs="宋体"/>
                <w:color w:val="auto"/>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3.4.5</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签字或盖章要求</w:t>
            </w:r>
          </w:p>
        </w:tc>
        <w:tc>
          <w:tcPr>
            <w:tcW w:w="6900" w:type="dxa"/>
            <w:vAlign w:val="center"/>
          </w:tcPr>
          <w:p>
            <w:pPr>
              <w:spacing w:line="440" w:lineRule="exact"/>
              <w:rPr>
                <w:rFonts w:ascii="宋体" w:hAnsi="宋体" w:cs="宋体"/>
                <w:color w:val="auto"/>
                <w:sz w:val="24"/>
              </w:rPr>
            </w:pPr>
            <w:r>
              <w:rPr>
                <w:rFonts w:hint="eastAsia" w:ascii="宋体" w:hAnsi="宋体" w:cs="宋体"/>
                <w:color w:val="auto"/>
                <w:sz w:val="24"/>
              </w:rPr>
              <w:t>磋商响应文件应用不褪色的墨水书写或打印，字迹应易于辨认，并应由投标人的法定代表人或委托代理人签字并盖单位章，由委托代理人签字的，磋商响应文件中应附有法定代表人授权委托书，磋商响应文件</w:t>
            </w:r>
            <w:r>
              <w:rPr>
                <w:rFonts w:hint="eastAsia" w:ascii="宋体" w:hAnsi="宋体" w:cs="宋体"/>
                <w:color w:val="auto"/>
                <w:sz w:val="24"/>
                <w:lang w:val="en-US" w:eastAsia="zh-CN"/>
              </w:rPr>
              <w:t>正本</w:t>
            </w:r>
            <w:r>
              <w:rPr>
                <w:rFonts w:hint="eastAsia" w:ascii="宋体" w:hAnsi="宋体" w:cs="宋体"/>
                <w:color w:val="auto"/>
                <w:sz w:val="24"/>
              </w:rPr>
              <w:t>须逐页盖单位章加盖骑缝章（单位公章），没有按要求在需要签字或盖章处签字或盖单位章的投标文件将视为无效文件。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3.5.1</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磋商响应文件副本份数</w:t>
            </w:r>
          </w:p>
        </w:tc>
        <w:tc>
          <w:tcPr>
            <w:tcW w:w="6900" w:type="dxa"/>
            <w:vAlign w:val="center"/>
          </w:tcPr>
          <w:p>
            <w:pPr>
              <w:spacing w:line="440" w:lineRule="exact"/>
              <w:rPr>
                <w:rFonts w:ascii="宋体" w:hAnsi="宋体" w:cs="宋体"/>
                <w:color w:val="auto"/>
                <w:sz w:val="24"/>
              </w:rPr>
            </w:pPr>
            <w:r>
              <w:rPr>
                <w:rFonts w:hint="eastAsia" w:ascii="宋体" w:hAnsi="宋体" w:cs="宋体"/>
                <w:color w:val="auto"/>
                <w:sz w:val="24"/>
              </w:rPr>
              <w:t>正本</w:t>
            </w:r>
            <w:r>
              <w:rPr>
                <w:rFonts w:hint="eastAsia" w:ascii="宋体" w:hAnsi="宋体" w:cs="宋体"/>
                <w:color w:val="auto"/>
                <w:sz w:val="24"/>
                <w:u w:val="single"/>
              </w:rPr>
              <w:t>1</w:t>
            </w:r>
            <w:r>
              <w:rPr>
                <w:rFonts w:hint="eastAsia" w:ascii="宋体" w:hAnsi="宋体" w:cs="宋体"/>
                <w:color w:val="auto"/>
                <w:sz w:val="24"/>
              </w:rPr>
              <w:t>份，副本</w:t>
            </w:r>
            <w:r>
              <w:rPr>
                <w:rFonts w:hint="eastAsia" w:ascii="宋体" w:hAnsi="宋体" w:cs="宋体"/>
                <w:color w:val="auto"/>
                <w:sz w:val="24"/>
                <w:u w:val="single"/>
              </w:rPr>
              <w:t>2</w:t>
            </w:r>
            <w:r>
              <w:rPr>
                <w:rFonts w:hint="eastAsia" w:ascii="宋体" w:hAnsi="宋体" w:cs="宋体"/>
                <w:color w:val="auto"/>
                <w:sz w:val="24"/>
              </w:rPr>
              <w:t>份，电子投标文件</w:t>
            </w:r>
            <w:r>
              <w:rPr>
                <w:rFonts w:hint="eastAsia" w:ascii="宋体" w:hAnsi="宋体" w:cs="宋体"/>
                <w:color w:val="auto"/>
                <w:sz w:val="24"/>
                <w:u w:val="single"/>
                <w:lang w:val="en-US" w:eastAsia="zh-CN"/>
              </w:rPr>
              <w:t>1</w:t>
            </w:r>
            <w:r>
              <w:rPr>
                <w:rFonts w:hint="eastAsia" w:ascii="宋体" w:hAnsi="宋体" w:cs="宋体"/>
                <w:color w:val="auto"/>
                <w:sz w:val="24"/>
              </w:rPr>
              <w:t>份（U盘一份）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3.5.2</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装订要求</w:t>
            </w:r>
          </w:p>
        </w:tc>
        <w:tc>
          <w:tcPr>
            <w:tcW w:w="6900" w:type="dxa"/>
            <w:vAlign w:val="center"/>
          </w:tcPr>
          <w:p>
            <w:pPr>
              <w:spacing w:line="440" w:lineRule="exact"/>
              <w:rPr>
                <w:rFonts w:ascii="宋体" w:hAnsi="宋体" w:cs="宋体"/>
                <w:color w:val="auto"/>
                <w:sz w:val="24"/>
              </w:rPr>
            </w:pPr>
            <w:r>
              <w:rPr>
                <w:rFonts w:hint="eastAsia" w:ascii="宋体" w:hAnsi="宋体" w:cs="宋体"/>
                <w:color w:val="auto"/>
                <w:sz w:val="24"/>
              </w:rPr>
              <w:t>投标文件的正本与副本应分别装订成册，并编制目录，装订采用胶装，不得采用活页夹。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4.1.2</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封套上应载明的信息</w:t>
            </w:r>
          </w:p>
        </w:tc>
        <w:tc>
          <w:tcPr>
            <w:tcW w:w="6900" w:type="dxa"/>
            <w:vAlign w:val="center"/>
          </w:tcPr>
          <w:p>
            <w:pPr>
              <w:spacing w:line="440" w:lineRule="exact"/>
              <w:rPr>
                <w:rFonts w:hint="eastAsia" w:ascii="宋体" w:hAnsi="宋体" w:eastAsia="宋体" w:cs="宋体"/>
                <w:color w:val="auto"/>
                <w:sz w:val="24"/>
                <w:lang w:eastAsia="zh-CN"/>
              </w:rPr>
            </w:pPr>
            <w:r>
              <w:rPr>
                <w:rFonts w:hint="eastAsia" w:ascii="宋体" w:hAnsi="宋体" w:cs="宋体"/>
                <w:color w:val="auto"/>
                <w:sz w:val="24"/>
              </w:rPr>
              <w:t>采购人名称：</w:t>
            </w:r>
            <w:r>
              <w:rPr>
                <w:rFonts w:hint="eastAsia" w:ascii="宋体" w:hAnsi="宋体" w:cs="宋体"/>
                <w:color w:val="auto"/>
                <w:sz w:val="24"/>
                <w:lang w:eastAsia="zh-CN"/>
              </w:rPr>
              <w:t>儋州市第二中学</w:t>
            </w:r>
          </w:p>
          <w:p>
            <w:pPr>
              <w:spacing w:line="440" w:lineRule="exact"/>
              <w:rPr>
                <w:rFonts w:ascii="宋体" w:hAnsi="宋体" w:cs="宋体"/>
                <w:color w:val="auto"/>
                <w:sz w:val="24"/>
              </w:rPr>
            </w:pPr>
            <w:r>
              <w:rPr>
                <w:rFonts w:hint="eastAsia" w:ascii="宋体" w:hAnsi="宋体" w:cs="宋体"/>
                <w:color w:val="auto"/>
                <w:sz w:val="24"/>
              </w:rPr>
              <w:t>采购人地址：</w:t>
            </w:r>
            <w:r>
              <w:rPr>
                <w:rFonts w:hint="eastAsia" w:ascii="宋体" w:hAnsi="宋体" w:cs="宋体"/>
                <w:bCs/>
                <w:color w:val="auto"/>
                <w:kern w:val="0"/>
                <w:sz w:val="24"/>
                <w:lang w:val="en-GB"/>
              </w:rPr>
              <w:t>海南省儋州市区那大镇文化中路</w:t>
            </w:r>
          </w:p>
          <w:p>
            <w:pPr>
              <w:spacing w:line="440" w:lineRule="exact"/>
              <w:rPr>
                <w:rFonts w:ascii="宋体" w:hAnsi="宋体" w:cs="宋体"/>
                <w:color w:val="auto"/>
                <w:sz w:val="24"/>
              </w:rPr>
            </w:pPr>
            <w:r>
              <w:rPr>
                <w:rFonts w:hint="eastAsia" w:ascii="宋体" w:hAnsi="宋体" w:cs="宋体"/>
                <w:bCs/>
                <w:color w:val="auto"/>
                <w:kern w:val="0"/>
                <w:sz w:val="24"/>
                <w:u w:val="single"/>
                <w:lang w:val="en-GB" w:eastAsia="zh-CN"/>
              </w:rPr>
              <w:t>儋州市第二中学多功能报告厅及开放式书吧改造工程</w:t>
            </w:r>
            <w:r>
              <w:rPr>
                <w:rFonts w:hint="eastAsia" w:ascii="宋体" w:hAnsi="宋体" w:cs="宋体"/>
                <w:color w:val="auto"/>
                <w:sz w:val="24"/>
              </w:rPr>
              <w:t>磋商响应文件在</w:t>
            </w:r>
            <w:r>
              <w:rPr>
                <w:rFonts w:hint="eastAsia" w:ascii="宋体" w:hAnsi="宋体" w:cs="宋体"/>
                <w:color w:val="auto"/>
                <w:kern w:val="0"/>
                <w:sz w:val="24"/>
              </w:rPr>
              <w:t>2022年</w:t>
            </w:r>
            <w:r>
              <w:rPr>
                <w:rFonts w:hint="eastAsia" w:ascii="宋体" w:hAnsi="宋体" w:cs="宋体"/>
                <w:color w:val="auto"/>
                <w:kern w:val="0"/>
                <w:sz w:val="24"/>
                <w:lang w:val="en-US" w:eastAsia="zh-CN"/>
              </w:rPr>
              <w:t>6</w:t>
            </w:r>
            <w:r>
              <w:rPr>
                <w:rFonts w:hint="eastAsia" w:ascii="宋体" w:hAnsi="宋体" w:cs="宋体"/>
                <w:color w:val="auto"/>
                <w:kern w:val="0"/>
                <w:sz w:val="24"/>
              </w:rPr>
              <w:t>月</w:t>
            </w:r>
            <w:r>
              <w:rPr>
                <w:rFonts w:hint="eastAsia" w:ascii="宋体" w:hAnsi="宋体" w:cs="宋体"/>
                <w:color w:val="auto"/>
                <w:kern w:val="0"/>
                <w:sz w:val="24"/>
                <w:lang w:val="en-US" w:eastAsia="zh-CN"/>
              </w:rPr>
              <w:t>28</w:t>
            </w:r>
            <w:r>
              <w:rPr>
                <w:rFonts w:hint="eastAsia" w:ascii="宋体" w:hAnsi="宋体" w:cs="宋体"/>
                <w:color w:val="auto"/>
                <w:kern w:val="0"/>
                <w:sz w:val="24"/>
              </w:rPr>
              <w:t>日</w:t>
            </w:r>
            <w:r>
              <w:rPr>
                <w:rFonts w:hint="eastAsia" w:ascii="宋体" w:hAnsi="宋体" w:cs="宋体"/>
                <w:color w:val="auto"/>
                <w:kern w:val="0"/>
                <w:sz w:val="24"/>
                <w:lang w:val="en-US" w:eastAsia="zh-CN"/>
              </w:rPr>
              <w:t>10</w:t>
            </w:r>
            <w:r>
              <w:rPr>
                <w:rFonts w:hint="eastAsia" w:ascii="宋体" w:hAnsi="宋体" w:cs="宋体"/>
                <w:color w:val="auto"/>
                <w:kern w:val="0"/>
                <w:sz w:val="24"/>
              </w:rPr>
              <w:t>点</w:t>
            </w:r>
            <w:r>
              <w:rPr>
                <w:rFonts w:hint="eastAsia" w:ascii="宋体" w:hAnsi="宋体" w:cs="宋体"/>
                <w:color w:val="auto"/>
                <w:kern w:val="0"/>
                <w:sz w:val="24"/>
                <w:lang w:val="en-US" w:eastAsia="zh-CN"/>
              </w:rPr>
              <w:t>3</w:t>
            </w:r>
            <w:r>
              <w:rPr>
                <w:rFonts w:hint="eastAsia" w:ascii="宋体" w:hAnsi="宋体" w:cs="宋体"/>
                <w:color w:val="auto"/>
                <w:kern w:val="0"/>
                <w:sz w:val="24"/>
              </w:rPr>
              <w:t>0分</w:t>
            </w:r>
            <w:r>
              <w:rPr>
                <w:rFonts w:hint="eastAsia" w:ascii="宋体" w:hAnsi="宋体" w:cs="宋体"/>
                <w:color w:val="auto"/>
                <w:sz w:val="24"/>
              </w:rPr>
              <w:t xml:space="preserve">前不得开启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4.2.2</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递交磋商响应文件地点</w:t>
            </w:r>
          </w:p>
        </w:tc>
        <w:tc>
          <w:tcPr>
            <w:tcW w:w="6900" w:type="dxa"/>
            <w:vAlign w:val="center"/>
          </w:tcPr>
          <w:p>
            <w:pPr>
              <w:spacing w:line="440" w:lineRule="exact"/>
              <w:rPr>
                <w:rFonts w:hint="eastAsia" w:ascii="宋体" w:hAnsi="宋体" w:eastAsia="宋体" w:cs="宋体"/>
                <w:color w:val="auto"/>
                <w:sz w:val="24"/>
                <w:lang w:eastAsia="zh-CN"/>
              </w:rPr>
            </w:pPr>
            <w:r>
              <w:rPr>
                <w:rFonts w:hint="eastAsia" w:ascii="宋体" w:hAnsi="宋体" w:cs="宋体"/>
                <w:bCs/>
                <w:color w:val="auto"/>
                <w:kern w:val="0"/>
                <w:sz w:val="24"/>
                <w:lang w:val="en-GB" w:eastAsia="zh-CN"/>
              </w:rPr>
              <w:t>海南省海口市美兰区金坡路6号中鹏苑A幢第1层101房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4.2.3</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是否退还磋商响应文件</w:t>
            </w:r>
          </w:p>
        </w:tc>
        <w:tc>
          <w:tcPr>
            <w:tcW w:w="6900" w:type="dxa"/>
            <w:vAlign w:val="center"/>
          </w:tcPr>
          <w:p>
            <w:pPr>
              <w:pStyle w:val="10"/>
              <w:topLinePunct/>
              <w:spacing w:line="440" w:lineRule="exact"/>
              <w:rPr>
                <w:rFonts w:hAnsi="宋体" w:cs="宋体"/>
                <w:color w:val="auto"/>
                <w:szCs w:val="24"/>
              </w:rPr>
            </w:pPr>
            <w:r>
              <w:rPr>
                <w:rFonts w:hint="eastAsia" w:hAnsi="宋体" w:cs="宋体"/>
                <w:color w:val="auto"/>
                <w:szCs w:val="24"/>
              </w:rPr>
              <w:t>√否</w:t>
            </w:r>
          </w:p>
          <w:p>
            <w:pPr>
              <w:spacing w:line="440" w:lineRule="exact"/>
              <w:rPr>
                <w:rFonts w:ascii="宋体" w:hAnsi="宋体" w:cs="宋体"/>
                <w:color w:val="auto"/>
                <w:sz w:val="24"/>
              </w:rPr>
            </w:pPr>
            <w:r>
              <w:rPr>
                <w:rFonts w:hint="eastAsia" w:ascii="宋体" w:hAnsi="宋体" w:cs="宋体"/>
                <w:color w:val="auto"/>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5.1</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开标时间和地点</w:t>
            </w:r>
          </w:p>
        </w:tc>
        <w:tc>
          <w:tcPr>
            <w:tcW w:w="6900" w:type="dxa"/>
            <w:vAlign w:val="center"/>
          </w:tcPr>
          <w:p>
            <w:pPr>
              <w:spacing w:line="440" w:lineRule="exact"/>
              <w:rPr>
                <w:rFonts w:ascii="宋体" w:hAnsi="宋体" w:cs="宋体"/>
                <w:color w:val="auto"/>
                <w:sz w:val="24"/>
              </w:rPr>
            </w:pPr>
            <w:r>
              <w:rPr>
                <w:rFonts w:hint="eastAsia" w:ascii="宋体" w:hAnsi="宋体" w:cs="宋体"/>
                <w:color w:val="auto"/>
                <w:sz w:val="24"/>
              </w:rPr>
              <w:t>开标时间：同投标截止时间</w:t>
            </w:r>
          </w:p>
          <w:p>
            <w:pPr>
              <w:spacing w:line="440" w:lineRule="exact"/>
              <w:rPr>
                <w:rFonts w:ascii="宋体" w:hAnsi="宋体" w:cs="宋体"/>
                <w:color w:val="auto"/>
                <w:sz w:val="24"/>
              </w:rPr>
            </w:pPr>
            <w:r>
              <w:rPr>
                <w:rFonts w:hint="eastAsia" w:ascii="宋体" w:hAnsi="宋体" w:cs="宋体"/>
                <w:color w:val="auto"/>
                <w:sz w:val="24"/>
              </w:rPr>
              <w:t>开标地点：同递交磋商响应文件地点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5.2</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开标程序</w:t>
            </w:r>
          </w:p>
        </w:tc>
        <w:tc>
          <w:tcPr>
            <w:tcW w:w="6900" w:type="dxa"/>
            <w:vAlign w:val="center"/>
          </w:tcPr>
          <w:p>
            <w:pPr>
              <w:spacing w:line="440" w:lineRule="exact"/>
              <w:rPr>
                <w:rFonts w:ascii="宋体" w:hAnsi="宋体" w:cs="宋体"/>
                <w:color w:val="auto"/>
                <w:sz w:val="24"/>
              </w:rPr>
            </w:pPr>
            <w:r>
              <w:rPr>
                <w:rFonts w:hint="eastAsia" w:ascii="宋体" w:hAnsi="宋体" w:cs="宋体"/>
                <w:color w:val="auto"/>
                <w:sz w:val="24"/>
              </w:rPr>
              <w:t>密封情况检查：由供应商代表和监标人共同检查。</w:t>
            </w:r>
          </w:p>
          <w:p>
            <w:pPr>
              <w:spacing w:line="440" w:lineRule="exact"/>
              <w:rPr>
                <w:rFonts w:ascii="宋体" w:hAnsi="宋体" w:cs="宋体"/>
                <w:color w:val="auto"/>
                <w:sz w:val="24"/>
              </w:rPr>
            </w:pPr>
            <w:r>
              <w:rPr>
                <w:rFonts w:hint="eastAsia" w:ascii="宋体" w:hAnsi="宋体" w:cs="宋体"/>
                <w:color w:val="auto"/>
                <w:sz w:val="24"/>
              </w:rPr>
              <w:t>开标顺序：按磋商响应文件递交的先后顺序。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6.1.1</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评标委员会的组建</w:t>
            </w:r>
          </w:p>
        </w:tc>
        <w:tc>
          <w:tcPr>
            <w:tcW w:w="6900" w:type="dxa"/>
            <w:vAlign w:val="center"/>
          </w:tcPr>
          <w:p>
            <w:pPr>
              <w:spacing w:line="440" w:lineRule="exact"/>
              <w:rPr>
                <w:rFonts w:ascii="宋体" w:hAnsi="宋体" w:cs="宋体"/>
                <w:color w:val="auto"/>
                <w:sz w:val="24"/>
              </w:rPr>
            </w:pPr>
            <w:r>
              <w:rPr>
                <w:rFonts w:hint="eastAsia" w:ascii="宋体" w:hAnsi="宋体" w:cs="宋体"/>
                <w:color w:val="auto"/>
                <w:sz w:val="24"/>
              </w:rPr>
              <w:t>评标委员会构成：</w:t>
            </w:r>
            <w:r>
              <w:rPr>
                <w:rFonts w:hint="eastAsia" w:ascii="宋体" w:hAnsi="宋体" w:cs="宋体"/>
                <w:color w:val="auto"/>
                <w:sz w:val="24"/>
                <w:u w:val="single"/>
              </w:rPr>
              <w:t>3</w:t>
            </w:r>
            <w:r>
              <w:rPr>
                <w:rFonts w:hint="eastAsia" w:ascii="宋体" w:hAnsi="宋体" w:cs="宋体"/>
                <w:color w:val="auto"/>
                <w:sz w:val="24"/>
              </w:rPr>
              <w:t>人，其中采购人代表</w:t>
            </w:r>
            <w:r>
              <w:rPr>
                <w:rFonts w:hint="eastAsia" w:ascii="宋体" w:hAnsi="宋体" w:cs="宋体"/>
                <w:color w:val="auto"/>
                <w:sz w:val="24"/>
                <w:u w:val="single"/>
              </w:rPr>
              <w:t>0</w:t>
            </w:r>
            <w:r>
              <w:rPr>
                <w:rFonts w:hint="eastAsia" w:ascii="宋体" w:hAnsi="宋体" w:cs="宋体"/>
                <w:color w:val="auto"/>
                <w:sz w:val="24"/>
              </w:rPr>
              <w:t>人，专家</w:t>
            </w:r>
            <w:r>
              <w:rPr>
                <w:rFonts w:hint="eastAsia" w:ascii="宋体" w:hAnsi="宋体" w:cs="宋体"/>
                <w:color w:val="auto"/>
                <w:sz w:val="24"/>
                <w:u w:val="single"/>
              </w:rPr>
              <w:t>3</w:t>
            </w:r>
            <w:r>
              <w:rPr>
                <w:rFonts w:hint="eastAsia" w:ascii="宋体" w:hAnsi="宋体" w:cs="宋体"/>
                <w:color w:val="auto"/>
                <w:sz w:val="24"/>
              </w:rPr>
              <w:t>人；</w:t>
            </w:r>
          </w:p>
          <w:p>
            <w:pPr>
              <w:spacing w:line="440" w:lineRule="exact"/>
              <w:rPr>
                <w:rFonts w:ascii="宋体" w:hAnsi="宋体" w:cs="宋体"/>
                <w:color w:val="auto"/>
                <w:sz w:val="24"/>
              </w:rPr>
            </w:pPr>
            <w:r>
              <w:rPr>
                <w:rFonts w:hint="eastAsia" w:ascii="宋体" w:hAnsi="宋体" w:cs="宋体"/>
                <w:color w:val="auto"/>
                <w:sz w:val="24"/>
              </w:rPr>
              <w:t>评标专家确定方式：</w:t>
            </w:r>
            <w:r>
              <w:rPr>
                <w:rFonts w:hint="eastAsia" w:ascii="宋体" w:hAnsi="宋体" w:cs="宋体"/>
                <w:color w:val="auto"/>
                <w:sz w:val="24"/>
                <w:u w:val="single"/>
              </w:rPr>
              <w:t>海南省综合评标专家库中随机抽取。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7.1</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是否授权评标委员会确定成交供应商</w:t>
            </w:r>
          </w:p>
        </w:tc>
        <w:tc>
          <w:tcPr>
            <w:tcW w:w="6900" w:type="dxa"/>
            <w:vAlign w:val="center"/>
          </w:tcPr>
          <w:p>
            <w:pPr>
              <w:spacing w:line="440" w:lineRule="exact"/>
              <w:ind w:left="240" w:hanging="240" w:hangingChars="100"/>
              <w:rPr>
                <w:rFonts w:ascii="宋体" w:hAnsi="宋体" w:cs="宋体"/>
                <w:color w:val="auto"/>
                <w:sz w:val="24"/>
              </w:rPr>
            </w:pPr>
            <w:r>
              <w:rPr>
                <w:rFonts w:hint="eastAsia" w:ascii="宋体" w:hAnsi="宋体" w:cs="宋体"/>
                <w:color w:val="auto"/>
                <w:sz w:val="24"/>
              </w:rPr>
              <w:t>□是 ，推荐的成交候选人数：3个，并确定排名第一的成交候选人为成交供应商。</w:t>
            </w:r>
          </w:p>
          <w:p>
            <w:pPr>
              <w:spacing w:line="440" w:lineRule="exact"/>
              <w:rPr>
                <w:rFonts w:ascii="宋体" w:hAnsi="宋体" w:cs="宋体"/>
                <w:color w:val="auto"/>
                <w:sz w:val="24"/>
              </w:rPr>
            </w:pPr>
            <w:r>
              <w:rPr>
                <w:rFonts w:hint="eastAsia" w:ascii="宋体" w:hAnsi="宋体" w:cs="宋体"/>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7.4.1</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履约担保</w:t>
            </w:r>
          </w:p>
        </w:tc>
        <w:tc>
          <w:tcPr>
            <w:tcW w:w="6900" w:type="dxa"/>
            <w:vAlign w:val="center"/>
          </w:tcPr>
          <w:p>
            <w:pPr>
              <w:spacing w:line="440" w:lineRule="exact"/>
              <w:rPr>
                <w:rFonts w:ascii="宋体" w:hAnsi="宋体" w:cs="宋体"/>
                <w:color w:val="auto"/>
                <w:sz w:val="24"/>
              </w:rPr>
            </w:pPr>
            <w:r>
              <w:rPr>
                <w:rFonts w:hint="eastAsia" w:ascii="宋体" w:hAnsi="宋体" w:cs="宋体"/>
                <w:color w:val="auto"/>
                <w:sz w:val="24"/>
              </w:rPr>
              <w:t>履约担保的形式：银行转账或银行保函（国有商业银行或者股份制商业银行的市行或以上及银行</w:t>
            </w:r>
          </w:p>
          <w:p>
            <w:pPr>
              <w:spacing w:line="440" w:lineRule="exact"/>
              <w:rPr>
                <w:rFonts w:ascii="宋体" w:hAnsi="宋体" w:cs="宋体"/>
                <w:color w:val="auto"/>
                <w:sz w:val="24"/>
              </w:rPr>
            </w:pPr>
            <w:r>
              <w:rPr>
                <w:rFonts w:hint="eastAsia" w:ascii="宋体" w:hAnsi="宋体" w:cs="宋体"/>
                <w:color w:val="auto"/>
                <w:sz w:val="24"/>
              </w:rPr>
              <w:t>履约担保的金额：签约合同价的</w:t>
            </w:r>
            <w:r>
              <w:rPr>
                <w:rFonts w:ascii="宋体" w:hAnsi="宋体" w:cs="宋体"/>
                <w:color w:val="auto"/>
                <w:sz w:val="24"/>
              </w:rPr>
              <w:t>5</w:t>
            </w:r>
            <w:r>
              <w:rPr>
                <w:rFonts w:hint="eastAsia" w:ascii="宋体" w:hAnsi="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0" w:type="dxa"/>
            <w:gridSpan w:val="3"/>
            <w:vAlign w:val="center"/>
          </w:tcPr>
          <w:p>
            <w:pPr>
              <w:spacing w:line="440" w:lineRule="exact"/>
              <w:jc w:val="center"/>
              <w:rPr>
                <w:rFonts w:ascii="宋体" w:hAnsi="宋体" w:cs="宋体"/>
                <w:b/>
                <w:color w:val="auto"/>
                <w:sz w:val="24"/>
              </w:rPr>
            </w:pPr>
            <w:r>
              <w:rPr>
                <w:rFonts w:hint="eastAsia" w:ascii="宋体" w:hAnsi="宋体" w:cs="宋体"/>
                <w:b/>
                <w:color w:val="auto"/>
                <w:sz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10.1</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电子招标投标</w:t>
            </w:r>
          </w:p>
        </w:tc>
        <w:tc>
          <w:tcPr>
            <w:tcW w:w="6900" w:type="dxa"/>
            <w:vAlign w:val="center"/>
          </w:tcPr>
          <w:p>
            <w:pPr>
              <w:spacing w:line="440" w:lineRule="exact"/>
              <w:rPr>
                <w:rFonts w:ascii="宋体" w:hAnsi="宋体" w:cs="宋体"/>
                <w:color w:val="auto"/>
                <w:sz w:val="24"/>
              </w:rPr>
            </w:pPr>
            <w:r>
              <w:rPr>
                <w:rFonts w:hint="eastAsia" w:ascii="宋体" w:hAnsi="宋体" w:cs="宋体"/>
                <w:color w:val="auto"/>
                <w:sz w:val="24"/>
              </w:rPr>
              <w:t>√否</w:t>
            </w:r>
          </w:p>
          <w:p>
            <w:pPr>
              <w:spacing w:line="440" w:lineRule="exact"/>
              <w:rPr>
                <w:rFonts w:ascii="宋体" w:hAnsi="宋体" w:cs="宋体"/>
                <w:color w:val="auto"/>
                <w:sz w:val="24"/>
              </w:rPr>
            </w:pPr>
            <w:r>
              <w:rPr>
                <w:rFonts w:hint="eastAsia" w:ascii="宋体" w:hAnsi="宋体" w:cs="宋体"/>
                <w:color w:val="auto"/>
                <w:sz w:val="24"/>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10.2</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开标会投标单位须携带的资料原件</w:t>
            </w:r>
          </w:p>
        </w:tc>
        <w:tc>
          <w:tcPr>
            <w:tcW w:w="6900" w:type="dxa"/>
            <w:vAlign w:val="center"/>
          </w:tcPr>
          <w:p>
            <w:pPr>
              <w:numPr>
                <w:ilvl w:val="0"/>
                <w:numId w:val="1"/>
              </w:numPr>
              <w:spacing w:line="440" w:lineRule="exact"/>
              <w:jc w:val="left"/>
              <w:rPr>
                <w:rFonts w:ascii="宋体" w:hAnsi="宋体" w:cs="宋体"/>
                <w:color w:val="auto"/>
                <w:sz w:val="24"/>
              </w:rPr>
            </w:pPr>
            <w:r>
              <w:rPr>
                <w:rFonts w:hint="eastAsia" w:ascii="宋体" w:hAnsi="宋体" w:cs="宋体"/>
                <w:color w:val="auto"/>
                <w:sz w:val="24"/>
              </w:rPr>
              <w:t>开标现场需提交的原件：（1）法人授权委托书及授权委托人身份证（法定代表人到场的需携带身份证及法定代表人身份证明书）；（2）磋商保证金转账凭证（电子回单等同于原件）。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10.3</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其他</w:t>
            </w:r>
          </w:p>
        </w:tc>
        <w:tc>
          <w:tcPr>
            <w:tcW w:w="6900" w:type="dxa"/>
            <w:vAlign w:val="center"/>
          </w:tcPr>
          <w:p>
            <w:pPr>
              <w:widowControl/>
              <w:spacing w:line="440" w:lineRule="exact"/>
              <w:jc w:val="left"/>
              <w:rPr>
                <w:rFonts w:ascii="宋体" w:hAnsi="宋体" w:cs="宋体"/>
                <w:color w:val="auto"/>
                <w:sz w:val="24"/>
              </w:rPr>
            </w:pPr>
            <w:r>
              <w:rPr>
                <w:rFonts w:hint="eastAsia" w:ascii="宋体" w:hAnsi="宋体" w:cs="宋体"/>
                <w:color w:val="auto"/>
                <w:sz w:val="24"/>
              </w:rPr>
              <w:t>根据《海南省发展和改革委员会关于实施促进贫困劳动力务工六条措施的通知》（琼发改投资[2020]302号）第一条第五项之规定，政府投资项目业主单位，将项目用工招录贫困劳动力数量比例不低于招录人员数量10%的要求，纳入施工招标文件，并将以上要求列入施工合同中予以明确。本项目用工招录贫困劳动力数量比例应不低于招录人员数量10%。投标人须在投标文件中作出相关承诺（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40" w:lineRule="exact"/>
              <w:jc w:val="center"/>
              <w:rPr>
                <w:rFonts w:ascii="宋体" w:hAnsi="宋体" w:cs="宋体"/>
                <w:color w:val="auto"/>
                <w:sz w:val="24"/>
              </w:rPr>
            </w:pPr>
            <w:r>
              <w:rPr>
                <w:rFonts w:hint="eastAsia" w:ascii="宋体" w:hAnsi="宋体" w:cs="宋体"/>
                <w:color w:val="auto"/>
                <w:sz w:val="24"/>
              </w:rPr>
              <w:t>10.4</w:t>
            </w:r>
          </w:p>
        </w:tc>
        <w:tc>
          <w:tcPr>
            <w:tcW w:w="1910" w:type="dxa"/>
            <w:vAlign w:val="center"/>
          </w:tcPr>
          <w:p>
            <w:pPr>
              <w:spacing w:line="440" w:lineRule="exact"/>
              <w:jc w:val="center"/>
              <w:rPr>
                <w:rFonts w:ascii="宋体" w:hAnsi="宋体" w:cs="宋体"/>
                <w:color w:val="auto"/>
                <w:sz w:val="24"/>
              </w:rPr>
            </w:pPr>
            <w:r>
              <w:rPr>
                <w:rFonts w:hint="eastAsia" w:ascii="宋体" w:hAnsi="宋体" w:cs="宋体"/>
                <w:color w:val="auto"/>
                <w:sz w:val="24"/>
              </w:rPr>
              <w:t>农民工工资支付约定</w:t>
            </w:r>
          </w:p>
        </w:tc>
        <w:tc>
          <w:tcPr>
            <w:tcW w:w="6900" w:type="dxa"/>
            <w:vAlign w:val="center"/>
          </w:tcPr>
          <w:p>
            <w:pPr>
              <w:widowControl/>
              <w:spacing w:line="440" w:lineRule="exact"/>
              <w:jc w:val="left"/>
              <w:rPr>
                <w:rFonts w:ascii="宋体" w:hAnsi="宋体" w:cs="宋体"/>
                <w:color w:val="auto"/>
                <w:sz w:val="24"/>
              </w:rPr>
            </w:pPr>
            <w:r>
              <w:rPr>
                <w:rFonts w:ascii="宋体" w:hAnsi="宋体" w:cs="宋体"/>
                <w:color w:val="auto"/>
                <w:sz w:val="24"/>
              </w:rPr>
              <w:t>根据海南省人民政府办公厅关于印发《海南省贯彻落实〈保障农民工工资支付条例〉的实施意见》的通知</w:t>
            </w:r>
            <w:r>
              <w:rPr>
                <w:rFonts w:hint="eastAsia" w:ascii="宋体" w:hAnsi="宋体" w:cs="宋体"/>
                <w:color w:val="auto"/>
                <w:sz w:val="24"/>
              </w:rPr>
              <w:t>（琼府办</w:t>
            </w:r>
            <w:r>
              <w:rPr>
                <w:rFonts w:ascii="宋体" w:hAnsi="宋体" w:cs="宋体"/>
                <w:color w:val="auto"/>
                <w:sz w:val="24"/>
              </w:rPr>
              <w:t>〔202</w:t>
            </w:r>
            <w:r>
              <w:rPr>
                <w:rFonts w:hint="eastAsia" w:ascii="宋体" w:hAnsi="宋体" w:cs="宋体"/>
                <w:color w:val="auto"/>
                <w:sz w:val="24"/>
              </w:rPr>
              <w:t>1</w:t>
            </w:r>
            <w:r>
              <w:rPr>
                <w:rFonts w:ascii="宋体" w:hAnsi="宋体" w:cs="宋体"/>
                <w:color w:val="auto"/>
                <w:sz w:val="24"/>
              </w:rPr>
              <w:t>〕</w:t>
            </w:r>
            <w:r>
              <w:rPr>
                <w:rFonts w:hint="eastAsia" w:ascii="宋体" w:hAnsi="宋体" w:cs="宋体"/>
                <w:color w:val="auto"/>
                <w:sz w:val="24"/>
              </w:rPr>
              <w:t>56号）、海南省人力资源和社会保障厅等八部门关于印发《海南省关于＜工程建设领域农民工工资专用账户管理暂行办法＞的实施细则》的通知（（琼人社规</w:t>
            </w:r>
            <w:r>
              <w:rPr>
                <w:rFonts w:ascii="宋体" w:hAnsi="宋体" w:cs="宋体"/>
                <w:color w:val="auto"/>
                <w:sz w:val="24"/>
              </w:rPr>
              <w:t>〔202</w:t>
            </w:r>
            <w:r>
              <w:rPr>
                <w:rFonts w:hint="eastAsia" w:ascii="宋体" w:hAnsi="宋体" w:cs="宋体"/>
                <w:color w:val="auto"/>
                <w:sz w:val="24"/>
              </w:rPr>
              <w:t>1</w:t>
            </w:r>
            <w:r>
              <w:rPr>
                <w:rFonts w:ascii="宋体" w:hAnsi="宋体" w:cs="宋体"/>
                <w:color w:val="auto"/>
                <w:sz w:val="24"/>
              </w:rPr>
              <w:t>〕</w:t>
            </w:r>
            <w:r>
              <w:rPr>
                <w:rFonts w:hint="eastAsia" w:ascii="宋体" w:hAnsi="宋体" w:cs="宋体"/>
                <w:color w:val="auto"/>
                <w:sz w:val="24"/>
              </w:rPr>
              <w:t>10号）、海南省住房和城乡建设厅等4部门</w:t>
            </w:r>
            <w:r>
              <w:rPr>
                <w:rFonts w:ascii="宋体" w:hAnsi="宋体" w:cs="宋体"/>
                <w:color w:val="auto"/>
                <w:sz w:val="24"/>
              </w:rPr>
              <w:t>关于印发《海南省工程建设领域施工现场人员实名制监 督管理办法》的通知</w:t>
            </w:r>
            <w:r>
              <w:rPr>
                <w:rFonts w:hint="eastAsia" w:ascii="宋体" w:hAnsi="宋体" w:cs="宋体"/>
                <w:color w:val="auto"/>
                <w:sz w:val="24"/>
              </w:rPr>
              <w:t>（</w:t>
            </w:r>
            <w:r>
              <w:rPr>
                <w:rFonts w:ascii="宋体" w:hAnsi="宋体" w:cs="宋体"/>
                <w:color w:val="auto"/>
                <w:sz w:val="24"/>
              </w:rPr>
              <w:t>琼建规〔2021〕7号</w:t>
            </w:r>
            <w:r>
              <w:rPr>
                <w:rFonts w:hint="eastAsia" w:ascii="宋体" w:hAnsi="宋体" w:cs="宋体"/>
                <w:color w:val="auto"/>
                <w:sz w:val="24"/>
              </w:rPr>
              <w:t xml:space="preserve">）和海南省住房和城乡建设厅等四部门关于印发《海南省工程建设领域实施工程款支付担保 </w:t>
            </w:r>
            <w:r>
              <w:rPr>
                <w:rFonts w:ascii="宋体" w:hAnsi="宋体" w:cs="宋体"/>
                <w:color w:val="auto"/>
                <w:sz w:val="24"/>
              </w:rPr>
              <w:t>暂行办法》的通知</w:t>
            </w:r>
            <w:r>
              <w:rPr>
                <w:rFonts w:hint="eastAsia" w:ascii="宋体" w:hAnsi="宋体" w:cs="宋体"/>
                <w:color w:val="auto"/>
                <w:sz w:val="24"/>
              </w:rPr>
              <w:t>（琼建规〔2021〕8号）</w:t>
            </w:r>
            <w:r>
              <w:rPr>
                <w:rFonts w:ascii="宋体" w:hAnsi="宋体" w:cs="宋体"/>
                <w:color w:val="auto"/>
                <w:sz w:val="24"/>
              </w:rPr>
              <w:t>的相关</w:t>
            </w:r>
            <w:r>
              <w:rPr>
                <w:rFonts w:hint="eastAsia" w:ascii="宋体" w:hAnsi="宋体" w:cs="宋体"/>
                <w:color w:val="auto"/>
                <w:sz w:val="24"/>
              </w:rPr>
              <w:t>文件</w:t>
            </w:r>
            <w:r>
              <w:rPr>
                <w:rFonts w:ascii="宋体" w:hAnsi="宋体" w:cs="宋体"/>
                <w:color w:val="auto"/>
                <w:sz w:val="24"/>
              </w:rPr>
              <w:t>规定和要求，结合实际，</w:t>
            </w:r>
            <w:r>
              <w:rPr>
                <w:rFonts w:hint="eastAsia" w:ascii="宋体" w:hAnsi="宋体" w:cs="宋体"/>
                <w:color w:val="auto"/>
                <w:sz w:val="24"/>
              </w:rPr>
              <w:t>落实</w:t>
            </w:r>
            <w:r>
              <w:rPr>
                <w:rFonts w:ascii="宋体" w:hAnsi="宋体" w:cs="宋体"/>
                <w:color w:val="auto"/>
                <w:sz w:val="24"/>
              </w:rPr>
              <w:t>农民工工资支付管理，</w:t>
            </w:r>
            <w:r>
              <w:rPr>
                <w:rFonts w:hint="eastAsia" w:ascii="宋体" w:hAnsi="宋体" w:cs="宋体"/>
                <w:color w:val="auto"/>
                <w:sz w:val="24"/>
              </w:rPr>
              <w:t>严格施工实名制管理，加强施工现场人员全员登记考勤监管，按时足额将支付农民工工资。</w:t>
            </w:r>
            <w:r>
              <w:rPr>
                <w:rFonts w:ascii="宋体" w:hAnsi="宋体" w:cs="宋体"/>
                <w:color w:val="auto"/>
                <w:sz w:val="24"/>
              </w:rPr>
              <w:t>建立健全</w:t>
            </w:r>
            <w:r>
              <w:rPr>
                <w:rFonts w:hint="eastAsia" w:ascii="宋体" w:hAnsi="宋体" w:cs="宋体"/>
                <w:color w:val="auto"/>
                <w:sz w:val="24"/>
              </w:rPr>
              <w:t>市政公用</w:t>
            </w:r>
            <w:r>
              <w:rPr>
                <w:rFonts w:ascii="宋体" w:hAnsi="宋体" w:cs="宋体"/>
                <w:color w:val="auto"/>
                <w:sz w:val="24"/>
              </w:rPr>
              <w:t>工程领域农民工工资</w:t>
            </w:r>
            <w:r>
              <w:rPr>
                <w:rFonts w:hint="eastAsia" w:ascii="宋体" w:hAnsi="宋体" w:cs="宋体"/>
                <w:color w:val="auto"/>
                <w:sz w:val="24"/>
              </w:rPr>
              <w:t>保障</w:t>
            </w:r>
            <w:r>
              <w:rPr>
                <w:rFonts w:ascii="宋体" w:hAnsi="宋体" w:cs="宋体"/>
                <w:color w:val="auto"/>
                <w:sz w:val="24"/>
              </w:rPr>
              <w:t>工作</w:t>
            </w:r>
            <w:r>
              <w:rPr>
                <w:rFonts w:hint="eastAsia" w:ascii="宋体" w:hAnsi="宋体" w:cs="宋体"/>
                <w:color w:val="auto"/>
                <w:sz w:val="24"/>
              </w:rPr>
              <w:t>等</w:t>
            </w:r>
            <w:r>
              <w:rPr>
                <w:rFonts w:ascii="宋体" w:hAnsi="宋体" w:cs="宋体"/>
                <w:color w:val="auto"/>
                <w:sz w:val="24"/>
              </w:rPr>
              <w:t>机制。</w:t>
            </w:r>
          </w:p>
        </w:tc>
      </w:tr>
      <w:bookmarkEnd w:id="22"/>
    </w:tbl>
    <w:p>
      <w:pPr>
        <w:spacing w:line="440" w:lineRule="exact"/>
        <w:rPr>
          <w:rFonts w:ascii="宋体" w:hAnsi="宋体" w:cs="宋体"/>
          <w:color w:val="auto"/>
          <w:sz w:val="24"/>
        </w:rPr>
      </w:pPr>
      <w:bookmarkStart w:id="23" w:name="_Toc152042305"/>
      <w:bookmarkStart w:id="24" w:name="_Toc246996175"/>
      <w:bookmarkStart w:id="25" w:name="_Toc152045529"/>
      <w:bookmarkStart w:id="26" w:name="_Toc247085689"/>
      <w:bookmarkStart w:id="27" w:name="_Toc179632546"/>
      <w:bookmarkStart w:id="28" w:name="_Toc246996918"/>
      <w:bookmarkStart w:id="29" w:name="_Toc144974497"/>
      <w:r>
        <w:rPr>
          <w:rFonts w:hint="eastAsia" w:ascii="宋体" w:hAnsi="宋体" w:cs="宋体"/>
          <w:b/>
          <w:bCs/>
          <w:color w:val="auto"/>
          <w:sz w:val="24"/>
        </w:rPr>
        <w:t>1. 总则</w:t>
      </w:r>
      <w:bookmarkEnd w:id="23"/>
      <w:bookmarkEnd w:id="24"/>
      <w:bookmarkEnd w:id="25"/>
      <w:bookmarkEnd w:id="26"/>
      <w:bookmarkEnd w:id="27"/>
      <w:bookmarkEnd w:id="28"/>
      <w:bookmarkEnd w:id="29"/>
    </w:p>
    <w:p>
      <w:pPr>
        <w:pStyle w:val="2"/>
        <w:spacing w:before="0" w:after="0" w:line="440" w:lineRule="exact"/>
        <w:rPr>
          <w:rFonts w:ascii="宋体" w:hAnsi="宋体" w:cs="宋体"/>
          <w:color w:val="auto"/>
          <w:sz w:val="24"/>
          <w:szCs w:val="24"/>
        </w:rPr>
      </w:pPr>
      <w:bookmarkStart w:id="30" w:name="_Toc246996176"/>
      <w:bookmarkStart w:id="31" w:name="_Toc425177120"/>
      <w:bookmarkStart w:id="32" w:name="_Toc179632547"/>
      <w:bookmarkStart w:id="33" w:name="_Toc14835"/>
      <w:bookmarkStart w:id="34" w:name="_Toc152042306"/>
      <w:bookmarkStart w:id="35" w:name="_Toc144974498"/>
      <w:bookmarkStart w:id="36" w:name="_Toc247085690"/>
      <w:bookmarkStart w:id="37" w:name="_Toc246996919"/>
      <w:bookmarkStart w:id="38" w:name="_Toc152045530"/>
      <w:r>
        <w:rPr>
          <w:rFonts w:hint="eastAsia" w:ascii="宋体" w:hAnsi="宋体" w:cs="宋体"/>
          <w:color w:val="auto"/>
          <w:sz w:val="24"/>
          <w:szCs w:val="24"/>
        </w:rPr>
        <w:t>1.1 项目概况</w:t>
      </w:r>
      <w:bookmarkEnd w:id="30"/>
      <w:bookmarkEnd w:id="31"/>
      <w:bookmarkEnd w:id="32"/>
      <w:bookmarkEnd w:id="33"/>
      <w:bookmarkEnd w:id="34"/>
      <w:bookmarkEnd w:id="35"/>
      <w:bookmarkEnd w:id="36"/>
      <w:bookmarkEnd w:id="37"/>
      <w:bookmarkEnd w:id="38"/>
    </w:p>
    <w:p>
      <w:pPr>
        <w:spacing w:line="440" w:lineRule="exact"/>
        <w:ind w:firstLine="480" w:firstLineChars="200"/>
        <w:rPr>
          <w:rFonts w:ascii="宋体" w:hAnsi="宋体" w:cs="宋体"/>
          <w:color w:val="auto"/>
          <w:sz w:val="24"/>
        </w:rPr>
      </w:pPr>
      <w:r>
        <w:rPr>
          <w:rFonts w:hint="eastAsia" w:ascii="宋体" w:hAnsi="宋体" w:cs="宋体"/>
          <w:color w:val="auto"/>
          <w:sz w:val="24"/>
        </w:rPr>
        <w:t>1.1.1根据《中华人民共和国政府采购法》等有关法律、法规和规章的规定，本项目已具备条件，现对本项目施工进行采购。</w:t>
      </w:r>
    </w:p>
    <w:p>
      <w:pPr>
        <w:spacing w:line="440" w:lineRule="exact"/>
        <w:ind w:firstLine="480" w:firstLineChars="200"/>
        <w:rPr>
          <w:rFonts w:ascii="宋体" w:hAnsi="宋体" w:cs="宋体"/>
          <w:color w:val="auto"/>
          <w:sz w:val="24"/>
        </w:rPr>
      </w:pPr>
      <w:r>
        <w:rPr>
          <w:rFonts w:hint="eastAsia" w:ascii="宋体" w:hAnsi="宋体" w:cs="宋体"/>
          <w:color w:val="auto"/>
          <w:sz w:val="24"/>
        </w:rPr>
        <w:t>1.1.2 本项目采购人：见供应商须知前附表。</w:t>
      </w:r>
    </w:p>
    <w:p>
      <w:pPr>
        <w:spacing w:line="440" w:lineRule="exact"/>
        <w:ind w:firstLine="480" w:firstLineChars="200"/>
        <w:rPr>
          <w:rFonts w:ascii="宋体" w:hAnsi="宋体" w:cs="宋体"/>
          <w:color w:val="auto"/>
          <w:sz w:val="24"/>
        </w:rPr>
      </w:pPr>
      <w:r>
        <w:rPr>
          <w:rFonts w:hint="eastAsia" w:ascii="宋体" w:hAnsi="宋体" w:cs="宋体"/>
          <w:color w:val="auto"/>
          <w:sz w:val="24"/>
        </w:rPr>
        <w:t>1.1.3 本项目采购代理机构：见供应商须知前附表。</w:t>
      </w:r>
    </w:p>
    <w:p>
      <w:pPr>
        <w:spacing w:line="440" w:lineRule="exact"/>
        <w:ind w:firstLine="480" w:firstLineChars="200"/>
        <w:rPr>
          <w:rFonts w:ascii="宋体" w:hAnsi="宋体" w:cs="宋体"/>
          <w:color w:val="auto"/>
          <w:sz w:val="24"/>
        </w:rPr>
      </w:pPr>
      <w:r>
        <w:rPr>
          <w:rFonts w:hint="eastAsia" w:ascii="宋体" w:hAnsi="宋体" w:cs="宋体"/>
          <w:color w:val="auto"/>
          <w:sz w:val="24"/>
        </w:rPr>
        <w:t>1.1.4 本项目名称：见供应商须知前附表。</w:t>
      </w:r>
    </w:p>
    <w:p>
      <w:pPr>
        <w:spacing w:line="440" w:lineRule="exact"/>
        <w:ind w:firstLine="480" w:firstLineChars="200"/>
        <w:rPr>
          <w:rFonts w:ascii="宋体" w:hAnsi="宋体" w:cs="宋体"/>
          <w:color w:val="auto"/>
          <w:sz w:val="24"/>
        </w:rPr>
      </w:pPr>
      <w:r>
        <w:rPr>
          <w:rFonts w:hint="eastAsia" w:ascii="宋体" w:hAnsi="宋体" w:cs="宋体"/>
          <w:color w:val="auto"/>
          <w:sz w:val="24"/>
        </w:rPr>
        <w:t>1.1.5 本项目建设地点：见供应商须知前附表。</w:t>
      </w:r>
    </w:p>
    <w:p>
      <w:pPr>
        <w:pStyle w:val="2"/>
        <w:spacing w:before="0" w:after="0" w:line="440" w:lineRule="exact"/>
        <w:rPr>
          <w:rFonts w:ascii="宋体" w:hAnsi="宋体" w:cs="宋体"/>
          <w:color w:val="auto"/>
          <w:sz w:val="24"/>
          <w:szCs w:val="24"/>
        </w:rPr>
      </w:pPr>
      <w:bookmarkStart w:id="39" w:name="_Toc425177121"/>
      <w:bookmarkStart w:id="40" w:name="_Toc152045531"/>
      <w:bookmarkStart w:id="41" w:name="_Toc246996920"/>
      <w:bookmarkStart w:id="42" w:name="_Toc247085691"/>
      <w:bookmarkStart w:id="43" w:name="_Toc179632548"/>
      <w:bookmarkStart w:id="44" w:name="_Toc196"/>
      <w:bookmarkStart w:id="45" w:name="_Toc246996177"/>
      <w:bookmarkStart w:id="46" w:name="_Toc144974499"/>
      <w:bookmarkStart w:id="47" w:name="_Toc152042307"/>
      <w:r>
        <w:rPr>
          <w:rFonts w:hint="eastAsia" w:ascii="宋体" w:hAnsi="宋体" w:cs="宋体"/>
          <w:color w:val="auto"/>
          <w:sz w:val="24"/>
          <w:szCs w:val="24"/>
        </w:rPr>
        <w:t>1.2 资金来源和落实情况</w:t>
      </w:r>
      <w:bookmarkEnd w:id="39"/>
      <w:bookmarkEnd w:id="40"/>
      <w:bookmarkEnd w:id="41"/>
      <w:bookmarkEnd w:id="42"/>
      <w:bookmarkEnd w:id="43"/>
      <w:bookmarkEnd w:id="44"/>
      <w:bookmarkEnd w:id="45"/>
      <w:bookmarkEnd w:id="46"/>
      <w:bookmarkEnd w:id="47"/>
    </w:p>
    <w:p>
      <w:pPr>
        <w:spacing w:line="440" w:lineRule="exact"/>
        <w:ind w:firstLine="480" w:firstLineChars="200"/>
        <w:rPr>
          <w:rFonts w:ascii="宋体" w:hAnsi="宋体" w:cs="宋体"/>
          <w:color w:val="auto"/>
          <w:sz w:val="24"/>
        </w:rPr>
      </w:pPr>
      <w:r>
        <w:rPr>
          <w:rFonts w:hint="eastAsia" w:ascii="宋体" w:hAnsi="宋体" w:cs="宋体"/>
          <w:color w:val="auto"/>
          <w:sz w:val="24"/>
        </w:rPr>
        <w:t>1.2.1 本项目的资金来源及出资比例：见供应商须知前附表。</w:t>
      </w:r>
    </w:p>
    <w:p>
      <w:pPr>
        <w:spacing w:line="440" w:lineRule="exact"/>
        <w:ind w:firstLine="480" w:firstLineChars="200"/>
        <w:rPr>
          <w:rFonts w:ascii="宋体" w:hAnsi="宋体" w:cs="宋体"/>
          <w:color w:val="auto"/>
          <w:sz w:val="24"/>
        </w:rPr>
      </w:pPr>
      <w:r>
        <w:rPr>
          <w:rFonts w:hint="eastAsia" w:ascii="宋体" w:hAnsi="宋体" w:cs="宋体"/>
          <w:color w:val="auto"/>
          <w:sz w:val="24"/>
        </w:rPr>
        <w:t>1.2.2 本项目的资金落实情况：见供应商须知前附表。</w:t>
      </w:r>
    </w:p>
    <w:p>
      <w:pPr>
        <w:pStyle w:val="2"/>
        <w:spacing w:before="0" w:after="0" w:line="440" w:lineRule="exact"/>
        <w:rPr>
          <w:rFonts w:ascii="宋体" w:hAnsi="宋体" w:cs="宋体"/>
          <w:color w:val="auto"/>
          <w:sz w:val="24"/>
          <w:szCs w:val="24"/>
        </w:rPr>
      </w:pPr>
      <w:bookmarkStart w:id="48" w:name="_Toc9522"/>
      <w:bookmarkStart w:id="49" w:name="_Toc246996178"/>
      <w:bookmarkStart w:id="50" w:name="_Toc247085692"/>
      <w:bookmarkStart w:id="51" w:name="_Toc246996921"/>
      <w:bookmarkStart w:id="52" w:name="_Toc144974500"/>
      <w:bookmarkStart w:id="53" w:name="_Toc152042308"/>
      <w:bookmarkStart w:id="54" w:name="_Toc425177122"/>
      <w:bookmarkStart w:id="55" w:name="_Toc179632549"/>
      <w:bookmarkStart w:id="56" w:name="_Toc152045532"/>
      <w:r>
        <w:rPr>
          <w:rFonts w:hint="eastAsia" w:ascii="宋体" w:hAnsi="宋体" w:cs="宋体"/>
          <w:color w:val="auto"/>
          <w:sz w:val="24"/>
          <w:szCs w:val="24"/>
        </w:rPr>
        <w:t>1.3 招标范围、计划工期、质量要求</w:t>
      </w:r>
      <w:bookmarkEnd w:id="48"/>
      <w:bookmarkEnd w:id="49"/>
      <w:bookmarkEnd w:id="50"/>
      <w:bookmarkEnd w:id="51"/>
      <w:bookmarkEnd w:id="52"/>
      <w:bookmarkEnd w:id="53"/>
      <w:bookmarkEnd w:id="54"/>
      <w:bookmarkEnd w:id="55"/>
      <w:bookmarkEnd w:id="56"/>
    </w:p>
    <w:p>
      <w:pPr>
        <w:spacing w:line="440" w:lineRule="exact"/>
        <w:ind w:firstLine="480" w:firstLineChars="200"/>
        <w:rPr>
          <w:rFonts w:ascii="宋体" w:hAnsi="宋体" w:cs="宋体"/>
          <w:color w:val="auto"/>
          <w:sz w:val="24"/>
        </w:rPr>
      </w:pPr>
      <w:r>
        <w:rPr>
          <w:rFonts w:hint="eastAsia" w:ascii="宋体" w:hAnsi="宋体" w:cs="宋体"/>
          <w:color w:val="auto"/>
          <w:sz w:val="24"/>
        </w:rPr>
        <w:t>1.3.1 本次招标范围：见供应商须知前附表。</w:t>
      </w:r>
    </w:p>
    <w:p>
      <w:pPr>
        <w:spacing w:line="440" w:lineRule="exact"/>
        <w:ind w:firstLine="480" w:firstLineChars="200"/>
        <w:rPr>
          <w:rFonts w:ascii="宋体" w:hAnsi="宋体" w:cs="宋体"/>
          <w:color w:val="auto"/>
          <w:sz w:val="24"/>
        </w:rPr>
      </w:pPr>
      <w:r>
        <w:rPr>
          <w:rFonts w:hint="eastAsia" w:ascii="宋体" w:hAnsi="宋体" w:cs="宋体"/>
          <w:color w:val="auto"/>
          <w:sz w:val="24"/>
        </w:rPr>
        <w:t>1.3.2 本项目的计划工期：见供应商须知前附表。</w:t>
      </w:r>
    </w:p>
    <w:p>
      <w:pPr>
        <w:spacing w:line="440" w:lineRule="exact"/>
        <w:ind w:firstLine="480" w:firstLineChars="200"/>
        <w:rPr>
          <w:rFonts w:ascii="宋体" w:hAnsi="宋体" w:cs="宋体"/>
          <w:color w:val="auto"/>
          <w:sz w:val="24"/>
        </w:rPr>
      </w:pPr>
      <w:r>
        <w:rPr>
          <w:rFonts w:hint="eastAsia" w:ascii="宋体" w:hAnsi="宋体" w:cs="宋体"/>
          <w:color w:val="auto"/>
          <w:sz w:val="24"/>
        </w:rPr>
        <w:t>1.3.3 本项目的质量要求：见供应商须知前附表。</w:t>
      </w:r>
    </w:p>
    <w:p>
      <w:pPr>
        <w:pStyle w:val="2"/>
        <w:spacing w:before="0" w:after="0" w:line="440" w:lineRule="exact"/>
        <w:rPr>
          <w:rFonts w:ascii="宋体" w:hAnsi="宋体" w:cs="宋体"/>
          <w:color w:val="auto"/>
          <w:sz w:val="24"/>
          <w:szCs w:val="24"/>
        </w:rPr>
      </w:pPr>
      <w:bookmarkStart w:id="57" w:name="_Toc246996179"/>
      <w:bookmarkStart w:id="58" w:name="_Toc246996922"/>
      <w:bookmarkStart w:id="59" w:name="_Toc247085693"/>
      <w:bookmarkStart w:id="60" w:name="_Toc152045534"/>
      <w:bookmarkStart w:id="61" w:name="_Toc144974502"/>
      <w:bookmarkStart w:id="62" w:name="_Toc9782"/>
      <w:bookmarkStart w:id="63" w:name="_Toc179632551"/>
      <w:bookmarkStart w:id="64" w:name="_Toc152042310"/>
      <w:bookmarkStart w:id="65" w:name="_Toc425177123"/>
      <w:r>
        <w:rPr>
          <w:rFonts w:hint="eastAsia" w:ascii="宋体" w:hAnsi="宋体" w:cs="宋体"/>
          <w:color w:val="auto"/>
          <w:sz w:val="24"/>
          <w:szCs w:val="24"/>
        </w:rPr>
        <w:t>1.4 供应商资格要求</w:t>
      </w:r>
      <w:bookmarkEnd w:id="57"/>
      <w:bookmarkEnd w:id="58"/>
      <w:bookmarkEnd w:id="59"/>
      <w:bookmarkEnd w:id="60"/>
      <w:bookmarkEnd w:id="61"/>
      <w:bookmarkEnd w:id="62"/>
      <w:bookmarkEnd w:id="63"/>
      <w:bookmarkEnd w:id="64"/>
      <w:bookmarkEnd w:id="65"/>
    </w:p>
    <w:p>
      <w:pPr>
        <w:spacing w:line="440" w:lineRule="exact"/>
        <w:ind w:firstLine="480" w:firstLineChars="200"/>
        <w:rPr>
          <w:rFonts w:ascii="宋体" w:hAnsi="宋体" w:cs="宋体"/>
          <w:color w:val="auto"/>
          <w:sz w:val="24"/>
        </w:rPr>
      </w:pPr>
      <w:r>
        <w:rPr>
          <w:rFonts w:hint="eastAsia" w:ascii="宋体" w:hAnsi="宋体" w:cs="宋体"/>
          <w:color w:val="auto"/>
          <w:sz w:val="24"/>
        </w:rPr>
        <w:t>1.4.1 供应商应具备承担本项目施工的资质条件、能力和信誉。</w:t>
      </w:r>
    </w:p>
    <w:p>
      <w:pPr>
        <w:spacing w:line="440" w:lineRule="exact"/>
        <w:ind w:firstLine="480" w:firstLineChars="200"/>
        <w:rPr>
          <w:rFonts w:ascii="宋体" w:hAnsi="宋体" w:cs="宋体"/>
          <w:color w:val="auto"/>
          <w:sz w:val="24"/>
        </w:rPr>
      </w:pPr>
      <w:r>
        <w:rPr>
          <w:rFonts w:hint="eastAsia" w:ascii="宋体" w:hAnsi="宋体" w:cs="宋体"/>
          <w:color w:val="auto"/>
          <w:sz w:val="24"/>
        </w:rPr>
        <w:t>（1）资质条件：见供应商须知前附表；</w:t>
      </w:r>
    </w:p>
    <w:p>
      <w:pPr>
        <w:spacing w:line="440" w:lineRule="exact"/>
        <w:ind w:firstLine="480" w:firstLineChars="200"/>
        <w:rPr>
          <w:rFonts w:ascii="宋体" w:hAnsi="宋体" w:cs="宋体"/>
          <w:color w:val="auto"/>
          <w:sz w:val="24"/>
        </w:rPr>
      </w:pPr>
      <w:r>
        <w:rPr>
          <w:rFonts w:hint="eastAsia" w:ascii="宋体" w:hAnsi="宋体" w:cs="宋体"/>
          <w:color w:val="auto"/>
          <w:sz w:val="24"/>
        </w:rPr>
        <w:t>（2）项目经理资格：见供应商须知前附表；</w:t>
      </w:r>
    </w:p>
    <w:p>
      <w:pPr>
        <w:spacing w:line="440" w:lineRule="exact"/>
        <w:ind w:firstLine="480" w:firstLineChars="200"/>
        <w:rPr>
          <w:rFonts w:ascii="宋体" w:hAnsi="宋体" w:cs="宋体"/>
          <w:color w:val="auto"/>
          <w:sz w:val="24"/>
        </w:rPr>
      </w:pPr>
      <w:r>
        <w:rPr>
          <w:rFonts w:hint="eastAsia" w:ascii="宋体" w:hAnsi="宋体" w:cs="宋体"/>
          <w:color w:val="auto"/>
          <w:sz w:val="24"/>
        </w:rPr>
        <w:t>（3）信誉要求：见供应商须知前附表；</w:t>
      </w:r>
    </w:p>
    <w:p>
      <w:pPr>
        <w:spacing w:line="440" w:lineRule="exact"/>
        <w:ind w:firstLine="480" w:firstLineChars="200"/>
        <w:rPr>
          <w:rFonts w:ascii="宋体" w:hAnsi="宋体" w:cs="宋体"/>
          <w:color w:val="auto"/>
          <w:sz w:val="24"/>
        </w:rPr>
      </w:pPr>
      <w:r>
        <w:rPr>
          <w:rFonts w:hint="eastAsia" w:ascii="宋体" w:hAnsi="宋体" w:cs="宋体"/>
          <w:color w:val="auto"/>
          <w:sz w:val="24"/>
        </w:rPr>
        <w:t>（4）其他要求：见供应商须知前附表。</w:t>
      </w:r>
    </w:p>
    <w:p>
      <w:pPr>
        <w:spacing w:line="440" w:lineRule="exact"/>
        <w:ind w:firstLine="480" w:firstLineChars="200"/>
        <w:rPr>
          <w:rFonts w:ascii="宋体" w:hAnsi="宋体" w:cs="宋体"/>
          <w:color w:val="auto"/>
          <w:sz w:val="24"/>
        </w:rPr>
      </w:pPr>
      <w:r>
        <w:rPr>
          <w:rFonts w:hint="eastAsia" w:ascii="宋体" w:hAnsi="宋体" w:cs="宋体"/>
          <w:color w:val="auto"/>
          <w:sz w:val="24"/>
        </w:rPr>
        <w:t>1.4.2 供应商不得存在下列情形之一：</w:t>
      </w:r>
    </w:p>
    <w:p>
      <w:pPr>
        <w:spacing w:line="440" w:lineRule="exact"/>
        <w:ind w:firstLine="480" w:firstLineChars="200"/>
        <w:rPr>
          <w:rFonts w:ascii="宋体" w:hAnsi="宋体" w:cs="宋体"/>
          <w:color w:val="auto"/>
          <w:sz w:val="24"/>
        </w:rPr>
      </w:pPr>
      <w:r>
        <w:rPr>
          <w:rFonts w:hint="eastAsia" w:ascii="宋体" w:hAnsi="宋体" w:cs="宋体"/>
          <w:color w:val="auto"/>
          <w:sz w:val="24"/>
        </w:rPr>
        <w:t>（1）为采购人不具有独立法人资格的附属机构（单位）；</w:t>
      </w:r>
    </w:p>
    <w:p>
      <w:pPr>
        <w:spacing w:line="440" w:lineRule="exact"/>
        <w:ind w:firstLine="480" w:firstLineChars="200"/>
        <w:rPr>
          <w:rFonts w:ascii="宋体" w:hAnsi="宋体" w:cs="宋体"/>
          <w:color w:val="auto"/>
          <w:sz w:val="24"/>
        </w:rPr>
      </w:pPr>
      <w:r>
        <w:rPr>
          <w:rFonts w:hint="eastAsia" w:ascii="宋体" w:hAnsi="宋体" w:cs="宋体"/>
          <w:color w:val="auto"/>
          <w:sz w:val="24"/>
        </w:rPr>
        <w:t xml:space="preserve">（2）为本项目前期准备提供设计或咨询服务的； </w:t>
      </w:r>
    </w:p>
    <w:p>
      <w:pPr>
        <w:spacing w:line="440" w:lineRule="exact"/>
        <w:ind w:firstLine="480" w:firstLineChars="200"/>
        <w:rPr>
          <w:rFonts w:ascii="宋体" w:hAnsi="宋体" w:cs="宋体"/>
          <w:color w:val="auto"/>
          <w:sz w:val="24"/>
        </w:rPr>
      </w:pPr>
      <w:r>
        <w:rPr>
          <w:rFonts w:hint="eastAsia" w:ascii="宋体" w:hAnsi="宋体" w:cs="宋体"/>
          <w:color w:val="auto"/>
          <w:sz w:val="24"/>
        </w:rPr>
        <w:t>（3）为本项目的监理人；</w:t>
      </w:r>
    </w:p>
    <w:p>
      <w:pPr>
        <w:spacing w:line="440" w:lineRule="exact"/>
        <w:ind w:firstLine="480" w:firstLineChars="200"/>
        <w:rPr>
          <w:rFonts w:ascii="宋体" w:hAnsi="宋体" w:cs="宋体"/>
          <w:color w:val="auto"/>
          <w:sz w:val="24"/>
        </w:rPr>
      </w:pPr>
      <w:r>
        <w:rPr>
          <w:rFonts w:hint="eastAsia" w:ascii="宋体" w:hAnsi="宋体" w:cs="宋体"/>
          <w:color w:val="auto"/>
          <w:sz w:val="24"/>
        </w:rPr>
        <w:t xml:space="preserve">（4）为本项目的代建人； </w:t>
      </w:r>
    </w:p>
    <w:p>
      <w:pPr>
        <w:spacing w:line="440" w:lineRule="exact"/>
        <w:ind w:firstLine="480" w:firstLineChars="200"/>
        <w:rPr>
          <w:rFonts w:ascii="宋体" w:hAnsi="宋体" w:cs="宋体"/>
          <w:color w:val="auto"/>
          <w:sz w:val="24"/>
        </w:rPr>
      </w:pPr>
      <w:r>
        <w:rPr>
          <w:rFonts w:hint="eastAsia" w:ascii="宋体" w:hAnsi="宋体" w:cs="宋体"/>
          <w:color w:val="auto"/>
          <w:sz w:val="24"/>
        </w:rPr>
        <w:t xml:space="preserve">（5）为本项目提供招标代理服务的； </w:t>
      </w:r>
    </w:p>
    <w:p>
      <w:pPr>
        <w:spacing w:line="440" w:lineRule="exact"/>
        <w:ind w:firstLine="480" w:firstLineChars="200"/>
        <w:rPr>
          <w:rFonts w:ascii="宋体" w:hAnsi="宋体" w:cs="宋体"/>
          <w:color w:val="auto"/>
          <w:sz w:val="24"/>
        </w:rPr>
      </w:pPr>
      <w:r>
        <w:rPr>
          <w:rFonts w:hint="eastAsia" w:ascii="宋体" w:hAnsi="宋体" w:cs="宋体"/>
          <w:color w:val="auto"/>
          <w:sz w:val="24"/>
        </w:rPr>
        <w:t>（6）与本项目的监理人或代建人或采购代理机构同为一个法定代表人的；</w:t>
      </w:r>
    </w:p>
    <w:p>
      <w:pPr>
        <w:spacing w:line="440" w:lineRule="exact"/>
        <w:ind w:firstLine="480" w:firstLineChars="200"/>
        <w:rPr>
          <w:rFonts w:ascii="宋体" w:hAnsi="宋体" w:cs="宋体"/>
          <w:color w:val="auto"/>
          <w:sz w:val="24"/>
        </w:rPr>
      </w:pPr>
      <w:r>
        <w:rPr>
          <w:rFonts w:hint="eastAsia" w:ascii="宋体" w:hAnsi="宋体" w:cs="宋体"/>
          <w:color w:val="auto"/>
          <w:sz w:val="24"/>
        </w:rPr>
        <w:t>（7）与本项目的监理人或代建人或采购代理机构相互控股或参股的；</w:t>
      </w:r>
    </w:p>
    <w:p>
      <w:pPr>
        <w:spacing w:line="440" w:lineRule="exact"/>
        <w:ind w:firstLine="480" w:firstLineChars="200"/>
        <w:rPr>
          <w:rFonts w:ascii="宋体" w:hAnsi="宋体" w:cs="宋体"/>
          <w:color w:val="auto"/>
          <w:sz w:val="24"/>
        </w:rPr>
      </w:pPr>
      <w:r>
        <w:rPr>
          <w:rFonts w:hint="eastAsia" w:ascii="宋体" w:hAnsi="宋体" w:cs="宋体"/>
          <w:color w:val="auto"/>
          <w:sz w:val="24"/>
        </w:rPr>
        <w:t>（8）与本项目的监理人或代建人或采购代理机构相互任职或工作的；</w:t>
      </w:r>
    </w:p>
    <w:p>
      <w:pPr>
        <w:spacing w:line="440" w:lineRule="exact"/>
        <w:ind w:firstLine="480" w:firstLineChars="200"/>
        <w:rPr>
          <w:rFonts w:ascii="宋体" w:hAnsi="宋体" w:cs="宋体"/>
          <w:color w:val="auto"/>
          <w:sz w:val="24"/>
        </w:rPr>
      </w:pPr>
      <w:r>
        <w:rPr>
          <w:rFonts w:hint="eastAsia" w:ascii="宋体" w:hAnsi="宋体" w:cs="宋体"/>
          <w:color w:val="auto"/>
          <w:sz w:val="24"/>
        </w:rPr>
        <w:t xml:space="preserve">（9）被责令停业的； </w:t>
      </w:r>
    </w:p>
    <w:p>
      <w:pPr>
        <w:spacing w:line="440" w:lineRule="exact"/>
        <w:ind w:firstLine="480" w:firstLineChars="200"/>
        <w:rPr>
          <w:rFonts w:ascii="宋体" w:hAnsi="宋体" w:cs="宋体"/>
          <w:color w:val="auto"/>
          <w:sz w:val="24"/>
        </w:rPr>
      </w:pPr>
      <w:r>
        <w:rPr>
          <w:rFonts w:hint="eastAsia" w:ascii="宋体" w:hAnsi="宋体" w:cs="宋体"/>
          <w:color w:val="auto"/>
          <w:sz w:val="24"/>
        </w:rPr>
        <w:t xml:space="preserve">（10）被暂停或取消投标资格的； </w:t>
      </w:r>
    </w:p>
    <w:p>
      <w:pPr>
        <w:spacing w:line="440" w:lineRule="exact"/>
        <w:ind w:firstLine="480" w:firstLineChars="200"/>
        <w:rPr>
          <w:rFonts w:ascii="宋体" w:hAnsi="宋体" w:cs="宋体"/>
          <w:color w:val="auto"/>
          <w:sz w:val="24"/>
        </w:rPr>
      </w:pPr>
      <w:r>
        <w:rPr>
          <w:rFonts w:hint="eastAsia" w:ascii="宋体" w:hAnsi="宋体" w:cs="宋体"/>
          <w:color w:val="auto"/>
          <w:sz w:val="24"/>
        </w:rPr>
        <w:t>（11）财产被接管或冻结的；</w:t>
      </w:r>
    </w:p>
    <w:p>
      <w:pPr>
        <w:spacing w:line="440" w:lineRule="exact"/>
        <w:ind w:firstLine="480" w:firstLineChars="200"/>
        <w:rPr>
          <w:rFonts w:ascii="宋体" w:hAnsi="宋体" w:cs="宋体"/>
          <w:color w:val="auto"/>
          <w:sz w:val="24"/>
        </w:rPr>
      </w:pPr>
      <w:r>
        <w:rPr>
          <w:rFonts w:hint="eastAsia" w:ascii="宋体" w:hAnsi="宋体" w:cs="宋体"/>
          <w:color w:val="auto"/>
          <w:sz w:val="24"/>
        </w:rPr>
        <w:t>（12）在最近三年内有骗取中标或严重违约或重大工程质量问题的。</w:t>
      </w:r>
    </w:p>
    <w:p>
      <w:pPr>
        <w:spacing w:line="440" w:lineRule="exact"/>
        <w:ind w:firstLine="480" w:firstLineChars="200"/>
        <w:rPr>
          <w:rFonts w:ascii="宋体" w:hAnsi="宋体" w:cs="宋体"/>
          <w:color w:val="auto"/>
          <w:sz w:val="24"/>
        </w:rPr>
      </w:pPr>
      <w:r>
        <w:rPr>
          <w:rFonts w:hint="eastAsia" w:ascii="宋体" w:hAnsi="宋体" w:cs="宋体"/>
          <w:color w:val="auto"/>
          <w:sz w:val="24"/>
        </w:rPr>
        <w:t>1.4.3 单位负责人为同一人或者存在控股、管理关系的不同单位，不得同时参加本项目投标。</w:t>
      </w:r>
    </w:p>
    <w:p>
      <w:pPr>
        <w:pStyle w:val="2"/>
        <w:spacing w:before="0" w:after="0" w:line="440" w:lineRule="exact"/>
        <w:rPr>
          <w:rFonts w:ascii="宋体" w:hAnsi="宋体" w:cs="宋体"/>
          <w:color w:val="auto"/>
          <w:sz w:val="24"/>
          <w:szCs w:val="24"/>
        </w:rPr>
      </w:pPr>
      <w:bookmarkStart w:id="66" w:name="_Toc3447"/>
      <w:bookmarkStart w:id="67" w:name="_Toc152042311"/>
      <w:bookmarkStart w:id="68" w:name="_Toc152045535"/>
      <w:bookmarkStart w:id="69" w:name="_Toc246996923"/>
      <w:bookmarkStart w:id="70" w:name="_Toc247085694"/>
      <w:bookmarkStart w:id="71" w:name="_Toc246996180"/>
      <w:bookmarkStart w:id="72" w:name="_Toc425177124"/>
      <w:bookmarkStart w:id="73" w:name="_Toc144974503"/>
      <w:bookmarkStart w:id="74" w:name="_Toc179632552"/>
      <w:r>
        <w:rPr>
          <w:rFonts w:hint="eastAsia" w:ascii="宋体" w:hAnsi="宋体" w:cs="宋体"/>
          <w:color w:val="auto"/>
          <w:sz w:val="24"/>
          <w:szCs w:val="24"/>
        </w:rPr>
        <w:t>1.5 费用承担</w:t>
      </w:r>
      <w:bookmarkEnd w:id="66"/>
      <w:bookmarkEnd w:id="67"/>
      <w:bookmarkEnd w:id="68"/>
      <w:bookmarkEnd w:id="69"/>
      <w:bookmarkEnd w:id="70"/>
      <w:bookmarkEnd w:id="71"/>
      <w:bookmarkEnd w:id="72"/>
      <w:bookmarkEnd w:id="73"/>
      <w:bookmarkEnd w:id="74"/>
    </w:p>
    <w:p>
      <w:pPr>
        <w:spacing w:line="440" w:lineRule="exact"/>
        <w:ind w:firstLine="480" w:firstLineChars="200"/>
        <w:rPr>
          <w:rFonts w:ascii="宋体" w:hAnsi="宋体" w:cs="宋体"/>
          <w:color w:val="auto"/>
          <w:sz w:val="24"/>
        </w:rPr>
      </w:pPr>
      <w:r>
        <w:rPr>
          <w:rFonts w:hint="eastAsia" w:ascii="宋体" w:hAnsi="宋体" w:cs="宋体"/>
          <w:color w:val="auto"/>
          <w:sz w:val="24"/>
        </w:rPr>
        <w:t>供应商准备和参加投标活动发生的费用自理。</w:t>
      </w:r>
    </w:p>
    <w:p>
      <w:pPr>
        <w:pStyle w:val="2"/>
        <w:spacing w:before="0" w:after="0" w:line="440" w:lineRule="exact"/>
        <w:rPr>
          <w:rFonts w:ascii="宋体" w:hAnsi="宋体" w:cs="宋体"/>
          <w:color w:val="auto"/>
          <w:sz w:val="24"/>
          <w:szCs w:val="24"/>
        </w:rPr>
      </w:pPr>
      <w:bookmarkStart w:id="75" w:name="_Toc152042312"/>
      <w:bookmarkStart w:id="76" w:name="_Toc246996181"/>
      <w:bookmarkStart w:id="77" w:name="_Toc144974504"/>
      <w:bookmarkStart w:id="78" w:name="_Toc246996924"/>
      <w:bookmarkStart w:id="79" w:name="_Toc152045536"/>
      <w:bookmarkStart w:id="80" w:name="_Toc179632553"/>
      <w:bookmarkStart w:id="81" w:name="_Toc14652"/>
      <w:bookmarkStart w:id="82" w:name="_Toc425177125"/>
      <w:bookmarkStart w:id="83" w:name="_Toc247085695"/>
      <w:r>
        <w:rPr>
          <w:rFonts w:hint="eastAsia" w:ascii="宋体" w:hAnsi="宋体" w:cs="宋体"/>
          <w:color w:val="auto"/>
          <w:sz w:val="24"/>
          <w:szCs w:val="24"/>
        </w:rPr>
        <w:t>1.6 保密</w:t>
      </w:r>
      <w:bookmarkEnd w:id="75"/>
      <w:bookmarkEnd w:id="76"/>
      <w:bookmarkEnd w:id="77"/>
      <w:bookmarkEnd w:id="78"/>
      <w:bookmarkEnd w:id="79"/>
      <w:bookmarkEnd w:id="80"/>
      <w:bookmarkEnd w:id="81"/>
      <w:bookmarkEnd w:id="82"/>
      <w:bookmarkEnd w:id="83"/>
    </w:p>
    <w:p>
      <w:pPr>
        <w:spacing w:line="440" w:lineRule="exact"/>
        <w:ind w:firstLine="480" w:firstLineChars="200"/>
        <w:rPr>
          <w:rFonts w:ascii="宋体" w:hAnsi="宋体" w:cs="宋体"/>
          <w:color w:val="auto"/>
          <w:sz w:val="24"/>
        </w:rPr>
      </w:pPr>
      <w:r>
        <w:rPr>
          <w:rFonts w:hint="eastAsia" w:ascii="宋体" w:hAnsi="宋体" w:cs="宋体"/>
          <w:color w:val="auto"/>
          <w:sz w:val="24"/>
        </w:rPr>
        <w:t xml:space="preserve">参与招标投标活动的各方应对磋商文件和磋商响应文件中的商业和技术等秘密保密，违者应对由此造成的后果承担法律责任。 </w:t>
      </w:r>
    </w:p>
    <w:p>
      <w:pPr>
        <w:pStyle w:val="2"/>
        <w:spacing w:before="0" w:after="0" w:line="440" w:lineRule="exact"/>
        <w:rPr>
          <w:rFonts w:ascii="宋体" w:hAnsi="宋体" w:cs="宋体"/>
          <w:color w:val="auto"/>
          <w:sz w:val="24"/>
          <w:szCs w:val="24"/>
        </w:rPr>
      </w:pPr>
      <w:bookmarkStart w:id="84" w:name="_Toc144974505"/>
      <w:bookmarkStart w:id="85" w:name="_Toc152042313"/>
      <w:bookmarkStart w:id="86" w:name="_Toc152045537"/>
      <w:bookmarkStart w:id="87" w:name="_Toc28677"/>
      <w:bookmarkStart w:id="88" w:name="_Toc179632554"/>
      <w:bookmarkStart w:id="89" w:name="_Toc425177126"/>
      <w:bookmarkStart w:id="90" w:name="_Toc246996925"/>
      <w:bookmarkStart w:id="91" w:name="_Toc247085696"/>
      <w:bookmarkStart w:id="92" w:name="_Toc246996182"/>
      <w:r>
        <w:rPr>
          <w:rFonts w:hint="eastAsia" w:ascii="宋体" w:hAnsi="宋体" w:cs="宋体"/>
          <w:color w:val="auto"/>
          <w:sz w:val="24"/>
          <w:szCs w:val="24"/>
        </w:rPr>
        <w:t>1.7 语言</w:t>
      </w:r>
      <w:bookmarkEnd w:id="84"/>
      <w:r>
        <w:rPr>
          <w:rFonts w:hint="eastAsia" w:ascii="宋体" w:hAnsi="宋体" w:cs="宋体"/>
          <w:color w:val="auto"/>
          <w:sz w:val="24"/>
          <w:szCs w:val="24"/>
        </w:rPr>
        <w:t>文字</w:t>
      </w:r>
      <w:bookmarkEnd w:id="85"/>
      <w:bookmarkEnd w:id="86"/>
      <w:bookmarkEnd w:id="87"/>
      <w:bookmarkEnd w:id="88"/>
      <w:bookmarkEnd w:id="89"/>
      <w:bookmarkEnd w:id="90"/>
      <w:bookmarkEnd w:id="91"/>
      <w:bookmarkEnd w:id="92"/>
    </w:p>
    <w:p>
      <w:pPr>
        <w:spacing w:line="440" w:lineRule="exact"/>
        <w:ind w:firstLine="480" w:firstLineChars="200"/>
        <w:rPr>
          <w:rFonts w:ascii="宋体" w:hAnsi="宋体" w:cs="宋体"/>
          <w:color w:val="auto"/>
          <w:sz w:val="24"/>
        </w:rPr>
      </w:pPr>
      <w:bookmarkStart w:id="93" w:name="_Toc247085697"/>
      <w:bookmarkStart w:id="94" w:name="_Toc144974506"/>
      <w:bookmarkStart w:id="95" w:name="_Toc152045538"/>
      <w:bookmarkStart w:id="96" w:name="_Toc152042314"/>
      <w:bookmarkStart w:id="97" w:name="_Toc179632555"/>
      <w:bookmarkStart w:id="98" w:name="_Toc246996183"/>
      <w:bookmarkStart w:id="99" w:name="_Toc246996926"/>
      <w:r>
        <w:rPr>
          <w:rFonts w:hint="eastAsia" w:ascii="宋体" w:hAnsi="宋体" w:cs="宋体"/>
          <w:color w:val="auto"/>
          <w:sz w:val="24"/>
        </w:rPr>
        <w:t>磋商响应文件使用的语言文字为中文。专用术语使用外文的，应附有中文注释。</w:t>
      </w:r>
    </w:p>
    <w:p>
      <w:pPr>
        <w:pStyle w:val="2"/>
        <w:spacing w:before="0" w:after="0" w:line="440" w:lineRule="exact"/>
        <w:rPr>
          <w:rFonts w:ascii="宋体" w:hAnsi="宋体" w:cs="宋体"/>
          <w:color w:val="auto"/>
          <w:sz w:val="24"/>
          <w:szCs w:val="24"/>
        </w:rPr>
      </w:pPr>
      <w:bookmarkStart w:id="100" w:name="_Toc425177127"/>
      <w:bookmarkStart w:id="101" w:name="_Toc16719"/>
      <w:r>
        <w:rPr>
          <w:rFonts w:hint="eastAsia" w:ascii="宋体" w:hAnsi="宋体" w:cs="宋体"/>
          <w:color w:val="auto"/>
          <w:sz w:val="24"/>
          <w:szCs w:val="24"/>
        </w:rPr>
        <w:t>1.8 计量单位</w:t>
      </w:r>
      <w:bookmarkEnd w:id="93"/>
      <w:bookmarkEnd w:id="94"/>
      <w:bookmarkEnd w:id="95"/>
      <w:bookmarkEnd w:id="96"/>
      <w:bookmarkEnd w:id="97"/>
      <w:bookmarkEnd w:id="98"/>
      <w:bookmarkEnd w:id="99"/>
      <w:bookmarkEnd w:id="100"/>
      <w:bookmarkEnd w:id="101"/>
    </w:p>
    <w:p>
      <w:pPr>
        <w:spacing w:line="440" w:lineRule="exact"/>
        <w:ind w:firstLine="480" w:firstLineChars="200"/>
        <w:rPr>
          <w:rFonts w:ascii="宋体" w:hAnsi="宋体" w:cs="宋体"/>
          <w:color w:val="auto"/>
          <w:sz w:val="24"/>
        </w:rPr>
      </w:pPr>
      <w:r>
        <w:rPr>
          <w:rFonts w:hint="eastAsia" w:ascii="宋体" w:hAnsi="宋体" w:cs="宋体"/>
          <w:color w:val="auto"/>
          <w:sz w:val="24"/>
        </w:rPr>
        <w:t>所有计量均采用中华人民共和国法定计量单位。</w:t>
      </w:r>
    </w:p>
    <w:p>
      <w:pPr>
        <w:pStyle w:val="2"/>
        <w:spacing w:before="0" w:after="0" w:line="440" w:lineRule="exact"/>
        <w:rPr>
          <w:rFonts w:ascii="宋体" w:hAnsi="宋体" w:cs="宋体"/>
          <w:color w:val="auto"/>
          <w:sz w:val="24"/>
          <w:szCs w:val="24"/>
        </w:rPr>
      </w:pPr>
      <w:bookmarkStart w:id="102" w:name="_Toc247513962"/>
      <w:bookmarkStart w:id="103" w:name="_Toc152045539"/>
      <w:bookmarkStart w:id="104" w:name="_Toc247592876"/>
      <w:bookmarkStart w:id="105" w:name="_Toc152042315"/>
      <w:bookmarkStart w:id="106" w:name="_Toc247527563"/>
      <w:bookmarkStart w:id="107" w:name="_Toc144974507"/>
      <w:bookmarkStart w:id="108" w:name="_Toc425177128"/>
      <w:bookmarkStart w:id="109" w:name="_Toc16556"/>
      <w:r>
        <w:rPr>
          <w:rFonts w:hint="eastAsia" w:ascii="宋体" w:hAnsi="宋体" w:cs="宋体"/>
          <w:color w:val="auto"/>
          <w:sz w:val="24"/>
          <w:szCs w:val="24"/>
        </w:rPr>
        <w:t>1.9 踏勘现场</w:t>
      </w:r>
      <w:bookmarkEnd w:id="102"/>
      <w:bookmarkEnd w:id="103"/>
      <w:bookmarkEnd w:id="104"/>
      <w:bookmarkEnd w:id="105"/>
      <w:bookmarkEnd w:id="106"/>
      <w:bookmarkEnd w:id="107"/>
      <w:bookmarkEnd w:id="108"/>
      <w:bookmarkEnd w:id="109"/>
    </w:p>
    <w:p>
      <w:pPr>
        <w:spacing w:line="440" w:lineRule="exact"/>
        <w:ind w:firstLine="480" w:firstLineChars="200"/>
        <w:rPr>
          <w:rFonts w:ascii="宋体" w:hAnsi="宋体" w:cs="宋体"/>
          <w:color w:val="auto"/>
          <w:sz w:val="24"/>
        </w:rPr>
      </w:pPr>
      <w:r>
        <w:rPr>
          <w:rFonts w:hint="eastAsia" w:ascii="宋体" w:hAnsi="宋体" w:cs="宋体"/>
          <w:color w:val="auto"/>
          <w:sz w:val="24"/>
        </w:rPr>
        <w:t xml:space="preserve">1.9.1 供应商须知前附表规定组织踏勘现场的，采购人按供应商须知前附表规定的时间、地点组织供应商踏勘项目现场。 </w:t>
      </w:r>
    </w:p>
    <w:p>
      <w:pPr>
        <w:spacing w:line="440" w:lineRule="exact"/>
        <w:ind w:firstLine="480" w:firstLineChars="200"/>
        <w:rPr>
          <w:rFonts w:ascii="宋体" w:hAnsi="宋体" w:cs="宋体"/>
          <w:color w:val="auto"/>
          <w:sz w:val="24"/>
        </w:rPr>
      </w:pPr>
      <w:r>
        <w:rPr>
          <w:rFonts w:hint="eastAsia" w:ascii="宋体" w:hAnsi="宋体" w:cs="宋体"/>
          <w:color w:val="auto"/>
          <w:sz w:val="24"/>
        </w:rPr>
        <w:t>1.9.2 供应商踏勘现场发生的费用自理。</w:t>
      </w:r>
    </w:p>
    <w:p>
      <w:pPr>
        <w:spacing w:line="440" w:lineRule="exact"/>
        <w:ind w:firstLine="480" w:firstLineChars="200"/>
        <w:rPr>
          <w:rFonts w:ascii="宋体" w:hAnsi="宋体" w:cs="宋体"/>
          <w:color w:val="auto"/>
          <w:sz w:val="24"/>
        </w:rPr>
      </w:pPr>
      <w:r>
        <w:rPr>
          <w:rFonts w:hint="eastAsia" w:ascii="宋体" w:hAnsi="宋体" w:cs="宋体"/>
          <w:color w:val="auto"/>
          <w:sz w:val="24"/>
        </w:rPr>
        <w:t>1.9.3 除采购人的原因外，供应商自行负责在踏勘现场中所发生的人员伤亡和财产损失。</w:t>
      </w:r>
    </w:p>
    <w:p>
      <w:pPr>
        <w:spacing w:line="440" w:lineRule="exact"/>
        <w:ind w:firstLine="480" w:firstLineChars="200"/>
        <w:rPr>
          <w:rFonts w:ascii="宋体" w:hAnsi="宋体" w:cs="宋体"/>
          <w:color w:val="auto"/>
          <w:sz w:val="24"/>
        </w:rPr>
      </w:pPr>
      <w:r>
        <w:rPr>
          <w:rFonts w:hint="eastAsia" w:ascii="宋体" w:hAnsi="宋体" w:cs="宋体"/>
          <w:color w:val="auto"/>
          <w:sz w:val="24"/>
        </w:rPr>
        <w:t>1.9.4 采购人在踏勘现场中介绍的工程场地和相关的周边环境情况，供供应商在编制磋商响应文件时参考，采购人不对供应商据此作出的判断和决策负责。</w:t>
      </w:r>
    </w:p>
    <w:p>
      <w:pPr>
        <w:pStyle w:val="2"/>
        <w:spacing w:before="0" w:after="0" w:line="440" w:lineRule="exact"/>
        <w:rPr>
          <w:rFonts w:ascii="宋体" w:hAnsi="宋体" w:cs="宋体"/>
          <w:color w:val="auto"/>
          <w:sz w:val="24"/>
          <w:szCs w:val="24"/>
        </w:rPr>
      </w:pPr>
      <w:bookmarkStart w:id="110" w:name="_Toc247592877"/>
      <w:bookmarkStart w:id="111" w:name="_Toc247513963"/>
      <w:bookmarkStart w:id="112" w:name="_Toc425177129"/>
      <w:bookmarkStart w:id="113" w:name="_Toc144974508"/>
      <w:bookmarkStart w:id="114" w:name="_Toc247527564"/>
      <w:bookmarkStart w:id="115" w:name="_Toc11352"/>
      <w:bookmarkStart w:id="116" w:name="_Toc152042316"/>
      <w:bookmarkStart w:id="117" w:name="_Toc152045540"/>
      <w:r>
        <w:rPr>
          <w:rFonts w:hint="eastAsia" w:ascii="宋体" w:hAnsi="宋体" w:cs="宋体"/>
          <w:color w:val="auto"/>
          <w:sz w:val="24"/>
          <w:szCs w:val="24"/>
        </w:rPr>
        <w:t>1.10 投标预备会</w:t>
      </w:r>
      <w:bookmarkEnd w:id="110"/>
      <w:bookmarkEnd w:id="111"/>
      <w:bookmarkEnd w:id="112"/>
      <w:bookmarkEnd w:id="113"/>
      <w:bookmarkEnd w:id="114"/>
      <w:bookmarkEnd w:id="115"/>
      <w:bookmarkEnd w:id="116"/>
      <w:bookmarkEnd w:id="117"/>
    </w:p>
    <w:p>
      <w:pPr>
        <w:spacing w:line="440" w:lineRule="exact"/>
        <w:ind w:firstLine="480" w:firstLineChars="200"/>
        <w:rPr>
          <w:rFonts w:ascii="宋体" w:hAnsi="宋体" w:cs="宋体"/>
          <w:color w:val="auto"/>
          <w:sz w:val="24"/>
        </w:rPr>
      </w:pPr>
      <w:r>
        <w:rPr>
          <w:rFonts w:hint="eastAsia" w:ascii="宋体" w:hAnsi="宋体" w:cs="宋体"/>
          <w:color w:val="auto"/>
          <w:sz w:val="24"/>
        </w:rPr>
        <w:t>1.10.1 供应商须知前附表规定召开投标预备会的，采购人按供应商须知前附表规定的时间和地点召开投标预备会，澄清供应商提出的问题。</w:t>
      </w:r>
    </w:p>
    <w:p>
      <w:pPr>
        <w:spacing w:line="440" w:lineRule="exact"/>
        <w:ind w:firstLine="480" w:firstLineChars="200"/>
        <w:rPr>
          <w:rFonts w:ascii="宋体" w:hAnsi="宋体" w:cs="宋体"/>
          <w:color w:val="auto"/>
          <w:sz w:val="24"/>
        </w:rPr>
      </w:pPr>
      <w:r>
        <w:rPr>
          <w:rFonts w:hint="eastAsia" w:ascii="宋体" w:hAnsi="宋体" w:cs="宋体"/>
          <w:color w:val="auto"/>
          <w:sz w:val="24"/>
        </w:rPr>
        <w:t>1.10.2 供应商应在供应商须知前附表规定的时间前，以书面形式将提出的问题送达采购人，以便采购人在会议期间澄清。</w:t>
      </w:r>
    </w:p>
    <w:p>
      <w:pPr>
        <w:spacing w:line="440" w:lineRule="exact"/>
        <w:ind w:firstLine="480" w:firstLineChars="200"/>
        <w:rPr>
          <w:rFonts w:ascii="宋体" w:hAnsi="宋体" w:cs="宋体"/>
          <w:color w:val="auto"/>
          <w:sz w:val="24"/>
        </w:rPr>
      </w:pPr>
      <w:r>
        <w:rPr>
          <w:rFonts w:hint="eastAsia" w:ascii="宋体" w:hAnsi="宋体" w:cs="宋体"/>
          <w:color w:val="auto"/>
          <w:sz w:val="24"/>
        </w:rPr>
        <w:t>1.10.3 投标预备会后，采购人在供应商须知前附表规定的时间内，将对供应商所提问题的澄清，以书面形式通知所有购买磋商文件的供应商。该澄清内容为磋商文件的组成部分。</w:t>
      </w:r>
    </w:p>
    <w:p>
      <w:pPr>
        <w:pStyle w:val="2"/>
        <w:spacing w:before="0" w:after="0" w:line="440" w:lineRule="exact"/>
        <w:rPr>
          <w:rFonts w:ascii="宋体" w:hAnsi="宋体" w:cs="宋体"/>
          <w:color w:val="auto"/>
          <w:sz w:val="24"/>
          <w:szCs w:val="24"/>
        </w:rPr>
      </w:pPr>
      <w:bookmarkStart w:id="118" w:name="_Toc425177130"/>
      <w:bookmarkStart w:id="119" w:name="_Toc8637"/>
      <w:r>
        <w:rPr>
          <w:rFonts w:hint="eastAsia" w:ascii="宋体" w:hAnsi="宋体" w:cs="宋体"/>
          <w:color w:val="auto"/>
          <w:sz w:val="24"/>
          <w:szCs w:val="24"/>
        </w:rPr>
        <w:t>1.11 偏离</w:t>
      </w:r>
      <w:bookmarkEnd w:id="118"/>
      <w:bookmarkEnd w:id="119"/>
    </w:p>
    <w:p>
      <w:pPr>
        <w:spacing w:line="440" w:lineRule="exact"/>
        <w:ind w:firstLine="480" w:firstLineChars="200"/>
        <w:rPr>
          <w:rFonts w:ascii="宋体" w:hAnsi="宋体" w:cs="宋体"/>
          <w:color w:val="auto"/>
          <w:sz w:val="24"/>
        </w:rPr>
      </w:pPr>
      <w:r>
        <w:rPr>
          <w:rFonts w:hint="eastAsia" w:ascii="宋体" w:hAnsi="宋体" w:cs="宋体"/>
          <w:color w:val="auto"/>
          <w:sz w:val="24"/>
        </w:rPr>
        <w:t>供应商须知前附表允许磋商响应文件偏离磋商文件某些要求的，偏离应当符合磋商文件规定的偏离范围和幅度。</w:t>
      </w:r>
    </w:p>
    <w:p>
      <w:pPr>
        <w:pStyle w:val="4"/>
        <w:spacing w:before="0" w:after="0" w:line="440" w:lineRule="exact"/>
        <w:rPr>
          <w:rFonts w:ascii="宋体" w:hAnsi="宋体" w:eastAsia="宋体" w:cs="宋体"/>
          <w:color w:val="auto"/>
          <w:sz w:val="24"/>
          <w:szCs w:val="24"/>
        </w:rPr>
      </w:pPr>
      <w:bookmarkStart w:id="120" w:name="_Toc246996187"/>
      <w:bookmarkStart w:id="121" w:name="_Toc425177131"/>
      <w:bookmarkStart w:id="122" w:name="_Toc152045542"/>
      <w:bookmarkStart w:id="123" w:name="_Toc144974510"/>
      <w:bookmarkStart w:id="124" w:name="_Toc152042318"/>
      <w:bookmarkStart w:id="125" w:name="_Toc246996930"/>
      <w:bookmarkStart w:id="126" w:name="_Toc179632560"/>
      <w:bookmarkStart w:id="127" w:name="_Toc247085701"/>
      <w:bookmarkStart w:id="128" w:name="_Toc30526"/>
      <w:r>
        <w:rPr>
          <w:rFonts w:hint="eastAsia" w:ascii="宋体" w:hAnsi="宋体" w:eastAsia="宋体" w:cs="宋体"/>
          <w:color w:val="auto"/>
          <w:sz w:val="24"/>
          <w:szCs w:val="24"/>
        </w:rPr>
        <w:t xml:space="preserve">2. </w:t>
      </w:r>
      <w:bookmarkEnd w:id="120"/>
      <w:bookmarkEnd w:id="121"/>
      <w:bookmarkEnd w:id="122"/>
      <w:bookmarkEnd w:id="123"/>
      <w:bookmarkEnd w:id="124"/>
      <w:bookmarkEnd w:id="125"/>
      <w:bookmarkEnd w:id="126"/>
      <w:bookmarkEnd w:id="127"/>
      <w:r>
        <w:rPr>
          <w:rFonts w:hint="eastAsia" w:ascii="宋体" w:hAnsi="宋体" w:eastAsia="宋体" w:cs="宋体"/>
          <w:color w:val="auto"/>
          <w:sz w:val="24"/>
          <w:szCs w:val="24"/>
        </w:rPr>
        <w:t>磋商文件</w:t>
      </w:r>
      <w:bookmarkEnd w:id="128"/>
    </w:p>
    <w:p>
      <w:pPr>
        <w:pStyle w:val="2"/>
        <w:spacing w:before="0" w:after="0" w:line="440" w:lineRule="exact"/>
        <w:rPr>
          <w:rFonts w:ascii="宋体" w:hAnsi="宋体" w:cs="宋体"/>
          <w:color w:val="auto"/>
          <w:sz w:val="24"/>
          <w:szCs w:val="24"/>
        </w:rPr>
      </w:pPr>
      <w:bookmarkStart w:id="129" w:name="_Toc152045543"/>
      <w:bookmarkStart w:id="130" w:name="_Toc179632561"/>
      <w:bookmarkStart w:id="131" w:name="_Toc246996931"/>
      <w:bookmarkStart w:id="132" w:name="_Toc144974511"/>
      <w:bookmarkStart w:id="133" w:name="_Toc30942"/>
      <w:bookmarkStart w:id="134" w:name="_Toc152042319"/>
      <w:bookmarkStart w:id="135" w:name="_Toc246996188"/>
      <w:bookmarkStart w:id="136" w:name="_Toc247085702"/>
      <w:bookmarkStart w:id="137" w:name="_Toc425177132"/>
      <w:r>
        <w:rPr>
          <w:rFonts w:hint="eastAsia" w:ascii="宋体" w:hAnsi="宋体" w:cs="宋体"/>
          <w:color w:val="auto"/>
          <w:sz w:val="24"/>
          <w:szCs w:val="24"/>
        </w:rPr>
        <w:t>2.1 磋商文件的组成</w:t>
      </w:r>
      <w:bookmarkEnd w:id="129"/>
      <w:bookmarkEnd w:id="130"/>
      <w:bookmarkEnd w:id="131"/>
      <w:bookmarkEnd w:id="132"/>
      <w:bookmarkEnd w:id="133"/>
      <w:bookmarkEnd w:id="134"/>
      <w:bookmarkEnd w:id="135"/>
      <w:bookmarkEnd w:id="136"/>
      <w:bookmarkEnd w:id="137"/>
    </w:p>
    <w:p>
      <w:pPr>
        <w:spacing w:line="440" w:lineRule="exact"/>
        <w:ind w:firstLine="480" w:firstLineChars="200"/>
        <w:rPr>
          <w:rFonts w:ascii="宋体" w:hAnsi="宋体" w:cs="宋体"/>
          <w:color w:val="auto"/>
          <w:sz w:val="24"/>
        </w:rPr>
      </w:pPr>
      <w:r>
        <w:rPr>
          <w:rFonts w:hint="eastAsia" w:ascii="宋体" w:hAnsi="宋体" w:cs="宋体"/>
          <w:color w:val="auto"/>
          <w:sz w:val="24"/>
        </w:rPr>
        <w:t>2.1.1 本磋商文件包括：</w:t>
      </w:r>
    </w:p>
    <w:p>
      <w:pPr>
        <w:spacing w:line="440" w:lineRule="exact"/>
        <w:ind w:firstLine="480" w:firstLineChars="200"/>
        <w:rPr>
          <w:rFonts w:ascii="宋体" w:hAnsi="宋体" w:cs="宋体"/>
          <w:color w:val="auto"/>
          <w:sz w:val="24"/>
        </w:rPr>
      </w:pPr>
      <w:r>
        <w:rPr>
          <w:rFonts w:hint="eastAsia" w:ascii="宋体" w:hAnsi="宋体" w:cs="宋体"/>
          <w:color w:val="auto"/>
          <w:sz w:val="24"/>
        </w:rPr>
        <w:t>（1）竞争性磋商公告（或招标公告）；</w:t>
      </w:r>
    </w:p>
    <w:p>
      <w:pPr>
        <w:spacing w:line="440" w:lineRule="exact"/>
        <w:ind w:firstLine="480" w:firstLineChars="200"/>
        <w:rPr>
          <w:rFonts w:ascii="宋体" w:hAnsi="宋体" w:cs="宋体"/>
          <w:color w:val="auto"/>
          <w:sz w:val="24"/>
        </w:rPr>
      </w:pPr>
      <w:r>
        <w:rPr>
          <w:rFonts w:hint="eastAsia" w:ascii="宋体" w:hAnsi="宋体" w:cs="宋体"/>
          <w:color w:val="auto"/>
          <w:sz w:val="24"/>
        </w:rPr>
        <w:t>（2）供应商须知；</w:t>
      </w:r>
    </w:p>
    <w:p>
      <w:pPr>
        <w:spacing w:line="440" w:lineRule="exact"/>
        <w:ind w:firstLine="480" w:firstLineChars="200"/>
        <w:rPr>
          <w:rFonts w:ascii="宋体" w:hAnsi="宋体" w:cs="宋体"/>
          <w:color w:val="auto"/>
          <w:sz w:val="24"/>
        </w:rPr>
      </w:pPr>
      <w:r>
        <w:rPr>
          <w:rFonts w:hint="eastAsia" w:ascii="宋体" w:hAnsi="宋体" w:cs="宋体"/>
          <w:color w:val="auto"/>
          <w:sz w:val="24"/>
        </w:rPr>
        <w:t>（3）评审办法；</w:t>
      </w:r>
    </w:p>
    <w:p>
      <w:pPr>
        <w:spacing w:line="440" w:lineRule="exact"/>
        <w:ind w:firstLine="480" w:firstLineChars="200"/>
        <w:rPr>
          <w:rFonts w:ascii="宋体" w:hAnsi="宋体" w:cs="宋体"/>
          <w:color w:val="auto"/>
          <w:sz w:val="24"/>
        </w:rPr>
      </w:pPr>
      <w:r>
        <w:rPr>
          <w:rFonts w:hint="eastAsia" w:ascii="宋体" w:hAnsi="宋体" w:cs="宋体"/>
          <w:color w:val="auto"/>
          <w:sz w:val="24"/>
        </w:rPr>
        <w:t>（4）合同条款及格式；</w:t>
      </w:r>
    </w:p>
    <w:p>
      <w:pPr>
        <w:spacing w:line="440" w:lineRule="exact"/>
        <w:ind w:firstLine="480" w:firstLineChars="200"/>
        <w:rPr>
          <w:rFonts w:ascii="宋体" w:hAnsi="宋体" w:cs="宋体"/>
          <w:color w:val="auto"/>
          <w:sz w:val="24"/>
        </w:rPr>
      </w:pPr>
      <w:r>
        <w:rPr>
          <w:rFonts w:hint="eastAsia" w:ascii="宋体" w:hAnsi="宋体" w:cs="宋体"/>
          <w:color w:val="auto"/>
          <w:sz w:val="24"/>
        </w:rPr>
        <w:t>（5）工程量清单</w:t>
      </w:r>
    </w:p>
    <w:p>
      <w:pPr>
        <w:spacing w:line="440" w:lineRule="exact"/>
        <w:ind w:firstLine="480" w:firstLineChars="200"/>
        <w:rPr>
          <w:rFonts w:ascii="宋体" w:hAnsi="宋体" w:cs="宋体"/>
          <w:color w:val="auto"/>
          <w:sz w:val="24"/>
        </w:rPr>
      </w:pPr>
      <w:r>
        <w:rPr>
          <w:rFonts w:hint="eastAsia" w:ascii="宋体" w:hAnsi="宋体" w:cs="宋体"/>
          <w:color w:val="auto"/>
          <w:sz w:val="24"/>
        </w:rPr>
        <w:t>（6）图纸（另附）</w:t>
      </w:r>
    </w:p>
    <w:p>
      <w:pPr>
        <w:spacing w:line="440" w:lineRule="exact"/>
        <w:ind w:firstLine="480" w:firstLineChars="200"/>
        <w:rPr>
          <w:rFonts w:ascii="宋体" w:hAnsi="宋体" w:cs="宋体"/>
          <w:color w:val="auto"/>
          <w:sz w:val="24"/>
        </w:rPr>
      </w:pPr>
      <w:r>
        <w:rPr>
          <w:rFonts w:hint="eastAsia" w:ascii="宋体" w:hAnsi="宋体" w:cs="宋体"/>
          <w:color w:val="auto"/>
          <w:sz w:val="24"/>
        </w:rPr>
        <w:t xml:space="preserve">（7）技术标准和要求； </w:t>
      </w:r>
    </w:p>
    <w:p>
      <w:pPr>
        <w:spacing w:line="440" w:lineRule="exact"/>
        <w:ind w:firstLine="480" w:firstLineChars="200"/>
        <w:rPr>
          <w:rFonts w:ascii="宋体" w:hAnsi="宋体" w:cs="宋体"/>
          <w:color w:val="auto"/>
          <w:sz w:val="24"/>
        </w:rPr>
      </w:pPr>
      <w:r>
        <w:rPr>
          <w:rFonts w:hint="eastAsia" w:ascii="宋体" w:hAnsi="宋体" w:cs="宋体"/>
          <w:color w:val="auto"/>
          <w:sz w:val="24"/>
        </w:rPr>
        <w:t>（8）磋商响应文件格式；</w:t>
      </w:r>
    </w:p>
    <w:p>
      <w:pPr>
        <w:spacing w:line="440" w:lineRule="exact"/>
        <w:ind w:firstLine="480" w:firstLineChars="200"/>
        <w:rPr>
          <w:rFonts w:ascii="宋体" w:hAnsi="宋体" w:cs="宋体"/>
          <w:color w:val="auto"/>
          <w:sz w:val="24"/>
        </w:rPr>
      </w:pPr>
      <w:r>
        <w:rPr>
          <w:rFonts w:hint="eastAsia" w:ascii="宋体" w:hAnsi="宋体" w:cs="宋体"/>
          <w:color w:val="auto"/>
          <w:sz w:val="24"/>
        </w:rPr>
        <w:t>（9）供应商须知前附表规定的其他材料。</w:t>
      </w:r>
    </w:p>
    <w:p>
      <w:pPr>
        <w:spacing w:line="440" w:lineRule="exact"/>
        <w:ind w:firstLine="480" w:firstLineChars="200"/>
        <w:rPr>
          <w:rFonts w:ascii="宋体" w:hAnsi="宋体" w:cs="宋体"/>
          <w:color w:val="auto"/>
          <w:sz w:val="24"/>
        </w:rPr>
      </w:pPr>
      <w:r>
        <w:rPr>
          <w:rFonts w:hint="eastAsia" w:ascii="宋体" w:hAnsi="宋体" w:cs="宋体"/>
          <w:color w:val="auto"/>
          <w:sz w:val="24"/>
        </w:rPr>
        <w:t>2.1.2 根据本章第1.10款、第2.2款和第2.3款对磋商文件所作的澄清、修改，构成磋商文件的组成部分。</w:t>
      </w:r>
    </w:p>
    <w:p>
      <w:pPr>
        <w:pStyle w:val="2"/>
        <w:spacing w:before="0" w:after="0" w:line="440" w:lineRule="exact"/>
        <w:rPr>
          <w:rFonts w:ascii="宋体" w:hAnsi="宋体" w:cs="宋体"/>
          <w:color w:val="auto"/>
          <w:sz w:val="24"/>
          <w:szCs w:val="24"/>
        </w:rPr>
      </w:pPr>
      <w:bookmarkStart w:id="138" w:name="_Toc246996189"/>
      <w:bookmarkStart w:id="139" w:name="_Toc425177133"/>
      <w:bookmarkStart w:id="140" w:name="_Toc152042320"/>
      <w:bookmarkStart w:id="141" w:name="_Toc179632562"/>
      <w:bookmarkStart w:id="142" w:name="_Toc246996932"/>
      <w:bookmarkStart w:id="143" w:name="_Toc247085703"/>
      <w:bookmarkStart w:id="144" w:name="_Toc17414"/>
      <w:bookmarkStart w:id="145" w:name="_Toc152045544"/>
      <w:bookmarkStart w:id="146" w:name="_Toc144974512"/>
      <w:r>
        <w:rPr>
          <w:rFonts w:hint="eastAsia" w:ascii="宋体" w:hAnsi="宋体" w:cs="宋体"/>
          <w:color w:val="auto"/>
          <w:sz w:val="24"/>
          <w:szCs w:val="24"/>
        </w:rPr>
        <w:t>2.2 磋商文件的澄清</w:t>
      </w:r>
      <w:bookmarkEnd w:id="138"/>
      <w:bookmarkEnd w:id="139"/>
      <w:bookmarkEnd w:id="140"/>
      <w:bookmarkEnd w:id="141"/>
      <w:bookmarkEnd w:id="142"/>
      <w:bookmarkEnd w:id="143"/>
      <w:bookmarkEnd w:id="144"/>
      <w:bookmarkEnd w:id="145"/>
      <w:bookmarkEnd w:id="146"/>
    </w:p>
    <w:p>
      <w:pPr>
        <w:spacing w:line="440" w:lineRule="exact"/>
        <w:ind w:firstLine="480" w:firstLineChars="200"/>
        <w:rPr>
          <w:rFonts w:ascii="宋体" w:hAnsi="宋体" w:cs="宋体"/>
          <w:color w:val="auto"/>
          <w:sz w:val="24"/>
        </w:rPr>
      </w:pPr>
      <w:r>
        <w:rPr>
          <w:rFonts w:hint="eastAsia" w:ascii="宋体" w:hAnsi="宋体" w:cs="宋体"/>
          <w:color w:val="auto"/>
          <w:sz w:val="24"/>
        </w:rPr>
        <w:t>2.2.1 供应商应仔细阅读和检查磋商文件的全部内容。如发现缺页或附件不全，应及时向采购人提出，以便补齐。如有疑问，应在供应商须知前附表规定的时间前以书面形式（包括信函、电报、传真等可以有形地表现所载内容的形式，下同），要求采购人对磋商文件予以澄清。</w:t>
      </w:r>
    </w:p>
    <w:p>
      <w:pPr>
        <w:spacing w:line="440" w:lineRule="exact"/>
        <w:ind w:firstLine="480" w:firstLineChars="200"/>
        <w:rPr>
          <w:rFonts w:ascii="宋体" w:hAnsi="宋体" w:cs="宋体"/>
          <w:color w:val="auto"/>
          <w:sz w:val="24"/>
        </w:rPr>
      </w:pPr>
      <w:r>
        <w:rPr>
          <w:rFonts w:hint="eastAsia" w:ascii="宋体" w:hAnsi="宋体" w:cs="宋体"/>
          <w:color w:val="auto"/>
          <w:sz w:val="24"/>
        </w:rPr>
        <w:t xml:space="preserve">2.2.2 磋商文件的澄清将以书面形式发给所有购买磋商文件的供应商，但不指明澄清问题的来源。如果澄清发出的时间距供应商须知前附表规定的投标截止时间不足15天，并且澄清内容影响磋商响应文件编制的，将相应延长投标截止时间。 </w:t>
      </w:r>
    </w:p>
    <w:p>
      <w:pPr>
        <w:spacing w:line="440" w:lineRule="exact"/>
        <w:ind w:firstLine="480" w:firstLineChars="200"/>
        <w:rPr>
          <w:rFonts w:ascii="宋体" w:hAnsi="宋体" w:cs="宋体"/>
          <w:color w:val="auto"/>
          <w:sz w:val="24"/>
        </w:rPr>
      </w:pPr>
      <w:r>
        <w:rPr>
          <w:rFonts w:hint="eastAsia" w:ascii="宋体" w:hAnsi="宋体" w:cs="宋体"/>
          <w:color w:val="auto"/>
          <w:sz w:val="24"/>
        </w:rPr>
        <w:t>2.2.3 供应商在收到澄清后，应在供应商须知前附表规定的时间内以书面形式通知采购人，确认已收到该澄清。</w:t>
      </w:r>
    </w:p>
    <w:p>
      <w:pPr>
        <w:pStyle w:val="2"/>
        <w:spacing w:before="0" w:after="0" w:line="440" w:lineRule="exact"/>
        <w:rPr>
          <w:rFonts w:ascii="宋体" w:hAnsi="宋体" w:cs="宋体"/>
          <w:color w:val="auto"/>
          <w:sz w:val="24"/>
          <w:szCs w:val="24"/>
        </w:rPr>
      </w:pPr>
      <w:bookmarkStart w:id="147" w:name="_Toc152045545"/>
      <w:bookmarkStart w:id="148" w:name="_Toc425177134"/>
      <w:bookmarkStart w:id="149" w:name="_Toc179632563"/>
      <w:bookmarkStart w:id="150" w:name="_Toc246996933"/>
      <w:bookmarkStart w:id="151" w:name="_Toc247085704"/>
      <w:bookmarkStart w:id="152" w:name="_Toc152042321"/>
      <w:bookmarkStart w:id="153" w:name="_Toc246996190"/>
      <w:bookmarkStart w:id="154" w:name="_Toc12070"/>
      <w:bookmarkStart w:id="155" w:name="_Toc144974513"/>
      <w:r>
        <w:rPr>
          <w:rFonts w:hint="eastAsia" w:ascii="宋体" w:hAnsi="宋体" w:cs="宋体"/>
          <w:color w:val="auto"/>
          <w:sz w:val="24"/>
          <w:szCs w:val="24"/>
        </w:rPr>
        <w:t>2.3 磋商文件的修改</w:t>
      </w:r>
      <w:bookmarkEnd w:id="147"/>
      <w:bookmarkEnd w:id="148"/>
      <w:bookmarkEnd w:id="149"/>
      <w:bookmarkEnd w:id="150"/>
      <w:bookmarkEnd w:id="151"/>
      <w:bookmarkEnd w:id="152"/>
      <w:bookmarkEnd w:id="153"/>
      <w:bookmarkEnd w:id="154"/>
      <w:bookmarkEnd w:id="155"/>
    </w:p>
    <w:p>
      <w:pPr>
        <w:spacing w:line="440" w:lineRule="exact"/>
        <w:ind w:firstLine="480" w:firstLineChars="200"/>
        <w:rPr>
          <w:rFonts w:ascii="宋体" w:hAnsi="宋体" w:cs="宋体"/>
          <w:color w:val="auto"/>
          <w:sz w:val="24"/>
        </w:rPr>
      </w:pPr>
      <w:r>
        <w:rPr>
          <w:rFonts w:hint="eastAsia" w:ascii="宋体" w:hAnsi="宋体" w:cs="宋体"/>
          <w:color w:val="auto"/>
          <w:sz w:val="24"/>
        </w:rPr>
        <w:t>2.3.1采购人可以书面形式修改磋商文件，并通知所有已购买磋商文件的供应商。但如果修改磋商文件的时间距投标截止时间不足15天，并且修改内容影响磋商响应文件编制的，将相应延长投标截止时间。</w:t>
      </w:r>
    </w:p>
    <w:p>
      <w:pPr>
        <w:spacing w:line="440" w:lineRule="exact"/>
        <w:ind w:firstLine="480" w:firstLineChars="200"/>
        <w:rPr>
          <w:rFonts w:ascii="宋体" w:hAnsi="宋体" w:cs="宋体"/>
          <w:color w:val="auto"/>
          <w:sz w:val="24"/>
        </w:rPr>
      </w:pPr>
      <w:r>
        <w:rPr>
          <w:rFonts w:hint="eastAsia" w:ascii="宋体" w:hAnsi="宋体" w:cs="宋体"/>
          <w:color w:val="auto"/>
          <w:sz w:val="24"/>
        </w:rPr>
        <w:t>2.3.2 供应商收到修改内容后，应在供应商须知前附表规定的时间内以书面形式通知采购人，确认已收到该修改。</w:t>
      </w:r>
    </w:p>
    <w:p>
      <w:pPr>
        <w:pStyle w:val="4"/>
        <w:spacing w:before="0" w:after="0" w:line="440" w:lineRule="exact"/>
        <w:rPr>
          <w:rFonts w:ascii="宋体" w:hAnsi="宋体" w:eastAsia="宋体" w:cs="宋体"/>
          <w:color w:val="auto"/>
          <w:sz w:val="24"/>
          <w:szCs w:val="24"/>
        </w:rPr>
      </w:pPr>
      <w:bookmarkStart w:id="156" w:name="_Toc246996934"/>
      <w:bookmarkStart w:id="157" w:name="_Toc144974514"/>
      <w:bookmarkStart w:id="158" w:name="_Toc246996191"/>
      <w:bookmarkStart w:id="159" w:name="_Toc152042322"/>
      <w:bookmarkStart w:id="160" w:name="_Toc247085705"/>
      <w:bookmarkStart w:id="161" w:name="_Toc179632564"/>
      <w:bookmarkStart w:id="162" w:name="_Toc152045546"/>
      <w:bookmarkStart w:id="163" w:name="_Toc425177135"/>
      <w:bookmarkStart w:id="164" w:name="_Toc4585"/>
      <w:r>
        <w:rPr>
          <w:rFonts w:hint="eastAsia" w:ascii="宋体" w:hAnsi="宋体" w:eastAsia="宋体" w:cs="宋体"/>
          <w:color w:val="auto"/>
          <w:sz w:val="24"/>
          <w:szCs w:val="24"/>
        </w:rPr>
        <w:t xml:space="preserve">3. </w:t>
      </w:r>
      <w:bookmarkEnd w:id="156"/>
      <w:bookmarkEnd w:id="157"/>
      <w:bookmarkEnd w:id="158"/>
      <w:bookmarkEnd w:id="159"/>
      <w:bookmarkEnd w:id="160"/>
      <w:bookmarkEnd w:id="161"/>
      <w:bookmarkEnd w:id="162"/>
      <w:bookmarkEnd w:id="163"/>
      <w:r>
        <w:rPr>
          <w:rFonts w:hint="eastAsia" w:ascii="宋体" w:hAnsi="宋体" w:eastAsia="宋体" w:cs="宋体"/>
          <w:color w:val="auto"/>
          <w:sz w:val="24"/>
          <w:szCs w:val="24"/>
        </w:rPr>
        <w:t>磋商响应文件</w:t>
      </w:r>
      <w:bookmarkEnd w:id="164"/>
    </w:p>
    <w:p>
      <w:pPr>
        <w:pStyle w:val="2"/>
        <w:spacing w:before="0" w:after="0" w:line="440" w:lineRule="exact"/>
        <w:rPr>
          <w:rFonts w:ascii="宋体" w:hAnsi="宋体" w:cs="宋体"/>
          <w:color w:val="auto"/>
          <w:sz w:val="24"/>
          <w:szCs w:val="24"/>
        </w:rPr>
      </w:pPr>
      <w:bookmarkStart w:id="165" w:name="_Toc144974515"/>
      <w:bookmarkStart w:id="166" w:name="_Toc425177136"/>
      <w:bookmarkStart w:id="167" w:name="_Toc152045547"/>
      <w:bookmarkStart w:id="168" w:name="_Toc246996935"/>
      <w:bookmarkStart w:id="169" w:name="_Toc246996192"/>
      <w:bookmarkStart w:id="170" w:name="_Toc8042"/>
      <w:bookmarkStart w:id="171" w:name="_Toc247085706"/>
      <w:bookmarkStart w:id="172" w:name="_Toc152042323"/>
      <w:bookmarkStart w:id="173" w:name="_Toc179632565"/>
      <w:r>
        <w:rPr>
          <w:rFonts w:hint="eastAsia" w:ascii="宋体" w:hAnsi="宋体" w:cs="宋体"/>
          <w:color w:val="auto"/>
          <w:sz w:val="24"/>
          <w:szCs w:val="24"/>
        </w:rPr>
        <w:t>3.1 磋商响应文件的组成</w:t>
      </w:r>
      <w:bookmarkEnd w:id="165"/>
      <w:bookmarkEnd w:id="166"/>
      <w:bookmarkEnd w:id="167"/>
      <w:bookmarkEnd w:id="168"/>
      <w:bookmarkEnd w:id="169"/>
      <w:bookmarkEnd w:id="170"/>
      <w:bookmarkEnd w:id="171"/>
      <w:bookmarkEnd w:id="172"/>
      <w:bookmarkEnd w:id="173"/>
    </w:p>
    <w:p>
      <w:pPr>
        <w:spacing w:line="440" w:lineRule="exact"/>
        <w:ind w:firstLine="480" w:firstLineChars="200"/>
        <w:rPr>
          <w:rFonts w:ascii="宋体" w:hAnsi="宋体" w:cs="宋体"/>
          <w:color w:val="auto"/>
          <w:sz w:val="24"/>
        </w:rPr>
      </w:pPr>
      <w:r>
        <w:rPr>
          <w:rFonts w:hint="eastAsia" w:ascii="宋体" w:hAnsi="宋体" w:cs="宋体"/>
          <w:color w:val="auto"/>
          <w:sz w:val="24"/>
        </w:rPr>
        <w:t>磋商响应文件应包括下列内容：</w:t>
      </w:r>
    </w:p>
    <w:p>
      <w:pPr>
        <w:spacing w:line="440" w:lineRule="exact"/>
        <w:ind w:firstLine="480" w:firstLineChars="200"/>
        <w:rPr>
          <w:rFonts w:ascii="宋体" w:hAnsi="宋体" w:cs="宋体"/>
          <w:color w:val="auto"/>
          <w:sz w:val="24"/>
        </w:rPr>
      </w:pPr>
      <w:r>
        <w:rPr>
          <w:rFonts w:hint="eastAsia" w:ascii="宋体" w:hAnsi="宋体" w:cs="宋体"/>
          <w:color w:val="auto"/>
          <w:sz w:val="24"/>
        </w:rPr>
        <w:t>（1）投标函及投标函附录；</w:t>
      </w:r>
    </w:p>
    <w:p>
      <w:pPr>
        <w:spacing w:line="440" w:lineRule="exact"/>
        <w:ind w:firstLine="480" w:firstLineChars="200"/>
        <w:rPr>
          <w:rFonts w:ascii="宋体" w:hAnsi="宋体" w:cs="宋体"/>
          <w:color w:val="auto"/>
          <w:sz w:val="24"/>
        </w:rPr>
      </w:pPr>
      <w:r>
        <w:rPr>
          <w:rFonts w:hint="eastAsia" w:ascii="宋体" w:hAnsi="宋体" w:cs="宋体"/>
          <w:color w:val="auto"/>
          <w:sz w:val="24"/>
        </w:rPr>
        <w:t>（2）法定代表人身份证明</w:t>
      </w:r>
    </w:p>
    <w:p>
      <w:pPr>
        <w:spacing w:line="440" w:lineRule="exact"/>
        <w:ind w:firstLine="480" w:firstLineChars="200"/>
        <w:rPr>
          <w:rFonts w:ascii="宋体" w:hAnsi="宋体" w:cs="宋体"/>
          <w:color w:val="auto"/>
          <w:sz w:val="24"/>
        </w:rPr>
      </w:pPr>
      <w:r>
        <w:rPr>
          <w:rFonts w:hint="eastAsia" w:ascii="宋体" w:hAnsi="宋体" w:cs="宋体"/>
          <w:color w:val="auto"/>
          <w:sz w:val="24"/>
        </w:rPr>
        <w:t>（3）授权委托书；</w:t>
      </w:r>
    </w:p>
    <w:p>
      <w:pPr>
        <w:spacing w:line="440" w:lineRule="exact"/>
        <w:ind w:firstLine="480" w:firstLineChars="200"/>
        <w:rPr>
          <w:rFonts w:ascii="宋体" w:hAnsi="宋体" w:cs="宋体"/>
          <w:color w:val="auto"/>
          <w:sz w:val="24"/>
        </w:rPr>
      </w:pPr>
      <w:r>
        <w:rPr>
          <w:rFonts w:hint="eastAsia" w:ascii="宋体" w:hAnsi="宋体" w:cs="宋体"/>
          <w:color w:val="auto"/>
          <w:sz w:val="24"/>
        </w:rPr>
        <w:t>（4）已标价工程量清单；</w:t>
      </w:r>
    </w:p>
    <w:p>
      <w:pPr>
        <w:spacing w:line="440" w:lineRule="exact"/>
        <w:ind w:firstLine="480" w:firstLineChars="200"/>
        <w:rPr>
          <w:rFonts w:ascii="宋体" w:hAnsi="宋体" w:cs="宋体"/>
          <w:color w:val="auto"/>
          <w:sz w:val="24"/>
        </w:rPr>
      </w:pPr>
      <w:r>
        <w:rPr>
          <w:rFonts w:hint="eastAsia" w:ascii="宋体" w:hAnsi="宋体" w:cs="宋体"/>
          <w:color w:val="auto"/>
          <w:sz w:val="24"/>
        </w:rPr>
        <w:t>（5）施工组织设计；</w:t>
      </w:r>
    </w:p>
    <w:p>
      <w:pPr>
        <w:spacing w:line="440" w:lineRule="exact"/>
        <w:ind w:firstLine="480" w:firstLineChars="200"/>
        <w:rPr>
          <w:rFonts w:ascii="宋体" w:hAnsi="宋体" w:cs="宋体"/>
          <w:color w:val="auto"/>
          <w:sz w:val="24"/>
        </w:rPr>
      </w:pPr>
      <w:r>
        <w:rPr>
          <w:rFonts w:hint="eastAsia" w:ascii="宋体" w:hAnsi="宋体" w:cs="宋体"/>
          <w:color w:val="auto"/>
          <w:sz w:val="24"/>
        </w:rPr>
        <w:t>（6）项目管理机构；</w:t>
      </w:r>
    </w:p>
    <w:p>
      <w:pPr>
        <w:spacing w:line="440" w:lineRule="exact"/>
        <w:ind w:firstLine="480" w:firstLineChars="200"/>
        <w:rPr>
          <w:rFonts w:ascii="宋体" w:hAnsi="宋体" w:cs="宋体"/>
          <w:color w:val="auto"/>
          <w:sz w:val="24"/>
        </w:rPr>
      </w:pPr>
      <w:r>
        <w:rPr>
          <w:rFonts w:hint="eastAsia" w:ascii="宋体" w:hAnsi="宋体" w:cs="宋体"/>
          <w:color w:val="auto"/>
          <w:sz w:val="24"/>
        </w:rPr>
        <w:t>（7）资格审查资料；</w:t>
      </w:r>
    </w:p>
    <w:p>
      <w:pPr>
        <w:spacing w:line="440" w:lineRule="exact"/>
        <w:ind w:firstLine="480" w:firstLineChars="200"/>
        <w:rPr>
          <w:rFonts w:ascii="宋体" w:hAnsi="宋体" w:cs="宋体"/>
          <w:color w:val="auto"/>
          <w:sz w:val="24"/>
        </w:rPr>
      </w:pPr>
      <w:r>
        <w:rPr>
          <w:rFonts w:hint="eastAsia" w:ascii="宋体" w:hAnsi="宋体" w:cs="宋体"/>
          <w:color w:val="auto"/>
          <w:sz w:val="24"/>
        </w:rPr>
        <w:t>（8）其他材料。</w:t>
      </w:r>
    </w:p>
    <w:p>
      <w:pPr>
        <w:pStyle w:val="2"/>
        <w:spacing w:before="0" w:after="0" w:line="440" w:lineRule="exact"/>
        <w:rPr>
          <w:rFonts w:ascii="宋体" w:hAnsi="宋体" w:cs="宋体"/>
          <w:color w:val="auto"/>
          <w:sz w:val="24"/>
          <w:szCs w:val="24"/>
        </w:rPr>
      </w:pPr>
      <w:bookmarkStart w:id="174" w:name="_Toc179632566"/>
      <w:bookmarkStart w:id="175" w:name="_Toc152042324"/>
      <w:bookmarkStart w:id="176" w:name="_Toc12032"/>
      <w:bookmarkStart w:id="177" w:name="_Toc247085707"/>
      <w:bookmarkStart w:id="178" w:name="_Toc246996936"/>
      <w:bookmarkStart w:id="179" w:name="_Toc425177137"/>
      <w:bookmarkStart w:id="180" w:name="_Toc144974516"/>
      <w:bookmarkStart w:id="181" w:name="_Toc152045548"/>
      <w:bookmarkStart w:id="182" w:name="_Toc246996193"/>
      <w:r>
        <w:rPr>
          <w:rFonts w:hint="eastAsia" w:ascii="宋体" w:hAnsi="宋体" w:cs="宋体"/>
          <w:color w:val="auto"/>
          <w:sz w:val="24"/>
          <w:szCs w:val="24"/>
        </w:rPr>
        <w:t>3.2 投标报价</w:t>
      </w:r>
      <w:bookmarkEnd w:id="174"/>
      <w:bookmarkEnd w:id="175"/>
      <w:bookmarkEnd w:id="176"/>
      <w:bookmarkEnd w:id="177"/>
      <w:bookmarkEnd w:id="178"/>
      <w:bookmarkEnd w:id="179"/>
      <w:bookmarkEnd w:id="180"/>
      <w:bookmarkEnd w:id="181"/>
      <w:bookmarkEnd w:id="182"/>
    </w:p>
    <w:p>
      <w:pPr>
        <w:spacing w:line="440" w:lineRule="exact"/>
        <w:ind w:firstLine="480" w:firstLineChars="200"/>
        <w:rPr>
          <w:rFonts w:ascii="宋体" w:hAnsi="宋体" w:cs="宋体"/>
          <w:color w:val="auto"/>
          <w:sz w:val="24"/>
        </w:rPr>
      </w:pPr>
      <w:bookmarkStart w:id="183" w:name="_Toc152045549"/>
      <w:bookmarkStart w:id="184" w:name="_Toc152042325"/>
      <w:bookmarkStart w:id="185" w:name="_Toc179632567"/>
      <w:bookmarkStart w:id="186" w:name="_Toc144974517"/>
      <w:r>
        <w:rPr>
          <w:rFonts w:hint="eastAsia" w:ascii="宋体" w:hAnsi="宋体" w:cs="宋体"/>
          <w:color w:val="auto"/>
          <w:sz w:val="24"/>
        </w:rPr>
        <w:t>采购人设有最高投标限价的，供应商的投标报价不得超过最高投标限价，最高投标限价或其计算方法在供应商须知前附表中载明。</w:t>
      </w:r>
    </w:p>
    <w:p>
      <w:pPr>
        <w:pStyle w:val="2"/>
        <w:spacing w:before="0" w:after="0" w:line="440" w:lineRule="exact"/>
        <w:rPr>
          <w:rFonts w:ascii="宋体" w:hAnsi="宋体" w:cs="宋体"/>
          <w:color w:val="auto"/>
          <w:sz w:val="24"/>
          <w:szCs w:val="24"/>
        </w:rPr>
      </w:pPr>
      <w:bookmarkStart w:id="187" w:name="_Toc246996937"/>
      <w:bookmarkStart w:id="188" w:name="_Toc247085708"/>
      <w:bookmarkStart w:id="189" w:name="_Toc425177138"/>
      <w:bookmarkStart w:id="190" w:name="_Toc246996194"/>
      <w:bookmarkStart w:id="191" w:name="_Toc2978"/>
      <w:r>
        <w:rPr>
          <w:rFonts w:hint="eastAsia" w:ascii="宋体" w:hAnsi="宋体" w:cs="宋体"/>
          <w:color w:val="auto"/>
          <w:sz w:val="24"/>
          <w:szCs w:val="24"/>
        </w:rPr>
        <w:t>3.3 投标有效期</w:t>
      </w:r>
      <w:bookmarkEnd w:id="183"/>
      <w:bookmarkEnd w:id="184"/>
      <w:bookmarkEnd w:id="185"/>
      <w:bookmarkEnd w:id="186"/>
      <w:bookmarkEnd w:id="187"/>
      <w:bookmarkEnd w:id="188"/>
      <w:bookmarkEnd w:id="189"/>
      <w:bookmarkEnd w:id="190"/>
      <w:bookmarkEnd w:id="191"/>
    </w:p>
    <w:p>
      <w:pPr>
        <w:spacing w:line="440" w:lineRule="exact"/>
        <w:ind w:firstLine="480" w:firstLineChars="200"/>
        <w:rPr>
          <w:rFonts w:ascii="宋体" w:hAnsi="宋体" w:cs="宋体"/>
          <w:color w:val="auto"/>
          <w:sz w:val="24"/>
        </w:rPr>
      </w:pPr>
      <w:r>
        <w:rPr>
          <w:rFonts w:hint="eastAsia" w:ascii="宋体" w:hAnsi="宋体" w:cs="宋体"/>
          <w:color w:val="auto"/>
          <w:sz w:val="24"/>
        </w:rPr>
        <w:t>3.3.1 除供应商须知前附表另有规定外，投标有效期为90日历天（从投标截止之日算起）。</w:t>
      </w:r>
    </w:p>
    <w:p>
      <w:pPr>
        <w:spacing w:line="440" w:lineRule="exact"/>
        <w:ind w:firstLine="480" w:firstLineChars="200"/>
        <w:rPr>
          <w:rFonts w:ascii="宋体" w:hAnsi="宋体" w:cs="宋体"/>
          <w:color w:val="auto"/>
          <w:sz w:val="24"/>
        </w:rPr>
      </w:pPr>
      <w:r>
        <w:rPr>
          <w:rFonts w:hint="eastAsia" w:ascii="宋体" w:hAnsi="宋体" w:cs="宋体"/>
          <w:color w:val="auto"/>
          <w:sz w:val="24"/>
        </w:rPr>
        <w:t>3.3.2在投标有效期内，供应商撤销或修改其磋商响应文件的，应承担磋商文件和法律规定的责任。</w:t>
      </w:r>
    </w:p>
    <w:p>
      <w:pPr>
        <w:spacing w:line="440" w:lineRule="exact"/>
        <w:ind w:firstLine="480" w:firstLineChars="200"/>
        <w:rPr>
          <w:rFonts w:ascii="宋体" w:hAnsi="宋体" w:cs="宋体"/>
          <w:color w:val="auto"/>
          <w:sz w:val="24"/>
        </w:rPr>
      </w:pPr>
      <w:r>
        <w:rPr>
          <w:rFonts w:hint="eastAsia" w:ascii="宋体" w:hAnsi="宋体" w:cs="宋体"/>
          <w:color w:val="auto"/>
          <w:sz w:val="24"/>
        </w:rPr>
        <w:t>3.3.3出现特殊情况需要延长投标有效期的，采购人以书面形式通知所有供应商延长投标有效期。供应商同意延长的，应相应延长其磋商保证金的有效期，但不得要求或被允许修改或撤销其磋商响应文件；供应商拒绝延长的，其投标失效，但供应商有权收回其磋商保证金。</w:t>
      </w:r>
    </w:p>
    <w:p>
      <w:pPr>
        <w:pStyle w:val="2"/>
        <w:spacing w:before="0" w:after="0" w:line="440" w:lineRule="exact"/>
        <w:rPr>
          <w:rFonts w:ascii="宋体" w:hAnsi="宋体" w:cs="宋体"/>
          <w:color w:val="auto"/>
          <w:sz w:val="24"/>
          <w:szCs w:val="24"/>
        </w:rPr>
      </w:pPr>
      <w:bookmarkStart w:id="192" w:name="_Toc144974518"/>
      <w:bookmarkStart w:id="193" w:name="_Toc247085709"/>
      <w:bookmarkStart w:id="194" w:name="_Toc246996938"/>
      <w:bookmarkStart w:id="195" w:name="_Toc246996195"/>
      <w:bookmarkStart w:id="196" w:name="_Toc179632568"/>
      <w:bookmarkStart w:id="197" w:name="_Toc152045550"/>
      <w:bookmarkStart w:id="198" w:name="_Toc425177139"/>
      <w:bookmarkStart w:id="199" w:name="_Toc152042326"/>
      <w:bookmarkStart w:id="200" w:name="_Toc30847"/>
      <w:r>
        <w:rPr>
          <w:rFonts w:hint="eastAsia" w:ascii="宋体" w:hAnsi="宋体" w:cs="宋体"/>
          <w:color w:val="auto"/>
          <w:sz w:val="24"/>
          <w:szCs w:val="24"/>
        </w:rPr>
        <w:t xml:space="preserve">3.4 </w:t>
      </w:r>
      <w:bookmarkEnd w:id="192"/>
      <w:bookmarkEnd w:id="193"/>
      <w:bookmarkEnd w:id="194"/>
      <w:bookmarkEnd w:id="195"/>
      <w:bookmarkEnd w:id="196"/>
      <w:bookmarkEnd w:id="197"/>
      <w:bookmarkEnd w:id="198"/>
      <w:bookmarkEnd w:id="199"/>
      <w:r>
        <w:rPr>
          <w:rFonts w:hint="eastAsia" w:ascii="宋体" w:hAnsi="宋体" w:cs="宋体"/>
          <w:color w:val="auto"/>
          <w:sz w:val="24"/>
          <w:szCs w:val="24"/>
        </w:rPr>
        <w:t>磋商保证金</w:t>
      </w:r>
      <w:bookmarkEnd w:id="200"/>
    </w:p>
    <w:p>
      <w:pPr>
        <w:spacing w:line="440" w:lineRule="exact"/>
        <w:ind w:firstLine="480" w:firstLineChars="200"/>
        <w:rPr>
          <w:rFonts w:ascii="宋体" w:hAnsi="宋体" w:cs="宋体"/>
          <w:color w:val="auto"/>
          <w:sz w:val="24"/>
        </w:rPr>
      </w:pPr>
      <w:r>
        <w:rPr>
          <w:rFonts w:hint="eastAsia" w:ascii="宋体" w:hAnsi="宋体" w:cs="宋体"/>
          <w:color w:val="auto"/>
          <w:sz w:val="24"/>
        </w:rPr>
        <w:t>3.4.1 供应商须知前附表规定递交磋商保证金的，供应商在递交磋商响应文件的同时，应按供应商须知前附表规定的金额、担保形式和第八章“磋商响应文件格式”规定的或者事先经过采购人认可的磋商保证金格式递交磋商保证金，并作为其磋商响应文件的组成部分。</w:t>
      </w:r>
    </w:p>
    <w:p>
      <w:pPr>
        <w:spacing w:line="440" w:lineRule="exact"/>
        <w:ind w:firstLine="480" w:firstLineChars="200"/>
        <w:rPr>
          <w:rFonts w:ascii="宋体" w:hAnsi="宋体" w:cs="宋体"/>
          <w:color w:val="auto"/>
          <w:sz w:val="24"/>
        </w:rPr>
      </w:pPr>
      <w:r>
        <w:rPr>
          <w:rFonts w:hint="eastAsia" w:ascii="宋体" w:hAnsi="宋体" w:cs="宋体"/>
          <w:color w:val="auto"/>
          <w:sz w:val="24"/>
        </w:rPr>
        <w:t>3.4.2 供应商不按本章第3.4.1项要求提交磋商保证金的，评标委员会将否决其投标。</w:t>
      </w:r>
    </w:p>
    <w:p>
      <w:pPr>
        <w:spacing w:line="440" w:lineRule="exact"/>
        <w:ind w:firstLine="480" w:firstLineChars="200"/>
        <w:rPr>
          <w:rFonts w:ascii="宋体" w:hAnsi="宋体" w:cs="宋体"/>
          <w:color w:val="auto"/>
          <w:sz w:val="24"/>
        </w:rPr>
      </w:pPr>
      <w:r>
        <w:rPr>
          <w:rFonts w:hint="eastAsia" w:ascii="宋体" w:hAnsi="宋体" w:cs="宋体"/>
          <w:color w:val="auto"/>
          <w:sz w:val="24"/>
        </w:rPr>
        <w:t>3.4.3 采购人与成交供应商签订合同后5日内，向未中标的供应商和成交供应商退还磋商保证金及同期银行存款利息。</w:t>
      </w:r>
    </w:p>
    <w:p>
      <w:pPr>
        <w:spacing w:line="440" w:lineRule="exact"/>
        <w:ind w:firstLine="480" w:firstLineChars="200"/>
        <w:rPr>
          <w:rFonts w:ascii="宋体" w:hAnsi="宋体" w:cs="宋体"/>
          <w:color w:val="auto"/>
          <w:sz w:val="24"/>
        </w:rPr>
      </w:pPr>
      <w:r>
        <w:rPr>
          <w:rFonts w:hint="eastAsia" w:ascii="宋体" w:hAnsi="宋体" w:cs="宋体"/>
          <w:color w:val="auto"/>
          <w:sz w:val="24"/>
        </w:rPr>
        <w:t xml:space="preserve">3.4.4 有下列情形之一的，磋商保证金将不予退还： </w:t>
      </w:r>
    </w:p>
    <w:p>
      <w:pPr>
        <w:spacing w:line="440" w:lineRule="exact"/>
        <w:ind w:firstLine="480" w:firstLineChars="200"/>
        <w:rPr>
          <w:rFonts w:ascii="宋体" w:hAnsi="宋体" w:cs="宋体"/>
          <w:color w:val="auto"/>
          <w:sz w:val="24"/>
        </w:rPr>
      </w:pPr>
      <w:r>
        <w:rPr>
          <w:rFonts w:hint="eastAsia" w:ascii="宋体" w:hAnsi="宋体" w:cs="宋体"/>
          <w:color w:val="auto"/>
          <w:sz w:val="24"/>
        </w:rPr>
        <w:t>（1）供应商在规定的投标有效期内撤销或修改其磋商响应文件；</w:t>
      </w:r>
    </w:p>
    <w:p>
      <w:pPr>
        <w:spacing w:line="440" w:lineRule="exact"/>
        <w:ind w:firstLine="480" w:firstLineChars="200"/>
        <w:rPr>
          <w:rFonts w:ascii="宋体" w:hAnsi="宋体" w:cs="宋体"/>
          <w:color w:val="auto"/>
          <w:sz w:val="24"/>
        </w:rPr>
      </w:pPr>
      <w:r>
        <w:rPr>
          <w:rFonts w:hint="eastAsia" w:ascii="宋体" w:hAnsi="宋体" w:cs="宋体"/>
          <w:color w:val="auto"/>
          <w:sz w:val="24"/>
        </w:rPr>
        <w:t>（2）成交供应商在收到成交通知书后，无正当理由拒签合同协议书或未按磋商文件规定提交履约担保。</w:t>
      </w:r>
    </w:p>
    <w:p>
      <w:pPr>
        <w:pStyle w:val="2"/>
        <w:spacing w:before="0" w:after="0" w:line="440" w:lineRule="exact"/>
        <w:rPr>
          <w:rFonts w:ascii="宋体" w:hAnsi="宋体" w:cs="宋体"/>
          <w:color w:val="auto"/>
          <w:sz w:val="24"/>
          <w:szCs w:val="24"/>
        </w:rPr>
      </w:pPr>
      <w:bookmarkStart w:id="201" w:name="_Toc152042328"/>
      <w:bookmarkStart w:id="202" w:name="_Toc247085710"/>
      <w:bookmarkStart w:id="203" w:name="_Toc425177140"/>
      <w:bookmarkStart w:id="204" w:name="_Toc246996939"/>
      <w:bookmarkStart w:id="205" w:name="_Toc179632570"/>
      <w:bookmarkStart w:id="206" w:name="_Toc31440"/>
      <w:bookmarkStart w:id="207" w:name="_Toc144974520"/>
      <w:bookmarkStart w:id="208" w:name="_Toc246996196"/>
      <w:bookmarkStart w:id="209" w:name="_Toc152045552"/>
      <w:r>
        <w:rPr>
          <w:rFonts w:hint="eastAsia" w:ascii="宋体" w:hAnsi="宋体" w:cs="宋体"/>
          <w:color w:val="auto"/>
          <w:sz w:val="24"/>
          <w:szCs w:val="24"/>
        </w:rPr>
        <w:t>3.5 资格审查资料</w:t>
      </w:r>
      <w:bookmarkEnd w:id="201"/>
      <w:bookmarkEnd w:id="202"/>
      <w:bookmarkEnd w:id="203"/>
      <w:bookmarkEnd w:id="204"/>
      <w:bookmarkEnd w:id="205"/>
      <w:bookmarkEnd w:id="206"/>
      <w:bookmarkEnd w:id="207"/>
      <w:bookmarkEnd w:id="208"/>
      <w:bookmarkEnd w:id="209"/>
    </w:p>
    <w:p>
      <w:pPr>
        <w:spacing w:line="440" w:lineRule="exact"/>
        <w:ind w:firstLine="480" w:firstLineChars="200"/>
        <w:rPr>
          <w:rFonts w:ascii="宋体" w:hAnsi="宋体" w:cs="宋体"/>
          <w:color w:val="auto"/>
          <w:sz w:val="24"/>
        </w:rPr>
      </w:pPr>
      <w:r>
        <w:rPr>
          <w:rFonts w:hint="eastAsia" w:ascii="宋体" w:hAnsi="宋体" w:cs="宋体"/>
          <w:color w:val="auto"/>
          <w:sz w:val="24"/>
        </w:rPr>
        <w:t>3.5.1 “供应商基本情况表”应附供应商营业执照副本及其年检合格的证明材料、资质证书副本等材料的复印件。</w:t>
      </w:r>
    </w:p>
    <w:p>
      <w:pPr>
        <w:spacing w:line="440" w:lineRule="exact"/>
        <w:ind w:firstLine="480" w:firstLineChars="200"/>
        <w:rPr>
          <w:rFonts w:ascii="宋体" w:hAnsi="宋体" w:cs="宋体"/>
          <w:color w:val="auto"/>
          <w:sz w:val="24"/>
        </w:rPr>
      </w:pPr>
      <w:r>
        <w:rPr>
          <w:rFonts w:hint="eastAsia" w:ascii="宋体" w:hAnsi="宋体" w:cs="宋体"/>
          <w:color w:val="auto"/>
          <w:sz w:val="24"/>
        </w:rPr>
        <w:t>3.5.2 “近年财务状况表”应附财务会计报表，具体年份要求见供应商须知前附表。</w:t>
      </w:r>
    </w:p>
    <w:p>
      <w:pPr>
        <w:spacing w:line="440" w:lineRule="exact"/>
        <w:ind w:firstLine="480" w:firstLineChars="200"/>
        <w:rPr>
          <w:rFonts w:ascii="宋体" w:hAnsi="宋体" w:cs="宋体"/>
          <w:color w:val="auto"/>
          <w:sz w:val="24"/>
        </w:rPr>
      </w:pPr>
      <w:r>
        <w:rPr>
          <w:rFonts w:hint="eastAsia" w:ascii="宋体" w:hAnsi="宋体" w:cs="宋体"/>
          <w:color w:val="auto"/>
          <w:sz w:val="24"/>
        </w:rPr>
        <w:t>3.5.3 “近年完成的类似项目情况表”应附同协议书复印件，具体年份要求见供应商须知前附表。每张表格只填写一个项目，并标明序号。</w:t>
      </w:r>
    </w:p>
    <w:p>
      <w:pPr>
        <w:spacing w:line="440" w:lineRule="exact"/>
        <w:ind w:firstLine="480" w:firstLineChars="200"/>
        <w:rPr>
          <w:rFonts w:ascii="宋体" w:hAnsi="宋体" w:cs="宋体"/>
          <w:color w:val="auto"/>
          <w:sz w:val="24"/>
        </w:rPr>
      </w:pPr>
      <w:r>
        <w:rPr>
          <w:rFonts w:hint="eastAsia" w:ascii="宋体" w:hAnsi="宋体" w:cs="宋体"/>
          <w:color w:val="auto"/>
          <w:sz w:val="24"/>
        </w:rPr>
        <w:t>3.5.4 “正在施工和新承接的项目情况表”应附合同协议书复印件。每张表格只填写一个项目，并标明序号。</w:t>
      </w:r>
    </w:p>
    <w:p>
      <w:pPr>
        <w:spacing w:line="440" w:lineRule="exact"/>
        <w:ind w:firstLine="480" w:firstLineChars="200"/>
        <w:rPr>
          <w:rFonts w:ascii="宋体" w:hAnsi="宋体" w:cs="宋体"/>
          <w:color w:val="auto"/>
          <w:sz w:val="24"/>
        </w:rPr>
      </w:pPr>
      <w:r>
        <w:rPr>
          <w:rFonts w:hint="eastAsia" w:ascii="宋体" w:hAnsi="宋体" w:cs="宋体"/>
          <w:color w:val="auto"/>
          <w:sz w:val="24"/>
        </w:rPr>
        <w:t>3.5.5 “近年发生的诉讼及仲裁情况”应说明相关情况，具体年份要求见供应商须知前附表。</w:t>
      </w:r>
    </w:p>
    <w:p>
      <w:pPr>
        <w:pStyle w:val="2"/>
        <w:spacing w:before="0" w:after="0" w:line="440" w:lineRule="exact"/>
        <w:rPr>
          <w:rFonts w:ascii="宋体" w:hAnsi="宋体" w:cs="宋体"/>
          <w:color w:val="auto"/>
          <w:sz w:val="24"/>
          <w:szCs w:val="24"/>
        </w:rPr>
      </w:pPr>
      <w:bookmarkStart w:id="210" w:name="_Toc26003"/>
      <w:bookmarkStart w:id="211" w:name="_Toc425177141"/>
      <w:bookmarkStart w:id="212" w:name="_Toc144974521"/>
      <w:bookmarkStart w:id="213" w:name="_Toc152045553"/>
      <w:bookmarkStart w:id="214" w:name="_Toc179632571"/>
      <w:bookmarkStart w:id="215" w:name="_Toc152042329"/>
      <w:bookmarkStart w:id="216" w:name="_Toc247085711"/>
      <w:bookmarkStart w:id="217" w:name="_Toc246996940"/>
      <w:bookmarkStart w:id="218" w:name="_Toc246996197"/>
      <w:r>
        <w:rPr>
          <w:rFonts w:hint="eastAsia" w:ascii="宋体" w:hAnsi="宋体" w:cs="宋体"/>
          <w:color w:val="auto"/>
          <w:sz w:val="24"/>
          <w:szCs w:val="24"/>
        </w:rPr>
        <w:t>3.6磋商响应文件的编制</w:t>
      </w:r>
      <w:bookmarkEnd w:id="210"/>
      <w:bookmarkEnd w:id="211"/>
    </w:p>
    <w:p>
      <w:pPr>
        <w:spacing w:line="440" w:lineRule="exact"/>
        <w:ind w:firstLine="480" w:firstLineChars="200"/>
        <w:rPr>
          <w:rFonts w:ascii="宋体" w:hAnsi="宋体" w:cs="宋体"/>
          <w:color w:val="auto"/>
          <w:sz w:val="24"/>
        </w:rPr>
      </w:pPr>
      <w:r>
        <w:rPr>
          <w:rFonts w:hint="eastAsia" w:ascii="宋体" w:hAnsi="宋体" w:cs="宋体"/>
          <w:color w:val="auto"/>
          <w:sz w:val="24"/>
        </w:rPr>
        <w:t>3.6.1磋商响应文件应按第八章“磋商响应文件格式”进行编写，如有必要，可以增加附页，作为磋商响应文件的组成部分。其中，投标函附录在满足磋商文件实质性要求的基础上，可以提出比磋商文件要求更有利于采购人的承诺。</w:t>
      </w:r>
    </w:p>
    <w:p>
      <w:pPr>
        <w:spacing w:line="440" w:lineRule="exact"/>
        <w:ind w:firstLine="480" w:firstLineChars="200"/>
        <w:rPr>
          <w:rFonts w:ascii="宋体" w:hAnsi="宋体" w:cs="宋体"/>
          <w:color w:val="auto"/>
          <w:sz w:val="24"/>
        </w:rPr>
      </w:pPr>
      <w:r>
        <w:rPr>
          <w:rFonts w:hint="eastAsia" w:ascii="宋体" w:hAnsi="宋体" w:cs="宋体"/>
          <w:color w:val="auto"/>
          <w:sz w:val="24"/>
        </w:rPr>
        <w:t>3.6.2 磋商响应文件应当对磋商文件有关工期、投标有效期、质量要求、技术标准和要求、招标范围等实质性内容作出响应。</w:t>
      </w:r>
    </w:p>
    <w:p>
      <w:pPr>
        <w:spacing w:line="440" w:lineRule="exact"/>
        <w:ind w:firstLine="480" w:firstLineChars="200"/>
        <w:rPr>
          <w:rFonts w:ascii="宋体" w:hAnsi="宋体" w:cs="宋体"/>
          <w:color w:val="auto"/>
          <w:sz w:val="24"/>
        </w:rPr>
      </w:pPr>
      <w:r>
        <w:rPr>
          <w:rFonts w:hint="eastAsia" w:ascii="宋体" w:hAnsi="宋体" w:cs="宋体"/>
          <w:color w:val="auto"/>
          <w:sz w:val="24"/>
        </w:rPr>
        <w:t>3.6.3磋商响应文件应用不褪色的材料书写或打印，并由投标人的法定代表人或其委托代理人签字或盖单位章。委托代理人签字的，磋商响应文件应附法定代表人签署的授权委托书。磋商响应文件应尽量避免涂改、行间插字或删除。如果出现上述情况，改动之处应加盖单位章或由投标人的法定代表人或其授权的代理人签字确认。投标文件需加盖骑缝章（单位公章） 。</w:t>
      </w:r>
    </w:p>
    <w:p>
      <w:pPr>
        <w:spacing w:line="440" w:lineRule="exact"/>
        <w:ind w:firstLine="480" w:firstLineChars="200"/>
        <w:rPr>
          <w:rFonts w:ascii="宋体" w:hAnsi="宋体" w:cs="宋体"/>
          <w:color w:val="auto"/>
          <w:sz w:val="24"/>
        </w:rPr>
      </w:pPr>
      <w:r>
        <w:rPr>
          <w:rFonts w:hint="eastAsia" w:ascii="宋体" w:hAnsi="宋体" w:cs="宋体"/>
          <w:color w:val="auto"/>
          <w:sz w:val="24"/>
        </w:rPr>
        <w:t>3.6.4 磋商响应文件正本一份， 副本份数见供应商须知前附表。正本和副本的封面上应清楚地标记“正本”或“副本”的字样。当副本和正本不一致时，以正本为准</w:t>
      </w:r>
      <w:r>
        <w:rPr>
          <w:rFonts w:hint="eastAsia" w:ascii="宋体" w:hAnsi="宋体" w:cs="宋体"/>
          <w:color w:val="auto"/>
          <w:sz w:val="24"/>
          <w:lang w:eastAsia="zh-CN"/>
        </w:rPr>
        <w:t>，</w:t>
      </w:r>
      <w:r>
        <w:rPr>
          <w:rFonts w:hint="eastAsia" w:ascii="宋体" w:hAnsi="宋体" w:cs="宋体"/>
          <w:color w:val="auto"/>
          <w:sz w:val="24"/>
          <w:lang w:val="en-US" w:eastAsia="zh-CN"/>
        </w:rPr>
        <w:t>副本可以是正本的复印件</w:t>
      </w:r>
      <w:r>
        <w:rPr>
          <w:rFonts w:hint="eastAsia" w:ascii="宋体" w:hAnsi="宋体" w:cs="宋体"/>
          <w:color w:val="auto"/>
          <w:sz w:val="24"/>
        </w:rPr>
        <w:t>。</w:t>
      </w:r>
    </w:p>
    <w:p>
      <w:pPr>
        <w:spacing w:line="440" w:lineRule="exact"/>
        <w:ind w:firstLine="480" w:firstLineChars="200"/>
        <w:rPr>
          <w:rFonts w:ascii="宋体" w:hAnsi="宋体" w:cs="宋体"/>
          <w:color w:val="auto"/>
          <w:sz w:val="24"/>
        </w:rPr>
      </w:pPr>
      <w:r>
        <w:rPr>
          <w:rFonts w:hint="eastAsia" w:ascii="宋体" w:hAnsi="宋体" w:cs="宋体"/>
          <w:color w:val="auto"/>
          <w:sz w:val="24"/>
        </w:rPr>
        <w:t>3.6.5 磋商响应文件的正本与副本应分别装订成册，具体装订要求见供应商须知前附表规定。</w:t>
      </w:r>
      <w:bookmarkEnd w:id="212"/>
      <w:bookmarkEnd w:id="213"/>
      <w:bookmarkEnd w:id="214"/>
      <w:bookmarkEnd w:id="215"/>
      <w:bookmarkEnd w:id="216"/>
      <w:bookmarkEnd w:id="217"/>
      <w:bookmarkEnd w:id="218"/>
      <w:bookmarkStart w:id="219" w:name="_Toc152042331"/>
      <w:bookmarkStart w:id="220" w:name="_Toc179632573"/>
      <w:bookmarkStart w:id="221" w:name="_Toc247085713"/>
      <w:bookmarkStart w:id="222" w:name="_Toc144974523"/>
      <w:bookmarkStart w:id="223" w:name="_Toc152045555"/>
      <w:bookmarkStart w:id="224" w:name="_Toc246996199"/>
      <w:bookmarkStart w:id="225" w:name="_Toc246996942"/>
    </w:p>
    <w:p>
      <w:pPr>
        <w:pStyle w:val="4"/>
        <w:spacing w:before="0" w:after="0" w:line="440" w:lineRule="exact"/>
        <w:rPr>
          <w:rFonts w:ascii="宋体" w:hAnsi="宋体" w:eastAsia="宋体" w:cs="宋体"/>
          <w:color w:val="auto"/>
          <w:sz w:val="24"/>
          <w:szCs w:val="24"/>
        </w:rPr>
      </w:pPr>
      <w:bookmarkStart w:id="226" w:name="_Toc425177142"/>
      <w:bookmarkStart w:id="227" w:name="_Toc10965"/>
      <w:r>
        <w:rPr>
          <w:rFonts w:hint="eastAsia" w:ascii="宋体" w:hAnsi="宋体" w:eastAsia="宋体" w:cs="宋体"/>
          <w:color w:val="auto"/>
          <w:sz w:val="24"/>
          <w:szCs w:val="24"/>
        </w:rPr>
        <w:t>4. 投标</w:t>
      </w:r>
      <w:bookmarkEnd w:id="219"/>
      <w:bookmarkEnd w:id="220"/>
      <w:bookmarkEnd w:id="221"/>
      <w:bookmarkEnd w:id="222"/>
      <w:bookmarkEnd w:id="223"/>
      <w:bookmarkEnd w:id="224"/>
      <w:bookmarkEnd w:id="225"/>
      <w:bookmarkEnd w:id="226"/>
      <w:bookmarkEnd w:id="227"/>
    </w:p>
    <w:p>
      <w:pPr>
        <w:pStyle w:val="2"/>
        <w:spacing w:before="0" w:after="0" w:line="440" w:lineRule="exact"/>
        <w:rPr>
          <w:rFonts w:ascii="宋体" w:hAnsi="宋体" w:cs="宋体"/>
          <w:color w:val="auto"/>
          <w:sz w:val="24"/>
          <w:szCs w:val="24"/>
        </w:rPr>
      </w:pPr>
      <w:bookmarkStart w:id="228" w:name="_Toc247085714"/>
      <w:bookmarkStart w:id="229" w:name="_Toc425177143"/>
      <w:bookmarkStart w:id="230" w:name="_Toc246996200"/>
      <w:bookmarkStart w:id="231" w:name="_Toc179632574"/>
      <w:bookmarkStart w:id="232" w:name="_Toc246996943"/>
      <w:bookmarkStart w:id="233" w:name="_Toc144974524"/>
      <w:bookmarkStart w:id="234" w:name="_Toc152042332"/>
      <w:bookmarkStart w:id="235" w:name="_Toc31325"/>
      <w:bookmarkStart w:id="236" w:name="_Toc152045556"/>
      <w:r>
        <w:rPr>
          <w:rFonts w:hint="eastAsia" w:ascii="宋体" w:hAnsi="宋体" w:cs="宋体"/>
          <w:color w:val="auto"/>
          <w:sz w:val="24"/>
          <w:szCs w:val="24"/>
        </w:rPr>
        <w:t>4.1 磋商响应文件的密封和标记</w:t>
      </w:r>
      <w:bookmarkEnd w:id="228"/>
      <w:bookmarkEnd w:id="229"/>
      <w:bookmarkEnd w:id="230"/>
      <w:bookmarkEnd w:id="231"/>
      <w:bookmarkEnd w:id="232"/>
      <w:bookmarkEnd w:id="233"/>
      <w:bookmarkEnd w:id="234"/>
      <w:bookmarkEnd w:id="235"/>
      <w:bookmarkEnd w:id="236"/>
    </w:p>
    <w:p>
      <w:pPr>
        <w:spacing w:line="440" w:lineRule="exact"/>
        <w:ind w:firstLine="480" w:firstLineChars="200"/>
        <w:rPr>
          <w:rFonts w:ascii="宋体" w:hAnsi="宋体" w:cs="宋体"/>
          <w:color w:val="auto"/>
          <w:sz w:val="24"/>
        </w:rPr>
      </w:pPr>
      <w:bookmarkStart w:id="237" w:name="_Toc144974525"/>
      <w:bookmarkStart w:id="238" w:name="_Toc152045557"/>
      <w:bookmarkStart w:id="239" w:name="_Toc246996944"/>
      <w:bookmarkStart w:id="240" w:name="_Toc179632575"/>
      <w:bookmarkStart w:id="241" w:name="_Toc246996201"/>
      <w:bookmarkStart w:id="242" w:name="_Toc152042333"/>
      <w:bookmarkStart w:id="243" w:name="_Toc247085715"/>
      <w:r>
        <w:rPr>
          <w:rFonts w:hint="eastAsia" w:ascii="宋体" w:hAnsi="宋体" w:cs="宋体"/>
          <w:color w:val="auto"/>
          <w:sz w:val="24"/>
        </w:rPr>
        <w:t xml:space="preserve">4.1.磋商响应文件正本和副本、电子版投标文件分别密封在专用袋（箱）中（正本一包，副本一包，投标文件电子版一个包），并在专用袋（箱）上标明“正本”、“副本”、“投标文件电子版”字样，封口处应加盖公司章。开标时由投标代表和监标人共同检查，未按要求签署和密封，视为不合格投标，投标文件将被拒绝接受。 </w:t>
      </w:r>
    </w:p>
    <w:p>
      <w:pPr>
        <w:spacing w:line="440" w:lineRule="exact"/>
        <w:ind w:firstLine="480" w:firstLineChars="200"/>
        <w:rPr>
          <w:rFonts w:ascii="宋体" w:hAnsi="宋体" w:cs="宋体"/>
          <w:color w:val="auto"/>
          <w:sz w:val="24"/>
        </w:rPr>
      </w:pPr>
      <w:r>
        <w:rPr>
          <w:rFonts w:hint="eastAsia" w:ascii="宋体" w:hAnsi="宋体" w:cs="宋体"/>
          <w:color w:val="auto"/>
          <w:sz w:val="24"/>
        </w:rPr>
        <w:t>电子投标文件须提供加盖公章及签字的PDF格式，提交的PDF格式和纸制的投标文件一致。</w:t>
      </w:r>
    </w:p>
    <w:p>
      <w:pPr>
        <w:spacing w:line="440" w:lineRule="exact"/>
        <w:ind w:firstLine="480" w:firstLineChars="200"/>
        <w:rPr>
          <w:rFonts w:ascii="宋体" w:hAnsi="宋体" w:cs="宋体"/>
          <w:color w:val="auto"/>
          <w:sz w:val="24"/>
        </w:rPr>
      </w:pPr>
      <w:r>
        <w:rPr>
          <w:rFonts w:hint="eastAsia" w:ascii="宋体" w:hAnsi="宋体" w:cs="宋体"/>
          <w:color w:val="auto"/>
          <w:sz w:val="24"/>
        </w:rPr>
        <w:t>4.1.2 投标文件封套上应写明的内容见投标人须知前附表。</w:t>
      </w:r>
    </w:p>
    <w:p>
      <w:pPr>
        <w:spacing w:line="440" w:lineRule="exact"/>
        <w:ind w:firstLine="480" w:firstLineChars="200"/>
        <w:rPr>
          <w:rFonts w:ascii="宋体" w:hAnsi="宋体" w:cs="宋体"/>
          <w:color w:val="auto"/>
          <w:sz w:val="24"/>
        </w:rPr>
      </w:pPr>
      <w:r>
        <w:rPr>
          <w:rFonts w:hint="eastAsia" w:ascii="宋体" w:hAnsi="宋体" w:cs="宋体"/>
          <w:color w:val="auto"/>
          <w:sz w:val="24"/>
        </w:rPr>
        <w:t>4.1.3 未按本章第4.1.1项或第4.1.2项要求密封和加写标记的投标文件，采购人应予拒收。</w:t>
      </w:r>
    </w:p>
    <w:p>
      <w:pPr>
        <w:pStyle w:val="2"/>
        <w:spacing w:before="0" w:after="0" w:line="440" w:lineRule="exact"/>
        <w:rPr>
          <w:rFonts w:ascii="宋体" w:hAnsi="宋体" w:cs="宋体"/>
          <w:color w:val="auto"/>
          <w:sz w:val="24"/>
          <w:szCs w:val="24"/>
        </w:rPr>
      </w:pPr>
      <w:bookmarkStart w:id="244" w:name="_Toc425177144"/>
      <w:bookmarkStart w:id="245" w:name="_Toc24074"/>
      <w:r>
        <w:rPr>
          <w:rFonts w:hint="eastAsia" w:ascii="宋体" w:hAnsi="宋体" w:cs="宋体"/>
          <w:color w:val="auto"/>
          <w:sz w:val="24"/>
          <w:szCs w:val="24"/>
        </w:rPr>
        <w:t>4.2 磋商响应文件的递交</w:t>
      </w:r>
      <w:bookmarkEnd w:id="237"/>
      <w:bookmarkEnd w:id="238"/>
      <w:bookmarkEnd w:id="239"/>
      <w:bookmarkEnd w:id="240"/>
      <w:bookmarkEnd w:id="241"/>
      <w:bookmarkEnd w:id="242"/>
      <w:bookmarkEnd w:id="243"/>
      <w:bookmarkEnd w:id="244"/>
      <w:bookmarkEnd w:id="245"/>
    </w:p>
    <w:p>
      <w:pPr>
        <w:spacing w:line="440" w:lineRule="exact"/>
        <w:ind w:firstLine="480" w:firstLineChars="200"/>
        <w:rPr>
          <w:rFonts w:ascii="宋体" w:hAnsi="宋体" w:cs="宋体"/>
          <w:color w:val="auto"/>
          <w:sz w:val="24"/>
        </w:rPr>
      </w:pPr>
      <w:r>
        <w:rPr>
          <w:rFonts w:hint="eastAsia" w:ascii="宋体" w:hAnsi="宋体" w:cs="宋体"/>
          <w:color w:val="auto"/>
          <w:sz w:val="24"/>
        </w:rPr>
        <w:t>4.2.1 供应商应在本章第2.2.2项规定的投标截止时间前递交磋商响应文件。</w:t>
      </w:r>
    </w:p>
    <w:p>
      <w:pPr>
        <w:spacing w:line="440" w:lineRule="exact"/>
        <w:ind w:firstLine="480" w:firstLineChars="200"/>
        <w:rPr>
          <w:rFonts w:ascii="宋体" w:hAnsi="宋体" w:cs="宋体"/>
          <w:color w:val="auto"/>
          <w:sz w:val="24"/>
        </w:rPr>
      </w:pPr>
      <w:r>
        <w:rPr>
          <w:rFonts w:hint="eastAsia" w:ascii="宋体" w:hAnsi="宋体" w:cs="宋体"/>
          <w:color w:val="auto"/>
          <w:sz w:val="24"/>
        </w:rPr>
        <w:t>4.2.2 供应商递交磋商响应文件的地点：见供应商须知前附表。</w:t>
      </w:r>
    </w:p>
    <w:p>
      <w:pPr>
        <w:spacing w:line="440" w:lineRule="exact"/>
        <w:ind w:firstLine="480" w:firstLineChars="200"/>
        <w:rPr>
          <w:rFonts w:ascii="宋体" w:hAnsi="宋体" w:cs="宋体"/>
          <w:color w:val="auto"/>
          <w:sz w:val="24"/>
        </w:rPr>
      </w:pPr>
      <w:r>
        <w:rPr>
          <w:rFonts w:hint="eastAsia" w:ascii="宋体" w:hAnsi="宋体" w:cs="宋体"/>
          <w:color w:val="auto"/>
          <w:sz w:val="24"/>
        </w:rPr>
        <w:t>4.2.3 除供应商须知前附表另有规定外，供应商所递交的磋商响应文件不予退还。</w:t>
      </w:r>
    </w:p>
    <w:p>
      <w:pPr>
        <w:spacing w:line="440" w:lineRule="exact"/>
        <w:ind w:firstLine="480" w:firstLineChars="200"/>
        <w:rPr>
          <w:rFonts w:ascii="宋体" w:hAnsi="宋体" w:cs="宋体"/>
          <w:color w:val="auto"/>
          <w:sz w:val="24"/>
        </w:rPr>
      </w:pPr>
      <w:r>
        <w:rPr>
          <w:rFonts w:hint="eastAsia" w:ascii="宋体" w:hAnsi="宋体" w:cs="宋体"/>
          <w:color w:val="auto"/>
          <w:sz w:val="24"/>
        </w:rPr>
        <w:t>4.2.4 采购人收到磋商响应文件后，向供应商出具签收凭证。</w:t>
      </w:r>
    </w:p>
    <w:p>
      <w:pPr>
        <w:spacing w:line="440" w:lineRule="exact"/>
        <w:ind w:firstLine="480" w:firstLineChars="200"/>
        <w:rPr>
          <w:rFonts w:ascii="宋体" w:hAnsi="宋体" w:cs="宋体"/>
          <w:color w:val="auto"/>
          <w:sz w:val="24"/>
        </w:rPr>
      </w:pPr>
      <w:r>
        <w:rPr>
          <w:rFonts w:hint="eastAsia" w:ascii="宋体" w:hAnsi="宋体" w:cs="宋体"/>
          <w:color w:val="auto"/>
          <w:sz w:val="24"/>
        </w:rPr>
        <w:t>4.2.5 逾期送达的或者未送达指定地点的磋商响应文件，采购人不予受理。</w:t>
      </w:r>
    </w:p>
    <w:p>
      <w:pPr>
        <w:pStyle w:val="2"/>
        <w:spacing w:before="0" w:after="0" w:line="440" w:lineRule="exact"/>
        <w:rPr>
          <w:rFonts w:ascii="宋体" w:hAnsi="宋体" w:cs="宋体"/>
          <w:color w:val="auto"/>
          <w:sz w:val="24"/>
          <w:szCs w:val="24"/>
        </w:rPr>
      </w:pPr>
      <w:bookmarkStart w:id="246" w:name="_Toc246996945"/>
      <w:bookmarkStart w:id="247" w:name="_Toc152045558"/>
      <w:bookmarkStart w:id="248" w:name="_Toc27557"/>
      <w:bookmarkStart w:id="249" w:name="_Toc425177145"/>
      <w:bookmarkStart w:id="250" w:name="_Toc179632576"/>
      <w:bookmarkStart w:id="251" w:name="_Toc247085716"/>
      <w:bookmarkStart w:id="252" w:name="_Toc144974526"/>
      <w:bookmarkStart w:id="253" w:name="_Toc152042334"/>
      <w:bookmarkStart w:id="254" w:name="_Toc246996202"/>
      <w:r>
        <w:rPr>
          <w:rFonts w:hint="eastAsia" w:ascii="宋体" w:hAnsi="宋体" w:cs="宋体"/>
          <w:color w:val="auto"/>
          <w:sz w:val="24"/>
          <w:szCs w:val="24"/>
        </w:rPr>
        <w:t>4.3 磋商响应文件的修改与撤回</w:t>
      </w:r>
      <w:bookmarkEnd w:id="246"/>
      <w:bookmarkEnd w:id="247"/>
      <w:bookmarkEnd w:id="248"/>
      <w:bookmarkEnd w:id="249"/>
      <w:bookmarkEnd w:id="250"/>
      <w:bookmarkEnd w:id="251"/>
      <w:bookmarkEnd w:id="252"/>
      <w:bookmarkEnd w:id="253"/>
      <w:bookmarkEnd w:id="254"/>
    </w:p>
    <w:p>
      <w:pPr>
        <w:spacing w:line="440" w:lineRule="exact"/>
        <w:ind w:firstLine="480" w:firstLineChars="200"/>
        <w:rPr>
          <w:rFonts w:ascii="宋体" w:hAnsi="宋体" w:cs="宋体"/>
          <w:color w:val="auto"/>
          <w:sz w:val="24"/>
        </w:rPr>
      </w:pPr>
      <w:r>
        <w:rPr>
          <w:rFonts w:hint="eastAsia" w:ascii="宋体" w:hAnsi="宋体" w:cs="宋体"/>
          <w:color w:val="auto"/>
          <w:sz w:val="24"/>
        </w:rPr>
        <w:t>4.3.1 在本章第2.2.2项规定的投标截止时间前，供应商可以修改或撤回已递交的磋商响应文件，但应以书面形式通知采购人。</w:t>
      </w:r>
    </w:p>
    <w:p>
      <w:pPr>
        <w:spacing w:line="440" w:lineRule="exact"/>
        <w:ind w:firstLine="480" w:firstLineChars="200"/>
        <w:rPr>
          <w:rFonts w:ascii="宋体" w:hAnsi="宋体" w:cs="宋体"/>
          <w:color w:val="auto"/>
          <w:sz w:val="24"/>
        </w:rPr>
      </w:pPr>
      <w:r>
        <w:rPr>
          <w:rFonts w:hint="eastAsia" w:ascii="宋体" w:hAnsi="宋体" w:cs="宋体"/>
          <w:color w:val="auto"/>
          <w:sz w:val="24"/>
        </w:rPr>
        <w:t>4.3.2 供应商修改或撤回已递交磋商响应文件的书面通知应按照本章第3.6.3项的要求签字或盖章。采购人收到书面通知后，向供应商出具签收凭证。</w:t>
      </w:r>
    </w:p>
    <w:p>
      <w:pPr>
        <w:spacing w:line="440" w:lineRule="exact"/>
        <w:ind w:firstLine="480" w:firstLineChars="200"/>
        <w:rPr>
          <w:rFonts w:ascii="宋体" w:hAnsi="宋体" w:cs="宋体"/>
          <w:color w:val="auto"/>
          <w:sz w:val="24"/>
        </w:rPr>
      </w:pPr>
      <w:r>
        <w:rPr>
          <w:rFonts w:hint="eastAsia" w:ascii="宋体" w:hAnsi="宋体" w:cs="宋体"/>
          <w:color w:val="auto"/>
          <w:sz w:val="24"/>
        </w:rPr>
        <w:t>4.3.3 供应商撤回磋商响应文件的，采购人自收到供应商书面撤回通知之日起5日内退还已收取的磋商保证金。</w:t>
      </w:r>
    </w:p>
    <w:p>
      <w:pPr>
        <w:spacing w:line="440" w:lineRule="exact"/>
        <w:ind w:firstLine="480" w:firstLineChars="200"/>
        <w:rPr>
          <w:rFonts w:ascii="宋体" w:hAnsi="宋体" w:cs="宋体"/>
          <w:color w:val="auto"/>
          <w:sz w:val="24"/>
        </w:rPr>
      </w:pPr>
      <w:r>
        <w:rPr>
          <w:rFonts w:hint="eastAsia" w:ascii="宋体" w:hAnsi="宋体" w:cs="宋体"/>
          <w:color w:val="auto"/>
          <w:sz w:val="24"/>
        </w:rPr>
        <w:t>4.3.4 修改的内容为磋商响应文件的组成部分。修改的磋商响应文件应按照本章第3条、第4条规定进行编制、密封、标记和递交，并标明“修改”字样。</w:t>
      </w:r>
    </w:p>
    <w:p>
      <w:pPr>
        <w:pStyle w:val="4"/>
        <w:spacing w:before="0" w:after="0" w:line="440" w:lineRule="exact"/>
        <w:rPr>
          <w:rFonts w:ascii="宋体" w:hAnsi="宋体" w:eastAsia="宋体" w:cs="宋体"/>
          <w:color w:val="auto"/>
          <w:sz w:val="24"/>
          <w:szCs w:val="24"/>
        </w:rPr>
      </w:pPr>
      <w:bookmarkStart w:id="255" w:name="_Toc19105"/>
      <w:bookmarkStart w:id="256" w:name="_Toc425177146"/>
      <w:bookmarkStart w:id="257" w:name="_Toc247085717"/>
      <w:bookmarkStart w:id="258" w:name="_Toc152042335"/>
      <w:bookmarkStart w:id="259" w:name="_Toc246996946"/>
      <w:bookmarkStart w:id="260" w:name="_Toc144974527"/>
      <w:bookmarkStart w:id="261" w:name="_Toc246996203"/>
      <w:bookmarkStart w:id="262" w:name="_Toc152045559"/>
      <w:bookmarkStart w:id="263" w:name="_Toc179632577"/>
      <w:r>
        <w:rPr>
          <w:rFonts w:hint="eastAsia" w:ascii="宋体" w:hAnsi="宋体" w:eastAsia="宋体" w:cs="宋体"/>
          <w:color w:val="auto"/>
          <w:sz w:val="24"/>
          <w:szCs w:val="24"/>
        </w:rPr>
        <w:t>5. 开标</w:t>
      </w:r>
      <w:bookmarkEnd w:id="255"/>
      <w:bookmarkEnd w:id="256"/>
      <w:bookmarkEnd w:id="257"/>
      <w:bookmarkEnd w:id="258"/>
      <w:bookmarkEnd w:id="259"/>
      <w:bookmarkEnd w:id="260"/>
      <w:bookmarkEnd w:id="261"/>
      <w:bookmarkEnd w:id="262"/>
      <w:bookmarkEnd w:id="263"/>
    </w:p>
    <w:p>
      <w:pPr>
        <w:pStyle w:val="2"/>
        <w:spacing w:before="0" w:after="0" w:line="440" w:lineRule="exact"/>
        <w:rPr>
          <w:rFonts w:ascii="宋体" w:hAnsi="宋体" w:cs="宋体"/>
          <w:color w:val="auto"/>
          <w:sz w:val="24"/>
          <w:szCs w:val="24"/>
        </w:rPr>
      </w:pPr>
      <w:bookmarkStart w:id="264" w:name="_Toc246996947"/>
      <w:bookmarkStart w:id="265" w:name="_Toc152042336"/>
      <w:bookmarkStart w:id="266" w:name="_Toc152045560"/>
      <w:bookmarkStart w:id="267" w:name="_Toc247085718"/>
      <w:bookmarkStart w:id="268" w:name="_Toc246996204"/>
      <w:bookmarkStart w:id="269" w:name="_Toc144974528"/>
      <w:bookmarkStart w:id="270" w:name="_Toc179632578"/>
      <w:bookmarkStart w:id="271" w:name="_Toc425177147"/>
      <w:bookmarkStart w:id="272" w:name="_Toc16691"/>
      <w:r>
        <w:rPr>
          <w:rFonts w:hint="eastAsia" w:ascii="宋体" w:hAnsi="宋体" w:cs="宋体"/>
          <w:color w:val="auto"/>
          <w:sz w:val="24"/>
          <w:szCs w:val="24"/>
        </w:rPr>
        <w:t>5.1 开标时间和地点</w:t>
      </w:r>
      <w:bookmarkEnd w:id="264"/>
      <w:bookmarkEnd w:id="265"/>
      <w:bookmarkEnd w:id="266"/>
      <w:bookmarkEnd w:id="267"/>
      <w:bookmarkEnd w:id="268"/>
      <w:bookmarkEnd w:id="269"/>
      <w:bookmarkEnd w:id="270"/>
      <w:bookmarkEnd w:id="271"/>
      <w:bookmarkEnd w:id="272"/>
    </w:p>
    <w:p>
      <w:pPr>
        <w:spacing w:line="440" w:lineRule="exact"/>
        <w:ind w:firstLine="480" w:firstLineChars="200"/>
        <w:rPr>
          <w:rFonts w:ascii="宋体" w:hAnsi="宋体" w:cs="宋体"/>
          <w:color w:val="auto"/>
          <w:sz w:val="24"/>
        </w:rPr>
      </w:pPr>
      <w:r>
        <w:rPr>
          <w:rFonts w:hint="eastAsia" w:ascii="宋体" w:hAnsi="宋体" w:cs="宋体"/>
          <w:color w:val="auto"/>
          <w:sz w:val="24"/>
        </w:rPr>
        <w:t>采购人在本章第2.2.2项规定的投标截止时间（开标时间）和供应商须知前附表规定的地点公开开标，并邀请所有供应商的法定代表人或其委托代理人准时参加。</w:t>
      </w:r>
    </w:p>
    <w:p>
      <w:pPr>
        <w:pStyle w:val="2"/>
        <w:spacing w:before="0" w:after="0" w:line="440" w:lineRule="exact"/>
        <w:rPr>
          <w:rFonts w:ascii="宋体" w:hAnsi="宋体" w:cs="宋体"/>
          <w:color w:val="auto"/>
          <w:sz w:val="24"/>
          <w:szCs w:val="24"/>
        </w:rPr>
      </w:pPr>
      <w:bookmarkStart w:id="273" w:name="_Toc247085719"/>
      <w:bookmarkStart w:id="274" w:name="_Toc152042337"/>
      <w:bookmarkStart w:id="275" w:name="_Toc425177148"/>
      <w:bookmarkStart w:id="276" w:name="_Toc246996948"/>
      <w:bookmarkStart w:id="277" w:name="_Toc25116"/>
      <w:bookmarkStart w:id="278" w:name="_Toc152045561"/>
      <w:bookmarkStart w:id="279" w:name="_Toc144974529"/>
      <w:bookmarkStart w:id="280" w:name="_Toc179632579"/>
      <w:bookmarkStart w:id="281" w:name="_Toc246996205"/>
      <w:r>
        <w:rPr>
          <w:rFonts w:hint="eastAsia" w:ascii="宋体" w:hAnsi="宋体" w:cs="宋体"/>
          <w:color w:val="auto"/>
          <w:sz w:val="24"/>
          <w:szCs w:val="24"/>
        </w:rPr>
        <w:t>5.2 开标程序</w:t>
      </w:r>
      <w:bookmarkEnd w:id="273"/>
      <w:bookmarkEnd w:id="274"/>
      <w:bookmarkEnd w:id="275"/>
      <w:bookmarkEnd w:id="276"/>
      <w:bookmarkEnd w:id="277"/>
      <w:bookmarkEnd w:id="278"/>
      <w:bookmarkEnd w:id="279"/>
      <w:bookmarkEnd w:id="280"/>
      <w:bookmarkEnd w:id="281"/>
    </w:p>
    <w:p>
      <w:pPr>
        <w:spacing w:line="440" w:lineRule="exact"/>
        <w:ind w:firstLine="480" w:firstLineChars="200"/>
        <w:rPr>
          <w:rFonts w:ascii="宋体" w:hAnsi="宋体" w:cs="宋体"/>
          <w:color w:val="auto"/>
          <w:sz w:val="24"/>
        </w:rPr>
      </w:pPr>
      <w:r>
        <w:rPr>
          <w:rFonts w:hint="eastAsia" w:ascii="宋体" w:hAnsi="宋体" w:cs="宋体"/>
          <w:color w:val="auto"/>
          <w:sz w:val="24"/>
        </w:rPr>
        <w:t>主持人按下列程序进行开标：</w:t>
      </w:r>
    </w:p>
    <w:p>
      <w:pPr>
        <w:spacing w:line="440" w:lineRule="exact"/>
        <w:ind w:firstLine="480" w:firstLineChars="200"/>
        <w:rPr>
          <w:rFonts w:ascii="宋体" w:hAnsi="宋体" w:cs="宋体"/>
          <w:color w:val="auto"/>
          <w:sz w:val="24"/>
        </w:rPr>
      </w:pPr>
      <w:r>
        <w:rPr>
          <w:rFonts w:hint="eastAsia" w:ascii="宋体" w:hAnsi="宋体" w:cs="宋体"/>
          <w:color w:val="auto"/>
          <w:sz w:val="24"/>
        </w:rPr>
        <w:t>（1）宣布开标纪律；</w:t>
      </w:r>
    </w:p>
    <w:p>
      <w:pPr>
        <w:spacing w:line="440" w:lineRule="exact"/>
        <w:ind w:firstLine="480" w:firstLineChars="200"/>
        <w:rPr>
          <w:rFonts w:ascii="宋体" w:hAnsi="宋体" w:cs="宋体"/>
          <w:color w:val="auto"/>
          <w:sz w:val="24"/>
        </w:rPr>
      </w:pPr>
      <w:r>
        <w:rPr>
          <w:rFonts w:hint="eastAsia" w:ascii="宋体" w:hAnsi="宋体" w:cs="宋体"/>
          <w:color w:val="auto"/>
          <w:sz w:val="24"/>
        </w:rPr>
        <w:t>（2）公布在投标截止时间前递交磋商响应文件的供应商名称，并点名确认供应商是否派人到场；</w:t>
      </w:r>
    </w:p>
    <w:p>
      <w:pPr>
        <w:spacing w:line="440" w:lineRule="exact"/>
        <w:ind w:firstLine="480" w:firstLineChars="200"/>
        <w:rPr>
          <w:rFonts w:ascii="宋体" w:hAnsi="宋体" w:cs="宋体"/>
          <w:color w:val="auto"/>
          <w:sz w:val="24"/>
        </w:rPr>
      </w:pPr>
      <w:r>
        <w:rPr>
          <w:rFonts w:hint="eastAsia" w:ascii="宋体" w:hAnsi="宋体" w:cs="宋体"/>
          <w:color w:val="auto"/>
          <w:sz w:val="24"/>
        </w:rPr>
        <w:t>（3）宣布开标人、唱标人、记录人、监标人等有关人员姓名；</w:t>
      </w:r>
    </w:p>
    <w:p>
      <w:pPr>
        <w:spacing w:line="440" w:lineRule="exact"/>
        <w:ind w:firstLine="480" w:firstLineChars="200"/>
        <w:rPr>
          <w:rFonts w:ascii="宋体" w:hAnsi="宋体" w:cs="宋体"/>
          <w:color w:val="auto"/>
          <w:sz w:val="24"/>
        </w:rPr>
      </w:pPr>
      <w:r>
        <w:rPr>
          <w:rFonts w:hint="eastAsia" w:ascii="宋体" w:hAnsi="宋体" w:cs="宋体"/>
          <w:color w:val="auto"/>
          <w:sz w:val="24"/>
        </w:rPr>
        <w:t>（4）按照供应商须知前附表规定检查磋商响应文件的密封情况；</w:t>
      </w:r>
    </w:p>
    <w:p>
      <w:pPr>
        <w:spacing w:line="440" w:lineRule="exact"/>
        <w:ind w:firstLine="480" w:firstLineChars="200"/>
        <w:rPr>
          <w:rFonts w:ascii="宋体" w:hAnsi="宋体" w:cs="宋体"/>
          <w:color w:val="auto"/>
          <w:sz w:val="24"/>
        </w:rPr>
      </w:pPr>
      <w:r>
        <w:rPr>
          <w:rFonts w:hint="eastAsia" w:ascii="宋体" w:hAnsi="宋体" w:cs="宋体"/>
          <w:color w:val="auto"/>
          <w:sz w:val="24"/>
        </w:rPr>
        <w:t>（5）按照供应商须知前附表的规定确定并宣布磋商响应文件开标顺序；</w:t>
      </w:r>
    </w:p>
    <w:p>
      <w:pPr>
        <w:spacing w:line="440" w:lineRule="exact"/>
        <w:ind w:firstLine="480" w:firstLineChars="200"/>
        <w:rPr>
          <w:rFonts w:ascii="宋体" w:hAnsi="宋体" w:cs="宋体"/>
          <w:color w:val="auto"/>
          <w:sz w:val="24"/>
        </w:rPr>
      </w:pPr>
      <w:r>
        <w:rPr>
          <w:rFonts w:hint="eastAsia" w:ascii="宋体" w:hAnsi="宋体" w:cs="宋体"/>
          <w:color w:val="auto"/>
          <w:sz w:val="24"/>
        </w:rPr>
        <w:t>（6）设有标底的，公布标底；</w:t>
      </w:r>
    </w:p>
    <w:p>
      <w:pPr>
        <w:spacing w:line="440" w:lineRule="exact"/>
        <w:ind w:firstLine="480" w:firstLineChars="200"/>
        <w:rPr>
          <w:rFonts w:ascii="宋体" w:hAnsi="宋体" w:cs="宋体"/>
          <w:color w:val="auto"/>
          <w:sz w:val="24"/>
        </w:rPr>
      </w:pPr>
      <w:r>
        <w:rPr>
          <w:rFonts w:hint="eastAsia" w:ascii="宋体" w:hAnsi="宋体" w:cs="宋体"/>
          <w:color w:val="auto"/>
          <w:sz w:val="24"/>
        </w:rPr>
        <w:t>（7）按照宣布的开标顺序当众开标，公布供应商名称、磋商保证金的递交情况、投标报价、质量目标、工期及其他内容，并记录在案；</w:t>
      </w:r>
    </w:p>
    <w:p>
      <w:pPr>
        <w:spacing w:line="440" w:lineRule="exact"/>
        <w:ind w:firstLine="480" w:firstLineChars="200"/>
        <w:rPr>
          <w:rFonts w:ascii="宋体" w:hAnsi="宋体" w:cs="宋体"/>
          <w:color w:val="auto"/>
          <w:sz w:val="24"/>
        </w:rPr>
      </w:pPr>
      <w:r>
        <w:rPr>
          <w:rFonts w:hint="eastAsia" w:ascii="宋体" w:hAnsi="宋体" w:cs="宋体"/>
          <w:color w:val="auto"/>
          <w:sz w:val="24"/>
        </w:rPr>
        <w:t>（8）规定最高投标限价计算方法的，计算并公布最高投标限价；</w:t>
      </w:r>
    </w:p>
    <w:p>
      <w:pPr>
        <w:spacing w:line="440" w:lineRule="exact"/>
        <w:ind w:firstLine="480" w:firstLineChars="200"/>
        <w:rPr>
          <w:rFonts w:ascii="宋体" w:hAnsi="宋体" w:cs="宋体"/>
          <w:color w:val="auto"/>
          <w:sz w:val="24"/>
        </w:rPr>
      </w:pPr>
      <w:r>
        <w:rPr>
          <w:rFonts w:hint="eastAsia" w:ascii="宋体" w:hAnsi="宋体" w:cs="宋体"/>
          <w:color w:val="auto"/>
          <w:sz w:val="24"/>
        </w:rPr>
        <w:t>（9）供应商代表、采购人代表、监标人、记录人等有关人员在开标记录上签字确认；</w:t>
      </w:r>
    </w:p>
    <w:p>
      <w:pPr>
        <w:spacing w:line="440" w:lineRule="exact"/>
        <w:ind w:firstLine="480" w:firstLineChars="200"/>
        <w:rPr>
          <w:rFonts w:ascii="宋体" w:hAnsi="宋体" w:cs="宋体"/>
          <w:color w:val="auto"/>
          <w:sz w:val="24"/>
        </w:rPr>
      </w:pPr>
      <w:r>
        <w:rPr>
          <w:rFonts w:hint="eastAsia" w:ascii="宋体" w:hAnsi="宋体" w:cs="宋体"/>
          <w:color w:val="auto"/>
          <w:sz w:val="24"/>
        </w:rPr>
        <w:t>（10）开标结束。</w:t>
      </w:r>
    </w:p>
    <w:p>
      <w:pPr>
        <w:pStyle w:val="2"/>
        <w:spacing w:before="0" w:after="0" w:line="440" w:lineRule="exact"/>
        <w:rPr>
          <w:rFonts w:ascii="宋体" w:hAnsi="宋体" w:cs="宋体"/>
          <w:color w:val="auto"/>
          <w:sz w:val="24"/>
          <w:szCs w:val="24"/>
        </w:rPr>
      </w:pPr>
      <w:bookmarkStart w:id="282" w:name="_Toc425177149"/>
      <w:bookmarkStart w:id="283" w:name="_Toc29686"/>
      <w:r>
        <w:rPr>
          <w:rFonts w:hint="eastAsia" w:ascii="宋体" w:hAnsi="宋体" w:cs="宋体"/>
          <w:color w:val="auto"/>
          <w:sz w:val="24"/>
          <w:szCs w:val="24"/>
        </w:rPr>
        <w:t>5.3 开标异议</w:t>
      </w:r>
      <w:bookmarkEnd w:id="282"/>
      <w:bookmarkEnd w:id="283"/>
    </w:p>
    <w:p>
      <w:pPr>
        <w:spacing w:line="440" w:lineRule="exact"/>
        <w:ind w:firstLine="480" w:firstLineChars="200"/>
        <w:rPr>
          <w:rFonts w:ascii="宋体" w:hAnsi="宋体" w:cs="宋体"/>
          <w:color w:val="auto"/>
          <w:sz w:val="24"/>
        </w:rPr>
      </w:pPr>
      <w:r>
        <w:rPr>
          <w:rFonts w:hint="eastAsia" w:ascii="宋体" w:hAnsi="宋体" w:cs="宋体"/>
          <w:color w:val="auto"/>
          <w:sz w:val="24"/>
        </w:rPr>
        <w:t>供应商对开标有异议的，应当在开标现场提出，采购人当场作出答复，并制作记录。</w:t>
      </w:r>
    </w:p>
    <w:p>
      <w:pPr>
        <w:pStyle w:val="4"/>
        <w:spacing w:before="0" w:after="0" w:line="440" w:lineRule="exact"/>
        <w:rPr>
          <w:rFonts w:ascii="宋体" w:hAnsi="宋体" w:eastAsia="宋体" w:cs="宋体"/>
          <w:color w:val="auto"/>
          <w:sz w:val="24"/>
          <w:szCs w:val="24"/>
        </w:rPr>
      </w:pPr>
      <w:bookmarkStart w:id="284" w:name="_Toc425177150"/>
      <w:bookmarkStart w:id="285" w:name="_Toc179632580"/>
      <w:bookmarkStart w:id="286" w:name="_Toc144974530"/>
      <w:bookmarkStart w:id="287" w:name="_Toc246996206"/>
      <w:bookmarkStart w:id="288" w:name="_Toc246996949"/>
      <w:bookmarkStart w:id="289" w:name="_Toc152045562"/>
      <w:bookmarkStart w:id="290" w:name="_Toc6485"/>
      <w:bookmarkStart w:id="291" w:name="_Toc247085720"/>
      <w:bookmarkStart w:id="292" w:name="_Toc152042338"/>
      <w:r>
        <w:rPr>
          <w:rFonts w:hint="eastAsia" w:ascii="宋体" w:hAnsi="宋体" w:eastAsia="宋体" w:cs="宋体"/>
          <w:color w:val="auto"/>
          <w:sz w:val="24"/>
          <w:szCs w:val="24"/>
        </w:rPr>
        <w:t>6. 评标</w:t>
      </w:r>
      <w:bookmarkEnd w:id="284"/>
      <w:bookmarkEnd w:id="285"/>
      <w:bookmarkEnd w:id="286"/>
      <w:bookmarkEnd w:id="287"/>
      <w:bookmarkEnd w:id="288"/>
      <w:bookmarkEnd w:id="289"/>
      <w:bookmarkEnd w:id="290"/>
      <w:bookmarkEnd w:id="291"/>
      <w:bookmarkEnd w:id="292"/>
    </w:p>
    <w:p>
      <w:pPr>
        <w:pStyle w:val="2"/>
        <w:spacing w:before="0" w:after="0" w:line="440" w:lineRule="exact"/>
        <w:rPr>
          <w:rFonts w:ascii="宋体" w:hAnsi="宋体" w:cs="宋体"/>
          <w:color w:val="auto"/>
          <w:sz w:val="24"/>
          <w:szCs w:val="24"/>
        </w:rPr>
      </w:pPr>
      <w:bookmarkStart w:id="293" w:name="_Toc246996950"/>
      <w:bookmarkStart w:id="294" w:name="_Toc425177151"/>
      <w:bookmarkStart w:id="295" w:name="_Toc11874"/>
      <w:bookmarkStart w:id="296" w:name="_Toc144974531"/>
      <w:bookmarkStart w:id="297" w:name="_Toc179632581"/>
      <w:bookmarkStart w:id="298" w:name="_Toc246996207"/>
      <w:bookmarkStart w:id="299" w:name="_Toc247085721"/>
      <w:bookmarkStart w:id="300" w:name="_Toc152042339"/>
      <w:bookmarkStart w:id="301" w:name="_Toc152045563"/>
      <w:r>
        <w:rPr>
          <w:rFonts w:hint="eastAsia" w:ascii="宋体" w:hAnsi="宋体" w:cs="宋体"/>
          <w:color w:val="auto"/>
          <w:sz w:val="24"/>
          <w:szCs w:val="24"/>
        </w:rPr>
        <w:t>6.1 评标委员会</w:t>
      </w:r>
      <w:bookmarkEnd w:id="293"/>
      <w:bookmarkEnd w:id="294"/>
      <w:bookmarkEnd w:id="295"/>
      <w:bookmarkEnd w:id="296"/>
      <w:bookmarkEnd w:id="297"/>
      <w:bookmarkEnd w:id="298"/>
      <w:bookmarkEnd w:id="299"/>
      <w:bookmarkEnd w:id="300"/>
      <w:bookmarkEnd w:id="301"/>
    </w:p>
    <w:p>
      <w:pPr>
        <w:spacing w:line="440" w:lineRule="exact"/>
        <w:ind w:firstLine="480" w:firstLineChars="200"/>
        <w:rPr>
          <w:rFonts w:ascii="宋体" w:hAnsi="宋体" w:cs="宋体"/>
          <w:color w:val="auto"/>
          <w:sz w:val="24"/>
        </w:rPr>
      </w:pPr>
      <w:r>
        <w:rPr>
          <w:rFonts w:hint="eastAsia" w:ascii="宋体" w:hAnsi="宋体" w:cs="宋体"/>
          <w:color w:val="auto"/>
          <w:sz w:val="24"/>
        </w:rPr>
        <w:t>6.1.1 评标由采购人依法组建的评标委员会负责。评标委员会由采购人或其委托的采购代理机构熟悉相关业务的代表，以及有关技术、经济等方面的专家组成。评标委员会成员人数以及技术、经济等方面专家的确定方式见供应商须知前附表。</w:t>
      </w:r>
    </w:p>
    <w:p>
      <w:pPr>
        <w:spacing w:line="440" w:lineRule="exact"/>
        <w:ind w:firstLine="480" w:firstLineChars="200"/>
        <w:rPr>
          <w:rFonts w:ascii="宋体" w:hAnsi="宋体" w:cs="宋体"/>
          <w:color w:val="auto"/>
          <w:sz w:val="24"/>
        </w:rPr>
      </w:pPr>
      <w:r>
        <w:rPr>
          <w:rFonts w:hint="eastAsia" w:ascii="宋体" w:hAnsi="宋体" w:cs="宋体"/>
          <w:color w:val="auto"/>
          <w:sz w:val="24"/>
        </w:rPr>
        <w:t>6.1.2 评标委员会成员有下列情形之一的，应当回避：</w:t>
      </w:r>
    </w:p>
    <w:p>
      <w:pPr>
        <w:spacing w:line="440" w:lineRule="exact"/>
        <w:ind w:firstLine="480" w:firstLineChars="200"/>
        <w:rPr>
          <w:rFonts w:ascii="宋体" w:hAnsi="宋体" w:cs="宋体"/>
          <w:color w:val="auto"/>
          <w:sz w:val="24"/>
        </w:rPr>
      </w:pPr>
      <w:r>
        <w:rPr>
          <w:rFonts w:hint="eastAsia" w:ascii="宋体" w:hAnsi="宋体" w:cs="宋体"/>
          <w:color w:val="auto"/>
          <w:sz w:val="24"/>
        </w:rPr>
        <w:t>（1）供应商或供应商主要负责人的近亲属；</w:t>
      </w:r>
    </w:p>
    <w:p>
      <w:pPr>
        <w:spacing w:line="440" w:lineRule="exact"/>
        <w:ind w:firstLine="480" w:firstLineChars="200"/>
        <w:rPr>
          <w:rFonts w:ascii="宋体" w:hAnsi="宋体" w:cs="宋体"/>
          <w:color w:val="auto"/>
          <w:sz w:val="24"/>
        </w:rPr>
      </w:pPr>
      <w:r>
        <w:rPr>
          <w:rFonts w:hint="eastAsia" w:ascii="宋体" w:hAnsi="宋体" w:cs="宋体"/>
          <w:color w:val="auto"/>
          <w:sz w:val="24"/>
        </w:rPr>
        <w:t>（2）项目主管部门或者行政监督部门的人员；</w:t>
      </w:r>
    </w:p>
    <w:p>
      <w:pPr>
        <w:spacing w:line="440" w:lineRule="exact"/>
        <w:ind w:firstLine="480" w:firstLineChars="200"/>
        <w:rPr>
          <w:rFonts w:ascii="宋体" w:hAnsi="宋体" w:cs="宋体"/>
          <w:color w:val="auto"/>
          <w:sz w:val="24"/>
        </w:rPr>
      </w:pPr>
      <w:r>
        <w:rPr>
          <w:rFonts w:hint="eastAsia" w:ascii="宋体" w:hAnsi="宋体" w:cs="宋体"/>
          <w:color w:val="auto"/>
          <w:sz w:val="24"/>
        </w:rPr>
        <w:t>（3）与供应商有经济利益关系；</w:t>
      </w:r>
    </w:p>
    <w:p>
      <w:pPr>
        <w:spacing w:line="440" w:lineRule="exact"/>
        <w:ind w:firstLine="480" w:firstLineChars="200"/>
        <w:rPr>
          <w:rFonts w:ascii="宋体" w:hAnsi="宋体" w:cs="宋体"/>
          <w:color w:val="auto"/>
          <w:sz w:val="24"/>
        </w:rPr>
      </w:pPr>
      <w:r>
        <w:rPr>
          <w:rFonts w:hint="eastAsia" w:ascii="宋体" w:hAnsi="宋体" w:cs="宋体"/>
          <w:color w:val="auto"/>
          <w:sz w:val="24"/>
        </w:rPr>
        <w:t>（4）曾因在招标、评标以及其他与招标投标有关活动中从事违法行为而受过行政处罚或刑事处罚的；</w:t>
      </w:r>
    </w:p>
    <w:p>
      <w:pPr>
        <w:spacing w:line="440" w:lineRule="exact"/>
        <w:ind w:firstLine="480" w:firstLineChars="200"/>
        <w:rPr>
          <w:rFonts w:ascii="宋体" w:hAnsi="宋体" w:cs="宋体"/>
          <w:color w:val="auto"/>
          <w:sz w:val="24"/>
        </w:rPr>
      </w:pPr>
      <w:r>
        <w:rPr>
          <w:rFonts w:hint="eastAsia" w:ascii="宋体" w:hAnsi="宋体" w:cs="宋体"/>
          <w:color w:val="auto"/>
          <w:sz w:val="24"/>
        </w:rPr>
        <w:t>（5）与供应商有其他利害关系。</w:t>
      </w:r>
    </w:p>
    <w:p>
      <w:pPr>
        <w:pStyle w:val="2"/>
        <w:spacing w:before="0" w:after="0" w:line="440" w:lineRule="exact"/>
        <w:rPr>
          <w:rFonts w:ascii="宋体" w:hAnsi="宋体" w:cs="宋体"/>
          <w:color w:val="auto"/>
          <w:sz w:val="24"/>
          <w:szCs w:val="24"/>
        </w:rPr>
      </w:pPr>
      <w:bookmarkStart w:id="302" w:name="_Toc246996951"/>
      <w:bookmarkStart w:id="303" w:name="_Toc179632582"/>
      <w:bookmarkStart w:id="304" w:name="_Toc246996208"/>
      <w:bookmarkStart w:id="305" w:name="_Toc24045"/>
      <w:bookmarkStart w:id="306" w:name="_Toc144974532"/>
      <w:bookmarkStart w:id="307" w:name="_Toc152045564"/>
      <w:bookmarkStart w:id="308" w:name="_Toc247085722"/>
      <w:bookmarkStart w:id="309" w:name="_Toc152042340"/>
      <w:bookmarkStart w:id="310" w:name="_Toc425177152"/>
      <w:r>
        <w:rPr>
          <w:rFonts w:hint="eastAsia" w:ascii="宋体" w:hAnsi="宋体" w:cs="宋体"/>
          <w:color w:val="auto"/>
          <w:sz w:val="24"/>
          <w:szCs w:val="24"/>
        </w:rPr>
        <w:t>6.2 评标原则</w:t>
      </w:r>
      <w:bookmarkEnd w:id="302"/>
      <w:bookmarkEnd w:id="303"/>
      <w:bookmarkEnd w:id="304"/>
      <w:bookmarkEnd w:id="305"/>
      <w:bookmarkEnd w:id="306"/>
      <w:bookmarkEnd w:id="307"/>
      <w:bookmarkEnd w:id="308"/>
      <w:bookmarkEnd w:id="309"/>
      <w:bookmarkEnd w:id="310"/>
    </w:p>
    <w:p>
      <w:pPr>
        <w:spacing w:line="440" w:lineRule="exact"/>
        <w:ind w:firstLine="480" w:firstLineChars="200"/>
        <w:rPr>
          <w:rFonts w:ascii="宋体" w:hAnsi="宋体" w:cs="宋体"/>
          <w:color w:val="auto"/>
          <w:sz w:val="24"/>
        </w:rPr>
      </w:pPr>
      <w:r>
        <w:rPr>
          <w:rFonts w:hint="eastAsia" w:ascii="宋体" w:hAnsi="宋体" w:cs="宋体"/>
          <w:color w:val="auto"/>
          <w:sz w:val="24"/>
        </w:rPr>
        <w:t>评标活动遵循公平、公正、科学和择优的原则。</w:t>
      </w:r>
    </w:p>
    <w:p>
      <w:pPr>
        <w:pStyle w:val="2"/>
        <w:spacing w:before="0" w:after="0" w:line="440" w:lineRule="exact"/>
        <w:rPr>
          <w:rFonts w:ascii="宋体" w:hAnsi="宋体" w:cs="宋体"/>
          <w:color w:val="auto"/>
          <w:sz w:val="24"/>
          <w:szCs w:val="24"/>
        </w:rPr>
      </w:pPr>
      <w:bookmarkStart w:id="311" w:name="_Toc179632583"/>
      <w:bookmarkStart w:id="312" w:name="_Toc246996209"/>
      <w:bookmarkStart w:id="313" w:name="_Toc246996952"/>
      <w:bookmarkStart w:id="314" w:name="_Toc152045565"/>
      <w:bookmarkStart w:id="315" w:name="_Toc18598"/>
      <w:bookmarkStart w:id="316" w:name="_Toc144974533"/>
      <w:bookmarkStart w:id="317" w:name="_Toc425177153"/>
      <w:bookmarkStart w:id="318" w:name="_Toc247085723"/>
      <w:bookmarkStart w:id="319" w:name="_Toc152042341"/>
      <w:r>
        <w:rPr>
          <w:rFonts w:hint="eastAsia" w:ascii="宋体" w:hAnsi="宋体" w:cs="宋体"/>
          <w:color w:val="auto"/>
          <w:sz w:val="24"/>
          <w:szCs w:val="24"/>
        </w:rPr>
        <w:t>6.3 评标</w:t>
      </w:r>
      <w:bookmarkEnd w:id="311"/>
      <w:bookmarkEnd w:id="312"/>
      <w:bookmarkEnd w:id="313"/>
      <w:bookmarkEnd w:id="314"/>
      <w:bookmarkEnd w:id="315"/>
      <w:bookmarkEnd w:id="316"/>
      <w:bookmarkEnd w:id="317"/>
      <w:bookmarkEnd w:id="318"/>
      <w:bookmarkEnd w:id="319"/>
    </w:p>
    <w:p>
      <w:pPr>
        <w:spacing w:line="440" w:lineRule="exact"/>
        <w:ind w:firstLine="480" w:firstLineChars="200"/>
        <w:rPr>
          <w:rFonts w:ascii="宋体" w:hAnsi="宋体" w:cs="宋体"/>
          <w:color w:val="auto"/>
          <w:sz w:val="24"/>
        </w:rPr>
      </w:pPr>
      <w:r>
        <w:rPr>
          <w:rFonts w:hint="eastAsia" w:ascii="宋体" w:hAnsi="宋体" w:cs="宋体"/>
          <w:color w:val="auto"/>
          <w:sz w:val="24"/>
        </w:rPr>
        <w:t>评标委员会按照第三章“评标办法”规定的方法、评审因素、标准和程序对磋商响应文件进行评审。第三章“评标办法”没有规定的方法、评审因素和标准，不作为评标依据。</w:t>
      </w:r>
    </w:p>
    <w:p>
      <w:pPr>
        <w:pStyle w:val="4"/>
        <w:spacing w:before="0" w:after="0" w:line="440" w:lineRule="exact"/>
        <w:rPr>
          <w:rFonts w:ascii="宋体" w:hAnsi="宋体" w:eastAsia="宋体" w:cs="宋体"/>
          <w:color w:val="auto"/>
          <w:sz w:val="24"/>
          <w:szCs w:val="24"/>
        </w:rPr>
      </w:pPr>
      <w:bookmarkStart w:id="320" w:name="_Toc246996210"/>
      <w:bookmarkStart w:id="321" w:name="_Toc152045566"/>
      <w:bookmarkStart w:id="322" w:name="_Toc425177154"/>
      <w:bookmarkStart w:id="323" w:name="_Toc247085724"/>
      <w:bookmarkStart w:id="324" w:name="_Toc179632584"/>
      <w:bookmarkStart w:id="325" w:name="_Toc144974534"/>
      <w:bookmarkStart w:id="326" w:name="_Toc3105"/>
      <w:bookmarkStart w:id="327" w:name="_Toc152042342"/>
      <w:bookmarkStart w:id="328" w:name="_Toc246996953"/>
      <w:r>
        <w:rPr>
          <w:rFonts w:hint="eastAsia" w:ascii="宋体" w:hAnsi="宋体" w:eastAsia="宋体" w:cs="宋体"/>
          <w:color w:val="auto"/>
          <w:sz w:val="24"/>
          <w:szCs w:val="24"/>
        </w:rPr>
        <w:t>7. 合同授予</w:t>
      </w:r>
      <w:bookmarkEnd w:id="320"/>
      <w:bookmarkEnd w:id="321"/>
      <w:bookmarkEnd w:id="322"/>
      <w:bookmarkEnd w:id="323"/>
      <w:bookmarkEnd w:id="324"/>
      <w:bookmarkEnd w:id="325"/>
      <w:bookmarkEnd w:id="326"/>
      <w:bookmarkEnd w:id="327"/>
      <w:bookmarkEnd w:id="328"/>
    </w:p>
    <w:p>
      <w:pPr>
        <w:pStyle w:val="2"/>
        <w:spacing w:before="0" w:after="0" w:line="440" w:lineRule="exact"/>
        <w:rPr>
          <w:rFonts w:ascii="宋体" w:hAnsi="宋体" w:cs="宋体"/>
          <w:color w:val="auto"/>
          <w:sz w:val="24"/>
          <w:szCs w:val="24"/>
        </w:rPr>
      </w:pPr>
      <w:bookmarkStart w:id="329" w:name="_Toc10153"/>
      <w:bookmarkStart w:id="330" w:name="_Toc425177155"/>
      <w:bookmarkStart w:id="331" w:name="_Toc152042343"/>
      <w:bookmarkStart w:id="332" w:name="_Toc246996954"/>
      <w:bookmarkStart w:id="333" w:name="_Toc247085725"/>
      <w:bookmarkStart w:id="334" w:name="_Toc246996211"/>
      <w:bookmarkStart w:id="335" w:name="_Toc144974535"/>
      <w:bookmarkStart w:id="336" w:name="_Toc152045567"/>
      <w:bookmarkStart w:id="337" w:name="_Toc179632585"/>
      <w:r>
        <w:rPr>
          <w:rFonts w:hint="eastAsia" w:ascii="宋体" w:hAnsi="宋体" w:cs="宋体"/>
          <w:color w:val="auto"/>
          <w:sz w:val="24"/>
          <w:szCs w:val="24"/>
        </w:rPr>
        <w:t>7.1 定标方式</w:t>
      </w:r>
      <w:bookmarkEnd w:id="329"/>
      <w:bookmarkEnd w:id="330"/>
      <w:bookmarkEnd w:id="331"/>
      <w:bookmarkEnd w:id="332"/>
      <w:bookmarkEnd w:id="333"/>
      <w:bookmarkEnd w:id="334"/>
      <w:bookmarkEnd w:id="335"/>
      <w:bookmarkEnd w:id="336"/>
      <w:bookmarkEnd w:id="337"/>
    </w:p>
    <w:p>
      <w:pPr>
        <w:spacing w:line="440" w:lineRule="exact"/>
        <w:ind w:firstLine="480" w:firstLineChars="200"/>
        <w:rPr>
          <w:rFonts w:ascii="宋体" w:hAnsi="宋体" w:cs="宋体"/>
          <w:color w:val="auto"/>
          <w:sz w:val="24"/>
        </w:rPr>
      </w:pPr>
      <w:r>
        <w:rPr>
          <w:rFonts w:hint="eastAsia" w:ascii="宋体" w:hAnsi="宋体" w:cs="宋体"/>
          <w:color w:val="auto"/>
          <w:sz w:val="24"/>
        </w:rPr>
        <w:t>除供应商须知前附表规定评标委员会直接确定成交供应商外，采购人依据评标委员会推荐的中标候选人确定成交供应商，评标委员会推荐中标候选人的人数见供应商须知前附表。</w:t>
      </w:r>
    </w:p>
    <w:p>
      <w:pPr>
        <w:pStyle w:val="2"/>
        <w:spacing w:before="0" w:after="0" w:line="440" w:lineRule="exact"/>
        <w:rPr>
          <w:rFonts w:ascii="宋体" w:hAnsi="宋体" w:cs="宋体"/>
          <w:color w:val="auto"/>
          <w:sz w:val="24"/>
          <w:szCs w:val="24"/>
        </w:rPr>
      </w:pPr>
      <w:bookmarkStart w:id="338" w:name="_Toc4181"/>
      <w:bookmarkStart w:id="339" w:name="_Toc425177156"/>
      <w:r>
        <w:rPr>
          <w:rFonts w:hint="eastAsia" w:ascii="宋体" w:hAnsi="宋体" w:cs="宋体"/>
          <w:color w:val="auto"/>
          <w:sz w:val="24"/>
          <w:szCs w:val="24"/>
        </w:rPr>
        <w:t>7.2 成交候选人公示</w:t>
      </w:r>
      <w:bookmarkEnd w:id="338"/>
      <w:bookmarkEnd w:id="339"/>
    </w:p>
    <w:p>
      <w:pPr>
        <w:spacing w:line="440" w:lineRule="exact"/>
        <w:ind w:firstLine="480" w:firstLineChars="200"/>
        <w:rPr>
          <w:rFonts w:ascii="宋体" w:hAnsi="宋体" w:cs="宋体"/>
          <w:color w:val="auto"/>
          <w:sz w:val="24"/>
        </w:rPr>
      </w:pPr>
      <w:r>
        <w:rPr>
          <w:rFonts w:hint="eastAsia" w:ascii="宋体" w:hAnsi="宋体" w:cs="宋体"/>
          <w:color w:val="auto"/>
          <w:sz w:val="24"/>
        </w:rPr>
        <w:t>采购人在供应商须知前附表规定的媒介公示成交候选人。</w:t>
      </w:r>
    </w:p>
    <w:p>
      <w:pPr>
        <w:pStyle w:val="2"/>
        <w:spacing w:before="0" w:after="0" w:line="440" w:lineRule="exact"/>
        <w:rPr>
          <w:rFonts w:ascii="宋体" w:hAnsi="宋体" w:cs="宋体"/>
          <w:color w:val="auto"/>
          <w:sz w:val="24"/>
          <w:szCs w:val="24"/>
        </w:rPr>
      </w:pPr>
      <w:bookmarkStart w:id="340" w:name="_Toc152045568"/>
      <w:bookmarkStart w:id="341" w:name="_Toc247085726"/>
      <w:bookmarkStart w:id="342" w:name="_Toc246996212"/>
      <w:bookmarkStart w:id="343" w:name="_Toc144974536"/>
      <w:bookmarkStart w:id="344" w:name="_Toc7416"/>
      <w:bookmarkStart w:id="345" w:name="_Toc246996955"/>
      <w:bookmarkStart w:id="346" w:name="_Toc179632586"/>
      <w:bookmarkStart w:id="347" w:name="_Toc152042344"/>
      <w:bookmarkStart w:id="348" w:name="_Toc425177157"/>
      <w:r>
        <w:rPr>
          <w:rFonts w:hint="eastAsia" w:ascii="宋体" w:hAnsi="宋体" w:cs="宋体"/>
          <w:color w:val="auto"/>
          <w:sz w:val="24"/>
          <w:szCs w:val="24"/>
        </w:rPr>
        <w:t>7.3 成交通知</w:t>
      </w:r>
      <w:bookmarkEnd w:id="340"/>
      <w:bookmarkEnd w:id="341"/>
      <w:bookmarkEnd w:id="342"/>
      <w:bookmarkEnd w:id="343"/>
      <w:bookmarkEnd w:id="344"/>
      <w:bookmarkEnd w:id="345"/>
      <w:bookmarkEnd w:id="346"/>
      <w:bookmarkEnd w:id="347"/>
      <w:bookmarkEnd w:id="348"/>
    </w:p>
    <w:p>
      <w:pPr>
        <w:spacing w:line="440" w:lineRule="exact"/>
        <w:ind w:firstLine="480" w:firstLineChars="200"/>
        <w:rPr>
          <w:rFonts w:ascii="宋体" w:hAnsi="宋体" w:cs="宋体"/>
          <w:color w:val="auto"/>
          <w:sz w:val="24"/>
        </w:rPr>
      </w:pPr>
      <w:r>
        <w:rPr>
          <w:rFonts w:hint="eastAsia" w:ascii="宋体" w:hAnsi="宋体" w:cs="宋体"/>
          <w:color w:val="auto"/>
          <w:sz w:val="24"/>
        </w:rPr>
        <w:t>在本章第3.3款规定的投标有效期内，采购人以书面形式向成交供应商发出成交通知书，同时将成交结果通知未中标的供应商。</w:t>
      </w:r>
    </w:p>
    <w:p>
      <w:pPr>
        <w:pStyle w:val="2"/>
        <w:spacing w:before="0" w:after="0" w:line="440" w:lineRule="exact"/>
        <w:rPr>
          <w:rFonts w:ascii="宋体" w:hAnsi="宋体" w:cs="宋体"/>
          <w:color w:val="auto"/>
          <w:sz w:val="24"/>
          <w:szCs w:val="24"/>
        </w:rPr>
      </w:pPr>
      <w:bookmarkStart w:id="349" w:name="_Toc246996956"/>
      <w:bookmarkStart w:id="350" w:name="_Toc152045569"/>
      <w:bookmarkStart w:id="351" w:name="_Toc425177158"/>
      <w:bookmarkStart w:id="352" w:name="_Toc31182"/>
      <w:bookmarkStart w:id="353" w:name="_Toc152042345"/>
      <w:bookmarkStart w:id="354" w:name="_Toc179632587"/>
      <w:bookmarkStart w:id="355" w:name="_Toc246996213"/>
      <w:bookmarkStart w:id="356" w:name="_Toc144974537"/>
      <w:bookmarkStart w:id="357" w:name="_Toc247085727"/>
      <w:r>
        <w:rPr>
          <w:rFonts w:hint="eastAsia" w:ascii="宋体" w:hAnsi="宋体" w:cs="宋体"/>
          <w:color w:val="auto"/>
          <w:sz w:val="24"/>
          <w:szCs w:val="24"/>
        </w:rPr>
        <w:t>7.4 履约担保</w:t>
      </w:r>
      <w:bookmarkEnd w:id="349"/>
      <w:bookmarkEnd w:id="350"/>
      <w:bookmarkEnd w:id="351"/>
      <w:bookmarkEnd w:id="352"/>
      <w:bookmarkEnd w:id="353"/>
      <w:bookmarkEnd w:id="354"/>
      <w:bookmarkEnd w:id="355"/>
      <w:bookmarkEnd w:id="356"/>
      <w:bookmarkEnd w:id="357"/>
    </w:p>
    <w:p>
      <w:pPr>
        <w:spacing w:line="440" w:lineRule="exact"/>
        <w:ind w:firstLine="480" w:firstLineChars="200"/>
        <w:rPr>
          <w:rFonts w:ascii="宋体" w:hAnsi="宋体" w:cs="宋体"/>
          <w:color w:val="auto"/>
          <w:sz w:val="24"/>
        </w:rPr>
      </w:pPr>
      <w:r>
        <w:rPr>
          <w:rFonts w:hint="eastAsia" w:ascii="宋体" w:hAnsi="宋体" w:cs="宋体"/>
          <w:color w:val="auto"/>
          <w:sz w:val="24"/>
        </w:rPr>
        <w:t>7.4.1在签订合同前，成交供应商应按供应商须知前附表规定的担保形式和磋商文件第四章“合同条款及格式”规定的或者事先经过采购人书面认可的履约担保格式向采购人提交履约担保。除供应商须知前附表另有规定外，履约担保金额为合同金额的10%。</w:t>
      </w:r>
    </w:p>
    <w:p>
      <w:pPr>
        <w:spacing w:line="440" w:lineRule="exact"/>
        <w:ind w:firstLine="480" w:firstLineChars="200"/>
        <w:rPr>
          <w:rFonts w:ascii="宋体" w:hAnsi="宋体" w:cs="宋体"/>
          <w:color w:val="auto"/>
          <w:sz w:val="24"/>
        </w:rPr>
      </w:pPr>
      <w:r>
        <w:rPr>
          <w:rFonts w:hint="eastAsia" w:ascii="宋体" w:hAnsi="宋体" w:cs="宋体"/>
          <w:color w:val="auto"/>
          <w:sz w:val="24"/>
        </w:rPr>
        <w:t>7.4.2 成交供应商不能按本章第7.4.1项要求提交履约担保的，视为放弃中标，其磋商保证金不予退还，给采购人造成的损失超过磋商保证金数额的，成交供应商还应当对超过部分予以赔偿。</w:t>
      </w:r>
    </w:p>
    <w:p>
      <w:pPr>
        <w:pStyle w:val="2"/>
        <w:spacing w:before="0" w:after="0" w:line="440" w:lineRule="exact"/>
        <w:rPr>
          <w:rFonts w:ascii="宋体" w:hAnsi="宋体" w:cs="宋体"/>
          <w:color w:val="auto"/>
          <w:sz w:val="24"/>
          <w:szCs w:val="24"/>
        </w:rPr>
      </w:pPr>
      <w:bookmarkStart w:id="358" w:name="_Toc5889"/>
      <w:bookmarkStart w:id="359" w:name="_Toc152045570"/>
      <w:bookmarkStart w:id="360" w:name="_Toc152042346"/>
      <w:bookmarkStart w:id="361" w:name="_Toc144974538"/>
      <w:bookmarkStart w:id="362" w:name="_Toc246996957"/>
      <w:bookmarkStart w:id="363" w:name="_Toc179632588"/>
      <w:bookmarkStart w:id="364" w:name="_Toc247085728"/>
      <w:bookmarkStart w:id="365" w:name="_Toc425177159"/>
      <w:bookmarkStart w:id="366" w:name="_Toc246996214"/>
      <w:r>
        <w:rPr>
          <w:rFonts w:hint="eastAsia" w:ascii="宋体" w:hAnsi="宋体" w:cs="宋体"/>
          <w:color w:val="auto"/>
          <w:sz w:val="24"/>
          <w:szCs w:val="24"/>
        </w:rPr>
        <w:t>7.5 签订合同</w:t>
      </w:r>
      <w:bookmarkEnd w:id="358"/>
      <w:bookmarkEnd w:id="359"/>
      <w:bookmarkEnd w:id="360"/>
      <w:bookmarkEnd w:id="361"/>
      <w:bookmarkEnd w:id="362"/>
      <w:bookmarkEnd w:id="363"/>
      <w:bookmarkEnd w:id="364"/>
      <w:bookmarkEnd w:id="365"/>
      <w:bookmarkEnd w:id="366"/>
    </w:p>
    <w:p>
      <w:pPr>
        <w:spacing w:line="440" w:lineRule="exact"/>
        <w:ind w:firstLine="480" w:firstLineChars="200"/>
        <w:rPr>
          <w:rFonts w:ascii="宋体" w:hAnsi="宋体" w:cs="宋体"/>
          <w:color w:val="auto"/>
          <w:sz w:val="24"/>
        </w:rPr>
      </w:pPr>
      <w:r>
        <w:rPr>
          <w:rFonts w:hint="eastAsia" w:ascii="宋体" w:hAnsi="宋体" w:cs="宋体"/>
          <w:color w:val="auto"/>
          <w:sz w:val="24"/>
        </w:rPr>
        <w:t>7.5.1采购人和成交供应商应当自成交通知书发出之日起30天内，根据磋商文件和成交供应商的磋商响应文件订立书面合同。成交供应商无正当理由拒签合同的，采购人取消其成交资格，其磋商保证金不予退还；给采购人造成的损失超过磋商保证金数额的，成交供应商还应当对超过部分予以赔偿。</w:t>
      </w:r>
    </w:p>
    <w:p>
      <w:pPr>
        <w:spacing w:line="440" w:lineRule="exact"/>
        <w:ind w:firstLine="480" w:firstLineChars="200"/>
        <w:rPr>
          <w:rFonts w:ascii="宋体" w:hAnsi="宋体" w:cs="宋体"/>
          <w:color w:val="auto"/>
          <w:sz w:val="24"/>
        </w:rPr>
      </w:pPr>
      <w:r>
        <w:rPr>
          <w:rFonts w:hint="eastAsia" w:ascii="宋体" w:hAnsi="宋体" w:cs="宋体"/>
          <w:color w:val="auto"/>
          <w:sz w:val="24"/>
        </w:rPr>
        <w:t>7.5.2 发出成交通知书后，采购人无正当理由拒签合同的，采购人向成交供应商退还磋商保证金；给成交供应商造成损失的，还应当赔偿损失。</w:t>
      </w:r>
    </w:p>
    <w:p>
      <w:pPr>
        <w:pStyle w:val="4"/>
        <w:spacing w:before="0" w:after="0" w:line="440" w:lineRule="exact"/>
        <w:rPr>
          <w:rFonts w:ascii="宋体" w:hAnsi="宋体" w:eastAsia="宋体" w:cs="宋体"/>
          <w:color w:val="auto"/>
          <w:sz w:val="24"/>
          <w:szCs w:val="24"/>
        </w:rPr>
      </w:pPr>
      <w:bookmarkStart w:id="367" w:name="_Toc12407"/>
      <w:bookmarkStart w:id="368" w:name="_Toc425177160"/>
      <w:r>
        <w:rPr>
          <w:rFonts w:hint="eastAsia" w:ascii="宋体" w:hAnsi="宋体" w:eastAsia="宋体" w:cs="宋体"/>
          <w:color w:val="auto"/>
          <w:sz w:val="24"/>
          <w:szCs w:val="24"/>
        </w:rPr>
        <w:t>8. 纪律和监督</w:t>
      </w:r>
      <w:bookmarkEnd w:id="367"/>
      <w:bookmarkEnd w:id="368"/>
    </w:p>
    <w:p>
      <w:pPr>
        <w:pStyle w:val="2"/>
        <w:spacing w:before="0" w:after="0" w:line="440" w:lineRule="exact"/>
        <w:rPr>
          <w:rFonts w:ascii="宋体" w:hAnsi="宋体" w:cs="宋体"/>
          <w:color w:val="auto"/>
          <w:sz w:val="24"/>
          <w:szCs w:val="24"/>
        </w:rPr>
      </w:pPr>
      <w:bookmarkStart w:id="369" w:name="_Toc246996219"/>
      <w:bookmarkStart w:id="370" w:name="_Toc425177161"/>
      <w:bookmarkStart w:id="371" w:name="_Toc247085733"/>
      <w:bookmarkStart w:id="372" w:name="_Toc152042351"/>
      <w:bookmarkStart w:id="373" w:name="_Toc179632593"/>
      <w:bookmarkStart w:id="374" w:name="_Toc296590983"/>
      <w:bookmarkStart w:id="375" w:name="_Toc11349"/>
      <w:bookmarkStart w:id="376" w:name="_Toc144974543"/>
      <w:bookmarkStart w:id="377" w:name="_Toc246996962"/>
      <w:bookmarkStart w:id="378" w:name="_Toc152045575"/>
      <w:r>
        <w:rPr>
          <w:rFonts w:hint="eastAsia" w:ascii="宋体" w:hAnsi="宋体" w:cs="宋体"/>
          <w:color w:val="auto"/>
          <w:sz w:val="24"/>
          <w:szCs w:val="24"/>
        </w:rPr>
        <w:t>8.1 对采购人的纪律要求</w:t>
      </w:r>
      <w:bookmarkEnd w:id="369"/>
      <w:bookmarkEnd w:id="370"/>
      <w:bookmarkEnd w:id="371"/>
      <w:bookmarkEnd w:id="372"/>
      <w:bookmarkEnd w:id="373"/>
      <w:bookmarkEnd w:id="374"/>
      <w:bookmarkEnd w:id="375"/>
      <w:bookmarkEnd w:id="376"/>
      <w:bookmarkEnd w:id="377"/>
      <w:bookmarkEnd w:id="378"/>
    </w:p>
    <w:p>
      <w:pPr>
        <w:spacing w:line="440" w:lineRule="exact"/>
        <w:ind w:firstLine="480" w:firstLineChars="200"/>
        <w:rPr>
          <w:rFonts w:ascii="宋体" w:hAnsi="宋体" w:cs="宋体"/>
          <w:color w:val="auto"/>
          <w:sz w:val="24"/>
        </w:rPr>
      </w:pPr>
      <w:r>
        <w:rPr>
          <w:rFonts w:hint="eastAsia" w:ascii="宋体" w:hAnsi="宋体" w:cs="宋体"/>
          <w:color w:val="auto"/>
          <w:sz w:val="24"/>
        </w:rPr>
        <w:t>采购人不得泄漏招标投标活动中应当保密的情况和资料，不得与供应商串通损害国家利益、社会公共利益或者他人合法权益。</w:t>
      </w:r>
    </w:p>
    <w:p>
      <w:pPr>
        <w:pStyle w:val="2"/>
        <w:spacing w:before="0" w:after="0" w:line="440" w:lineRule="exact"/>
        <w:rPr>
          <w:rFonts w:ascii="宋体" w:hAnsi="宋体" w:cs="宋体"/>
          <w:color w:val="auto"/>
          <w:sz w:val="24"/>
          <w:szCs w:val="24"/>
        </w:rPr>
      </w:pPr>
      <w:bookmarkStart w:id="379" w:name="_Toc152045576"/>
      <w:bookmarkStart w:id="380" w:name="_Toc246996220"/>
      <w:bookmarkStart w:id="381" w:name="_Toc425177162"/>
      <w:bookmarkStart w:id="382" w:name="_Toc144974544"/>
      <w:bookmarkStart w:id="383" w:name="_Toc246996963"/>
      <w:bookmarkStart w:id="384" w:name="_Toc19883"/>
      <w:bookmarkStart w:id="385" w:name="_Toc179632594"/>
      <w:bookmarkStart w:id="386" w:name="_Toc247085734"/>
      <w:bookmarkStart w:id="387" w:name="_Toc152042352"/>
      <w:r>
        <w:rPr>
          <w:rFonts w:hint="eastAsia" w:ascii="宋体" w:hAnsi="宋体" w:cs="宋体"/>
          <w:color w:val="auto"/>
          <w:sz w:val="24"/>
          <w:szCs w:val="24"/>
        </w:rPr>
        <w:t>8.2 对供应商的纪律要求</w:t>
      </w:r>
      <w:bookmarkEnd w:id="379"/>
      <w:bookmarkEnd w:id="380"/>
      <w:bookmarkEnd w:id="381"/>
      <w:bookmarkEnd w:id="382"/>
      <w:bookmarkEnd w:id="383"/>
      <w:bookmarkEnd w:id="384"/>
      <w:bookmarkEnd w:id="385"/>
      <w:bookmarkEnd w:id="386"/>
      <w:bookmarkEnd w:id="387"/>
    </w:p>
    <w:p>
      <w:pPr>
        <w:spacing w:line="440" w:lineRule="exact"/>
        <w:ind w:firstLine="480" w:firstLineChars="200"/>
        <w:rPr>
          <w:rFonts w:ascii="宋体" w:hAnsi="宋体" w:cs="宋体"/>
          <w:color w:val="auto"/>
          <w:sz w:val="24"/>
        </w:rPr>
      </w:pPr>
      <w:r>
        <w:rPr>
          <w:rFonts w:hint="eastAsia" w:ascii="宋体" w:hAnsi="宋体" w:cs="宋体"/>
          <w:color w:val="auto"/>
          <w:sz w:val="24"/>
        </w:rPr>
        <w:t>供应商不得相互串通投标或者与采购人串通投标，不得向采购人或者评标委员会成员行贿谋取中标，不得以他人名义投标或者以其他方式弄虚作假骗取中标；供应商不得以任何方式干扰、影响评标工作。</w:t>
      </w:r>
    </w:p>
    <w:p>
      <w:pPr>
        <w:pStyle w:val="2"/>
        <w:spacing w:before="0" w:after="0" w:line="440" w:lineRule="exact"/>
        <w:rPr>
          <w:rFonts w:ascii="宋体" w:hAnsi="宋体" w:cs="宋体"/>
          <w:color w:val="auto"/>
          <w:sz w:val="24"/>
          <w:szCs w:val="24"/>
        </w:rPr>
      </w:pPr>
      <w:bookmarkStart w:id="388" w:name="_Toc152042353"/>
      <w:bookmarkStart w:id="389" w:name="_Toc179632595"/>
      <w:bookmarkStart w:id="390" w:name="_Toc246996964"/>
      <w:bookmarkStart w:id="391" w:name="_Toc8645"/>
      <w:bookmarkStart w:id="392" w:name="_Toc152045577"/>
      <w:bookmarkStart w:id="393" w:name="_Toc246996221"/>
      <w:bookmarkStart w:id="394" w:name="_Toc247085735"/>
      <w:bookmarkStart w:id="395" w:name="_Toc425177163"/>
      <w:bookmarkStart w:id="396" w:name="_Toc144974545"/>
      <w:r>
        <w:rPr>
          <w:rFonts w:hint="eastAsia" w:ascii="宋体" w:hAnsi="宋体" w:cs="宋体"/>
          <w:color w:val="auto"/>
          <w:sz w:val="24"/>
          <w:szCs w:val="24"/>
        </w:rPr>
        <w:t>8.3 对评标委员会成员的纪律要求</w:t>
      </w:r>
      <w:bookmarkEnd w:id="388"/>
      <w:bookmarkEnd w:id="389"/>
      <w:bookmarkEnd w:id="390"/>
      <w:bookmarkEnd w:id="391"/>
      <w:bookmarkEnd w:id="392"/>
      <w:bookmarkEnd w:id="393"/>
      <w:bookmarkEnd w:id="394"/>
      <w:bookmarkEnd w:id="395"/>
      <w:bookmarkEnd w:id="396"/>
    </w:p>
    <w:p>
      <w:pPr>
        <w:spacing w:line="440" w:lineRule="exact"/>
        <w:ind w:firstLine="480" w:firstLineChars="200"/>
        <w:rPr>
          <w:rFonts w:ascii="宋体" w:hAnsi="宋体" w:cs="宋体"/>
          <w:color w:val="auto"/>
          <w:sz w:val="24"/>
        </w:rPr>
      </w:pPr>
      <w:r>
        <w:rPr>
          <w:rFonts w:hint="eastAsia" w:ascii="宋体" w:hAnsi="宋体" w:cs="宋体"/>
          <w:color w:val="auto"/>
          <w:sz w:val="24"/>
        </w:rPr>
        <w:t>评标委员会成员不得收受他人的财物或者其他好处，不得向他人透漏对磋商响应文件的评审和比较、成交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2"/>
        <w:spacing w:before="0" w:after="0" w:line="440" w:lineRule="exact"/>
        <w:rPr>
          <w:rFonts w:ascii="宋体" w:hAnsi="宋体" w:cs="宋体"/>
          <w:color w:val="auto"/>
          <w:sz w:val="24"/>
          <w:szCs w:val="24"/>
        </w:rPr>
      </w:pPr>
      <w:bookmarkStart w:id="397" w:name="_Toc152045578"/>
      <w:bookmarkStart w:id="398" w:name="_Toc179632596"/>
      <w:bookmarkStart w:id="399" w:name="_Toc247085736"/>
      <w:bookmarkStart w:id="400" w:name="_Toc152042354"/>
      <w:bookmarkStart w:id="401" w:name="_Toc246996965"/>
      <w:bookmarkStart w:id="402" w:name="_Toc425177164"/>
      <w:bookmarkStart w:id="403" w:name="_Toc246996222"/>
      <w:bookmarkStart w:id="404" w:name="_Toc22609"/>
      <w:bookmarkStart w:id="405" w:name="_Toc144974546"/>
      <w:r>
        <w:rPr>
          <w:rFonts w:hint="eastAsia" w:ascii="宋体" w:hAnsi="宋体" w:cs="宋体"/>
          <w:color w:val="auto"/>
          <w:sz w:val="24"/>
          <w:szCs w:val="24"/>
        </w:rPr>
        <w:t>8.4 对与评标活动有关的工作人员的纪律要求</w:t>
      </w:r>
      <w:bookmarkEnd w:id="397"/>
      <w:bookmarkEnd w:id="398"/>
      <w:bookmarkEnd w:id="399"/>
      <w:bookmarkEnd w:id="400"/>
      <w:bookmarkEnd w:id="401"/>
      <w:bookmarkEnd w:id="402"/>
      <w:bookmarkEnd w:id="403"/>
      <w:bookmarkEnd w:id="404"/>
    </w:p>
    <w:p>
      <w:pPr>
        <w:spacing w:line="440" w:lineRule="exact"/>
        <w:ind w:firstLine="480" w:firstLineChars="200"/>
        <w:rPr>
          <w:rFonts w:ascii="宋体" w:hAnsi="宋体" w:cs="宋体"/>
          <w:color w:val="auto"/>
          <w:sz w:val="24"/>
        </w:rPr>
      </w:pPr>
      <w:bookmarkStart w:id="406" w:name="_Toc152042355"/>
      <w:r>
        <w:rPr>
          <w:rFonts w:hint="eastAsia" w:ascii="宋体" w:hAnsi="宋体" w:cs="宋体"/>
          <w:color w:val="auto"/>
          <w:sz w:val="24"/>
        </w:rPr>
        <w:t>与评标活动有关的工作人员不得收受他人的财物或者其他好处，不得向他人透漏对磋商响应文件的评审和比较、成交候选人的推荐情况以及评标有关的其他情况。在评标活动中，与评标活动有关的工作人员不得擅离职守，影响评标程序正常进行。</w:t>
      </w:r>
      <w:bookmarkEnd w:id="406"/>
    </w:p>
    <w:p>
      <w:pPr>
        <w:pStyle w:val="2"/>
        <w:spacing w:before="0" w:after="0" w:line="440" w:lineRule="exact"/>
        <w:rPr>
          <w:rFonts w:ascii="宋体" w:hAnsi="宋体" w:cs="宋体"/>
          <w:color w:val="auto"/>
          <w:sz w:val="24"/>
          <w:szCs w:val="24"/>
        </w:rPr>
      </w:pPr>
      <w:bookmarkStart w:id="407" w:name="_Toc152042356"/>
      <w:bookmarkStart w:id="408" w:name="_Toc19092"/>
      <w:bookmarkStart w:id="409" w:name="_Toc247085737"/>
      <w:bookmarkStart w:id="410" w:name="_Toc246996966"/>
      <w:bookmarkStart w:id="411" w:name="_Toc246996223"/>
      <w:bookmarkStart w:id="412" w:name="_Toc425177165"/>
      <w:bookmarkStart w:id="413" w:name="_Toc152045579"/>
      <w:bookmarkStart w:id="414" w:name="_Toc179632597"/>
      <w:r>
        <w:rPr>
          <w:rFonts w:hint="eastAsia" w:ascii="宋体" w:hAnsi="宋体" w:cs="宋体"/>
          <w:color w:val="auto"/>
          <w:sz w:val="24"/>
          <w:szCs w:val="24"/>
        </w:rPr>
        <w:t>8.5 投诉</w:t>
      </w:r>
      <w:bookmarkEnd w:id="405"/>
      <w:bookmarkEnd w:id="407"/>
      <w:bookmarkEnd w:id="408"/>
      <w:bookmarkEnd w:id="409"/>
      <w:bookmarkEnd w:id="410"/>
      <w:bookmarkEnd w:id="411"/>
      <w:bookmarkEnd w:id="412"/>
      <w:bookmarkEnd w:id="413"/>
      <w:bookmarkEnd w:id="414"/>
    </w:p>
    <w:p>
      <w:pPr>
        <w:spacing w:line="440" w:lineRule="exact"/>
        <w:ind w:firstLine="480" w:firstLineChars="200"/>
        <w:rPr>
          <w:rFonts w:ascii="宋体" w:hAnsi="宋体" w:cs="宋体"/>
          <w:color w:val="auto"/>
          <w:sz w:val="24"/>
        </w:rPr>
      </w:pPr>
      <w:r>
        <w:rPr>
          <w:rFonts w:hint="eastAsia" w:ascii="宋体" w:hAnsi="宋体" w:cs="宋体"/>
          <w:color w:val="auto"/>
          <w:sz w:val="24"/>
        </w:rPr>
        <w:t>供应商和其他利害关系人认为本次招标活动违反法律、法规和规章规定的，有权向有关行政监督部门投诉。</w:t>
      </w:r>
    </w:p>
    <w:p>
      <w:pPr>
        <w:pStyle w:val="4"/>
        <w:spacing w:before="0" w:after="0" w:line="440" w:lineRule="exact"/>
        <w:rPr>
          <w:rFonts w:ascii="宋体" w:hAnsi="宋体" w:eastAsia="宋体" w:cs="宋体"/>
          <w:color w:val="auto"/>
          <w:sz w:val="24"/>
          <w:szCs w:val="24"/>
        </w:rPr>
      </w:pPr>
      <w:bookmarkStart w:id="415" w:name="_Toc26315"/>
      <w:r>
        <w:rPr>
          <w:rFonts w:hint="eastAsia" w:ascii="宋体" w:hAnsi="宋体" w:eastAsia="宋体" w:cs="宋体"/>
          <w:color w:val="auto"/>
          <w:sz w:val="24"/>
          <w:szCs w:val="24"/>
        </w:rPr>
        <w:t>9. 政府采购政策支持</w:t>
      </w:r>
      <w:bookmarkEnd w:id="415"/>
    </w:p>
    <w:p>
      <w:pPr>
        <w:spacing w:line="440" w:lineRule="exact"/>
        <w:ind w:firstLine="480" w:firstLineChars="200"/>
        <w:rPr>
          <w:rFonts w:ascii="宋体" w:hAnsi="宋体" w:cs="宋体"/>
          <w:color w:val="auto"/>
          <w:sz w:val="24"/>
        </w:rPr>
      </w:pPr>
      <w:r>
        <w:rPr>
          <w:rFonts w:hint="eastAsia" w:ascii="宋体" w:hAnsi="宋体" w:cs="宋体"/>
          <w:color w:val="auto"/>
          <w:sz w:val="24"/>
        </w:rPr>
        <w:t>（1）对于经主管预算单位统筹后未预留份额专门面向中小企业采购的采购项目，以及预留份额项目中的非预留部分采购包，符合《关于印发＜政府采购促进中小企业发展管理办法＞的通知》（财库〔2020〕46号）规定的小微企业报价给予6%（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spacing w:line="440" w:lineRule="exact"/>
        <w:ind w:firstLine="480" w:firstLineChars="200"/>
        <w:rPr>
          <w:rFonts w:ascii="宋体" w:hAnsi="宋体" w:cs="宋体"/>
          <w:color w:val="auto"/>
          <w:sz w:val="24"/>
        </w:rPr>
      </w:pPr>
      <w:r>
        <w:rPr>
          <w:rFonts w:hint="eastAsia" w:ascii="宋体" w:hAnsi="宋体" w:cs="宋体"/>
          <w:color w:val="auto"/>
          <w:sz w:val="24"/>
        </w:rPr>
        <w:t xml:space="preserve">（2）接受大中型企业与小微企业组成联合体或者允许大中型企业向一家或者多家小微企业分包的采购项目，对于联合协议或者分包意向协议约定小微企业的合同份额占到合同总金额30%以上的，采购人、招标代理机构应当对联合体或者大中型企业的报价给予2%（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 </w:t>
      </w:r>
    </w:p>
    <w:p>
      <w:pPr>
        <w:spacing w:line="440" w:lineRule="exact"/>
        <w:ind w:firstLine="480" w:firstLineChars="200"/>
        <w:rPr>
          <w:rFonts w:ascii="宋体" w:hAnsi="宋体" w:cs="宋体"/>
          <w:color w:val="auto"/>
          <w:sz w:val="24"/>
        </w:rPr>
      </w:pPr>
      <w:r>
        <w:rPr>
          <w:rFonts w:hint="eastAsia" w:ascii="宋体" w:hAnsi="宋体" w:cs="宋体"/>
          <w:color w:val="auto"/>
          <w:sz w:val="24"/>
        </w:rPr>
        <w:t>（3）在政府采购活动中，监狱企业、残疾人福利性单位视同小型、微型企业，享受评审中价格扣除等政府采购促进中小企业发展的政府采购政策。供应商为监狱企业，价格给予6%的扣除，用扣除后的价格参与评审。供应商为残疾人福利性单位，价格给予6%的扣除，用扣除后的价格参与评审。</w:t>
      </w:r>
    </w:p>
    <w:p>
      <w:pPr>
        <w:spacing w:line="440" w:lineRule="exact"/>
        <w:ind w:firstLine="480" w:firstLineChars="200"/>
        <w:rPr>
          <w:rFonts w:ascii="宋体" w:hAnsi="宋体" w:cs="宋体"/>
          <w:color w:val="auto"/>
          <w:sz w:val="24"/>
        </w:rPr>
      </w:pPr>
      <w:r>
        <w:rPr>
          <w:rFonts w:hint="eastAsia" w:ascii="宋体" w:hAnsi="宋体" w:cs="宋体"/>
          <w:color w:val="auto"/>
          <w:sz w:val="24"/>
        </w:rPr>
        <w:t>（4）对于优先采购的节能产品和环境标志产品的投标单价给予2%的扣除，用扣除后的价格参与评审。</w:t>
      </w:r>
    </w:p>
    <w:p>
      <w:pPr>
        <w:spacing w:line="440" w:lineRule="exact"/>
        <w:ind w:firstLine="480" w:firstLineChars="200"/>
        <w:rPr>
          <w:rFonts w:ascii="宋体" w:hAnsi="宋体" w:cs="宋体"/>
          <w:color w:val="auto"/>
          <w:sz w:val="24"/>
        </w:rPr>
      </w:pPr>
      <w:r>
        <w:rPr>
          <w:rFonts w:hint="eastAsia" w:ascii="宋体" w:hAnsi="宋体" w:cs="宋体"/>
          <w:color w:val="auto"/>
          <w:sz w:val="24"/>
        </w:rPr>
        <w:t>（5）对于绿色产品的投标单价给予</w:t>
      </w:r>
      <w:bookmarkStart w:id="638" w:name="_GoBack"/>
      <w:bookmarkEnd w:id="638"/>
      <w:r>
        <w:rPr>
          <w:rFonts w:hint="eastAsia" w:ascii="宋体" w:hAnsi="宋体" w:cs="宋体"/>
          <w:color w:val="auto"/>
          <w:sz w:val="24"/>
        </w:rPr>
        <w:t>2%的扣除，用扣除后的价格参与评审。</w:t>
      </w:r>
    </w:p>
    <w:p>
      <w:pPr>
        <w:pStyle w:val="2"/>
        <w:spacing w:before="0" w:after="0" w:line="440" w:lineRule="exact"/>
        <w:rPr>
          <w:rFonts w:ascii="宋体" w:hAnsi="宋体" w:cs="宋体"/>
          <w:color w:val="auto"/>
          <w:sz w:val="24"/>
          <w:szCs w:val="24"/>
        </w:rPr>
      </w:pPr>
      <w:r>
        <w:rPr>
          <w:rFonts w:hint="eastAsia" w:ascii="宋体" w:hAnsi="宋体" w:cs="宋体"/>
          <w:color w:val="auto"/>
          <w:sz w:val="24"/>
          <w:szCs w:val="24"/>
        </w:rPr>
        <w:t>9.1 供应商符合政府采政策的，应提供相关证明资料。</w:t>
      </w:r>
    </w:p>
    <w:p>
      <w:pPr>
        <w:spacing w:line="440" w:lineRule="exact"/>
        <w:ind w:firstLine="480" w:firstLineChars="200"/>
        <w:rPr>
          <w:rFonts w:ascii="宋体" w:hAnsi="宋体" w:cs="宋体"/>
          <w:color w:val="auto"/>
          <w:sz w:val="24"/>
        </w:rPr>
      </w:pPr>
      <w:r>
        <w:rPr>
          <w:rFonts w:hint="eastAsia" w:ascii="宋体" w:hAnsi="宋体" w:cs="宋体"/>
          <w:color w:val="auto"/>
          <w:sz w:val="24"/>
        </w:rPr>
        <w:t>（1）节能产品、环境标志产品：提供国家确定的认证机构出具的、处于有效期之内的节能产品、环境标志产品认证证书（复印件）。</w:t>
      </w:r>
    </w:p>
    <w:p>
      <w:pPr>
        <w:spacing w:line="440" w:lineRule="exact"/>
        <w:ind w:firstLine="480" w:firstLineChars="200"/>
        <w:rPr>
          <w:rFonts w:ascii="宋体" w:hAnsi="宋体" w:cs="宋体"/>
          <w:color w:val="auto"/>
          <w:sz w:val="24"/>
        </w:rPr>
      </w:pPr>
      <w:r>
        <w:rPr>
          <w:rFonts w:hint="eastAsia" w:ascii="宋体" w:hAnsi="宋体" w:cs="宋体"/>
          <w:color w:val="auto"/>
          <w:sz w:val="24"/>
        </w:rPr>
        <w:t>（2）小微企业：按《关于印发＜政府采购促进中小企业发展管理办法＞的通知》（财库〔2020〕46号）规定，中小企业参加政府采购活动，应当出具《中小企业声明函》。任何单位和个人不得要求供应商提供《中小企业声明函》之外的中小企业身份证明文件。</w:t>
      </w:r>
    </w:p>
    <w:p>
      <w:pPr>
        <w:spacing w:line="440" w:lineRule="exact"/>
        <w:ind w:firstLine="480" w:firstLineChars="200"/>
        <w:rPr>
          <w:rFonts w:ascii="宋体" w:hAnsi="宋体" w:cs="宋体"/>
          <w:color w:val="auto"/>
          <w:sz w:val="24"/>
        </w:rPr>
      </w:pPr>
      <w:r>
        <w:rPr>
          <w:rFonts w:hint="eastAsia" w:ascii="宋体" w:hAnsi="宋体" w:cs="宋体"/>
          <w:color w:val="auto"/>
          <w:sz w:val="24"/>
        </w:rPr>
        <w:t>（3）监狱企业：按《关于政府采购支持监狱企业发展有关问题的通知》（财库〔2014〕68号）文件规定提供应当提供由省级以上监狱管理局、戒毒管理局（含新疆生产建设兵团）出具的属于监狱企业的证明文件。</w:t>
      </w:r>
    </w:p>
    <w:p>
      <w:pPr>
        <w:spacing w:line="440" w:lineRule="exact"/>
        <w:ind w:firstLine="480" w:firstLineChars="200"/>
        <w:rPr>
          <w:rFonts w:ascii="宋体" w:hAnsi="宋体" w:cs="宋体"/>
          <w:color w:val="auto"/>
          <w:sz w:val="24"/>
        </w:rPr>
      </w:pPr>
      <w:r>
        <w:rPr>
          <w:rFonts w:hint="eastAsia" w:ascii="宋体" w:hAnsi="宋体" w:cs="宋体"/>
          <w:color w:val="auto"/>
          <w:sz w:val="24"/>
        </w:rPr>
        <w:t>（4）残疾人福利性单位：按《关于促进残疾人就业政府采购政策的通知》（财库〔2017〕141号）文件规定提供《残疾人福利性单位声明函》。</w:t>
      </w:r>
    </w:p>
    <w:p>
      <w:pPr>
        <w:spacing w:line="440" w:lineRule="exact"/>
        <w:ind w:firstLine="480" w:firstLineChars="200"/>
        <w:rPr>
          <w:rFonts w:ascii="宋体" w:hAnsi="宋体" w:cs="宋体"/>
          <w:color w:val="auto"/>
          <w:sz w:val="24"/>
        </w:rPr>
      </w:pPr>
      <w:r>
        <w:rPr>
          <w:rFonts w:hint="eastAsia" w:ascii="宋体" w:hAnsi="宋体" w:cs="宋体"/>
          <w:color w:val="auto"/>
          <w:sz w:val="24"/>
        </w:rPr>
        <w:t>（5）绿色产品：提供国家确定的认证机构出具的、处于有效期之内的绿色产品认证证书（复印件）。</w:t>
      </w:r>
    </w:p>
    <w:p>
      <w:pPr>
        <w:pStyle w:val="2"/>
        <w:spacing w:before="0" w:after="0" w:line="440" w:lineRule="exact"/>
        <w:rPr>
          <w:rFonts w:ascii="宋体" w:hAnsi="宋体" w:cs="宋体"/>
          <w:color w:val="auto"/>
          <w:sz w:val="24"/>
          <w:szCs w:val="24"/>
        </w:rPr>
      </w:pPr>
      <w:r>
        <w:rPr>
          <w:rFonts w:hint="eastAsia" w:ascii="宋体" w:hAnsi="宋体" w:cs="宋体"/>
          <w:color w:val="auto"/>
          <w:sz w:val="24"/>
          <w:szCs w:val="24"/>
        </w:rPr>
        <w:t>9.2 相关要求</w:t>
      </w:r>
    </w:p>
    <w:p>
      <w:pPr>
        <w:spacing w:line="440" w:lineRule="exact"/>
        <w:ind w:firstLine="480" w:firstLineChars="200"/>
        <w:rPr>
          <w:rFonts w:ascii="宋体" w:hAnsi="宋体" w:cs="宋体"/>
          <w:color w:val="auto"/>
          <w:sz w:val="24"/>
        </w:rPr>
      </w:pPr>
      <w:r>
        <w:rPr>
          <w:rFonts w:hint="eastAsia" w:ascii="宋体" w:hAnsi="宋体" w:cs="宋体"/>
          <w:color w:val="auto"/>
          <w:sz w:val="24"/>
        </w:rPr>
        <w:t>（1）价格扣除比例或者价格分加分比例对小型企业和微型企业同等对待，不作区分。</w:t>
      </w:r>
    </w:p>
    <w:p>
      <w:pPr>
        <w:spacing w:line="440" w:lineRule="exact"/>
        <w:ind w:firstLine="480" w:firstLineChars="200"/>
        <w:rPr>
          <w:rFonts w:ascii="宋体" w:hAnsi="宋体" w:cs="宋体"/>
          <w:color w:val="auto"/>
          <w:sz w:val="24"/>
        </w:rPr>
      </w:pPr>
      <w:r>
        <w:rPr>
          <w:rFonts w:hint="eastAsia" w:ascii="宋体" w:hAnsi="宋体" w:cs="宋体"/>
          <w:color w:val="auto"/>
          <w:sz w:val="24"/>
        </w:rPr>
        <w:t>（2）依据《关于印发＜政府采购促进中小企业发展管理办法＞的通知》（财库〔2020〕46号）规定享受扶持政策获得政府采购合同的，小微企业不得将合同分包给大中型企业，中型企业不得将合同分包给大型企业。</w:t>
      </w:r>
    </w:p>
    <w:p>
      <w:pPr>
        <w:spacing w:line="440" w:lineRule="exact"/>
        <w:ind w:firstLine="480" w:firstLineChars="200"/>
        <w:rPr>
          <w:rFonts w:ascii="宋体" w:hAnsi="宋体" w:cs="宋体"/>
          <w:color w:val="auto"/>
          <w:sz w:val="24"/>
        </w:rPr>
      </w:pPr>
      <w:r>
        <w:rPr>
          <w:rFonts w:hint="eastAsia" w:ascii="宋体" w:hAnsi="宋体" w:cs="宋体"/>
          <w:color w:val="auto"/>
          <w:sz w:val="24"/>
        </w:rPr>
        <w:t>（3）中小企业在资金支付期限、预款比例等方面的优惠措施，依据国务院令第728号《保障中小企业款项支付条例》实施。</w:t>
      </w:r>
    </w:p>
    <w:p>
      <w:pPr>
        <w:spacing w:line="440" w:lineRule="exact"/>
        <w:ind w:firstLine="480" w:firstLineChars="200"/>
        <w:rPr>
          <w:rFonts w:ascii="宋体" w:hAnsi="宋体" w:cs="宋体"/>
          <w:color w:val="auto"/>
          <w:sz w:val="24"/>
        </w:rPr>
      </w:pPr>
      <w:r>
        <w:rPr>
          <w:rFonts w:hint="eastAsia" w:ascii="宋体" w:hAnsi="宋体" w:cs="宋体"/>
          <w:color w:val="auto"/>
          <w:sz w:val="24"/>
        </w:rPr>
        <w:t>（4）在政府采购活动中，供应商提供的货物、工程或者服务符合下列情形的，享受本办法规定的中小企业扶持政策：</w:t>
      </w:r>
    </w:p>
    <w:p>
      <w:pPr>
        <w:spacing w:line="440" w:lineRule="exact"/>
        <w:ind w:firstLine="480" w:firstLineChars="200"/>
        <w:rPr>
          <w:rFonts w:ascii="宋体" w:hAnsi="宋体" w:cs="宋体"/>
          <w:color w:val="auto"/>
          <w:sz w:val="24"/>
        </w:rPr>
      </w:pPr>
      <w:r>
        <w:rPr>
          <w:rFonts w:hint="eastAsia" w:ascii="宋体" w:hAnsi="宋体" w:cs="宋体"/>
          <w:color w:val="auto"/>
          <w:sz w:val="24"/>
        </w:rPr>
        <w:t>①在货物采购项目中，货物由中小企业制造，即货物由中小企业生产且使用该中小企业商号或者注册商标；</w:t>
      </w:r>
    </w:p>
    <w:p>
      <w:pPr>
        <w:spacing w:line="440" w:lineRule="exact"/>
        <w:ind w:firstLine="480" w:firstLineChars="200"/>
        <w:rPr>
          <w:rFonts w:ascii="宋体" w:hAnsi="宋体" w:cs="宋体"/>
          <w:color w:val="auto"/>
          <w:sz w:val="24"/>
        </w:rPr>
      </w:pPr>
      <w:r>
        <w:rPr>
          <w:rFonts w:hint="eastAsia" w:ascii="宋体" w:hAnsi="宋体" w:cs="宋体"/>
          <w:color w:val="auto"/>
          <w:sz w:val="24"/>
        </w:rPr>
        <w:t>②在工程采购项目中，工程由中小企业承建，即工程施工单位为中小企业；</w:t>
      </w:r>
    </w:p>
    <w:p>
      <w:pPr>
        <w:spacing w:line="440" w:lineRule="exact"/>
        <w:ind w:firstLine="480" w:firstLineChars="200"/>
        <w:rPr>
          <w:rFonts w:ascii="宋体" w:hAnsi="宋体" w:cs="宋体"/>
          <w:color w:val="auto"/>
          <w:sz w:val="24"/>
        </w:rPr>
      </w:pPr>
      <w:r>
        <w:rPr>
          <w:rFonts w:hint="eastAsia" w:ascii="宋体" w:hAnsi="宋体" w:cs="宋体"/>
          <w:color w:val="auto"/>
          <w:sz w:val="24"/>
        </w:rPr>
        <w:t>③在服务采购项目中，服务由中小企业承接，即提供服务的人员为中小企业依照《中华人民共和国劳动合同法》订立劳动合同的从业人员。</w:t>
      </w:r>
    </w:p>
    <w:p>
      <w:pPr>
        <w:spacing w:line="440" w:lineRule="exact"/>
        <w:ind w:firstLine="480" w:firstLineChars="200"/>
        <w:rPr>
          <w:rFonts w:ascii="宋体" w:hAnsi="宋体" w:cs="宋体"/>
          <w:color w:val="auto"/>
          <w:sz w:val="24"/>
        </w:rPr>
      </w:pPr>
      <w:r>
        <w:rPr>
          <w:rFonts w:hint="eastAsia" w:ascii="宋体" w:hAnsi="宋体" w:cs="宋体"/>
          <w:color w:val="auto"/>
          <w:sz w:val="24"/>
        </w:rPr>
        <w:t>在货物采购项目中，供应商提供的货物既有中小企业制造货物，也有大型企业制造货物的，不享受本办法规定的中小企业扶持政策。</w:t>
      </w:r>
    </w:p>
    <w:p>
      <w:pPr>
        <w:spacing w:line="440" w:lineRule="exact"/>
        <w:ind w:firstLine="480" w:firstLineChars="200"/>
        <w:rPr>
          <w:rFonts w:ascii="宋体" w:hAnsi="宋体" w:cs="宋体"/>
          <w:color w:val="auto"/>
          <w:sz w:val="24"/>
        </w:rPr>
      </w:pPr>
      <w:r>
        <w:rPr>
          <w:rFonts w:hint="eastAsia" w:ascii="宋体" w:hAnsi="宋体" w:cs="宋体"/>
          <w:color w:val="auto"/>
          <w:sz w:val="24"/>
        </w:rPr>
        <w:t>以联合体形式参加政府采购活动，联合体各方均为中小企业的，联合体视同中小企业。其中，联合体各方均为小微企业的，联合体视同小微企业。</w:t>
      </w:r>
    </w:p>
    <w:p>
      <w:pPr>
        <w:spacing w:line="440" w:lineRule="exact"/>
        <w:ind w:firstLine="480" w:firstLineChars="200"/>
        <w:rPr>
          <w:rFonts w:ascii="宋体" w:hAnsi="宋体" w:cs="宋体"/>
          <w:color w:val="auto"/>
          <w:sz w:val="24"/>
        </w:rPr>
      </w:pPr>
      <w:r>
        <w:rPr>
          <w:rFonts w:hint="eastAsia" w:ascii="宋体" w:hAnsi="宋体" w:cs="宋体"/>
          <w:color w:val="auto"/>
          <w:sz w:val="24"/>
        </w:rPr>
        <w:t>（6）组成联合体或者接受分包合同的中小企业与联合体内其他企业、分包企业之间不得存在直接控股、管理关系。</w:t>
      </w:r>
    </w:p>
    <w:p>
      <w:pPr>
        <w:spacing w:line="440" w:lineRule="exact"/>
        <w:ind w:firstLine="480" w:firstLineChars="200"/>
        <w:rPr>
          <w:rFonts w:hint="eastAsia" w:ascii="宋体" w:hAnsi="宋体" w:eastAsia="宋体" w:cs="宋体"/>
          <w:color w:val="auto"/>
          <w:sz w:val="24"/>
          <w:lang w:eastAsia="zh-CN"/>
        </w:rPr>
      </w:pPr>
      <w:r>
        <w:rPr>
          <w:rFonts w:hint="eastAsia" w:ascii="宋体" w:hAnsi="宋体" w:cs="宋体"/>
          <w:color w:val="auto"/>
          <w:sz w:val="24"/>
        </w:rPr>
        <w:t>（7）依据《政府采购促进中小企业发展管理办法》规定享受扶持政策获得政府采购合同的，小微企业不得将合同分包给大中型企业，中型企业不得将合同分包给大型企业</w:t>
      </w:r>
      <w:r>
        <w:rPr>
          <w:rFonts w:hint="eastAsia" w:ascii="宋体" w:hAnsi="宋体" w:cs="宋体"/>
          <w:color w:val="auto"/>
          <w:sz w:val="24"/>
          <w:lang w:eastAsia="zh-CN"/>
        </w:rPr>
        <w:t>。</w:t>
      </w:r>
    </w:p>
    <w:p>
      <w:pPr>
        <w:pStyle w:val="2"/>
        <w:spacing w:before="0" w:after="0" w:line="440" w:lineRule="exact"/>
        <w:rPr>
          <w:rFonts w:ascii="宋体" w:hAnsi="宋体" w:cs="宋体"/>
          <w:color w:val="auto"/>
          <w:sz w:val="24"/>
          <w:szCs w:val="24"/>
        </w:rPr>
      </w:pPr>
      <w:r>
        <w:rPr>
          <w:rFonts w:hint="eastAsia" w:ascii="宋体" w:hAnsi="宋体" w:cs="宋体"/>
          <w:color w:val="auto"/>
          <w:sz w:val="24"/>
          <w:szCs w:val="24"/>
        </w:rPr>
        <w:t>9.3 关于采购信息安全产品的要求</w:t>
      </w:r>
    </w:p>
    <w:p>
      <w:pPr>
        <w:spacing w:line="440" w:lineRule="exact"/>
        <w:ind w:firstLine="480" w:firstLineChars="200"/>
        <w:rPr>
          <w:rFonts w:ascii="宋体" w:hAnsi="宋体" w:cs="宋体"/>
          <w:color w:val="auto"/>
          <w:sz w:val="24"/>
        </w:rPr>
      </w:pPr>
      <w:r>
        <w:rPr>
          <w:rFonts w:hint="eastAsia" w:ascii="宋体" w:hAnsi="宋体" w:cs="宋体"/>
          <w:color w:val="auto"/>
          <w:sz w:val="24"/>
        </w:rPr>
        <w:t>根据《关于信息安全产品实施政府采购的通知》（财库〔2010〕48号）的要求，使用财政性资金采购信息安全产品的，应当采购经国家认证的信息安全产品。信息安全产品是指列入国家质检总局、财政部、认监委《信息安全产品强制性认证目录》，并获得中国国家信息安全产品认证证书的产品；提供的产品属于信息安全产品的，供应商应当选择经国家认证的信息安全产品投标，并提供有效的中国国家信息安全产品认证证书复印件。</w:t>
      </w:r>
    </w:p>
    <w:p>
      <w:pPr>
        <w:pStyle w:val="2"/>
        <w:spacing w:before="0" w:after="0" w:line="440" w:lineRule="exact"/>
        <w:rPr>
          <w:rFonts w:ascii="宋体" w:hAnsi="宋体" w:cs="宋体"/>
          <w:color w:val="auto"/>
          <w:sz w:val="24"/>
          <w:szCs w:val="24"/>
        </w:rPr>
      </w:pPr>
      <w:r>
        <w:rPr>
          <w:rFonts w:hint="eastAsia" w:ascii="宋体" w:hAnsi="宋体" w:cs="宋体"/>
          <w:color w:val="auto"/>
          <w:sz w:val="24"/>
          <w:szCs w:val="24"/>
        </w:rPr>
        <w:t>9.4 政府采购政策交叉与叠加</w:t>
      </w:r>
    </w:p>
    <w:p>
      <w:pPr>
        <w:spacing w:line="440" w:lineRule="exact"/>
        <w:ind w:firstLine="480" w:firstLineChars="200"/>
        <w:rPr>
          <w:rFonts w:ascii="宋体" w:hAnsi="宋体" w:cs="宋体"/>
          <w:color w:val="auto"/>
          <w:sz w:val="24"/>
        </w:rPr>
      </w:pPr>
      <w:r>
        <w:rPr>
          <w:rFonts w:hint="eastAsia" w:ascii="宋体" w:hAnsi="宋体" w:cs="宋体"/>
          <w:color w:val="auto"/>
          <w:sz w:val="24"/>
        </w:rPr>
        <w:t>（1）优先采购同时属于“节能产品”、“环境标志产品”的，评审时只有其中一项产品能享受优先采购优惠（供应商自行选择，并在响应文件中并填报相关信息及数据）；</w:t>
      </w:r>
    </w:p>
    <w:p>
      <w:pPr>
        <w:spacing w:line="440" w:lineRule="exact"/>
        <w:ind w:firstLine="480" w:firstLineChars="200"/>
        <w:rPr>
          <w:rFonts w:ascii="宋体" w:hAnsi="宋体" w:cs="宋体"/>
          <w:color w:val="auto"/>
          <w:sz w:val="24"/>
        </w:rPr>
      </w:pPr>
      <w:r>
        <w:rPr>
          <w:rFonts w:hint="eastAsia" w:ascii="宋体" w:hAnsi="宋体" w:cs="宋体"/>
          <w:color w:val="auto"/>
          <w:sz w:val="24"/>
        </w:rPr>
        <w:t>（2）监狱企业、残疾人福利性单位同时属于小型、微型企业的，不重复享受价格评审优惠政策；</w:t>
      </w:r>
    </w:p>
    <w:p>
      <w:pPr>
        <w:spacing w:line="440" w:lineRule="exact"/>
        <w:ind w:firstLine="480" w:firstLineChars="200"/>
        <w:rPr>
          <w:rFonts w:ascii="宋体" w:hAnsi="宋体" w:cs="宋体"/>
          <w:color w:val="auto"/>
          <w:sz w:val="24"/>
        </w:rPr>
      </w:pPr>
      <w:r>
        <w:rPr>
          <w:rFonts w:hint="eastAsia" w:ascii="宋体" w:hAnsi="宋体" w:cs="宋体"/>
          <w:color w:val="auto"/>
          <w:sz w:val="24"/>
        </w:rPr>
        <w:t>（3）小型和微型企业的价格评审优惠可以与同时属于“节能产品”、“环境标志产品”中的一项优先采购优惠累加计算。</w:t>
      </w:r>
    </w:p>
    <w:p>
      <w:pPr>
        <w:spacing w:line="440" w:lineRule="exact"/>
        <w:ind w:firstLine="480" w:firstLineChars="200"/>
        <w:rPr>
          <w:rFonts w:ascii="宋体" w:hAnsi="宋体" w:cs="宋体"/>
          <w:color w:val="auto"/>
          <w:sz w:val="24"/>
        </w:rPr>
      </w:pPr>
      <w:r>
        <w:rPr>
          <w:rFonts w:hint="eastAsia" w:ascii="宋体" w:hAnsi="宋体" w:cs="宋体"/>
          <w:color w:val="auto"/>
          <w:sz w:val="24"/>
        </w:rPr>
        <w:t>如有虚假骗取政策性加分，将依法承担相应责任。</w:t>
      </w:r>
    </w:p>
    <w:p>
      <w:pPr>
        <w:pStyle w:val="4"/>
        <w:spacing w:before="0" w:after="0" w:line="440" w:lineRule="exact"/>
        <w:rPr>
          <w:rFonts w:ascii="宋体" w:hAnsi="宋体" w:eastAsia="宋体" w:cs="宋体"/>
          <w:color w:val="auto"/>
          <w:sz w:val="24"/>
          <w:szCs w:val="24"/>
        </w:rPr>
      </w:pPr>
      <w:bookmarkStart w:id="416" w:name="_Toc144974547"/>
      <w:bookmarkStart w:id="417" w:name="_Toc425177166"/>
      <w:bookmarkStart w:id="418" w:name="_Toc23318"/>
      <w:bookmarkStart w:id="419" w:name="_Toc152045580"/>
      <w:bookmarkStart w:id="420" w:name="_Toc179632598"/>
      <w:bookmarkStart w:id="421" w:name="_Toc246996224"/>
      <w:bookmarkStart w:id="422" w:name="_Toc246996967"/>
      <w:bookmarkStart w:id="423" w:name="_Toc247085738"/>
      <w:bookmarkStart w:id="424" w:name="_Toc152042357"/>
      <w:r>
        <w:rPr>
          <w:rFonts w:hint="eastAsia" w:ascii="宋体" w:hAnsi="宋体" w:eastAsia="宋体" w:cs="宋体"/>
          <w:color w:val="auto"/>
          <w:sz w:val="24"/>
          <w:szCs w:val="24"/>
        </w:rPr>
        <w:t>10. 需要补充的其他内容</w:t>
      </w:r>
      <w:bookmarkEnd w:id="416"/>
      <w:bookmarkEnd w:id="417"/>
      <w:bookmarkEnd w:id="418"/>
      <w:bookmarkEnd w:id="419"/>
      <w:bookmarkEnd w:id="420"/>
      <w:bookmarkEnd w:id="421"/>
      <w:bookmarkEnd w:id="422"/>
      <w:bookmarkEnd w:id="423"/>
      <w:bookmarkEnd w:id="424"/>
    </w:p>
    <w:p>
      <w:pPr>
        <w:spacing w:line="440" w:lineRule="exact"/>
        <w:ind w:firstLine="480" w:firstLineChars="200"/>
        <w:rPr>
          <w:rFonts w:ascii="宋体" w:hAnsi="宋体" w:cs="宋体"/>
          <w:color w:val="auto"/>
          <w:sz w:val="24"/>
        </w:rPr>
      </w:pPr>
      <w:r>
        <w:rPr>
          <w:rFonts w:hint="eastAsia" w:ascii="宋体" w:hAnsi="宋体" w:cs="宋体"/>
          <w:color w:val="auto"/>
          <w:sz w:val="24"/>
        </w:rPr>
        <w:t>需要补充的其他内容：见供应商须知前附表。</w:t>
      </w:r>
    </w:p>
    <w:p>
      <w:pPr>
        <w:spacing w:before="156" w:beforeLines="50" w:after="156" w:afterLines="50" w:line="360" w:lineRule="auto"/>
        <w:jc w:val="center"/>
        <w:rPr>
          <w:rFonts w:ascii="宋体" w:hAnsi="宋体" w:cs="宋体"/>
          <w:b/>
          <w:color w:val="auto"/>
          <w:sz w:val="44"/>
          <w:szCs w:val="44"/>
        </w:rPr>
      </w:pPr>
      <w:r>
        <w:rPr>
          <w:rFonts w:ascii="宋体" w:hAnsi="宋体"/>
          <w:color w:val="auto"/>
        </w:rPr>
        <w:br w:type="page"/>
      </w:r>
    </w:p>
    <w:p>
      <w:pPr>
        <w:spacing w:line="400" w:lineRule="exact"/>
        <w:rPr>
          <w:rFonts w:ascii="黑体" w:hAnsi="黑体" w:eastAsia="黑体" w:cs="黑体"/>
          <w:b/>
          <w:bCs/>
          <w:color w:val="auto"/>
          <w:sz w:val="24"/>
        </w:rPr>
      </w:pPr>
      <w:r>
        <w:rPr>
          <w:rFonts w:hint="eastAsia" w:ascii="黑体" w:hAnsi="黑体" w:eastAsia="黑体" w:cs="黑体"/>
          <w:b/>
          <w:bCs/>
          <w:color w:val="auto"/>
          <w:sz w:val="24"/>
        </w:rPr>
        <w:t>附件一：开标记录表</w:t>
      </w:r>
    </w:p>
    <w:p>
      <w:pPr>
        <w:spacing w:line="400" w:lineRule="exact"/>
        <w:jc w:val="center"/>
        <w:rPr>
          <w:rFonts w:ascii="黑体" w:hAnsi="黑体" w:eastAsia="黑体" w:cs="黑体"/>
          <w:b/>
          <w:bCs/>
          <w:color w:val="auto"/>
          <w:sz w:val="24"/>
        </w:rPr>
      </w:pPr>
      <w:r>
        <w:rPr>
          <w:rFonts w:hint="eastAsia" w:ascii="黑体" w:hAnsi="黑体" w:eastAsia="黑体" w:cs="黑体"/>
          <w:b/>
          <w:bCs/>
          <w:color w:val="auto"/>
          <w:sz w:val="24"/>
        </w:rPr>
        <w:t>（项目名称）开标记录表</w:t>
      </w:r>
    </w:p>
    <w:p>
      <w:pPr>
        <w:spacing w:line="500" w:lineRule="exact"/>
        <w:ind w:firstLine="3960" w:firstLineChars="1650"/>
        <w:jc w:val="right"/>
        <w:rPr>
          <w:rFonts w:ascii="宋体" w:hAnsi="宋体"/>
          <w:color w:val="auto"/>
          <w:sz w:val="24"/>
        </w:rPr>
      </w:pPr>
      <w:r>
        <w:rPr>
          <w:rFonts w:hint="eastAsia" w:ascii="宋体" w:hAnsi="宋体"/>
          <w:color w:val="auto"/>
          <w:sz w:val="24"/>
        </w:rPr>
        <w:t>开标时间：年月日时分</w:t>
      </w:r>
    </w:p>
    <w:tbl>
      <w:tblPr>
        <w:tblStyle w:val="22"/>
        <w:tblW w:w="0" w:type="auto"/>
        <w:tblInd w:w="0" w:type="dxa"/>
        <w:tblLayout w:type="fixed"/>
        <w:tblCellMar>
          <w:top w:w="0" w:type="dxa"/>
          <w:left w:w="108" w:type="dxa"/>
          <w:bottom w:w="0" w:type="dxa"/>
          <w:right w:w="108" w:type="dxa"/>
        </w:tblCellMar>
      </w:tblPr>
      <w:tblGrid>
        <w:gridCol w:w="818"/>
        <w:gridCol w:w="895"/>
        <w:gridCol w:w="1072"/>
        <w:gridCol w:w="1753"/>
        <w:gridCol w:w="1068"/>
        <w:gridCol w:w="1129"/>
        <w:gridCol w:w="1023"/>
        <w:gridCol w:w="1529"/>
      </w:tblGrid>
      <w:tr>
        <w:tblPrEx>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auto"/>
                <w:sz w:val="24"/>
              </w:rPr>
            </w:pPr>
            <w:r>
              <w:rPr>
                <w:rFonts w:ascii="宋体" w:hAnsi="宋体"/>
                <w:color w:val="auto"/>
                <w:sz w:val="24"/>
              </w:rPr>
              <w:t>序号</w:t>
            </w:r>
          </w:p>
        </w:tc>
        <w:tc>
          <w:tcPr>
            <w:tcW w:w="89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auto"/>
                <w:sz w:val="24"/>
              </w:rPr>
            </w:pPr>
            <w:r>
              <w:rPr>
                <w:rFonts w:hint="eastAsia" w:ascii="宋体" w:hAnsi="宋体"/>
                <w:color w:val="auto"/>
                <w:sz w:val="24"/>
              </w:rPr>
              <w:t>供应商</w:t>
            </w:r>
          </w:p>
        </w:tc>
        <w:tc>
          <w:tcPr>
            <w:tcW w:w="107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auto"/>
                <w:sz w:val="24"/>
              </w:rPr>
            </w:pPr>
            <w:r>
              <w:rPr>
                <w:rFonts w:ascii="宋体" w:hAnsi="宋体"/>
                <w:color w:val="auto"/>
                <w:sz w:val="24"/>
              </w:rPr>
              <w:t>密封情况</w:t>
            </w:r>
          </w:p>
        </w:tc>
        <w:tc>
          <w:tcPr>
            <w:tcW w:w="17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auto"/>
                <w:sz w:val="24"/>
              </w:rPr>
            </w:pPr>
            <w:r>
              <w:rPr>
                <w:rFonts w:ascii="宋体" w:hAnsi="宋体"/>
                <w:color w:val="auto"/>
                <w:sz w:val="24"/>
              </w:rPr>
              <w:t>投标报价（元）</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auto"/>
                <w:sz w:val="24"/>
              </w:rPr>
            </w:pPr>
            <w:r>
              <w:rPr>
                <w:rFonts w:ascii="宋体" w:hAnsi="宋体"/>
                <w:color w:val="auto"/>
                <w:sz w:val="24"/>
              </w:rPr>
              <w:t>质量</w:t>
            </w:r>
            <w:r>
              <w:rPr>
                <w:rFonts w:hint="eastAsia" w:ascii="宋体" w:hAnsi="宋体"/>
                <w:color w:val="auto"/>
                <w:sz w:val="24"/>
              </w:rPr>
              <w:t>标准</w:t>
            </w:r>
          </w:p>
        </w:tc>
        <w:tc>
          <w:tcPr>
            <w:tcW w:w="112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auto"/>
                <w:sz w:val="24"/>
              </w:rPr>
            </w:pPr>
            <w:r>
              <w:rPr>
                <w:rFonts w:ascii="宋体" w:hAnsi="宋体"/>
                <w:color w:val="auto"/>
                <w:sz w:val="24"/>
              </w:rPr>
              <w:t>工期</w:t>
            </w:r>
          </w:p>
        </w:tc>
        <w:tc>
          <w:tcPr>
            <w:tcW w:w="102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auto"/>
                <w:sz w:val="24"/>
              </w:rPr>
            </w:pPr>
            <w:r>
              <w:rPr>
                <w:rFonts w:ascii="宋体" w:hAnsi="宋体"/>
                <w:color w:val="auto"/>
                <w:sz w:val="24"/>
              </w:rPr>
              <w:t>备注</w:t>
            </w:r>
          </w:p>
        </w:tc>
        <w:tc>
          <w:tcPr>
            <w:tcW w:w="152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auto"/>
                <w:sz w:val="24"/>
              </w:rPr>
            </w:pPr>
            <w:r>
              <w:rPr>
                <w:rFonts w:ascii="宋体" w:hAnsi="宋体"/>
                <w:color w:val="auto"/>
                <w:sz w:val="24"/>
              </w:rPr>
              <w:t>签名</w:t>
            </w:r>
          </w:p>
        </w:tc>
      </w:tr>
      <w:tr>
        <w:tblPrEx>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1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2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5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r>
      <w:tr>
        <w:tblPrEx>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1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2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5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r>
      <w:tr>
        <w:tblPrEx>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1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2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5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r>
      <w:tr>
        <w:tblPrEx>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1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2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5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r>
      <w:tr>
        <w:tblPrEx>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1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2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5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r>
      <w:tr>
        <w:tblPrEx>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1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2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5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r>
      <w:tr>
        <w:tblPrEx>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1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2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5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r>
      <w:tr>
        <w:tblPrEx>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1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2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5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r>
      <w:tr>
        <w:tblPrEx>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1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2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5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r>
      <w:tr>
        <w:tblPrEx>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1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2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5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r>
      <w:tr>
        <w:tblPrEx>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1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2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5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r>
      <w:tr>
        <w:tblPrEx>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1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2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5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r>
      <w:tr>
        <w:tblPrEx>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1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2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5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r>
      <w:tr>
        <w:tblPrEx>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1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2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5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r>
      <w:tr>
        <w:tblPrEx>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1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2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5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r>
      <w:tr>
        <w:tblPrEx>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1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02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c>
          <w:tcPr>
            <w:tcW w:w="152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r>
      <w:tr>
        <w:tblPrEx>
          <w:tblCellMar>
            <w:top w:w="0" w:type="dxa"/>
            <w:left w:w="108" w:type="dxa"/>
            <w:bottom w:w="0" w:type="dxa"/>
            <w:right w:w="108" w:type="dxa"/>
          </w:tblCellMar>
        </w:tblPrEx>
        <w:tc>
          <w:tcPr>
            <w:tcW w:w="4538" w:type="dxa"/>
            <w:gridSpan w:val="4"/>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olor w:val="auto"/>
                <w:sz w:val="24"/>
              </w:rPr>
            </w:pPr>
            <w:r>
              <w:rPr>
                <w:rFonts w:hint="eastAsia" w:ascii="宋体" w:hAnsi="宋体"/>
                <w:color w:val="auto"/>
                <w:sz w:val="24"/>
              </w:rPr>
              <w:t>采购人</w:t>
            </w:r>
            <w:r>
              <w:rPr>
                <w:rFonts w:ascii="宋体" w:hAnsi="宋体"/>
                <w:color w:val="auto"/>
                <w:sz w:val="24"/>
              </w:rPr>
              <w:t>编制的标底</w:t>
            </w:r>
            <w:r>
              <w:rPr>
                <w:rFonts w:hint="eastAsia" w:ascii="宋体" w:hAnsi="宋体"/>
                <w:color w:val="auto"/>
                <w:sz w:val="24"/>
              </w:rPr>
              <w:t>/最高限价</w:t>
            </w:r>
          </w:p>
        </w:tc>
        <w:tc>
          <w:tcPr>
            <w:tcW w:w="4749" w:type="dxa"/>
            <w:gridSpan w:val="4"/>
            <w:tcBorders>
              <w:left w:val="single" w:color="auto" w:sz="4" w:space="0"/>
              <w:bottom w:val="single" w:color="auto" w:sz="4" w:space="0"/>
              <w:right w:val="single" w:color="auto" w:sz="4" w:space="0"/>
            </w:tcBorders>
          </w:tcPr>
          <w:p>
            <w:pPr>
              <w:spacing w:line="500" w:lineRule="exact"/>
              <w:jc w:val="left"/>
              <w:rPr>
                <w:rFonts w:ascii="宋体" w:hAnsi="宋体"/>
                <w:color w:val="auto"/>
                <w:sz w:val="24"/>
              </w:rPr>
            </w:pPr>
          </w:p>
        </w:tc>
      </w:tr>
    </w:tbl>
    <w:p>
      <w:pPr>
        <w:spacing w:line="440" w:lineRule="exact"/>
        <w:rPr>
          <w:rFonts w:ascii="宋体" w:hAnsi="宋体"/>
          <w:color w:val="auto"/>
          <w:sz w:val="24"/>
        </w:rPr>
      </w:pPr>
    </w:p>
    <w:p>
      <w:pPr>
        <w:spacing w:line="440" w:lineRule="exact"/>
        <w:rPr>
          <w:rFonts w:ascii="宋体" w:hAnsi="宋体"/>
          <w:color w:val="auto"/>
          <w:sz w:val="24"/>
          <w:u w:val="single"/>
        </w:rPr>
      </w:pPr>
      <w:r>
        <w:rPr>
          <w:rFonts w:hint="eastAsia" w:ascii="宋体" w:hAnsi="宋体"/>
          <w:color w:val="auto"/>
          <w:sz w:val="24"/>
        </w:rPr>
        <w:t>采购人代表： 记录人： 监标人：</w:t>
      </w:r>
    </w:p>
    <w:p>
      <w:pPr>
        <w:spacing w:line="440" w:lineRule="exact"/>
        <w:jc w:val="right"/>
        <w:rPr>
          <w:rFonts w:ascii="宋体" w:hAnsi="宋体"/>
          <w:color w:val="auto"/>
          <w:sz w:val="24"/>
          <w:u w:val="single"/>
        </w:rPr>
      </w:pPr>
      <w:r>
        <w:rPr>
          <w:rFonts w:hint="eastAsia" w:ascii="宋体" w:hAnsi="宋体"/>
          <w:color w:val="auto"/>
          <w:sz w:val="24"/>
        </w:rPr>
        <w:t>年月 日</w:t>
      </w:r>
    </w:p>
    <w:p>
      <w:pPr>
        <w:spacing w:line="440" w:lineRule="exact"/>
        <w:rPr>
          <w:rFonts w:ascii="黑体" w:hAnsi="黑体" w:eastAsia="黑体" w:cs="黑体"/>
          <w:color w:val="auto"/>
          <w:sz w:val="24"/>
        </w:rPr>
      </w:pPr>
      <w:r>
        <w:rPr>
          <w:rFonts w:ascii="宋体" w:hAnsi="宋体"/>
          <w:color w:val="auto"/>
          <w:sz w:val="24"/>
        </w:rPr>
        <w:br w:type="page"/>
      </w:r>
      <w:r>
        <w:rPr>
          <w:rFonts w:hint="eastAsia" w:ascii="黑体" w:hAnsi="黑体" w:eastAsia="黑体" w:cs="黑体"/>
          <w:b/>
          <w:bCs/>
          <w:color w:val="auto"/>
          <w:sz w:val="24"/>
        </w:rPr>
        <w:t>附件二：问题澄清通知</w:t>
      </w:r>
    </w:p>
    <w:p>
      <w:pPr>
        <w:spacing w:line="440" w:lineRule="exact"/>
        <w:jc w:val="center"/>
        <w:rPr>
          <w:rFonts w:ascii="黑体" w:hAnsi="黑体" w:eastAsia="黑体" w:cs="黑体"/>
          <w:color w:val="auto"/>
          <w:sz w:val="24"/>
        </w:rPr>
      </w:pPr>
    </w:p>
    <w:p>
      <w:pPr>
        <w:spacing w:line="440" w:lineRule="exact"/>
        <w:jc w:val="center"/>
        <w:rPr>
          <w:rFonts w:ascii="黑体" w:hAnsi="黑体" w:eastAsia="黑体" w:cs="黑体"/>
          <w:b/>
          <w:bCs/>
          <w:color w:val="auto"/>
          <w:sz w:val="24"/>
        </w:rPr>
      </w:pPr>
      <w:r>
        <w:rPr>
          <w:rFonts w:hint="eastAsia" w:ascii="黑体" w:hAnsi="黑体" w:eastAsia="黑体" w:cs="黑体"/>
          <w:b/>
          <w:bCs/>
          <w:color w:val="auto"/>
          <w:sz w:val="24"/>
        </w:rPr>
        <w:t>问题澄清通知</w:t>
      </w:r>
    </w:p>
    <w:p>
      <w:pPr>
        <w:spacing w:line="440" w:lineRule="exact"/>
        <w:rPr>
          <w:rFonts w:ascii="宋体" w:hAnsi="宋体"/>
          <w:b/>
          <w:bCs/>
          <w:color w:val="auto"/>
          <w:sz w:val="24"/>
        </w:rPr>
      </w:pPr>
      <w:r>
        <w:rPr>
          <w:rFonts w:ascii="宋体" w:hAnsi="宋体"/>
          <w:b/>
          <w:bCs/>
          <w:color w:val="auto"/>
          <w:sz w:val="24"/>
        </w:rPr>
        <w:t>编号：</w:t>
      </w:r>
    </w:p>
    <w:p>
      <w:pPr>
        <w:spacing w:line="440" w:lineRule="exact"/>
        <w:rPr>
          <w:rFonts w:ascii="宋体" w:hAnsi="宋体"/>
          <w:color w:val="auto"/>
          <w:sz w:val="24"/>
        </w:rPr>
      </w:pPr>
    </w:p>
    <w:p>
      <w:pPr>
        <w:spacing w:line="440" w:lineRule="exact"/>
        <w:rPr>
          <w:rFonts w:ascii="宋体" w:hAnsi="宋体"/>
          <w:color w:val="auto"/>
          <w:sz w:val="24"/>
        </w:rPr>
      </w:pPr>
      <w:r>
        <w:rPr>
          <w:rFonts w:ascii="宋体" w:hAnsi="宋体"/>
          <w:color w:val="auto"/>
          <w:sz w:val="24"/>
        </w:rPr>
        <w:t>（</w:t>
      </w:r>
      <w:r>
        <w:rPr>
          <w:rFonts w:hint="eastAsia" w:ascii="宋体" w:hAnsi="宋体"/>
          <w:color w:val="auto"/>
          <w:sz w:val="24"/>
        </w:rPr>
        <w:t>供应商</w:t>
      </w:r>
      <w:r>
        <w:rPr>
          <w:rFonts w:ascii="宋体" w:hAnsi="宋体"/>
          <w:color w:val="auto"/>
          <w:sz w:val="24"/>
        </w:rPr>
        <w:t>名称）：</w:t>
      </w:r>
    </w:p>
    <w:p>
      <w:pPr>
        <w:spacing w:line="440" w:lineRule="exact"/>
        <w:rPr>
          <w:rFonts w:ascii="宋体" w:hAnsi="宋体"/>
          <w:color w:val="auto"/>
          <w:sz w:val="24"/>
        </w:rPr>
      </w:pPr>
    </w:p>
    <w:p>
      <w:pPr>
        <w:spacing w:line="440" w:lineRule="exact"/>
        <w:rPr>
          <w:rFonts w:ascii="宋体" w:hAnsi="宋体"/>
          <w:color w:val="auto"/>
          <w:sz w:val="24"/>
        </w:rPr>
      </w:pPr>
      <w:r>
        <w:rPr>
          <w:rFonts w:ascii="宋体" w:hAnsi="宋体"/>
          <w:color w:val="auto"/>
          <w:sz w:val="24"/>
        </w:rPr>
        <w:t xml:space="preserve">　　  </w:t>
      </w:r>
      <w:r>
        <w:rPr>
          <w:rFonts w:ascii="宋体" w:hAnsi="宋体"/>
          <w:color w:val="auto"/>
          <w:sz w:val="24"/>
          <w:u w:val="single"/>
        </w:rPr>
        <w:t xml:space="preserve">　             </w:t>
      </w:r>
      <w:r>
        <w:rPr>
          <w:rFonts w:ascii="宋体" w:hAnsi="宋体"/>
          <w:color w:val="auto"/>
          <w:sz w:val="24"/>
        </w:rPr>
        <w:t xml:space="preserve"> （项目名称）</w:t>
      </w:r>
      <w:r>
        <w:rPr>
          <w:rFonts w:hint="eastAsia" w:ascii="宋体" w:hAnsi="宋体"/>
          <w:color w:val="auto"/>
          <w:sz w:val="24"/>
        </w:rPr>
        <w:t>项目</w:t>
      </w:r>
      <w:r>
        <w:rPr>
          <w:rFonts w:ascii="宋体" w:hAnsi="宋体"/>
          <w:color w:val="auto"/>
          <w:sz w:val="24"/>
        </w:rPr>
        <w:t>的</w:t>
      </w:r>
      <w:r>
        <w:rPr>
          <w:rFonts w:hint="eastAsia" w:ascii="宋体" w:hAnsi="宋体"/>
          <w:color w:val="auto"/>
          <w:sz w:val="24"/>
        </w:rPr>
        <w:t>评审</w:t>
      </w:r>
      <w:r>
        <w:rPr>
          <w:rFonts w:ascii="宋体" w:hAnsi="宋体"/>
          <w:color w:val="auto"/>
          <w:sz w:val="24"/>
        </w:rPr>
        <w:t>委员会，对你方的</w:t>
      </w:r>
      <w:r>
        <w:rPr>
          <w:rFonts w:hint="eastAsia" w:ascii="宋体" w:hAnsi="宋体"/>
          <w:color w:val="auto"/>
          <w:sz w:val="24"/>
        </w:rPr>
        <w:t>磋商响应文件</w:t>
      </w:r>
      <w:r>
        <w:rPr>
          <w:rFonts w:ascii="宋体" w:hAnsi="宋体"/>
          <w:color w:val="auto"/>
          <w:sz w:val="24"/>
        </w:rPr>
        <w:t>进行了仔细的审查，现需你方对下列问题以书面形式予以澄清：</w:t>
      </w:r>
    </w:p>
    <w:p>
      <w:pPr>
        <w:spacing w:line="440" w:lineRule="exact"/>
        <w:rPr>
          <w:rFonts w:ascii="宋体" w:hAnsi="宋体"/>
          <w:color w:val="auto"/>
          <w:sz w:val="24"/>
        </w:rPr>
      </w:pPr>
      <w:r>
        <w:rPr>
          <w:rFonts w:ascii="宋体" w:hAnsi="宋体"/>
          <w:color w:val="auto"/>
          <w:sz w:val="24"/>
        </w:rPr>
        <w:t>　　</w:t>
      </w:r>
    </w:p>
    <w:p>
      <w:pPr>
        <w:spacing w:line="440" w:lineRule="exact"/>
        <w:rPr>
          <w:rFonts w:ascii="宋体" w:hAnsi="宋体"/>
          <w:color w:val="auto"/>
          <w:sz w:val="24"/>
        </w:rPr>
      </w:pPr>
      <w:r>
        <w:rPr>
          <w:rFonts w:ascii="宋体" w:hAnsi="宋体"/>
          <w:color w:val="auto"/>
          <w:sz w:val="24"/>
        </w:rPr>
        <w:t xml:space="preserve">    1.</w:t>
      </w:r>
    </w:p>
    <w:p>
      <w:pPr>
        <w:spacing w:line="440" w:lineRule="exact"/>
        <w:rPr>
          <w:rFonts w:ascii="宋体" w:hAnsi="宋体"/>
          <w:color w:val="auto"/>
          <w:sz w:val="24"/>
        </w:rPr>
      </w:pPr>
      <w:r>
        <w:rPr>
          <w:rFonts w:ascii="宋体" w:hAnsi="宋体"/>
          <w:color w:val="auto"/>
          <w:sz w:val="24"/>
        </w:rPr>
        <w:t xml:space="preserve">    2.</w:t>
      </w:r>
    </w:p>
    <w:p>
      <w:pPr>
        <w:spacing w:line="440" w:lineRule="exact"/>
        <w:rPr>
          <w:rFonts w:ascii="宋体" w:hAnsi="宋体"/>
          <w:color w:val="auto"/>
          <w:sz w:val="24"/>
        </w:rPr>
      </w:pPr>
      <w:r>
        <w:rPr>
          <w:rFonts w:ascii="宋体" w:hAnsi="宋体"/>
          <w:color w:val="auto"/>
          <w:sz w:val="24"/>
        </w:rPr>
        <w:t xml:space="preserve">     ......   </w:t>
      </w:r>
    </w:p>
    <w:p>
      <w:pPr>
        <w:spacing w:line="440" w:lineRule="exact"/>
        <w:rPr>
          <w:rFonts w:ascii="宋体" w:hAnsi="宋体"/>
          <w:color w:val="auto"/>
          <w:sz w:val="24"/>
        </w:rPr>
      </w:pPr>
      <w:r>
        <w:rPr>
          <w:rFonts w:ascii="宋体" w:hAnsi="宋体"/>
          <w:color w:val="auto"/>
          <w:sz w:val="24"/>
        </w:rPr>
        <w:t>　　　</w:t>
      </w:r>
    </w:p>
    <w:p>
      <w:pPr>
        <w:spacing w:line="440" w:lineRule="exact"/>
        <w:rPr>
          <w:rFonts w:ascii="宋体" w:hAnsi="宋体"/>
          <w:color w:val="auto"/>
          <w:sz w:val="24"/>
        </w:rPr>
      </w:pPr>
      <w:r>
        <w:rPr>
          <w:rFonts w:ascii="宋体" w:hAnsi="宋体"/>
          <w:color w:val="auto"/>
          <w:sz w:val="24"/>
        </w:rPr>
        <w:t>　　请将上述问题的澄清于年月日时前递交至</w:t>
      </w:r>
    </w:p>
    <w:p>
      <w:pPr>
        <w:spacing w:line="440" w:lineRule="exact"/>
        <w:rPr>
          <w:rFonts w:ascii="宋体" w:hAnsi="宋体"/>
          <w:color w:val="auto"/>
          <w:sz w:val="24"/>
        </w:rPr>
      </w:pPr>
      <w:r>
        <w:rPr>
          <w:rFonts w:ascii="宋体" w:hAnsi="宋体"/>
          <w:color w:val="auto"/>
          <w:sz w:val="24"/>
        </w:rPr>
        <w:t>（详细地址）</w:t>
      </w:r>
      <w:r>
        <w:rPr>
          <w:rFonts w:hint="eastAsia" w:ascii="宋体" w:hAnsi="宋体"/>
          <w:color w:val="auto"/>
          <w:sz w:val="24"/>
        </w:rPr>
        <w:t>或传真至（传真号码）。采用传真方式的，应在</w:t>
      </w:r>
      <w:r>
        <w:rPr>
          <w:rFonts w:ascii="宋体" w:hAnsi="宋体"/>
          <w:color w:val="auto"/>
          <w:sz w:val="24"/>
        </w:rPr>
        <w:t>年月日</w:t>
      </w:r>
      <w:r>
        <w:rPr>
          <w:rFonts w:hint="eastAsia" w:ascii="宋体" w:hAnsi="宋体"/>
          <w:color w:val="auto"/>
          <w:sz w:val="24"/>
        </w:rPr>
        <w:t>时前将原件递交至</w:t>
      </w:r>
    </w:p>
    <w:p>
      <w:pPr>
        <w:spacing w:line="440" w:lineRule="exact"/>
        <w:rPr>
          <w:rFonts w:ascii="宋体" w:hAnsi="宋体"/>
          <w:color w:val="auto"/>
          <w:sz w:val="24"/>
        </w:rPr>
      </w:pPr>
      <w:r>
        <w:rPr>
          <w:rFonts w:ascii="宋体" w:hAnsi="宋体"/>
          <w:color w:val="auto"/>
          <w:sz w:val="24"/>
        </w:rPr>
        <w:t>（详细地址）。</w:t>
      </w:r>
    </w:p>
    <w:p>
      <w:pPr>
        <w:spacing w:line="440" w:lineRule="exact"/>
        <w:rPr>
          <w:rFonts w:ascii="宋体" w:hAnsi="宋体"/>
          <w:color w:val="auto"/>
          <w:sz w:val="24"/>
        </w:rPr>
      </w:pPr>
    </w:p>
    <w:p>
      <w:pPr>
        <w:spacing w:line="440" w:lineRule="exact"/>
        <w:rPr>
          <w:rFonts w:ascii="宋体" w:hAnsi="宋体"/>
          <w:color w:val="auto"/>
          <w:sz w:val="24"/>
        </w:rPr>
      </w:pPr>
    </w:p>
    <w:p>
      <w:pPr>
        <w:spacing w:line="440" w:lineRule="exact"/>
        <w:jc w:val="right"/>
        <w:rPr>
          <w:rFonts w:ascii="宋体" w:hAnsi="宋体"/>
          <w:color w:val="auto"/>
          <w:sz w:val="24"/>
        </w:rPr>
      </w:pPr>
      <w:r>
        <w:rPr>
          <w:rFonts w:hint="eastAsia" w:ascii="宋体" w:hAnsi="宋体"/>
          <w:color w:val="auto"/>
          <w:sz w:val="24"/>
        </w:rPr>
        <w:t>采购人或采购代理机构</w:t>
      </w:r>
      <w:r>
        <w:rPr>
          <w:rFonts w:ascii="宋体" w:hAnsi="宋体"/>
          <w:color w:val="auto"/>
          <w:sz w:val="24"/>
        </w:rPr>
        <w:t>：（签字</w:t>
      </w:r>
      <w:r>
        <w:rPr>
          <w:rFonts w:hint="eastAsia" w:ascii="宋体" w:hAnsi="宋体"/>
          <w:color w:val="auto"/>
          <w:sz w:val="24"/>
        </w:rPr>
        <w:t>或盖章</w:t>
      </w:r>
      <w:r>
        <w:rPr>
          <w:rFonts w:ascii="宋体" w:hAnsi="宋体"/>
          <w:color w:val="auto"/>
          <w:sz w:val="24"/>
        </w:rPr>
        <w:t>）</w:t>
      </w:r>
    </w:p>
    <w:p>
      <w:pPr>
        <w:spacing w:line="440" w:lineRule="exact"/>
        <w:rPr>
          <w:rFonts w:ascii="宋体" w:hAnsi="宋体"/>
          <w:color w:val="auto"/>
          <w:sz w:val="24"/>
        </w:rPr>
      </w:pPr>
    </w:p>
    <w:p>
      <w:pPr>
        <w:spacing w:line="440" w:lineRule="exact"/>
        <w:ind w:firstLine="3480" w:firstLineChars="1450"/>
        <w:rPr>
          <w:rFonts w:ascii="宋体" w:hAnsi="宋体"/>
          <w:color w:val="auto"/>
          <w:sz w:val="24"/>
        </w:rPr>
      </w:pPr>
      <w:r>
        <w:rPr>
          <w:rFonts w:ascii="宋体" w:hAnsi="宋体"/>
          <w:color w:val="auto"/>
          <w:sz w:val="24"/>
        </w:rPr>
        <w:t>年 月 日</w:t>
      </w:r>
    </w:p>
    <w:p>
      <w:pPr>
        <w:spacing w:line="400" w:lineRule="exact"/>
        <w:rPr>
          <w:rFonts w:ascii="宋体" w:hAnsi="宋体"/>
          <w:color w:val="auto"/>
          <w:sz w:val="24"/>
        </w:rPr>
      </w:pPr>
    </w:p>
    <w:p>
      <w:pPr>
        <w:spacing w:line="400" w:lineRule="exact"/>
        <w:rPr>
          <w:rFonts w:ascii="黑体" w:hAnsi="黑体" w:eastAsia="黑体" w:cs="黑体"/>
          <w:color w:val="auto"/>
          <w:sz w:val="24"/>
        </w:rPr>
      </w:pPr>
      <w:r>
        <w:rPr>
          <w:rFonts w:ascii="宋体" w:hAnsi="宋体"/>
          <w:color w:val="auto"/>
        </w:rPr>
        <w:br w:type="page"/>
      </w:r>
      <w:bookmarkStart w:id="425" w:name="_Toc152042360"/>
      <w:bookmarkStart w:id="426" w:name="_Toc179632601"/>
      <w:bookmarkStart w:id="427" w:name="_Toc246996226"/>
      <w:bookmarkStart w:id="428" w:name="_Toc247085741"/>
      <w:bookmarkStart w:id="429" w:name="_Toc144974550"/>
      <w:bookmarkStart w:id="430" w:name="_Toc152045583"/>
      <w:bookmarkStart w:id="431" w:name="_Toc246996969"/>
      <w:r>
        <w:rPr>
          <w:rFonts w:hint="eastAsia" w:ascii="黑体" w:hAnsi="黑体" w:eastAsia="黑体" w:cs="黑体"/>
          <w:b/>
          <w:bCs/>
          <w:color w:val="auto"/>
          <w:sz w:val="24"/>
        </w:rPr>
        <w:t>附件三：问题的澄清</w:t>
      </w:r>
      <w:bookmarkEnd w:id="425"/>
      <w:bookmarkEnd w:id="426"/>
      <w:bookmarkEnd w:id="427"/>
      <w:bookmarkEnd w:id="428"/>
      <w:bookmarkEnd w:id="429"/>
      <w:bookmarkEnd w:id="430"/>
      <w:bookmarkEnd w:id="431"/>
    </w:p>
    <w:p>
      <w:pPr>
        <w:spacing w:line="400" w:lineRule="exact"/>
        <w:jc w:val="center"/>
        <w:rPr>
          <w:rFonts w:ascii="黑体" w:hAnsi="黑体" w:eastAsia="黑体" w:cs="黑体"/>
          <w:color w:val="auto"/>
          <w:sz w:val="24"/>
        </w:rPr>
      </w:pPr>
    </w:p>
    <w:p>
      <w:pPr>
        <w:spacing w:line="400" w:lineRule="exact"/>
        <w:jc w:val="center"/>
        <w:rPr>
          <w:rFonts w:ascii="黑体" w:hAnsi="黑体" w:eastAsia="黑体" w:cs="黑体"/>
          <w:b/>
          <w:bCs/>
          <w:color w:val="auto"/>
          <w:sz w:val="24"/>
        </w:rPr>
      </w:pPr>
      <w:r>
        <w:rPr>
          <w:rFonts w:hint="eastAsia" w:ascii="黑体" w:hAnsi="黑体" w:eastAsia="黑体" w:cs="黑体"/>
          <w:b/>
          <w:bCs/>
          <w:color w:val="auto"/>
          <w:sz w:val="24"/>
        </w:rPr>
        <w:t>问题的澄清</w:t>
      </w:r>
    </w:p>
    <w:p>
      <w:pPr>
        <w:spacing w:line="400" w:lineRule="exact"/>
        <w:ind w:firstLine="3975" w:firstLineChars="1650"/>
        <w:rPr>
          <w:rFonts w:ascii="宋体" w:hAnsi="宋体"/>
          <w:b/>
          <w:bCs/>
          <w:color w:val="auto"/>
          <w:sz w:val="24"/>
        </w:rPr>
      </w:pPr>
      <w:r>
        <w:rPr>
          <w:rFonts w:hint="eastAsia" w:ascii="宋体" w:hAnsi="宋体"/>
          <w:b/>
          <w:bCs/>
          <w:color w:val="auto"/>
          <w:sz w:val="24"/>
        </w:rPr>
        <w:t xml:space="preserve">编号： </w:t>
      </w:r>
    </w:p>
    <w:p>
      <w:pPr>
        <w:spacing w:line="400" w:lineRule="exact"/>
        <w:rPr>
          <w:rFonts w:ascii="宋体" w:hAnsi="宋体"/>
          <w:color w:val="auto"/>
          <w:sz w:val="24"/>
        </w:rPr>
      </w:pPr>
    </w:p>
    <w:p>
      <w:pPr>
        <w:spacing w:line="440" w:lineRule="exact"/>
        <w:rPr>
          <w:rFonts w:ascii="宋体" w:hAnsi="宋体"/>
          <w:color w:val="auto"/>
          <w:sz w:val="24"/>
        </w:rPr>
      </w:pPr>
      <w:r>
        <w:rPr>
          <w:rFonts w:ascii="宋体" w:hAnsi="宋体"/>
          <w:color w:val="auto"/>
          <w:sz w:val="24"/>
          <w:u w:val="single"/>
        </w:rPr>
        <w:t xml:space="preserve">                  （</w:t>
      </w:r>
      <w:r>
        <w:rPr>
          <w:rFonts w:ascii="宋体" w:hAnsi="宋体"/>
          <w:color w:val="auto"/>
          <w:sz w:val="24"/>
        </w:rPr>
        <w:t>项目名称）</w:t>
      </w:r>
      <w:r>
        <w:rPr>
          <w:rFonts w:hint="eastAsia" w:ascii="宋体" w:hAnsi="宋体"/>
          <w:color w:val="auto"/>
          <w:sz w:val="24"/>
        </w:rPr>
        <w:t>项目评审</w:t>
      </w:r>
      <w:r>
        <w:rPr>
          <w:rFonts w:ascii="宋体" w:hAnsi="宋体"/>
          <w:color w:val="auto"/>
          <w:sz w:val="24"/>
        </w:rPr>
        <w:t>委员会：</w:t>
      </w:r>
    </w:p>
    <w:p>
      <w:pPr>
        <w:spacing w:line="440" w:lineRule="exact"/>
        <w:rPr>
          <w:rFonts w:ascii="宋体" w:hAnsi="宋体"/>
          <w:color w:val="auto"/>
          <w:sz w:val="24"/>
        </w:rPr>
      </w:pPr>
    </w:p>
    <w:p>
      <w:pPr>
        <w:spacing w:line="440" w:lineRule="exact"/>
        <w:rPr>
          <w:rFonts w:ascii="宋体" w:hAnsi="宋体"/>
          <w:color w:val="auto"/>
          <w:sz w:val="24"/>
        </w:rPr>
      </w:pPr>
      <w:r>
        <w:rPr>
          <w:rFonts w:ascii="宋体" w:hAnsi="宋体"/>
          <w:color w:val="auto"/>
          <w:sz w:val="24"/>
        </w:rPr>
        <w:t>　　问题澄清通知（编号：）已收悉，现澄清如下：</w:t>
      </w:r>
    </w:p>
    <w:p>
      <w:pPr>
        <w:spacing w:line="440" w:lineRule="exact"/>
        <w:rPr>
          <w:rFonts w:ascii="宋体" w:hAnsi="宋体"/>
          <w:color w:val="auto"/>
          <w:sz w:val="24"/>
        </w:rPr>
      </w:pPr>
      <w:r>
        <w:rPr>
          <w:rFonts w:ascii="宋体" w:hAnsi="宋体"/>
          <w:color w:val="auto"/>
          <w:sz w:val="24"/>
        </w:rPr>
        <w:t>　     1.</w:t>
      </w:r>
    </w:p>
    <w:p>
      <w:pPr>
        <w:spacing w:line="440" w:lineRule="exact"/>
        <w:rPr>
          <w:rFonts w:ascii="宋体" w:hAnsi="宋体"/>
          <w:color w:val="auto"/>
          <w:sz w:val="24"/>
        </w:rPr>
      </w:pPr>
      <w:r>
        <w:rPr>
          <w:rFonts w:ascii="宋体" w:hAnsi="宋体"/>
          <w:color w:val="auto"/>
          <w:sz w:val="24"/>
        </w:rPr>
        <w:t>　     2.</w:t>
      </w:r>
    </w:p>
    <w:p>
      <w:pPr>
        <w:spacing w:line="440" w:lineRule="exact"/>
        <w:rPr>
          <w:rFonts w:ascii="宋体" w:hAnsi="宋体"/>
          <w:color w:val="auto"/>
          <w:sz w:val="24"/>
        </w:rPr>
      </w:pPr>
      <w:r>
        <w:rPr>
          <w:rFonts w:ascii="宋体" w:hAnsi="宋体"/>
          <w:color w:val="auto"/>
          <w:sz w:val="24"/>
        </w:rPr>
        <w:t xml:space="preserve">　   </w:t>
      </w:r>
    </w:p>
    <w:p>
      <w:pPr>
        <w:spacing w:line="440" w:lineRule="exact"/>
        <w:rPr>
          <w:rFonts w:ascii="宋体" w:hAnsi="宋体"/>
          <w:color w:val="auto"/>
          <w:sz w:val="24"/>
        </w:rPr>
      </w:pPr>
      <w:r>
        <w:rPr>
          <w:rFonts w:ascii="宋体" w:hAnsi="宋体"/>
          <w:color w:val="auto"/>
          <w:sz w:val="24"/>
        </w:rPr>
        <w:t>　    .....</w:t>
      </w:r>
    </w:p>
    <w:p>
      <w:pPr>
        <w:spacing w:line="440" w:lineRule="exact"/>
        <w:rPr>
          <w:rFonts w:ascii="宋体" w:hAnsi="宋体"/>
          <w:color w:val="auto"/>
          <w:sz w:val="24"/>
        </w:rPr>
      </w:pPr>
    </w:p>
    <w:p>
      <w:pPr>
        <w:spacing w:line="440" w:lineRule="exact"/>
        <w:rPr>
          <w:rFonts w:ascii="宋体" w:hAnsi="宋体"/>
          <w:color w:val="auto"/>
          <w:sz w:val="24"/>
        </w:rPr>
      </w:pPr>
      <w:r>
        <w:rPr>
          <w:rFonts w:ascii="宋体" w:hAnsi="宋体"/>
          <w:color w:val="auto"/>
          <w:sz w:val="24"/>
        </w:rPr>
        <w:t xml:space="preserve">　 </w:t>
      </w:r>
    </w:p>
    <w:p>
      <w:pPr>
        <w:spacing w:line="440" w:lineRule="exact"/>
        <w:rPr>
          <w:rFonts w:ascii="宋体" w:hAnsi="宋体"/>
          <w:color w:val="auto"/>
          <w:sz w:val="24"/>
        </w:rPr>
      </w:pPr>
    </w:p>
    <w:p>
      <w:pPr>
        <w:spacing w:line="440" w:lineRule="exact"/>
        <w:rPr>
          <w:rFonts w:ascii="宋体" w:hAnsi="宋体"/>
          <w:color w:val="auto"/>
          <w:sz w:val="24"/>
        </w:rPr>
      </w:pPr>
    </w:p>
    <w:p>
      <w:pPr>
        <w:spacing w:line="440" w:lineRule="exact"/>
        <w:rPr>
          <w:rFonts w:ascii="宋体" w:hAnsi="宋体"/>
          <w:color w:val="auto"/>
          <w:sz w:val="24"/>
        </w:rPr>
      </w:pPr>
    </w:p>
    <w:p>
      <w:pPr>
        <w:spacing w:line="440" w:lineRule="exact"/>
        <w:rPr>
          <w:rFonts w:ascii="宋体" w:hAnsi="宋体"/>
          <w:color w:val="auto"/>
          <w:sz w:val="24"/>
        </w:rPr>
      </w:pPr>
    </w:p>
    <w:p>
      <w:pPr>
        <w:spacing w:line="440" w:lineRule="exact"/>
        <w:rPr>
          <w:rFonts w:ascii="宋体" w:hAnsi="宋体"/>
          <w:color w:val="auto"/>
          <w:sz w:val="24"/>
        </w:rPr>
      </w:pPr>
      <w:r>
        <w:rPr>
          <w:rFonts w:ascii="宋体" w:hAnsi="宋体"/>
          <w:color w:val="auto"/>
          <w:sz w:val="24"/>
        </w:rPr>
        <w:t>　　　　　　　　　　　　　　　</w:t>
      </w:r>
      <w:r>
        <w:rPr>
          <w:rFonts w:hint="eastAsia" w:ascii="宋体" w:hAnsi="宋体"/>
          <w:color w:val="auto"/>
          <w:sz w:val="24"/>
        </w:rPr>
        <w:t>供应商</w:t>
      </w:r>
      <w:r>
        <w:rPr>
          <w:rFonts w:ascii="宋体" w:hAnsi="宋体"/>
          <w:color w:val="auto"/>
          <w:sz w:val="24"/>
        </w:rPr>
        <w:t>：（盖单位章）</w:t>
      </w:r>
    </w:p>
    <w:p>
      <w:pPr>
        <w:spacing w:line="440" w:lineRule="exact"/>
        <w:rPr>
          <w:rFonts w:ascii="宋体" w:hAnsi="宋体"/>
          <w:color w:val="auto"/>
          <w:sz w:val="24"/>
        </w:rPr>
      </w:pPr>
      <w:r>
        <w:rPr>
          <w:rFonts w:ascii="宋体" w:hAnsi="宋体"/>
          <w:color w:val="auto"/>
          <w:sz w:val="24"/>
        </w:rPr>
        <w:t>　　　　　　　　　　　　　　　</w:t>
      </w:r>
    </w:p>
    <w:p>
      <w:pPr>
        <w:spacing w:line="440" w:lineRule="exact"/>
        <w:rPr>
          <w:rFonts w:ascii="宋体" w:hAnsi="宋体"/>
          <w:color w:val="auto"/>
          <w:sz w:val="24"/>
        </w:rPr>
      </w:pPr>
      <w:r>
        <w:rPr>
          <w:rFonts w:ascii="宋体" w:hAnsi="宋体"/>
          <w:color w:val="auto"/>
          <w:sz w:val="24"/>
        </w:rPr>
        <w:t>　　　　　　　　　　　　　　　法定代表人或其委托代理人：（签字）</w:t>
      </w:r>
    </w:p>
    <w:p>
      <w:pPr>
        <w:spacing w:line="440" w:lineRule="exact"/>
        <w:rPr>
          <w:rFonts w:ascii="宋体" w:hAnsi="宋体"/>
          <w:color w:val="auto"/>
          <w:sz w:val="24"/>
        </w:rPr>
      </w:pPr>
      <w:r>
        <w:rPr>
          <w:rFonts w:ascii="宋体" w:hAnsi="宋体"/>
          <w:color w:val="auto"/>
          <w:sz w:val="24"/>
        </w:rPr>
        <w:t>　　　　　　　　　　　　　　　</w:t>
      </w:r>
    </w:p>
    <w:p>
      <w:pPr>
        <w:spacing w:line="440" w:lineRule="exact"/>
        <w:rPr>
          <w:rFonts w:ascii="宋体" w:hAnsi="宋体"/>
          <w:color w:val="auto"/>
          <w:sz w:val="24"/>
        </w:rPr>
      </w:pPr>
      <w:r>
        <w:rPr>
          <w:rFonts w:ascii="宋体" w:hAnsi="宋体"/>
          <w:color w:val="auto"/>
          <w:sz w:val="24"/>
        </w:rPr>
        <w:t>　　　　　　　　　　　　　　　        年月日</w:t>
      </w:r>
    </w:p>
    <w:p>
      <w:pPr>
        <w:spacing w:line="400" w:lineRule="exact"/>
        <w:rPr>
          <w:rFonts w:ascii="宋体" w:hAnsi="宋体"/>
          <w:color w:val="auto"/>
          <w:sz w:val="24"/>
        </w:rPr>
      </w:pPr>
    </w:p>
    <w:p>
      <w:pPr>
        <w:spacing w:line="400" w:lineRule="exact"/>
        <w:rPr>
          <w:rFonts w:ascii="黑体" w:hAnsi="黑体" w:eastAsia="黑体" w:cs="黑体"/>
          <w:color w:val="auto"/>
          <w:sz w:val="24"/>
        </w:rPr>
      </w:pPr>
      <w:r>
        <w:rPr>
          <w:rFonts w:ascii="宋体" w:hAnsi="宋体"/>
          <w:color w:val="auto"/>
          <w:sz w:val="24"/>
        </w:rPr>
        <w:br w:type="page"/>
      </w:r>
      <w:r>
        <w:rPr>
          <w:rFonts w:hint="eastAsia" w:ascii="黑体" w:hAnsi="黑体" w:eastAsia="黑体" w:cs="黑体"/>
          <w:b/>
          <w:bCs/>
          <w:color w:val="auto"/>
          <w:sz w:val="24"/>
        </w:rPr>
        <w:t>附件四：成交通知书</w:t>
      </w:r>
    </w:p>
    <w:p>
      <w:pPr>
        <w:spacing w:line="400" w:lineRule="exact"/>
        <w:rPr>
          <w:rFonts w:ascii="黑体" w:hAnsi="黑体" w:eastAsia="黑体" w:cs="黑体"/>
          <w:color w:val="auto"/>
          <w:sz w:val="24"/>
        </w:rPr>
      </w:pPr>
    </w:p>
    <w:p>
      <w:pPr>
        <w:spacing w:line="400" w:lineRule="exact"/>
        <w:jc w:val="center"/>
        <w:rPr>
          <w:rFonts w:ascii="黑体" w:hAnsi="黑体" w:eastAsia="黑体" w:cs="黑体"/>
          <w:b/>
          <w:bCs/>
          <w:color w:val="auto"/>
          <w:sz w:val="24"/>
        </w:rPr>
      </w:pPr>
      <w:r>
        <w:rPr>
          <w:rFonts w:hint="eastAsia" w:ascii="黑体" w:hAnsi="黑体" w:eastAsia="黑体" w:cs="黑体"/>
          <w:b/>
          <w:bCs/>
          <w:color w:val="auto"/>
          <w:sz w:val="24"/>
        </w:rPr>
        <w:t>成交通知书</w:t>
      </w:r>
    </w:p>
    <w:p>
      <w:pPr>
        <w:spacing w:line="400" w:lineRule="exact"/>
        <w:rPr>
          <w:rFonts w:ascii="宋体" w:hAnsi="宋体"/>
          <w:color w:val="auto"/>
          <w:sz w:val="24"/>
        </w:rPr>
      </w:pPr>
    </w:p>
    <w:p>
      <w:pPr>
        <w:spacing w:line="440" w:lineRule="exact"/>
        <w:rPr>
          <w:rFonts w:ascii="宋体" w:hAnsi="宋体"/>
          <w:color w:val="auto"/>
          <w:sz w:val="24"/>
        </w:rPr>
      </w:pPr>
      <w:r>
        <w:rPr>
          <w:rFonts w:ascii="宋体" w:hAnsi="宋体"/>
          <w:color w:val="auto"/>
          <w:sz w:val="24"/>
        </w:rPr>
        <w:t>（</w:t>
      </w:r>
      <w:r>
        <w:rPr>
          <w:rFonts w:hint="eastAsia" w:ascii="宋体" w:hAnsi="宋体"/>
          <w:color w:val="auto"/>
          <w:sz w:val="24"/>
        </w:rPr>
        <w:t>成交供应商</w:t>
      </w:r>
      <w:r>
        <w:rPr>
          <w:rFonts w:ascii="宋体" w:hAnsi="宋体"/>
          <w:color w:val="auto"/>
          <w:sz w:val="24"/>
        </w:rPr>
        <w:t>名称）：</w:t>
      </w:r>
    </w:p>
    <w:p>
      <w:pPr>
        <w:spacing w:line="440" w:lineRule="exact"/>
        <w:rPr>
          <w:rFonts w:ascii="宋体" w:hAnsi="宋体"/>
          <w:color w:val="auto"/>
          <w:sz w:val="24"/>
        </w:rPr>
      </w:pPr>
    </w:p>
    <w:p>
      <w:pPr>
        <w:spacing w:line="440" w:lineRule="exact"/>
        <w:rPr>
          <w:rFonts w:ascii="宋体" w:hAnsi="宋体"/>
          <w:color w:val="auto"/>
          <w:sz w:val="24"/>
        </w:rPr>
      </w:pPr>
      <w:r>
        <w:rPr>
          <w:rFonts w:ascii="宋体" w:hAnsi="宋体"/>
          <w:color w:val="auto"/>
          <w:sz w:val="24"/>
        </w:rPr>
        <w:t>　　你方于（日期）所递交的（项目名称）</w:t>
      </w:r>
      <w:r>
        <w:rPr>
          <w:rFonts w:hint="eastAsia" w:ascii="宋体" w:hAnsi="宋体"/>
          <w:color w:val="auto"/>
          <w:sz w:val="24"/>
        </w:rPr>
        <w:t>磋商响应文件</w:t>
      </w:r>
      <w:r>
        <w:rPr>
          <w:rFonts w:ascii="宋体" w:hAnsi="宋体"/>
          <w:color w:val="auto"/>
          <w:sz w:val="24"/>
        </w:rPr>
        <w:t>已被我方接受，被确定为</w:t>
      </w:r>
      <w:r>
        <w:rPr>
          <w:rFonts w:hint="eastAsia" w:ascii="宋体" w:hAnsi="宋体"/>
          <w:color w:val="auto"/>
          <w:sz w:val="24"/>
        </w:rPr>
        <w:t>成交供应商</w:t>
      </w:r>
      <w:r>
        <w:rPr>
          <w:rFonts w:ascii="宋体" w:hAnsi="宋体"/>
          <w:color w:val="auto"/>
          <w:sz w:val="24"/>
        </w:rPr>
        <w:t>。</w:t>
      </w:r>
    </w:p>
    <w:p>
      <w:pPr>
        <w:spacing w:line="440" w:lineRule="exact"/>
        <w:rPr>
          <w:rFonts w:ascii="宋体" w:hAnsi="宋体"/>
          <w:color w:val="auto"/>
          <w:sz w:val="24"/>
        </w:rPr>
      </w:pPr>
      <w:r>
        <w:rPr>
          <w:rFonts w:ascii="宋体" w:hAnsi="宋体"/>
          <w:color w:val="auto"/>
          <w:sz w:val="24"/>
        </w:rPr>
        <w:t>　　</w:t>
      </w:r>
      <w:r>
        <w:rPr>
          <w:rFonts w:hint="eastAsia" w:ascii="宋体" w:hAnsi="宋体"/>
          <w:color w:val="auto"/>
          <w:sz w:val="24"/>
        </w:rPr>
        <w:t>成交金额</w:t>
      </w:r>
      <w:r>
        <w:rPr>
          <w:rFonts w:ascii="宋体" w:hAnsi="宋体"/>
          <w:color w:val="auto"/>
          <w:sz w:val="24"/>
        </w:rPr>
        <w:t>：元。</w:t>
      </w:r>
    </w:p>
    <w:p>
      <w:pPr>
        <w:spacing w:line="440" w:lineRule="exact"/>
        <w:rPr>
          <w:rFonts w:ascii="宋体" w:hAnsi="宋体"/>
          <w:color w:val="auto"/>
          <w:sz w:val="24"/>
        </w:rPr>
      </w:pPr>
      <w:r>
        <w:rPr>
          <w:rFonts w:ascii="宋体" w:hAnsi="宋体"/>
          <w:color w:val="auto"/>
          <w:sz w:val="24"/>
        </w:rPr>
        <w:t>　　工期：日历天。</w:t>
      </w:r>
    </w:p>
    <w:p>
      <w:pPr>
        <w:spacing w:line="440" w:lineRule="exact"/>
        <w:rPr>
          <w:rFonts w:ascii="宋体" w:hAnsi="宋体"/>
          <w:color w:val="auto"/>
          <w:sz w:val="24"/>
        </w:rPr>
      </w:pPr>
      <w:r>
        <w:rPr>
          <w:rFonts w:ascii="宋体" w:hAnsi="宋体"/>
          <w:color w:val="auto"/>
          <w:sz w:val="24"/>
        </w:rPr>
        <w:t>　  工程质量：符合标准。</w:t>
      </w:r>
    </w:p>
    <w:p>
      <w:pPr>
        <w:spacing w:line="440" w:lineRule="exact"/>
        <w:rPr>
          <w:rFonts w:ascii="宋体" w:hAnsi="宋体"/>
          <w:color w:val="auto"/>
          <w:sz w:val="24"/>
        </w:rPr>
      </w:pPr>
      <w:r>
        <w:rPr>
          <w:rFonts w:ascii="宋体" w:hAnsi="宋体"/>
          <w:color w:val="auto"/>
          <w:sz w:val="24"/>
        </w:rPr>
        <w:t>　　项目经理：（姓名）。</w:t>
      </w:r>
    </w:p>
    <w:p>
      <w:pPr>
        <w:spacing w:line="440" w:lineRule="exact"/>
        <w:ind w:firstLine="420"/>
        <w:rPr>
          <w:rFonts w:ascii="宋体" w:hAnsi="宋体"/>
          <w:color w:val="auto"/>
          <w:sz w:val="24"/>
        </w:rPr>
      </w:pPr>
      <w:r>
        <w:rPr>
          <w:rFonts w:ascii="宋体" w:hAnsi="宋体"/>
          <w:color w:val="auto"/>
          <w:sz w:val="24"/>
        </w:rPr>
        <w:t>请你方在接到本通知书后的日内到（指定地点）与我方签订承包合同，在此之前按</w:t>
      </w:r>
      <w:r>
        <w:rPr>
          <w:rFonts w:hint="eastAsia" w:ascii="宋体" w:hAnsi="宋体"/>
          <w:color w:val="auto"/>
          <w:sz w:val="24"/>
        </w:rPr>
        <w:t>磋商文件</w:t>
      </w:r>
      <w:r>
        <w:rPr>
          <w:rFonts w:ascii="宋体" w:hAnsi="宋体"/>
          <w:color w:val="auto"/>
          <w:sz w:val="24"/>
        </w:rPr>
        <w:t>第二章“</w:t>
      </w:r>
      <w:r>
        <w:rPr>
          <w:rFonts w:hint="eastAsia" w:ascii="宋体" w:hAnsi="宋体"/>
          <w:color w:val="auto"/>
          <w:sz w:val="24"/>
        </w:rPr>
        <w:t>供应商</w:t>
      </w:r>
      <w:r>
        <w:rPr>
          <w:rFonts w:ascii="宋体" w:hAnsi="宋体"/>
          <w:color w:val="auto"/>
          <w:sz w:val="24"/>
        </w:rPr>
        <w:t>须知”第7.</w:t>
      </w:r>
      <w:r>
        <w:rPr>
          <w:rFonts w:hint="eastAsia" w:ascii="宋体" w:hAnsi="宋体"/>
          <w:color w:val="auto"/>
          <w:sz w:val="24"/>
        </w:rPr>
        <w:t>4</w:t>
      </w:r>
      <w:r>
        <w:rPr>
          <w:rFonts w:ascii="宋体" w:hAnsi="宋体"/>
          <w:color w:val="auto"/>
          <w:sz w:val="24"/>
        </w:rPr>
        <w:t>款规定向我方提交履约担保。</w:t>
      </w:r>
    </w:p>
    <w:p>
      <w:pPr>
        <w:spacing w:line="440" w:lineRule="exact"/>
        <w:ind w:firstLine="420"/>
        <w:rPr>
          <w:rFonts w:ascii="宋体" w:hAnsi="宋体"/>
          <w:color w:val="auto"/>
          <w:sz w:val="24"/>
        </w:rPr>
      </w:pPr>
      <w:r>
        <w:rPr>
          <w:rFonts w:hint="eastAsia" w:ascii="宋体" w:hAnsi="宋体"/>
          <w:color w:val="auto"/>
          <w:sz w:val="24"/>
        </w:rPr>
        <w:t>随附的澄清、说明、补正事项纪要，是本成交通知书的组成部分。</w:t>
      </w:r>
    </w:p>
    <w:p>
      <w:pPr>
        <w:spacing w:line="440" w:lineRule="exact"/>
        <w:rPr>
          <w:rFonts w:ascii="宋体" w:hAnsi="宋体"/>
          <w:color w:val="auto"/>
          <w:sz w:val="24"/>
        </w:rPr>
      </w:pPr>
      <w:r>
        <w:rPr>
          <w:rFonts w:ascii="宋体" w:hAnsi="宋体"/>
          <w:color w:val="auto"/>
          <w:sz w:val="24"/>
        </w:rPr>
        <w:t>　　特此通知。</w:t>
      </w:r>
    </w:p>
    <w:p>
      <w:pPr>
        <w:spacing w:line="440" w:lineRule="exact"/>
        <w:ind w:firstLine="480" w:firstLineChars="200"/>
        <w:rPr>
          <w:rFonts w:ascii="宋体" w:hAnsi="宋体"/>
          <w:color w:val="auto"/>
          <w:sz w:val="24"/>
        </w:rPr>
      </w:pPr>
      <w:r>
        <w:rPr>
          <w:rFonts w:hint="eastAsia" w:ascii="宋体" w:hAnsi="宋体"/>
          <w:color w:val="auto"/>
          <w:sz w:val="24"/>
        </w:rPr>
        <w:t>附：澄清、说明、补正事项纪要</w:t>
      </w:r>
    </w:p>
    <w:p>
      <w:pPr>
        <w:spacing w:line="440" w:lineRule="exact"/>
        <w:rPr>
          <w:rFonts w:ascii="宋体" w:hAnsi="宋体"/>
          <w:color w:val="auto"/>
          <w:sz w:val="24"/>
        </w:rPr>
      </w:pPr>
    </w:p>
    <w:p>
      <w:pPr>
        <w:spacing w:line="440" w:lineRule="exact"/>
        <w:rPr>
          <w:rFonts w:ascii="宋体" w:hAnsi="宋体"/>
          <w:color w:val="auto"/>
          <w:sz w:val="24"/>
        </w:rPr>
      </w:pPr>
    </w:p>
    <w:p>
      <w:pPr>
        <w:spacing w:line="440" w:lineRule="exact"/>
        <w:rPr>
          <w:rFonts w:ascii="宋体" w:hAnsi="宋体"/>
          <w:color w:val="auto"/>
          <w:sz w:val="24"/>
        </w:rPr>
      </w:pPr>
    </w:p>
    <w:p>
      <w:pPr>
        <w:spacing w:line="540" w:lineRule="exact"/>
        <w:ind w:firstLine="3700" w:firstLineChars="1542"/>
        <w:rPr>
          <w:rFonts w:ascii="宋体" w:hAnsi="宋体"/>
          <w:color w:val="auto"/>
          <w:sz w:val="24"/>
        </w:rPr>
      </w:pPr>
      <w:r>
        <w:rPr>
          <w:rFonts w:hint="eastAsia" w:ascii="宋体" w:hAnsi="宋体"/>
          <w:color w:val="auto"/>
          <w:sz w:val="24"/>
        </w:rPr>
        <w:t>采购人</w:t>
      </w:r>
      <w:r>
        <w:rPr>
          <w:rFonts w:ascii="宋体" w:hAnsi="宋体"/>
          <w:color w:val="auto"/>
          <w:sz w:val="24"/>
        </w:rPr>
        <w:t>：（盖单位章）</w:t>
      </w:r>
    </w:p>
    <w:p>
      <w:pPr>
        <w:spacing w:line="540" w:lineRule="exact"/>
        <w:ind w:firstLine="3700" w:firstLineChars="1542"/>
        <w:rPr>
          <w:rFonts w:ascii="宋体" w:hAnsi="宋体"/>
          <w:color w:val="auto"/>
          <w:sz w:val="24"/>
        </w:rPr>
      </w:pPr>
      <w:r>
        <w:rPr>
          <w:rFonts w:ascii="宋体" w:hAnsi="宋体"/>
          <w:color w:val="auto"/>
          <w:sz w:val="24"/>
        </w:rPr>
        <w:t>法定代表人：（签字）</w:t>
      </w:r>
    </w:p>
    <w:p>
      <w:pPr>
        <w:spacing w:line="540" w:lineRule="exact"/>
        <w:ind w:firstLine="4055" w:firstLineChars="1690"/>
        <w:rPr>
          <w:rFonts w:ascii="宋体" w:hAnsi="宋体"/>
          <w:color w:val="auto"/>
          <w:sz w:val="24"/>
        </w:rPr>
      </w:pPr>
      <w:r>
        <w:rPr>
          <w:rFonts w:ascii="宋体" w:hAnsi="宋体"/>
          <w:color w:val="auto"/>
          <w:sz w:val="24"/>
        </w:rPr>
        <w:t>年月日</w:t>
      </w:r>
    </w:p>
    <w:p>
      <w:pPr>
        <w:spacing w:line="400" w:lineRule="exact"/>
        <w:rPr>
          <w:rFonts w:ascii="宋体" w:hAnsi="宋体"/>
          <w:color w:val="auto"/>
          <w:sz w:val="24"/>
        </w:rPr>
      </w:pPr>
    </w:p>
    <w:p>
      <w:pPr>
        <w:spacing w:line="400" w:lineRule="exact"/>
        <w:rPr>
          <w:rFonts w:ascii="黑体" w:hAnsi="黑体" w:eastAsia="黑体" w:cs="黑体"/>
          <w:color w:val="auto"/>
          <w:sz w:val="24"/>
        </w:rPr>
      </w:pPr>
      <w:r>
        <w:rPr>
          <w:rFonts w:ascii="宋体" w:hAnsi="宋体"/>
          <w:color w:val="auto"/>
          <w:sz w:val="24"/>
        </w:rPr>
        <w:br w:type="page"/>
      </w:r>
      <w:r>
        <w:rPr>
          <w:rFonts w:hint="eastAsia" w:ascii="黑体" w:hAnsi="黑体" w:eastAsia="黑体" w:cs="黑体"/>
          <w:b/>
          <w:bCs/>
          <w:color w:val="auto"/>
          <w:sz w:val="24"/>
        </w:rPr>
        <w:t>附件五：成交结果通知书</w:t>
      </w:r>
    </w:p>
    <w:p>
      <w:pPr>
        <w:spacing w:line="400" w:lineRule="exact"/>
        <w:rPr>
          <w:rFonts w:ascii="黑体" w:hAnsi="黑体" w:eastAsia="黑体" w:cs="黑体"/>
          <w:color w:val="auto"/>
          <w:sz w:val="24"/>
        </w:rPr>
      </w:pPr>
    </w:p>
    <w:p>
      <w:pPr>
        <w:spacing w:line="400" w:lineRule="exact"/>
        <w:jc w:val="center"/>
        <w:rPr>
          <w:rFonts w:ascii="黑体" w:hAnsi="黑体" w:eastAsia="黑体" w:cs="黑体"/>
          <w:b/>
          <w:bCs/>
          <w:color w:val="auto"/>
          <w:sz w:val="24"/>
        </w:rPr>
      </w:pPr>
      <w:r>
        <w:rPr>
          <w:rFonts w:hint="eastAsia" w:ascii="黑体" w:hAnsi="黑体" w:eastAsia="黑体" w:cs="黑体"/>
          <w:b/>
          <w:bCs/>
          <w:color w:val="auto"/>
          <w:sz w:val="24"/>
        </w:rPr>
        <w:t>成交结果通知书</w:t>
      </w:r>
    </w:p>
    <w:p>
      <w:pPr>
        <w:spacing w:line="400" w:lineRule="exact"/>
        <w:rPr>
          <w:rFonts w:ascii="宋体" w:hAnsi="宋体"/>
          <w:color w:val="auto"/>
          <w:sz w:val="24"/>
        </w:rPr>
      </w:pPr>
    </w:p>
    <w:p>
      <w:pPr>
        <w:spacing w:line="440" w:lineRule="exact"/>
        <w:rPr>
          <w:rFonts w:ascii="宋体" w:hAnsi="宋体"/>
          <w:color w:val="auto"/>
          <w:sz w:val="24"/>
        </w:rPr>
      </w:pPr>
      <w:r>
        <w:rPr>
          <w:rFonts w:ascii="宋体" w:hAnsi="宋体"/>
          <w:color w:val="auto"/>
          <w:sz w:val="24"/>
        </w:rPr>
        <w:t>（未</w:t>
      </w:r>
      <w:r>
        <w:rPr>
          <w:rFonts w:hint="eastAsia" w:ascii="宋体" w:hAnsi="宋体"/>
          <w:color w:val="auto"/>
          <w:sz w:val="24"/>
        </w:rPr>
        <w:t>成交供应商</w:t>
      </w:r>
      <w:r>
        <w:rPr>
          <w:rFonts w:ascii="宋体" w:hAnsi="宋体"/>
          <w:color w:val="auto"/>
          <w:sz w:val="24"/>
        </w:rPr>
        <w:t>名称）：</w:t>
      </w:r>
    </w:p>
    <w:p>
      <w:pPr>
        <w:spacing w:line="440" w:lineRule="exact"/>
        <w:rPr>
          <w:rFonts w:ascii="宋体" w:hAnsi="宋体"/>
          <w:color w:val="auto"/>
          <w:sz w:val="24"/>
        </w:rPr>
      </w:pPr>
    </w:p>
    <w:p>
      <w:pPr>
        <w:spacing w:line="440" w:lineRule="exact"/>
        <w:rPr>
          <w:rFonts w:ascii="宋体" w:hAnsi="宋体"/>
          <w:color w:val="auto"/>
          <w:sz w:val="24"/>
        </w:rPr>
      </w:pPr>
      <w:r>
        <w:rPr>
          <w:rFonts w:ascii="宋体" w:hAnsi="宋体"/>
          <w:color w:val="auto"/>
          <w:sz w:val="24"/>
        </w:rPr>
        <w:t>　　我方已接受（</w:t>
      </w:r>
      <w:r>
        <w:rPr>
          <w:rFonts w:hint="eastAsia" w:ascii="宋体" w:hAnsi="宋体"/>
          <w:color w:val="auto"/>
          <w:sz w:val="24"/>
        </w:rPr>
        <w:t>成交供应商</w:t>
      </w:r>
      <w:r>
        <w:rPr>
          <w:rFonts w:ascii="宋体" w:hAnsi="宋体"/>
          <w:color w:val="auto"/>
          <w:sz w:val="24"/>
        </w:rPr>
        <w:t>名称）于（投标日期）所递交的（项目名称）</w:t>
      </w:r>
      <w:r>
        <w:rPr>
          <w:rFonts w:hint="eastAsia" w:ascii="宋体" w:hAnsi="宋体"/>
          <w:color w:val="auto"/>
          <w:sz w:val="24"/>
        </w:rPr>
        <w:t>磋商响应文件</w:t>
      </w:r>
      <w:r>
        <w:rPr>
          <w:rFonts w:ascii="宋体" w:hAnsi="宋体"/>
          <w:color w:val="auto"/>
          <w:sz w:val="24"/>
        </w:rPr>
        <w:t>，确定（</w:t>
      </w:r>
      <w:r>
        <w:rPr>
          <w:rFonts w:hint="eastAsia" w:ascii="宋体" w:hAnsi="宋体"/>
          <w:color w:val="auto"/>
          <w:sz w:val="24"/>
        </w:rPr>
        <w:t>成交供应商</w:t>
      </w:r>
      <w:r>
        <w:rPr>
          <w:rFonts w:ascii="宋体" w:hAnsi="宋体"/>
          <w:color w:val="auto"/>
          <w:sz w:val="24"/>
        </w:rPr>
        <w:t>名称）为</w:t>
      </w:r>
      <w:r>
        <w:rPr>
          <w:rFonts w:hint="eastAsia" w:ascii="宋体" w:hAnsi="宋体"/>
          <w:color w:val="auto"/>
          <w:sz w:val="24"/>
        </w:rPr>
        <w:t>成交供应商</w:t>
      </w:r>
      <w:r>
        <w:rPr>
          <w:rFonts w:ascii="宋体" w:hAnsi="宋体"/>
          <w:color w:val="auto"/>
          <w:sz w:val="24"/>
        </w:rPr>
        <w:t>。</w:t>
      </w:r>
    </w:p>
    <w:p>
      <w:pPr>
        <w:spacing w:line="440" w:lineRule="exact"/>
        <w:rPr>
          <w:rFonts w:ascii="宋体" w:hAnsi="宋体"/>
          <w:color w:val="auto"/>
          <w:sz w:val="24"/>
        </w:rPr>
      </w:pPr>
      <w:r>
        <w:rPr>
          <w:rFonts w:ascii="宋体" w:hAnsi="宋体"/>
          <w:color w:val="auto"/>
          <w:sz w:val="24"/>
        </w:rPr>
        <w:t>　　</w:t>
      </w:r>
    </w:p>
    <w:p>
      <w:pPr>
        <w:spacing w:line="440" w:lineRule="exact"/>
        <w:rPr>
          <w:rFonts w:ascii="宋体" w:hAnsi="宋体"/>
          <w:color w:val="auto"/>
          <w:sz w:val="24"/>
        </w:rPr>
      </w:pPr>
      <w:r>
        <w:rPr>
          <w:rFonts w:ascii="宋体" w:hAnsi="宋体"/>
          <w:color w:val="auto"/>
          <w:sz w:val="24"/>
        </w:rPr>
        <w:t>　　感谢你单位对我们工作的大力支持！</w:t>
      </w:r>
    </w:p>
    <w:p>
      <w:pPr>
        <w:spacing w:line="440" w:lineRule="exact"/>
        <w:rPr>
          <w:rFonts w:ascii="宋体" w:hAnsi="宋体"/>
          <w:color w:val="auto"/>
          <w:sz w:val="24"/>
        </w:rPr>
      </w:pPr>
    </w:p>
    <w:p>
      <w:pPr>
        <w:spacing w:line="440" w:lineRule="exact"/>
        <w:rPr>
          <w:rFonts w:ascii="宋体" w:hAnsi="宋体"/>
          <w:color w:val="auto"/>
          <w:sz w:val="24"/>
        </w:rPr>
      </w:pPr>
    </w:p>
    <w:p>
      <w:pPr>
        <w:spacing w:line="440" w:lineRule="exact"/>
        <w:rPr>
          <w:rFonts w:ascii="宋体" w:hAnsi="宋体"/>
          <w:color w:val="auto"/>
          <w:sz w:val="24"/>
        </w:rPr>
      </w:pPr>
    </w:p>
    <w:p>
      <w:pPr>
        <w:spacing w:line="440" w:lineRule="exact"/>
        <w:rPr>
          <w:rFonts w:ascii="宋体" w:hAnsi="宋体"/>
          <w:color w:val="auto"/>
          <w:sz w:val="24"/>
        </w:rPr>
      </w:pPr>
      <w:r>
        <w:rPr>
          <w:rFonts w:hint="eastAsia" w:ascii="宋体" w:hAnsi="宋体"/>
          <w:color w:val="auto"/>
          <w:sz w:val="24"/>
        </w:rPr>
        <w:t>采购人</w:t>
      </w:r>
      <w:r>
        <w:rPr>
          <w:rFonts w:ascii="宋体" w:hAnsi="宋体"/>
          <w:color w:val="auto"/>
          <w:sz w:val="24"/>
        </w:rPr>
        <w:t>：（盖单位章）</w:t>
      </w:r>
    </w:p>
    <w:p>
      <w:pPr>
        <w:spacing w:line="440" w:lineRule="exact"/>
        <w:rPr>
          <w:rFonts w:ascii="宋体" w:hAnsi="宋体"/>
          <w:color w:val="auto"/>
          <w:sz w:val="24"/>
        </w:rPr>
      </w:pPr>
    </w:p>
    <w:p>
      <w:pPr>
        <w:spacing w:line="440" w:lineRule="exact"/>
        <w:rPr>
          <w:rFonts w:ascii="宋体" w:hAnsi="宋体"/>
          <w:color w:val="auto"/>
          <w:sz w:val="24"/>
        </w:rPr>
      </w:pPr>
      <w:r>
        <w:rPr>
          <w:rFonts w:ascii="宋体" w:hAnsi="宋体"/>
          <w:color w:val="auto"/>
          <w:sz w:val="24"/>
        </w:rPr>
        <w:t xml:space="preserve">                                法定代表人：（签字）</w:t>
      </w:r>
    </w:p>
    <w:p>
      <w:pPr>
        <w:spacing w:line="440" w:lineRule="exact"/>
        <w:rPr>
          <w:rFonts w:ascii="宋体" w:hAnsi="宋体"/>
          <w:color w:val="auto"/>
          <w:sz w:val="24"/>
        </w:rPr>
      </w:pPr>
    </w:p>
    <w:p>
      <w:pPr>
        <w:spacing w:line="440" w:lineRule="exact"/>
        <w:rPr>
          <w:rFonts w:ascii="宋体" w:hAnsi="宋体"/>
          <w:color w:val="auto"/>
          <w:sz w:val="24"/>
        </w:rPr>
      </w:pPr>
      <w:r>
        <w:rPr>
          <w:rFonts w:ascii="宋体" w:hAnsi="宋体"/>
          <w:color w:val="auto"/>
          <w:sz w:val="24"/>
        </w:rPr>
        <w:t>年月日</w:t>
      </w:r>
    </w:p>
    <w:p>
      <w:pPr>
        <w:spacing w:line="400" w:lineRule="exact"/>
        <w:rPr>
          <w:rFonts w:ascii="宋体" w:hAnsi="宋体"/>
          <w:color w:val="auto"/>
          <w:sz w:val="24"/>
        </w:rPr>
      </w:pPr>
    </w:p>
    <w:p>
      <w:pPr>
        <w:spacing w:line="400" w:lineRule="exact"/>
        <w:rPr>
          <w:rFonts w:ascii="黑体" w:hAnsi="黑体" w:eastAsia="黑体" w:cs="黑体"/>
          <w:color w:val="auto"/>
          <w:sz w:val="24"/>
        </w:rPr>
      </w:pPr>
      <w:r>
        <w:rPr>
          <w:rFonts w:ascii="宋体" w:hAnsi="宋体"/>
          <w:color w:val="auto"/>
          <w:sz w:val="24"/>
        </w:rPr>
        <w:br w:type="page"/>
      </w:r>
      <w:bookmarkStart w:id="432" w:name="_Toc152045586"/>
      <w:bookmarkStart w:id="433" w:name="_Toc152042363"/>
      <w:bookmarkStart w:id="434" w:name="_Toc144974553"/>
      <w:bookmarkStart w:id="435" w:name="_Toc246996229"/>
      <w:bookmarkStart w:id="436" w:name="_Toc247085744"/>
      <w:bookmarkStart w:id="437" w:name="_Toc246996972"/>
      <w:bookmarkStart w:id="438" w:name="_Toc179632604"/>
      <w:r>
        <w:rPr>
          <w:rFonts w:hint="eastAsia" w:ascii="黑体" w:hAnsi="黑体" w:eastAsia="黑体" w:cs="黑体"/>
          <w:b/>
          <w:bCs/>
          <w:color w:val="auto"/>
          <w:sz w:val="24"/>
        </w:rPr>
        <w:t>附件六：确认通知</w:t>
      </w:r>
      <w:bookmarkEnd w:id="432"/>
      <w:bookmarkEnd w:id="433"/>
      <w:bookmarkEnd w:id="434"/>
      <w:bookmarkEnd w:id="435"/>
      <w:bookmarkEnd w:id="436"/>
      <w:bookmarkEnd w:id="437"/>
      <w:bookmarkEnd w:id="438"/>
    </w:p>
    <w:p>
      <w:pPr>
        <w:spacing w:line="400" w:lineRule="exact"/>
        <w:rPr>
          <w:rFonts w:ascii="黑体" w:hAnsi="黑体" w:eastAsia="黑体" w:cs="黑体"/>
          <w:color w:val="auto"/>
          <w:sz w:val="24"/>
        </w:rPr>
      </w:pPr>
    </w:p>
    <w:p>
      <w:pPr>
        <w:spacing w:line="400" w:lineRule="exact"/>
        <w:jc w:val="center"/>
        <w:rPr>
          <w:rFonts w:ascii="黑体" w:hAnsi="黑体" w:eastAsia="黑体" w:cs="黑体"/>
          <w:b/>
          <w:bCs/>
          <w:color w:val="auto"/>
          <w:sz w:val="24"/>
        </w:rPr>
      </w:pPr>
      <w:r>
        <w:rPr>
          <w:rFonts w:hint="eastAsia" w:ascii="黑体" w:hAnsi="黑体" w:eastAsia="黑体" w:cs="黑体"/>
          <w:b/>
          <w:bCs/>
          <w:color w:val="auto"/>
          <w:sz w:val="24"/>
        </w:rPr>
        <w:t>确认通知</w:t>
      </w:r>
    </w:p>
    <w:p>
      <w:pPr>
        <w:spacing w:line="400" w:lineRule="exact"/>
        <w:rPr>
          <w:rFonts w:ascii="宋体" w:hAnsi="宋体"/>
          <w:color w:val="auto"/>
          <w:sz w:val="24"/>
        </w:rPr>
      </w:pPr>
    </w:p>
    <w:p>
      <w:pPr>
        <w:spacing w:line="440" w:lineRule="exact"/>
        <w:rPr>
          <w:rFonts w:ascii="宋体" w:hAnsi="宋体"/>
          <w:color w:val="auto"/>
          <w:sz w:val="24"/>
        </w:rPr>
      </w:pPr>
      <w:r>
        <w:rPr>
          <w:rFonts w:ascii="宋体" w:hAnsi="宋体"/>
          <w:color w:val="auto"/>
          <w:sz w:val="24"/>
        </w:rPr>
        <w:t>（</w:t>
      </w:r>
      <w:r>
        <w:rPr>
          <w:rFonts w:hint="eastAsia" w:ascii="宋体" w:hAnsi="宋体"/>
          <w:color w:val="auto"/>
          <w:sz w:val="24"/>
        </w:rPr>
        <w:t>采购人</w:t>
      </w:r>
      <w:r>
        <w:rPr>
          <w:rFonts w:ascii="宋体" w:hAnsi="宋体"/>
          <w:color w:val="auto"/>
          <w:sz w:val="24"/>
        </w:rPr>
        <w:t>名称）：</w:t>
      </w:r>
    </w:p>
    <w:p>
      <w:pPr>
        <w:spacing w:line="440" w:lineRule="exact"/>
        <w:rPr>
          <w:rFonts w:ascii="宋体" w:hAnsi="宋体"/>
          <w:color w:val="auto"/>
          <w:sz w:val="24"/>
        </w:rPr>
      </w:pPr>
      <w:r>
        <w:rPr>
          <w:rFonts w:ascii="宋体" w:hAnsi="宋体"/>
          <w:color w:val="auto"/>
          <w:sz w:val="24"/>
        </w:rPr>
        <w:t>　　</w:t>
      </w:r>
    </w:p>
    <w:p>
      <w:pPr>
        <w:spacing w:line="440" w:lineRule="exact"/>
        <w:ind w:firstLine="480" w:firstLineChars="200"/>
        <w:rPr>
          <w:rFonts w:ascii="宋体" w:hAnsi="宋体"/>
          <w:color w:val="auto"/>
          <w:sz w:val="24"/>
          <w:u w:val="single"/>
        </w:rPr>
      </w:pPr>
      <w:r>
        <w:rPr>
          <w:rFonts w:ascii="宋体" w:hAnsi="宋体"/>
          <w:color w:val="auto"/>
          <w:sz w:val="24"/>
        </w:rPr>
        <w:t>你方</w:t>
      </w:r>
      <w:r>
        <w:rPr>
          <w:rFonts w:hint="eastAsia" w:ascii="宋体" w:hAnsi="宋体"/>
          <w:color w:val="auto"/>
          <w:sz w:val="24"/>
        </w:rPr>
        <w:t>于</w:t>
      </w:r>
      <w:r>
        <w:rPr>
          <w:rFonts w:ascii="宋体" w:hAnsi="宋体"/>
          <w:color w:val="auto"/>
          <w:sz w:val="24"/>
        </w:rPr>
        <w:t>年 月日发出的（项目名称）关于</w:t>
      </w:r>
    </w:p>
    <w:p>
      <w:pPr>
        <w:spacing w:line="440" w:lineRule="exact"/>
        <w:rPr>
          <w:rFonts w:ascii="宋体" w:hAnsi="宋体"/>
          <w:color w:val="auto"/>
          <w:sz w:val="24"/>
        </w:rPr>
      </w:pPr>
      <w:r>
        <w:rPr>
          <w:rFonts w:ascii="宋体" w:hAnsi="宋体"/>
          <w:color w:val="auto"/>
          <w:sz w:val="24"/>
        </w:rPr>
        <w:t>的通知，我方已于年月日收到。</w:t>
      </w:r>
    </w:p>
    <w:p>
      <w:pPr>
        <w:spacing w:line="440" w:lineRule="exact"/>
        <w:rPr>
          <w:rFonts w:ascii="宋体" w:hAnsi="宋体"/>
          <w:color w:val="auto"/>
          <w:sz w:val="24"/>
        </w:rPr>
      </w:pPr>
    </w:p>
    <w:p>
      <w:pPr>
        <w:spacing w:line="440" w:lineRule="exact"/>
        <w:rPr>
          <w:rFonts w:ascii="宋体" w:hAnsi="宋体"/>
          <w:color w:val="auto"/>
          <w:sz w:val="24"/>
        </w:rPr>
      </w:pPr>
      <w:r>
        <w:rPr>
          <w:rFonts w:ascii="宋体" w:hAnsi="宋体"/>
          <w:color w:val="auto"/>
          <w:sz w:val="24"/>
        </w:rPr>
        <w:t>　　特此确认。</w:t>
      </w:r>
    </w:p>
    <w:p>
      <w:pPr>
        <w:spacing w:line="440" w:lineRule="exact"/>
        <w:rPr>
          <w:rFonts w:ascii="宋体" w:hAnsi="宋体"/>
          <w:color w:val="auto"/>
          <w:sz w:val="24"/>
        </w:rPr>
      </w:pPr>
    </w:p>
    <w:p>
      <w:pPr>
        <w:spacing w:line="440" w:lineRule="exact"/>
        <w:rPr>
          <w:rFonts w:ascii="宋体" w:hAnsi="宋体"/>
          <w:color w:val="auto"/>
          <w:sz w:val="24"/>
        </w:rPr>
      </w:pPr>
    </w:p>
    <w:p>
      <w:pPr>
        <w:spacing w:line="440" w:lineRule="exact"/>
        <w:rPr>
          <w:rFonts w:ascii="宋体" w:hAnsi="宋体"/>
          <w:color w:val="auto"/>
          <w:sz w:val="24"/>
        </w:rPr>
      </w:pPr>
      <w:r>
        <w:rPr>
          <w:rFonts w:hint="eastAsia" w:ascii="宋体" w:hAnsi="宋体"/>
          <w:color w:val="auto"/>
          <w:sz w:val="24"/>
        </w:rPr>
        <w:t>供应商</w:t>
      </w:r>
      <w:r>
        <w:rPr>
          <w:rFonts w:ascii="宋体" w:hAnsi="宋体"/>
          <w:color w:val="auto"/>
          <w:sz w:val="24"/>
        </w:rPr>
        <w:t>： （盖单位章）</w:t>
      </w:r>
    </w:p>
    <w:p>
      <w:pPr>
        <w:spacing w:line="440" w:lineRule="exact"/>
        <w:rPr>
          <w:rFonts w:ascii="宋体" w:hAnsi="宋体"/>
          <w:color w:val="auto"/>
          <w:sz w:val="24"/>
        </w:rPr>
      </w:pPr>
    </w:p>
    <w:p>
      <w:pPr>
        <w:spacing w:line="440" w:lineRule="exact"/>
        <w:ind w:firstLine="240" w:firstLineChars="100"/>
        <w:rPr>
          <w:rFonts w:ascii="宋体" w:hAnsi="宋体"/>
          <w:color w:val="auto"/>
          <w:sz w:val="24"/>
        </w:rPr>
      </w:pPr>
      <w:r>
        <w:rPr>
          <w:rFonts w:ascii="宋体" w:hAnsi="宋体"/>
          <w:color w:val="auto"/>
          <w:sz w:val="24"/>
        </w:rPr>
        <w:t>年月日</w:t>
      </w:r>
    </w:p>
    <w:p>
      <w:pPr>
        <w:spacing w:line="440" w:lineRule="exact"/>
        <w:ind w:firstLine="240" w:firstLineChars="100"/>
        <w:rPr>
          <w:rFonts w:ascii="宋体" w:hAnsi="宋体"/>
          <w:color w:val="auto"/>
          <w:sz w:val="24"/>
        </w:rPr>
      </w:pPr>
    </w:p>
    <w:p>
      <w:pPr>
        <w:spacing w:line="440" w:lineRule="exact"/>
        <w:ind w:firstLine="240" w:firstLineChars="100"/>
        <w:rPr>
          <w:rFonts w:ascii="宋体" w:hAnsi="宋体"/>
          <w:color w:val="auto"/>
          <w:sz w:val="24"/>
        </w:rPr>
      </w:pPr>
    </w:p>
    <w:p>
      <w:pPr>
        <w:spacing w:line="440" w:lineRule="exact"/>
        <w:ind w:firstLine="240" w:firstLineChars="100"/>
        <w:rPr>
          <w:rFonts w:ascii="宋体" w:hAnsi="宋体"/>
          <w:color w:val="auto"/>
          <w:sz w:val="24"/>
        </w:rPr>
      </w:pPr>
    </w:p>
    <w:p>
      <w:pPr>
        <w:spacing w:line="440" w:lineRule="exact"/>
        <w:ind w:firstLine="240" w:firstLineChars="100"/>
        <w:rPr>
          <w:rFonts w:ascii="宋体" w:hAnsi="宋体"/>
          <w:color w:val="auto"/>
          <w:sz w:val="24"/>
        </w:rPr>
      </w:pPr>
    </w:p>
    <w:p>
      <w:pPr>
        <w:spacing w:line="440" w:lineRule="exact"/>
        <w:ind w:firstLine="240" w:firstLineChars="100"/>
        <w:rPr>
          <w:rFonts w:ascii="宋体" w:hAnsi="宋体"/>
          <w:color w:val="auto"/>
          <w:sz w:val="24"/>
        </w:rPr>
      </w:pPr>
    </w:p>
    <w:p>
      <w:pPr>
        <w:spacing w:line="440" w:lineRule="exact"/>
        <w:ind w:firstLine="240" w:firstLineChars="100"/>
        <w:rPr>
          <w:rFonts w:ascii="宋体" w:hAnsi="宋体"/>
          <w:color w:val="auto"/>
          <w:sz w:val="24"/>
        </w:rPr>
      </w:pPr>
    </w:p>
    <w:p>
      <w:pPr>
        <w:spacing w:line="440" w:lineRule="exact"/>
        <w:ind w:firstLine="240" w:firstLineChars="100"/>
        <w:rPr>
          <w:rFonts w:ascii="宋体" w:hAnsi="宋体"/>
          <w:color w:val="auto"/>
          <w:sz w:val="24"/>
        </w:rPr>
      </w:pPr>
    </w:p>
    <w:p>
      <w:pPr>
        <w:spacing w:line="440" w:lineRule="exact"/>
        <w:ind w:firstLine="240" w:firstLineChars="100"/>
        <w:rPr>
          <w:rFonts w:ascii="宋体" w:hAnsi="宋体"/>
          <w:color w:val="auto"/>
          <w:sz w:val="24"/>
        </w:rPr>
      </w:pPr>
    </w:p>
    <w:p>
      <w:pPr>
        <w:spacing w:line="440" w:lineRule="exact"/>
        <w:ind w:firstLine="240" w:firstLineChars="100"/>
        <w:rPr>
          <w:rFonts w:ascii="宋体" w:hAnsi="宋体"/>
          <w:color w:val="auto"/>
          <w:sz w:val="24"/>
        </w:rPr>
      </w:pPr>
    </w:p>
    <w:p>
      <w:pPr>
        <w:spacing w:line="440" w:lineRule="exact"/>
        <w:ind w:firstLine="240" w:firstLineChars="100"/>
        <w:rPr>
          <w:rFonts w:ascii="宋体" w:hAnsi="宋体"/>
          <w:color w:val="auto"/>
          <w:sz w:val="24"/>
        </w:rPr>
      </w:pPr>
    </w:p>
    <w:p>
      <w:pPr>
        <w:spacing w:line="440" w:lineRule="exact"/>
        <w:ind w:firstLine="240" w:firstLineChars="100"/>
        <w:rPr>
          <w:rFonts w:ascii="宋体" w:hAnsi="宋体"/>
          <w:color w:val="auto"/>
          <w:sz w:val="24"/>
        </w:rPr>
      </w:pPr>
    </w:p>
    <w:p>
      <w:pPr>
        <w:spacing w:line="440" w:lineRule="exact"/>
        <w:ind w:firstLine="240" w:firstLineChars="100"/>
        <w:rPr>
          <w:rFonts w:ascii="宋体" w:hAnsi="宋体"/>
          <w:color w:val="auto"/>
          <w:sz w:val="24"/>
        </w:rPr>
      </w:pPr>
    </w:p>
    <w:p>
      <w:pPr>
        <w:spacing w:line="440" w:lineRule="exact"/>
        <w:rPr>
          <w:rFonts w:ascii="宋体" w:hAnsi="宋体"/>
          <w:color w:val="auto"/>
          <w:sz w:val="24"/>
        </w:rPr>
      </w:pPr>
    </w:p>
    <w:p>
      <w:pPr>
        <w:spacing w:before="156" w:beforeLines="50" w:after="156" w:afterLines="50" w:line="360" w:lineRule="auto"/>
        <w:jc w:val="center"/>
        <w:rPr>
          <w:rFonts w:ascii="黑体" w:hAnsi="黑体" w:eastAsia="黑体" w:cs="黑体"/>
          <w:b/>
          <w:color w:val="auto"/>
          <w:sz w:val="44"/>
          <w:szCs w:val="44"/>
        </w:rPr>
      </w:pPr>
      <w:r>
        <w:rPr>
          <w:rFonts w:hint="eastAsia"/>
          <w:color w:val="auto"/>
          <w:sz w:val="24"/>
        </w:rPr>
        <w:br w:type="page"/>
      </w:r>
      <w:r>
        <w:rPr>
          <w:rFonts w:hint="eastAsia" w:ascii="黑体" w:hAnsi="黑体" w:eastAsia="黑体" w:cs="黑体"/>
          <w:b/>
          <w:color w:val="auto"/>
          <w:sz w:val="44"/>
          <w:szCs w:val="44"/>
        </w:rPr>
        <w:t>第三章  评审办法及标准</w:t>
      </w:r>
    </w:p>
    <w:p>
      <w:pPr>
        <w:spacing w:line="360" w:lineRule="auto"/>
        <w:rPr>
          <w:rFonts w:ascii="宋体" w:hAnsi="宋体" w:cs="宋体"/>
          <w:b/>
          <w:bCs/>
          <w:color w:val="auto"/>
          <w:sz w:val="24"/>
        </w:rPr>
      </w:pPr>
      <w:r>
        <w:rPr>
          <w:rFonts w:hint="eastAsia" w:ascii="宋体" w:hAnsi="宋体" w:cs="宋体"/>
          <w:b/>
          <w:bCs/>
          <w:color w:val="auto"/>
          <w:sz w:val="24"/>
        </w:rPr>
        <w:t>一、总则</w:t>
      </w:r>
    </w:p>
    <w:p>
      <w:pPr>
        <w:spacing w:line="360" w:lineRule="auto"/>
        <w:ind w:firstLine="480" w:firstLineChars="200"/>
        <w:rPr>
          <w:rFonts w:ascii="宋体" w:hAnsi="宋体" w:cs="宋体"/>
          <w:color w:val="auto"/>
          <w:sz w:val="24"/>
        </w:rPr>
      </w:pPr>
      <w:r>
        <w:rPr>
          <w:rFonts w:hint="eastAsia" w:ascii="宋体" w:hAnsi="宋体" w:cs="宋体"/>
          <w:color w:val="auto"/>
          <w:sz w:val="24"/>
        </w:rPr>
        <w:t>1. 根据</w:t>
      </w:r>
      <w:r>
        <w:rPr>
          <w:rFonts w:hint="eastAsia" w:hAnsi="宋体"/>
          <w:color w:val="auto"/>
          <w:sz w:val="24"/>
        </w:rPr>
        <w:t>《中华人民共和国政府采购法》、</w:t>
      </w:r>
      <w:r>
        <w:rPr>
          <w:rFonts w:hint="eastAsia" w:ascii="宋体" w:hAnsi="宋体" w:cs="宋体"/>
          <w:color w:val="auto"/>
          <w:sz w:val="24"/>
        </w:rPr>
        <w:t>《政府采购竞争性磋商采购方式管理暂行办法》财库【2014】214号等法律和规章，结合本采购项目特点制定本评标办法。</w:t>
      </w:r>
    </w:p>
    <w:p>
      <w:pPr>
        <w:spacing w:line="360" w:lineRule="auto"/>
        <w:ind w:firstLine="480" w:firstLineChars="200"/>
        <w:rPr>
          <w:rFonts w:ascii="宋体" w:hAnsi="宋体" w:cs="宋体"/>
          <w:color w:val="auto"/>
          <w:sz w:val="24"/>
        </w:rPr>
      </w:pPr>
      <w:r>
        <w:rPr>
          <w:rFonts w:hint="eastAsia" w:ascii="宋体" w:hAnsi="宋体" w:cs="宋体"/>
          <w:color w:val="auto"/>
          <w:sz w:val="24"/>
        </w:rPr>
        <w:t>2. 评标工作由采购单位负责组织，具体评标事务由采购单位依法组建的评审委员会负责。评审委员会由采购人代表和有关技术、经济等方面的专家组成。</w:t>
      </w:r>
    </w:p>
    <w:p>
      <w:pPr>
        <w:spacing w:line="360" w:lineRule="auto"/>
        <w:ind w:firstLine="480" w:firstLineChars="200"/>
        <w:rPr>
          <w:rFonts w:ascii="宋体" w:hAnsi="宋体" w:cs="宋体"/>
          <w:color w:val="auto"/>
          <w:sz w:val="24"/>
        </w:rPr>
      </w:pPr>
      <w:r>
        <w:rPr>
          <w:rFonts w:hint="eastAsia" w:ascii="宋体" w:hAnsi="宋体" w:cs="宋体"/>
          <w:color w:val="auto"/>
          <w:sz w:val="24"/>
        </w:rPr>
        <w:t>3. 遵循公平、公正、科学、择优的原则，以相同的评审程序和标准对待所有的供应商。</w:t>
      </w:r>
    </w:p>
    <w:p>
      <w:pPr>
        <w:spacing w:line="360" w:lineRule="auto"/>
        <w:ind w:firstLine="480" w:firstLineChars="200"/>
        <w:rPr>
          <w:rFonts w:ascii="宋体" w:hAnsi="宋体" w:cs="宋体"/>
          <w:color w:val="auto"/>
          <w:sz w:val="24"/>
        </w:rPr>
      </w:pPr>
      <w:r>
        <w:rPr>
          <w:rFonts w:hint="eastAsia" w:ascii="宋体" w:hAnsi="宋体" w:cs="宋体"/>
          <w:color w:val="auto"/>
          <w:sz w:val="24"/>
        </w:rPr>
        <w:t>4. 反对不正当竞争，反对恶意压低投标价格。</w:t>
      </w:r>
    </w:p>
    <w:p>
      <w:pPr>
        <w:spacing w:line="360" w:lineRule="auto"/>
        <w:ind w:firstLine="480" w:firstLineChars="200"/>
        <w:rPr>
          <w:rFonts w:ascii="宋体" w:hAnsi="宋体" w:cs="宋体"/>
          <w:color w:val="auto"/>
          <w:sz w:val="24"/>
        </w:rPr>
      </w:pPr>
      <w:r>
        <w:rPr>
          <w:rFonts w:hint="eastAsia" w:ascii="宋体" w:hAnsi="宋体" w:cs="宋体"/>
          <w:color w:val="auto"/>
          <w:sz w:val="24"/>
        </w:rPr>
        <w:t>5. 评审委员会按照竞争性磋商文件规定的评标方法和标准进行评标，并独立履行下列职责：</w:t>
      </w:r>
    </w:p>
    <w:p>
      <w:pPr>
        <w:spacing w:line="360" w:lineRule="auto"/>
        <w:ind w:firstLine="480" w:firstLineChars="200"/>
        <w:rPr>
          <w:rFonts w:ascii="宋体" w:hAnsi="宋体" w:cs="宋体"/>
          <w:color w:val="auto"/>
          <w:sz w:val="24"/>
        </w:rPr>
      </w:pPr>
      <w:r>
        <w:rPr>
          <w:rFonts w:hint="eastAsia" w:ascii="宋体" w:hAnsi="宋体" w:cs="宋体"/>
          <w:color w:val="auto"/>
          <w:sz w:val="24"/>
        </w:rPr>
        <w:t>（1）审查响应文件是否符合竞争性磋商文件要求，并作出评价；</w:t>
      </w:r>
    </w:p>
    <w:p>
      <w:pPr>
        <w:spacing w:line="360" w:lineRule="auto"/>
        <w:ind w:firstLine="480" w:firstLineChars="200"/>
        <w:rPr>
          <w:rFonts w:ascii="宋体" w:hAnsi="宋体" w:cs="宋体"/>
          <w:color w:val="auto"/>
          <w:sz w:val="24"/>
        </w:rPr>
      </w:pPr>
      <w:r>
        <w:rPr>
          <w:rFonts w:hint="eastAsia" w:ascii="宋体" w:hAnsi="宋体" w:cs="宋体"/>
          <w:color w:val="auto"/>
          <w:sz w:val="24"/>
        </w:rPr>
        <w:t>（2）要求投标供应商对响应文件有关事项作出解释或者澄清；</w:t>
      </w:r>
    </w:p>
    <w:p>
      <w:pPr>
        <w:spacing w:line="360" w:lineRule="auto"/>
        <w:ind w:firstLine="480" w:firstLineChars="200"/>
        <w:rPr>
          <w:rFonts w:ascii="宋体" w:hAnsi="宋体" w:cs="宋体"/>
          <w:color w:val="auto"/>
          <w:sz w:val="24"/>
        </w:rPr>
      </w:pPr>
      <w:r>
        <w:rPr>
          <w:rFonts w:hint="eastAsia" w:ascii="宋体" w:hAnsi="宋体" w:cs="宋体"/>
          <w:color w:val="auto"/>
          <w:sz w:val="24"/>
        </w:rPr>
        <w:t>（3）推荐成交候选供应商名单，或者受采购人委托按照事先确定的办法直接确定成交供应商；</w:t>
      </w:r>
    </w:p>
    <w:p>
      <w:pPr>
        <w:spacing w:line="360" w:lineRule="auto"/>
        <w:ind w:firstLine="480" w:firstLineChars="200"/>
        <w:rPr>
          <w:rFonts w:ascii="宋体" w:hAnsi="宋体" w:cs="宋体"/>
          <w:color w:val="auto"/>
          <w:sz w:val="24"/>
        </w:rPr>
      </w:pPr>
      <w:r>
        <w:rPr>
          <w:rFonts w:hint="eastAsia" w:ascii="宋体" w:hAnsi="宋体" w:cs="宋体"/>
          <w:color w:val="auto"/>
          <w:sz w:val="24"/>
        </w:rPr>
        <w:t>（4）向采购单位或者有关部门报告非法干预评审工作的行为。</w:t>
      </w:r>
    </w:p>
    <w:p>
      <w:pPr>
        <w:spacing w:line="360" w:lineRule="auto"/>
        <w:ind w:firstLine="480" w:firstLineChars="200"/>
        <w:rPr>
          <w:rFonts w:ascii="宋体" w:hAnsi="宋体" w:cs="宋体"/>
          <w:color w:val="auto"/>
          <w:sz w:val="24"/>
        </w:rPr>
      </w:pPr>
      <w:r>
        <w:rPr>
          <w:rFonts w:hint="eastAsia" w:ascii="宋体" w:hAnsi="宋体" w:cs="宋体"/>
          <w:color w:val="auto"/>
          <w:sz w:val="24"/>
        </w:rPr>
        <w:t>6. 评标过程严格保密。供应商对评审委员会的评标过程或合同授予决定施加影响的任何行为都可能导致其投标被拒绝。</w:t>
      </w:r>
    </w:p>
    <w:p>
      <w:pPr>
        <w:spacing w:line="360" w:lineRule="auto"/>
        <w:ind w:firstLine="480" w:firstLineChars="200"/>
        <w:rPr>
          <w:rFonts w:ascii="宋体" w:hAnsi="宋体" w:cs="宋体"/>
          <w:color w:val="auto"/>
          <w:sz w:val="24"/>
        </w:rPr>
      </w:pPr>
      <w:r>
        <w:rPr>
          <w:rFonts w:hint="eastAsia" w:ascii="宋体" w:hAnsi="宋体" w:cs="宋体"/>
          <w:color w:val="auto"/>
          <w:sz w:val="24"/>
        </w:rPr>
        <w:t>7. 评审委员会决定响应文件的响应性依据响应文件本身的内容，而不寻求外部的证据。</w:t>
      </w:r>
    </w:p>
    <w:p>
      <w:pPr>
        <w:spacing w:line="360" w:lineRule="auto"/>
        <w:ind w:firstLine="480" w:firstLineChars="200"/>
        <w:rPr>
          <w:rFonts w:ascii="宋体" w:hAnsi="宋体" w:cs="宋体"/>
          <w:color w:val="auto"/>
          <w:sz w:val="24"/>
        </w:rPr>
      </w:pPr>
      <w:r>
        <w:rPr>
          <w:rFonts w:hint="eastAsia" w:ascii="宋体" w:hAnsi="宋体" w:cs="宋体"/>
          <w:color w:val="auto"/>
          <w:sz w:val="24"/>
        </w:rPr>
        <w:t>8. 评审委员会发现竞争性磋商文件表述不明确或需要说明的事项，可提请采购单位书面解释说明。</w:t>
      </w:r>
    </w:p>
    <w:p>
      <w:pPr>
        <w:spacing w:line="360" w:lineRule="auto"/>
        <w:rPr>
          <w:rFonts w:ascii="宋体" w:hAnsi="宋体" w:cs="宋体"/>
          <w:b/>
          <w:bCs/>
          <w:color w:val="auto"/>
          <w:sz w:val="24"/>
        </w:rPr>
      </w:pPr>
      <w:r>
        <w:rPr>
          <w:rFonts w:hint="eastAsia" w:ascii="宋体" w:hAnsi="宋体" w:cs="宋体"/>
          <w:b/>
          <w:bCs/>
          <w:color w:val="auto"/>
          <w:sz w:val="24"/>
        </w:rPr>
        <w:t>二、评标办法</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（一）评审规则</w:t>
      </w:r>
    </w:p>
    <w:p>
      <w:pPr>
        <w:spacing w:line="360" w:lineRule="auto"/>
        <w:ind w:firstLine="480" w:firstLineChars="200"/>
        <w:rPr>
          <w:rFonts w:ascii="宋体" w:hAnsi="宋体" w:cs="宋体"/>
          <w:color w:val="auto"/>
          <w:sz w:val="24"/>
        </w:rPr>
      </w:pPr>
      <w:r>
        <w:rPr>
          <w:rFonts w:hint="eastAsia" w:ascii="宋体" w:hAnsi="宋体" w:cs="宋体"/>
          <w:color w:val="auto"/>
          <w:sz w:val="24"/>
        </w:rPr>
        <w:t>1. 本项目的评审办法采用综合评分法，满分为100分。</w:t>
      </w:r>
    </w:p>
    <w:p>
      <w:pPr>
        <w:spacing w:line="360" w:lineRule="auto"/>
        <w:ind w:firstLine="480" w:firstLineChars="200"/>
        <w:rPr>
          <w:rFonts w:ascii="宋体" w:hAnsi="宋体" w:cs="宋体"/>
          <w:color w:val="auto"/>
          <w:sz w:val="24"/>
        </w:rPr>
      </w:pPr>
      <w:r>
        <w:rPr>
          <w:rFonts w:hint="eastAsia" w:ascii="宋体" w:hAnsi="宋体" w:cs="宋体"/>
          <w:color w:val="auto"/>
          <w:sz w:val="24"/>
        </w:rPr>
        <w:t>2. 综合评分的因素包括以下内容：价格、技术方案、业绩、项目管理机构人员等。</w:t>
      </w:r>
    </w:p>
    <w:p>
      <w:pPr>
        <w:spacing w:line="360" w:lineRule="auto"/>
        <w:ind w:firstLine="480" w:firstLineChars="200"/>
        <w:rPr>
          <w:rFonts w:ascii="宋体" w:hAnsi="宋体" w:cs="宋体"/>
          <w:color w:val="auto"/>
          <w:sz w:val="24"/>
        </w:rPr>
      </w:pPr>
      <w:r>
        <w:rPr>
          <w:rFonts w:hint="eastAsia" w:ascii="宋体" w:hAnsi="宋体" w:cs="宋体"/>
          <w:color w:val="auto"/>
          <w:sz w:val="24"/>
        </w:rPr>
        <w:t>3. 评审步骤：先进行初步评审，再进行详细评审。初步评审包括资格性审查和符合性审查，详细评审是对技术、商务及价格因素的评审。只有通过初步评审的供应商才能进入详细评审。</w:t>
      </w:r>
    </w:p>
    <w:p>
      <w:pPr>
        <w:spacing w:line="360" w:lineRule="auto"/>
        <w:ind w:firstLine="480" w:firstLineChars="200"/>
        <w:rPr>
          <w:rFonts w:ascii="宋体" w:hAnsi="宋体" w:cs="宋体"/>
          <w:color w:val="auto"/>
          <w:sz w:val="24"/>
        </w:rPr>
      </w:pPr>
      <w:r>
        <w:rPr>
          <w:rFonts w:hint="eastAsia" w:ascii="宋体" w:hAnsi="宋体" w:cs="宋体"/>
          <w:color w:val="auto"/>
          <w:sz w:val="24"/>
        </w:rPr>
        <w:t>4. 综合评分及其统计：按照评审程序、评分标准以及权重分配的规定，评审委员会成员分别就各个供应商的技术状况、商务状况、对竞争性磋商文件要求的响应情况等进行评议和比较，赋予技术分和商务分。各评委赋分的算术平均值，即为该供应商的技术得分或商务得分。按综合评分法的报价计算方法计算各供应商的价格得分。将技术得分、商务得分和价格得分相加得出每个供应商的综合得分。</w:t>
      </w:r>
    </w:p>
    <w:p>
      <w:pPr>
        <w:spacing w:line="360" w:lineRule="auto"/>
        <w:ind w:firstLine="480" w:firstLineChars="200"/>
        <w:rPr>
          <w:rFonts w:ascii="宋体" w:hAnsi="宋体" w:cs="宋体"/>
          <w:color w:val="auto"/>
          <w:sz w:val="24"/>
        </w:rPr>
      </w:pPr>
      <w:r>
        <w:rPr>
          <w:rFonts w:hint="eastAsia" w:ascii="宋体" w:hAnsi="宋体" w:cs="宋体"/>
          <w:color w:val="auto"/>
          <w:sz w:val="24"/>
        </w:rPr>
        <w:t>5. 综合得分按由高到低顺序排列。综合得分相同的，按投标报价由低到高顺序排列。综合得分和投标报价均相同的，按技术指标由优至劣顺序排列。</w:t>
      </w:r>
    </w:p>
    <w:p>
      <w:pPr>
        <w:spacing w:line="360" w:lineRule="auto"/>
        <w:ind w:firstLine="480" w:firstLineChars="200"/>
        <w:rPr>
          <w:rFonts w:ascii="宋体" w:hAnsi="宋体" w:cs="宋体"/>
          <w:color w:val="auto"/>
          <w:sz w:val="24"/>
        </w:rPr>
      </w:pPr>
      <w:r>
        <w:rPr>
          <w:rFonts w:hint="eastAsia" w:ascii="宋体" w:hAnsi="宋体" w:cs="宋体"/>
          <w:color w:val="auto"/>
          <w:sz w:val="24"/>
        </w:rPr>
        <w:t>6. 综合得分最高的供应商为第一成交候选人，综合得分次高的供应商为第二成交候选人，依次类推。</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（二）初步评审</w:t>
      </w:r>
    </w:p>
    <w:p>
      <w:pPr>
        <w:spacing w:line="360" w:lineRule="auto"/>
        <w:ind w:firstLine="480" w:firstLineChars="200"/>
        <w:rPr>
          <w:rFonts w:ascii="宋体" w:hAnsi="宋体" w:cs="宋体"/>
          <w:color w:val="auto"/>
          <w:sz w:val="24"/>
        </w:rPr>
      </w:pPr>
      <w:r>
        <w:rPr>
          <w:rFonts w:hint="eastAsia" w:ascii="宋体" w:hAnsi="宋体" w:cs="宋体"/>
          <w:color w:val="auto"/>
          <w:sz w:val="24"/>
        </w:rPr>
        <w:t>1. 评审委员会根据磋商文件要求，对供应商的资格和响应文件的资格性、符合性进行评审。只有对《审查表》所列各项目做出实质性响应的响应文件才能通过初步评审。对投标是否实质性响应竞争性磋商文件的要求产生争议的，评审委员会以记名方式票决。得票超过半数的供应商有资格进入下一阶段的评审，否则被淘汰。</w:t>
      </w:r>
    </w:p>
    <w:p>
      <w:pPr>
        <w:spacing w:line="360" w:lineRule="auto"/>
        <w:ind w:firstLine="480" w:firstLineChars="200"/>
        <w:rPr>
          <w:rFonts w:ascii="宋体" w:hAnsi="宋体" w:cs="宋体"/>
          <w:color w:val="auto"/>
          <w:sz w:val="24"/>
        </w:rPr>
      </w:pPr>
      <w:r>
        <w:rPr>
          <w:rFonts w:hint="eastAsia" w:ascii="宋体" w:hAnsi="宋体" w:cs="宋体"/>
          <w:color w:val="auto"/>
          <w:sz w:val="24"/>
        </w:rPr>
        <w:t>2. 评审委员会将审查响应文件是否完整、有关资料证明文件是否真实有效、是否提交响应保证金、文件签署是否合格、投标有效期是否满足要求、响应文件的总体编排是否基本有序等。</w:t>
      </w:r>
    </w:p>
    <w:p>
      <w:pPr>
        <w:spacing w:line="360" w:lineRule="auto"/>
        <w:ind w:firstLine="480" w:firstLineChars="200"/>
        <w:rPr>
          <w:rFonts w:ascii="宋体" w:hAnsi="宋体" w:cs="宋体"/>
          <w:color w:val="auto"/>
          <w:sz w:val="24"/>
        </w:rPr>
      </w:pPr>
      <w:r>
        <w:rPr>
          <w:rFonts w:hint="eastAsia" w:ascii="宋体" w:hAnsi="宋体" w:cs="宋体"/>
          <w:color w:val="auto"/>
          <w:sz w:val="24"/>
        </w:rPr>
        <w:t>3. 在详细评审之前，评审委员会要审查每份响应文件是否实质上响应了竞争性磋商文件的要求。实质上响应的投标，应该是符合竞争性磋商文件重要条款、条件和规格的要求，没有重大偏离或保留的投标。所谓重大偏离或保留，是指实质上影响合同的采购范围、质量等；或者实质上与竞争性磋商文件不一致，而且限制了合同中采购人的权利或供应商的义务；纠正这些偏离或保留，将会对其他实质上的响应要求的供应商的竞争地位产生不公正的影响。评审委员会认定响应文件是否响应竞争性磋商文件的要求，只根据响应文件本身的内容，而不寻找外部的证据。</w:t>
      </w:r>
    </w:p>
    <w:p>
      <w:pPr>
        <w:spacing w:line="360" w:lineRule="auto"/>
        <w:ind w:firstLine="480" w:firstLineChars="200"/>
        <w:rPr>
          <w:rFonts w:ascii="宋体" w:hAnsi="宋体" w:cs="宋体"/>
          <w:color w:val="auto"/>
          <w:sz w:val="24"/>
        </w:rPr>
      </w:pPr>
      <w:r>
        <w:rPr>
          <w:rFonts w:hint="eastAsia" w:ascii="宋体" w:hAnsi="宋体" w:cs="宋体"/>
          <w:color w:val="auto"/>
          <w:sz w:val="24"/>
        </w:rPr>
        <w:t>4. 无效投标的认定</w:t>
      </w:r>
    </w:p>
    <w:p>
      <w:pPr>
        <w:spacing w:line="360" w:lineRule="auto"/>
        <w:ind w:firstLine="480" w:firstLineChars="200"/>
        <w:rPr>
          <w:rFonts w:ascii="宋体" w:hAnsi="宋体" w:cs="宋体"/>
          <w:color w:val="auto"/>
          <w:sz w:val="24"/>
        </w:rPr>
      </w:pPr>
      <w:r>
        <w:rPr>
          <w:rFonts w:hint="eastAsia" w:ascii="宋体" w:hAnsi="宋体" w:cs="宋体"/>
          <w:color w:val="auto"/>
          <w:sz w:val="24"/>
        </w:rPr>
        <w:t>评审过程中，响应文件出现（但不限于）下列情况的，将被认定为无效投标：</w:t>
      </w:r>
    </w:p>
    <w:p>
      <w:pPr>
        <w:spacing w:line="360" w:lineRule="auto"/>
        <w:ind w:firstLine="480" w:firstLineChars="200"/>
        <w:rPr>
          <w:rFonts w:ascii="宋体" w:hAnsi="宋体" w:cs="宋体"/>
          <w:color w:val="auto"/>
          <w:sz w:val="24"/>
        </w:rPr>
      </w:pPr>
      <w:r>
        <w:rPr>
          <w:rFonts w:hint="eastAsia" w:ascii="宋体" w:hAnsi="宋体" w:cs="宋体"/>
          <w:color w:val="auto"/>
          <w:sz w:val="24"/>
        </w:rPr>
        <w:t>（1）供应商未提交响应保证金或响应保证金金额不足的；</w:t>
      </w:r>
    </w:p>
    <w:p>
      <w:pPr>
        <w:spacing w:line="360" w:lineRule="auto"/>
        <w:ind w:firstLine="480" w:firstLineChars="200"/>
        <w:rPr>
          <w:rFonts w:ascii="宋体" w:hAnsi="宋体" w:cs="宋体"/>
          <w:color w:val="auto"/>
          <w:sz w:val="24"/>
        </w:rPr>
      </w:pPr>
      <w:r>
        <w:rPr>
          <w:rFonts w:hint="eastAsia" w:ascii="宋体" w:hAnsi="宋体" w:cs="宋体"/>
          <w:color w:val="auto"/>
          <w:sz w:val="24"/>
        </w:rPr>
        <w:t>（2）投标有效期不足的；</w:t>
      </w:r>
    </w:p>
    <w:p>
      <w:pPr>
        <w:spacing w:line="360" w:lineRule="auto"/>
        <w:ind w:firstLine="480" w:firstLineChars="200"/>
        <w:rPr>
          <w:rFonts w:ascii="宋体" w:hAnsi="宋体" w:cs="宋体"/>
          <w:color w:val="auto"/>
          <w:sz w:val="24"/>
        </w:rPr>
      </w:pPr>
      <w:r>
        <w:rPr>
          <w:rFonts w:hint="eastAsia" w:ascii="宋体" w:hAnsi="宋体" w:cs="宋体"/>
          <w:color w:val="auto"/>
          <w:sz w:val="24"/>
        </w:rPr>
        <w:t>（3）响应文件未按竞争性磋商文件规定要求填写投标内容及签名盖章的；</w:t>
      </w:r>
    </w:p>
    <w:p>
      <w:pPr>
        <w:spacing w:line="360" w:lineRule="auto"/>
        <w:ind w:firstLine="480" w:firstLineChars="200"/>
        <w:rPr>
          <w:rFonts w:ascii="宋体" w:hAnsi="宋体" w:cs="宋体"/>
          <w:color w:val="auto"/>
          <w:sz w:val="24"/>
        </w:rPr>
      </w:pPr>
      <w:r>
        <w:rPr>
          <w:rFonts w:hint="eastAsia" w:ascii="宋体" w:hAnsi="宋体" w:cs="宋体"/>
          <w:color w:val="auto"/>
          <w:sz w:val="24"/>
        </w:rPr>
        <w:t>（4）投标报价均超过了采购预算，采购人不能支付的；</w:t>
      </w:r>
    </w:p>
    <w:p>
      <w:pPr>
        <w:spacing w:line="360" w:lineRule="auto"/>
        <w:ind w:firstLine="480" w:firstLineChars="200"/>
        <w:rPr>
          <w:rFonts w:ascii="宋体" w:hAnsi="宋体" w:cs="宋体"/>
          <w:color w:val="auto"/>
          <w:sz w:val="24"/>
        </w:rPr>
      </w:pPr>
      <w:r>
        <w:rPr>
          <w:rFonts w:hint="eastAsia" w:ascii="宋体" w:hAnsi="宋体" w:cs="宋体"/>
          <w:color w:val="auto"/>
          <w:sz w:val="24"/>
        </w:rPr>
        <w:t>（5）投标报价明显过低，可能低于其成本，而供应商不能作出合理说明的；</w:t>
      </w:r>
    </w:p>
    <w:p>
      <w:pPr>
        <w:spacing w:line="360" w:lineRule="auto"/>
        <w:ind w:firstLine="480" w:firstLineChars="200"/>
        <w:rPr>
          <w:rFonts w:ascii="宋体" w:hAnsi="宋体" w:cs="宋体"/>
          <w:color w:val="auto"/>
          <w:sz w:val="24"/>
        </w:rPr>
      </w:pPr>
      <w:r>
        <w:rPr>
          <w:rFonts w:hint="eastAsia" w:ascii="宋体" w:hAnsi="宋体" w:cs="宋体"/>
          <w:color w:val="auto"/>
          <w:sz w:val="24"/>
        </w:rPr>
        <w:t>（6）供应商未按竞争性磋商文件要求提供下列有效证明文件的：</w:t>
      </w:r>
    </w:p>
    <w:p>
      <w:pPr>
        <w:spacing w:line="360" w:lineRule="auto"/>
        <w:ind w:firstLine="480" w:firstLineChars="200"/>
        <w:rPr>
          <w:rFonts w:ascii="宋体" w:hAnsi="宋体" w:cs="宋体"/>
          <w:color w:val="auto"/>
          <w:sz w:val="24"/>
        </w:rPr>
      </w:pPr>
      <w:r>
        <w:rPr>
          <w:rFonts w:hint="eastAsia" w:ascii="宋体" w:hAnsi="宋体" w:cs="宋体"/>
          <w:color w:val="auto"/>
          <w:sz w:val="24"/>
        </w:rPr>
        <w:t>（7）评审委员会认为投标未实质性响应竞争性磋商文件要求的。</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（三）详细评审</w:t>
      </w:r>
    </w:p>
    <w:p>
      <w:pPr>
        <w:spacing w:line="360" w:lineRule="auto"/>
        <w:ind w:firstLine="480" w:firstLineChars="200"/>
        <w:rPr>
          <w:rFonts w:ascii="宋体" w:hAnsi="宋体" w:cs="宋体"/>
          <w:color w:val="auto"/>
          <w:sz w:val="24"/>
        </w:rPr>
      </w:pPr>
      <w:r>
        <w:rPr>
          <w:rFonts w:hint="eastAsia" w:ascii="宋体" w:hAnsi="宋体" w:cs="宋体"/>
          <w:color w:val="auto"/>
          <w:sz w:val="24"/>
        </w:rPr>
        <w:t>详细评审是对通过初步评审的投标进行技术商务和价格的评审。</w:t>
      </w:r>
    </w:p>
    <w:p>
      <w:pPr>
        <w:spacing w:line="360" w:lineRule="auto"/>
        <w:ind w:firstLine="480" w:firstLineChars="200"/>
        <w:rPr>
          <w:rFonts w:ascii="宋体" w:hAnsi="宋体" w:cs="宋体"/>
          <w:color w:val="auto"/>
          <w:sz w:val="24"/>
        </w:rPr>
      </w:pPr>
      <w:r>
        <w:rPr>
          <w:rFonts w:hint="eastAsia" w:ascii="宋体" w:hAnsi="宋体" w:cs="宋体"/>
          <w:color w:val="auto"/>
          <w:sz w:val="24"/>
        </w:rPr>
        <w:t>1. 价格评审</w:t>
      </w:r>
    </w:p>
    <w:p>
      <w:pPr>
        <w:spacing w:line="360" w:lineRule="auto"/>
        <w:ind w:firstLine="480" w:firstLineChars="200"/>
        <w:rPr>
          <w:rFonts w:ascii="宋体" w:hAnsi="宋体" w:cs="宋体"/>
          <w:color w:val="auto"/>
          <w:sz w:val="24"/>
        </w:rPr>
      </w:pPr>
      <w:r>
        <w:rPr>
          <w:rFonts w:hint="eastAsia" w:ascii="宋体" w:hAnsi="宋体" w:cs="宋体"/>
          <w:color w:val="auto"/>
          <w:sz w:val="24"/>
        </w:rPr>
        <w:t>（1）投标报价不得高于该采购预算价，磋商实行两次报价，第一次报价供应商必须按照磋商文件的报价格式填报竞标报价，第二次报价为磋商文件通过评审合格后由评审委员会分别组织竞标人进行的最后一次报价，即为最终报价，磋商结果以竞标人的最终报价为准。</w:t>
      </w:r>
    </w:p>
    <w:p>
      <w:pPr>
        <w:spacing w:line="360" w:lineRule="auto"/>
        <w:ind w:firstLine="480" w:firstLineChars="200"/>
        <w:rPr>
          <w:rFonts w:ascii="宋体" w:hAnsi="宋体" w:cs="宋体"/>
          <w:color w:val="auto"/>
          <w:sz w:val="24"/>
        </w:rPr>
      </w:pPr>
      <w:r>
        <w:rPr>
          <w:rFonts w:hint="eastAsia" w:ascii="宋体" w:hAnsi="宋体" w:cs="宋体"/>
          <w:color w:val="auto"/>
          <w:sz w:val="24"/>
        </w:rPr>
        <w:t>（2）以第二次投标报价最低的为基准价。</w:t>
      </w:r>
    </w:p>
    <w:p>
      <w:pPr>
        <w:spacing w:line="360" w:lineRule="auto"/>
        <w:ind w:firstLine="480" w:firstLineChars="200"/>
        <w:rPr>
          <w:rFonts w:ascii="宋体" w:hAnsi="宋体" w:cs="宋体"/>
          <w:color w:val="auto"/>
          <w:sz w:val="24"/>
        </w:rPr>
      </w:pPr>
      <w:r>
        <w:rPr>
          <w:rFonts w:hint="eastAsia" w:ascii="宋体" w:hAnsi="宋体" w:cs="宋体"/>
          <w:color w:val="auto"/>
          <w:sz w:val="24"/>
        </w:rPr>
        <w:t>（3）价格分按（基准价/投标报价）×30计算</w:t>
      </w:r>
    </w:p>
    <w:p>
      <w:pPr>
        <w:spacing w:line="360" w:lineRule="auto"/>
        <w:ind w:firstLine="480" w:firstLineChars="200"/>
        <w:rPr>
          <w:rFonts w:ascii="宋体" w:hAnsi="宋体" w:cs="宋体"/>
          <w:color w:val="auto"/>
          <w:sz w:val="24"/>
        </w:rPr>
      </w:pPr>
      <w:r>
        <w:rPr>
          <w:rFonts w:hint="eastAsia" w:ascii="宋体" w:hAnsi="宋体" w:cs="宋体"/>
          <w:color w:val="auto"/>
          <w:sz w:val="24"/>
        </w:rPr>
        <w:t>（4）评审委员会认为供应商的报价明显低于其他通过符合性审查供应商的报价，有可能影响不能诚信履约的，应当要求其在磋商现场合理的时间内提供书面说明，必要时提交相关证明材料；供应商不能证明其报价合理性的，评审委员会应当将其作为无效投标处理。</w:t>
      </w:r>
    </w:p>
    <w:p>
      <w:pPr>
        <w:spacing w:line="360" w:lineRule="auto"/>
        <w:ind w:firstLine="480" w:firstLineChars="200"/>
        <w:rPr>
          <w:rFonts w:ascii="宋体" w:hAnsi="宋体" w:cs="宋体"/>
          <w:color w:val="auto"/>
          <w:sz w:val="24"/>
        </w:rPr>
      </w:pPr>
      <w:r>
        <w:rPr>
          <w:rFonts w:hint="eastAsia" w:ascii="宋体" w:hAnsi="宋体" w:cs="宋体"/>
          <w:color w:val="auto"/>
          <w:sz w:val="24"/>
        </w:rPr>
        <w:t>2. 技术商务评审</w:t>
      </w:r>
    </w:p>
    <w:p>
      <w:pPr>
        <w:spacing w:line="360" w:lineRule="auto"/>
        <w:ind w:firstLine="480" w:firstLineChars="200"/>
        <w:rPr>
          <w:rFonts w:ascii="宋体" w:hAnsi="宋体" w:cs="宋体"/>
          <w:color w:val="auto"/>
          <w:sz w:val="24"/>
        </w:rPr>
      </w:pPr>
      <w:r>
        <w:rPr>
          <w:rFonts w:hint="eastAsia" w:ascii="宋体" w:hAnsi="宋体" w:cs="宋体"/>
          <w:color w:val="auto"/>
          <w:sz w:val="24"/>
        </w:rPr>
        <w:t>评审委员会对供应商的技术能力、人员实力、绩要求、项目实施服务等情况进行综合比较和评价。</w:t>
      </w:r>
    </w:p>
    <w:p>
      <w:pPr>
        <w:spacing w:line="360" w:lineRule="auto"/>
        <w:ind w:firstLine="480" w:firstLineChars="200"/>
        <w:rPr>
          <w:rFonts w:ascii="宋体" w:hAnsi="宋体" w:cs="宋体"/>
          <w:color w:val="auto"/>
          <w:sz w:val="24"/>
        </w:rPr>
      </w:pPr>
      <w:r>
        <w:rPr>
          <w:rFonts w:hint="eastAsia" w:ascii="宋体" w:hAnsi="宋体" w:cs="宋体"/>
          <w:color w:val="auto"/>
          <w:sz w:val="24"/>
        </w:rPr>
        <w:t>注：商务评标因素的分值取小数点后2位，小数点后第三位四舍五入。</w:t>
      </w:r>
    </w:p>
    <w:p>
      <w:pPr>
        <w:spacing w:line="360" w:lineRule="auto"/>
        <w:ind w:firstLine="480" w:firstLineChars="200"/>
        <w:rPr>
          <w:rFonts w:ascii="宋体" w:hAnsi="宋体" w:cs="宋体"/>
          <w:color w:val="auto"/>
          <w:sz w:val="24"/>
        </w:rPr>
      </w:pPr>
      <w:r>
        <w:rPr>
          <w:rFonts w:hint="eastAsia" w:ascii="宋体" w:hAnsi="宋体" w:cs="宋体"/>
          <w:color w:val="auto"/>
          <w:sz w:val="24"/>
        </w:rPr>
        <w:t>3. 编写评审报告</w:t>
      </w:r>
    </w:p>
    <w:p>
      <w:pPr>
        <w:spacing w:line="360" w:lineRule="auto"/>
        <w:ind w:firstLine="480" w:firstLineChars="200"/>
        <w:rPr>
          <w:rFonts w:ascii="宋体" w:hAnsi="宋体" w:cs="宋体"/>
          <w:color w:val="auto"/>
          <w:sz w:val="24"/>
        </w:rPr>
      </w:pPr>
      <w:r>
        <w:rPr>
          <w:rFonts w:hint="eastAsia" w:ascii="宋体" w:hAnsi="宋体" w:cs="宋体"/>
          <w:color w:val="auto"/>
          <w:sz w:val="24"/>
        </w:rPr>
        <w:t>评审报告是评审委员会根据全体评标成员签字的原始评标记录和评标结果编写的报告，其主要内容包括：</w:t>
      </w:r>
    </w:p>
    <w:p>
      <w:pPr>
        <w:spacing w:line="360" w:lineRule="auto"/>
        <w:ind w:firstLine="480" w:firstLineChars="200"/>
        <w:rPr>
          <w:rFonts w:ascii="宋体" w:hAnsi="宋体" w:cs="宋体"/>
          <w:color w:val="auto"/>
          <w:sz w:val="24"/>
        </w:rPr>
      </w:pPr>
      <w:r>
        <w:rPr>
          <w:rFonts w:hint="eastAsia" w:ascii="宋体" w:hAnsi="宋体" w:cs="宋体"/>
          <w:color w:val="auto"/>
          <w:sz w:val="24"/>
        </w:rPr>
        <w:t>（1）邀请供应商参加采购活动的具体方式和相关情况；</w:t>
      </w:r>
    </w:p>
    <w:p>
      <w:pPr>
        <w:spacing w:line="360" w:lineRule="auto"/>
        <w:ind w:firstLine="480" w:firstLineChars="200"/>
        <w:rPr>
          <w:rFonts w:ascii="宋体" w:hAnsi="宋体" w:cs="宋体"/>
          <w:color w:val="auto"/>
          <w:sz w:val="24"/>
        </w:rPr>
      </w:pPr>
      <w:r>
        <w:rPr>
          <w:rFonts w:hint="eastAsia" w:ascii="宋体" w:hAnsi="宋体" w:cs="宋体"/>
          <w:color w:val="auto"/>
          <w:sz w:val="24"/>
        </w:rPr>
        <w:t>（2）响应文件开启日期和地点；</w:t>
      </w:r>
    </w:p>
    <w:p>
      <w:pPr>
        <w:spacing w:line="360" w:lineRule="auto"/>
        <w:ind w:firstLine="480" w:firstLineChars="200"/>
        <w:rPr>
          <w:rFonts w:ascii="宋体" w:hAnsi="宋体" w:cs="宋体"/>
          <w:color w:val="auto"/>
          <w:sz w:val="24"/>
        </w:rPr>
      </w:pPr>
      <w:r>
        <w:rPr>
          <w:rFonts w:hint="eastAsia" w:ascii="宋体" w:hAnsi="宋体" w:cs="宋体"/>
          <w:color w:val="auto"/>
          <w:sz w:val="24"/>
        </w:rPr>
        <w:t>（3）获取磋商文件的供应商名单和磋商小组成员名单；</w:t>
      </w:r>
    </w:p>
    <w:p>
      <w:pPr>
        <w:spacing w:line="360" w:lineRule="auto"/>
        <w:ind w:firstLine="480" w:firstLineChars="200"/>
        <w:rPr>
          <w:rFonts w:ascii="宋体" w:hAnsi="宋体" w:cs="宋体"/>
          <w:color w:val="auto"/>
          <w:sz w:val="24"/>
        </w:rPr>
      </w:pPr>
      <w:r>
        <w:rPr>
          <w:rFonts w:hint="eastAsia" w:ascii="宋体" w:hAnsi="宋体" w:cs="宋体"/>
          <w:color w:val="auto"/>
          <w:sz w:val="24"/>
        </w:rPr>
        <w:t>（4）评审情况记录和说明，包括对供应商的资格审查情况、供应商响应文件评审情况、磋商情况、报价情况等；</w:t>
      </w:r>
    </w:p>
    <w:p>
      <w:pPr>
        <w:spacing w:line="360" w:lineRule="auto"/>
        <w:ind w:firstLine="480" w:firstLineChars="200"/>
        <w:rPr>
          <w:rFonts w:ascii="宋体" w:hAnsi="宋体" w:cs="宋体"/>
          <w:color w:val="auto"/>
          <w:sz w:val="24"/>
        </w:rPr>
      </w:pPr>
      <w:r>
        <w:rPr>
          <w:rFonts w:hint="eastAsia" w:ascii="宋体" w:hAnsi="宋体" w:cs="宋体"/>
          <w:color w:val="auto"/>
          <w:sz w:val="24"/>
        </w:rPr>
        <w:t>（5）提出的成交候选供应商的排序名单及理由。</w:t>
      </w:r>
    </w:p>
    <w:p>
      <w:pPr>
        <w:spacing w:line="360" w:lineRule="auto"/>
        <w:ind w:firstLine="480" w:firstLineChars="200"/>
        <w:rPr>
          <w:rFonts w:ascii="宋体" w:hAnsi="宋体" w:cs="宋体"/>
          <w:color w:val="auto"/>
          <w:sz w:val="24"/>
        </w:rPr>
      </w:pPr>
      <w:r>
        <w:rPr>
          <w:rFonts w:hint="eastAsia" w:ascii="宋体" w:hAnsi="宋体" w:cs="宋体"/>
          <w:color w:val="auto"/>
          <w:sz w:val="24"/>
        </w:rPr>
        <w:t>4. 废标</w:t>
      </w:r>
    </w:p>
    <w:p>
      <w:pPr>
        <w:spacing w:line="360" w:lineRule="auto"/>
        <w:ind w:firstLine="480" w:firstLineChars="200"/>
        <w:rPr>
          <w:rFonts w:ascii="宋体" w:hAnsi="宋体" w:cs="宋体"/>
          <w:color w:val="auto"/>
          <w:sz w:val="24"/>
        </w:rPr>
      </w:pPr>
      <w:r>
        <w:rPr>
          <w:rFonts w:hint="eastAsia" w:ascii="宋体" w:hAnsi="宋体" w:cs="宋体"/>
          <w:color w:val="auto"/>
          <w:sz w:val="24"/>
        </w:rPr>
        <w:t>本次政府采购活动中，出现下列情形之一的，予以废标：</w:t>
      </w:r>
    </w:p>
    <w:p>
      <w:pPr>
        <w:spacing w:line="360" w:lineRule="auto"/>
        <w:ind w:firstLine="480" w:firstLineChars="200"/>
        <w:rPr>
          <w:rFonts w:ascii="宋体" w:hAnsi="宋体" w:cs="宋体"/>
          <w:color w:val="auto"/>
          <w:sz w:val="24"/>
        </w:rPr>
      </w:pPr>
      <w:r>
        <w:rPr>
          <w:rFonts w:hint="eastAsia" w:ascii="宋体" w:hAnsi="宋体" w:cs="宋体"/>
          <w:color w:val="auto"/>
          <w:sz w:val="24"/>
        </w:rPr>
        <w:t>（1）符合专业条件的供应商或者对竞争性磋商文件作实质响应的供应商不足三家的；</w:t>
      </w:r>
    </w:p>
    <w:p>
      <w:pPr>
        <w:spacing w:line="360" w:lineRule="auto"/>
        <w:ind w:firstLine="480" w:firstLineChars="200"/>
        <w:rPr>
          <w:rFonts w:ascii="宋体" w:hAnsi="宋体" w:cs="宋体"/>
          <w:color w:val="auto"/>
          <w:sz w:val="24"/>
        </w:rPr>
      </w:pPr>
      <w:r>
        <w:rPr>
          <w:rFonts w:hint="eastAsia" w:ascii="宋体" w:hAnsi="宋体" w:cs="宋体"/>
          <w:color w:val="auto"/>
          <w:sz w:val="24"/>
        </w:rPr>
        <w:t>（2）出现影响采购公正的违法、违规行为的；</w:t>
      </w:r>
    </w:p>
    <w:p>
      <w:pPr>
        <w:spacing w:line="360" w:lineRule="auto"/>
        <w:ind w:firstLine="480" w:firstLineChars="200"/>
        <w:rPr>
          <w:rFonts w:ascii="宋体" w:hAnsi="宋体" w:cs="宋体"/>
          <w:color w:val="auto"/>
          <w:sz w:val="24"/>
        </w:rPr>
      </w:pPr>
      <w:r>
        <w:rPr>
          <w:rFonts w:hint="eastAsia" w:ascii="宋体" w:hAnsi="宋体" w:cs="宋体"/>
          <w:color w:val="auto"/>
          <w:sz w:val="24"/>
        </w:rPr>
        <w:t>（3）供应商的报价均超过了采购预算，采购人不能支付的；</w:t>
      </w:r>
    </w:p>
    <w:p>
      <w:pPr>
        <w:spacing w:line="360" w:lineRule="auto"/>
        <w:ind w:firstLine="480" w:firstLineChars="200"/>
        <w:rPr>
          <w:rFonts w:ascii="宋体" w:hAnsi="宋体" w:cs="宋体"/>
          <w:color w:val="auto"/>
          <w:sz w:val="24"/>
        </w:rPr>
      </w:pPr>
      <w:r>
        <w:rPr>
          <w:rFonts w:hint="eastAsia" w:ascii="宋体" w:hAnsi="宋体" w:cs="宋体"/>
          <w:color w:val="auto"/>
          <w:sz w:val="24"/>
        </w:rPr>
        <w:t>（4）因重大变故，采购任务取消的。</w:t>
      </w:r>
    </w:p>
    <w:p>
      <w:pPr>
        <w:spacing w:line="360" w:lineRule="auto"/>
        <w:ind w:firstLine="480" w:firstLineChars="200"/>
        <w:rPr>
          <w:rFonts w:ascii="宋体" w:hAnsi="宋体" w:cs="宋体"/>
          <w:color w:val="auto"/>
          <w:sz w:val="24"/>
        </w:rPr>
      </w:pPr>
      <w:r>
        <w:rPr>
          <w:rFonts w:hint="eastAsia" w:ascii="宋体" w:hAnsi="宋体" w:cs="宋体"/>
          <w:color w:val="auto"/>
          <w:sz w:val="24"/>
        </w:rPr>
        <w:t>废标后，招采购代理机构将在指定媒体发布公告，并公告废标的理由。</w:t>
      </w:r>
    </w:p>
    <w:p>
      <w:pPr>
        <w:spacing w:line="360" w:lineRule="auto"/>
        <w:ind w:firstLine="480" w:firstLineChars="200"/>
        <w:rPr>
          <w:rFonts w:ascii="宋体" w:hAnsi="宋体" w:cs="宋体"/>
          <w:color w:val="auto"/>
          <w:sz w:val="24"/>
        </w:rPr>
      </w:pPr>
      <w:r>
        <w:rPr>
          <w:rFonts w:hint="eastAsia" w:ascii="宋体" w:hAnsi="宋体" w:cs="宋体"/>
          <w:color w:val="auto"/>
          <w:sz w:val="24"/>
        </w:rPr>
        <w:t>5. 定标</w:t>
      </w:r>
    </w:p>
    <w:p>
      <w:pPr>
        <w:spacing w:line="360" w:lineRule="auto"/>
        <w:ind w:firstLine="480" w:firstLineChars="200"/>
        <w:rPr>
          <w:rFonts w:ascii="宋体" w:hAnsi="宋体" w:cs="宋体"/>
          <w:color w:val="auto"/>
          <w:sz w:val="24"/>
        </w:rPr>
      </w:pPr>
      <w:r>
        <w:rPr>
          <w:rFonts w:hint="eastAsia" w:ascii="宋体" w:hAnsi="宋体" w:cs="宋体"/>
          <w:color w:val="auto"/>
          <w:sz w:val="24"/>
        </w:rPr>
        <w:t>5.1定标原则：评审委员会依据评审结论推荐 3 名成交候选供应商。采购人根据评审委员会推荐的成交候选人名单，按顺序确定成交供应商。</w:t>
      </w:r>
    </w:p>
    <w:p>
      <w:pPr>
        <w:spacing w:line="360" w:lineRule="auto"/>
        <w:ind w:firstLine="480" w:firstLineChars="200"/>
        <w:rPr>
          <w:rFonts w:ascii="宋体" w:hAnsi="宋体" w:cs="宋体"/>
          <w:color w:val="auto"/>
          <w:sz w:val="24"/>
        </w:rPr>
      </w:pPr>
      <w:r>
        <w:rPr>
          <w:rFonts w:hint="eastAsia" w:ascii="宋体" w:hAnsi="宋体" w:cs="宋体"/>
          <w:color w:val="auto"/>
          <w:sz w:val="24"/>
        </w:rPr>
        <w:t>5.2 定标程序</w:t>
      </w:r>
    </w:p>
    <w:p>
      <w:pPr>
        <w:spacing w:line="360" w:lineRule="auto"/>
        <w:ind w:firstLine="480" w:firstLineChars="200"/>
        <w:rPr>
          <w:rFonts w:ascii="宋体" w:hAnsi="宋体" w:cs="宋体"/>
          <w:color w:val="auto"/>
          <w:sz w:val="24"/>
        </w:rPr>
      </w:pPr>
      <w:r>
        <w:rPr>
          <w:rFonts w:hint="eastAsia" w:ascii="宋体" w:hAnsi="宋体" w:cs="宋体"/>
          <w:color w:val="auto"/>
          <w:sz w:val="24"/>
        </w:rPr>
        <w:t>5.2.1评审委员会将评审情况写出书面报告，推荐成交候选人，并按照综合得分高低标明排列顺序。综合得分相同的，按投标报价由低到高顺序排列。得分且投标报价相同的，按技术指标优劣顺序排列。</w:t>
      </w:r>
    </w:p>
    <w:p>
      <w:pPr>
        <w:spacing w:line="360" w:lineRule="auto"/>
        <w:ind w:firstLine="480" w:firstLineChars="200"/>
        <w:rPr>
          <w:rFonts w:ascii="宋体" w:hAnsi="宋体" w:cs="宋体"/>
          <w:color w:val="auto"/>
          <w:sz w:val="24"/>
        </w:rPr>
      </w:pPr>
      <w:r>
        <w:rPr>
          <w:rFonts w:hint="eastAsia" w:ascii="宋体" w:hAnsi="宋体" w:cs="宋体"/>
          <w:color w:val="auto"/>
          <w:sz w:val="24"/>
        </w:rPr>
        <w:t>5.2.2采购代理机构在评标结束后2个工作日内将评审报告送采购人。</w:t>
      </w:r>
    </w:p>
    <w:p>
      <w:pPr>
        <w:spacing w:line="360" w:lineRule="auto"/>
        <w:ind w:firstLine="480" w:firstLineChars="200"/>
        <w:rPr>
          <w:rFonts w:ascii="宋体" w:hAnsi="宋体" w:cs="宋体"/>
          <w:color w:val="auto"/>
          <w:sz w:val="24"/>
        </w:rPr>
      </w:pPr>
      <w:r>
        <w:rPr>
          <w:rFonts w:hint="eastAsia" w:ascii="宋体" w:hAnsi="宋体" w:cs="宋体"/>
          <w:color w:val="auto"/>
          <w:sz w:val="24"/>
        </w:rPr>
        <w:t>5.2.3采购人在收到评审报告后5个工作日内，按照评审报告中推荐的成交候选人顺序确定成交供应商。</w:t>
      </w:r>
    </w:p>
    <w:p>
      <w:pPr>
        <w:spacing w:line="360" w:lineRule="auto"/>
        <w:ind w:firstLine="480" w:firstLineChars="200"/>
        <w:rPr>
          <w:rFonts w:ascii="宋体" w:hAnsi="宋体" w:cs="宋体"/>
          <w:color w:val="auto"/>
          <w:sz w:val="24"/>
        </w:rPr>
      </w:pPr>
      <w:r>
        <w:rPr>
          <w:rFonts w:hint="eastAsia" w:ascii="宋体" w:hAnsi="宋体" w:cs="宋体"/>
          <w:color w:val="auto"/>
          <w:sz w:val="24"/>
        </w:rPr>
        <w:t>5.2.4根据采购人确定的成交供应商，采购代理机构同时在中国采购与招标网、中国海南政府采购网上发布成交公告，向成交供应商发出成交通知书。</w:t>
      </w:r>
    </w:p>
    <w:p>
      <w:pPr>
        <w:spacing w:line="360" w:lineRule="auto"/>
        <w:ind w:firstLine="480" w:firstLineChars="200"/>
        <w:rPr>
          <w:rFonts w:ascii="宋体" w:hAnsi="宋体" w:cs="宋体"/>
          <w:color w:val="auto"/>
          <w:sz w:val="24"/>
        </w:rPr>
      </w:pPr>
      <w:r>
        <w:rPr>
          <w:rFonts w:hint="eastAsia" w:ascii="宋体" w:hAnsi="宋体" w:cs="宋体"/>
          <w:color w:val="auto"/>
          <w:sz w:val="24"/>
        </w:rPr>
        <w:t>6. 评审委员会承担以下义务</w:t>
      </w:r>
    </w:p>
    <w:p>
      <w:pPr>
        <w:spacing w:line="360" w:lineRule="auto"/>
        <w:ind w:firstLine="480" w:firstLineChars="200"/>
        <w:rPr>
          <w:rFonts w:ascii="宋体" w:hAnsi="宋体" w:cs="宋体"/>
          <w:color w:val="auto"/>
          <w:sz w:val="24"/>
        </w:rPr>
      </w:pPr>
      <w:r>
        <w:rPr>
          <w:rFonts w:hint="eastAsia" w:ascii="宋体" w:hAnsi="宋体" w:cs="宋体"/>
          <w:color w:val="auto"/>
          <w:sz w:val="24"/>
        </w:rPr>
        <w:t>6.1 遵纪守法，客观、公正、廉洁地履行职责。</w:t>
      </w:r>
    </w:p>
    <w:p>
      <w:pPr>
        <w:spacing w:line="360" w:lineRule="auto"/>
        <w:ind w:firstLine="480" w:firstLineChars="200"/>
        <w:rPr>
          <w:rFonts w:ascii="宋体" w:hAnsi="宋体" w:cs="宋体"/>
          <w:color w:val="auto"/>
          <w:sz w:val="24"/>
        </w:rPr>
      </w:pPr>
      <w:r>
        <w:rPr>
          <w:rFonts w:hint="eastAsia" w:ascii="宋体" w:hAnsi="宋体" w:cs="宋体"/>
          <w:color w:val="auto"/>
          <w:sz w:val="24"/>
        </w:rPr>
        <w:t>6.2 按照政府采购法律法规和采购文件的规定要求对供应商的资格条件和供应商提供的产品价格、技术、服务等方面严格进行评判，提供科学合理、公平公正的评审意见，参与起草评审报告，并签字确认。</w:t>
      </w:r>
    </w:p>
    <w:p>
      <w:pPr>
        <w:spacing w:line="360" w:lineRule="auto"/>
        <w:ind w:firstLine="480" w:firstLineChars="200"/>
        <w:rPr>
          <w:rFonts w:ascii="宋体" w:hAnsi="宋体" w:cs="宋体"/>
          <w:color w:val="auto"/>
          <w:sz w:val="24"/>
        </w:rPr>
      </w:pPr>
      <w:r>
        <w:rPr>
          <w:rFonts w:hint="eastAsia" w:ascii="宋体" w:hAnsi="宋体" w:cs="宋体"/>
          <w:color w:val="auto"/>
          <w:sz w:val="24"/>
        </w:rPr>
        <w:t>6.3 保守秘密。不得透露采购文件咨询情况，不得泄漏供应商的响应文件及知悉的商业秘密，不得向供应商透露评审情况。</w:t>
      </w:r>
    </w:p>
    <w:p>
      <w:pPr>
        <w:spacing w:line="360" w:lineRule="auto"/>
        <w:ind w:firstLine="480" w:firstLineChars="200"/>
        <w:rPr>
          <w:rFonts w:ascii="宋体" w:hAnsi="宋体" w:cs="宋体"/>
          <w:color w:val="auto"/>
          <w:sz w:val="24"/>
        </w:rPr>
      </w:pPr>
      <w:r>
        <w:rPr>
          <w:rFonts w:hint="eastAsia" w:ascii="宋体" w:hAnsi="宋体" w:cs="宋体"/>
          <w:color w:val="auto"/>
          <w:sz w:val="24"/>
        </w:rPr>
        <w:t>6.4 发现供应商在政府采购活动中有不正当竞争或恶意串通等违规行为，及时向政府采购评审工作的组织者或财政部门报告并加以制止。</w:t>
      </w:r>
    </w:p>
    <w:p>
      <w:pPr>
        <w:spacing w:line="360" w:lineRule="auto"/>
        <w:ind w:firstLine="480" w:firstLineChars="200"/>
        <w:rPr>
          <w:rFonts w:ascii="宋体" w:hAnsi="宋体" w:cs="宋体"/>
          <w:color w:val="auto"/>
          <w:sz w:val="24"/>
        </w:rPr>
      </w:pPr>
      <w:r>
        <w:rPr>
          <w:rFonts w:hint="eastAsia" w:ascii="宋体" w:hAnsi="宋体" w:cs="宋体"/>
          <w:color w:val="auto"/>
          <w:sz w:val="24"/>
        </w:rPr>
        <w:t>发现采购人、采购代理机构及其工作人员在政府采购活动中有干预评审、发表倾向性和歧视性言论、受贿或者接受供应商的其他好处及其他违法违规行为，及时向财政部门报告。</w:t>
      </w:r>
    </w:p>
    <w:p>
      <w:pPr>
        <w:spacing w:line="360" w:lineRule="auto"/>
        <w:ind w:firstLine="480" w:firstLineChars="200"/>
        <w:rPr>
          <w:rFonts w:ascii="宋体" w:hAnsi="宋体" w:cs="宋体"/>
          <w:color w:val="auto"/>
          <w:sz w:val="24"/>
        </w:rPr>
      </w:pPr>
      <w:r>
        <w:rPr>
          <w:rFonts w:hint="eastAsia" w:ascii="宋体" w:hAnsi="宋体" w:cs="宋体"/>
          <w:color w:val="auto"/>
          <w:sz w:val="24"/>
        </w:rPr>
        <w:t>6.5 解答有关方面对政府采购评审工作中有关问题的询问，配合采购人或者采购代理机构答复供应商质疑，配合财政部门的投诉处理工作等事宜。</w:t>
      </w:r>
    </w:p>
    <w:p>
      <w:pPr>
        <w:spacing w:line="360" w:lineRule="auto"/>
        <w:ind w:firstLine="480" w:firstLineChars="200"/>
        <w:rPr>
          <w:rFonts w:ascii="宋体" w:hAnsi="宋体" w:cs="宋体"/>
          <w:color w:val="auto"/>
          <w:sz w:val="24"/>
        </w:rPr>
      </w:pPr>
      <w:r>
        <w:rPr>
          <w:rFonts w:hint="eastAsia" w:ascii="宋体" w:hAnsi="宋体" w:cs="宋体"/>
          <w:color w:val="auto"/>
          <w:sz w:val="24"/>
        </w:rPr>
        <w:t>6.6 法律、法规和规章规定的其他义务。</w:t>
      </w:r>
    </w:p>
    <w:p>
      <w:pPr>
        <w:spacing w:line="360" w:lineRule="auto"/>
        <w:ind w:firstLine="480" w:firstLineChars="200"/>
        <w:rPr>
          <w:rFonts w:ascii="宋体" w:hAnsi="宋体" w:cs="宋体"/>
          <w:color w:val="auto"/>
          <w:sz w:val="24"/>
        </w:rPr>
      </w:pPr>
      <w:r>
        <w:rPr>
          <w:rFonts w:hint="eastAsia" w:ascii="宋体" w:hAnsi="宋体" w:cs="宋体"/>
          <w:color w:val="auto"/>
          <w:sz w:val="24"/>
        </w:rPr>
        <w:t>7. 评审委员应当遵守以下工作纪律：</w:t>
      </w:r>
    </w:p>
    <w:p>
      <w:pPr>
        <w:spacing w:line="360" w:lineRule="auto"/>
        <w:ind w:firstLine="480" w:firstLineChars="200"/>
        <w:rPr>
          <w:rFonts w:ascii="宋体" w:hAnsi="宋体" w:cs="宋体"/>
          <w:color w:val="auto"/>
          <w:sz w:val="24"/>
        </w:rPr>
      </w:pPr>
      <w:r>
        <w:rPr>
          <w:rFonts w:hint="eastAsia" w:ascii="宋体" w:hAnsi="宋体" w:cs="宋体"/>
          <w:color w:val="auto"/>
          <w:sz w:val="24"/>
        </w:rPr>
        <w:t>7.1 应邀按时参加评审和咨询活动。遇特殊情况不能出席或途中遇阻不能按时参加评审或咨询的，应及时告知财政部门或者采购人或者采购代理机构，不得私自转托他人。</w:t>
      </w:r>
    </w:p>
    <w:p>
      <w:pPr>
        <w:spacing w:line="360" w:lineRule="auto"/>
        <w:ind w:firstLine="480" w:firstLineChars="200"/>
        <w:rPr>
          <w:rFonts w:ascii="宋体" w:hAnsi="宋体" w:cs="宋体"/>
          <w:color w:val="auto"/>
          <w:sz w:val="24"/>
        </w:rPr>
      </w:pPr>
      <w:r>
        <w:rPr>
          <w:rFonts w:hint="eastAsia" w:ascii="宋体" w:hAnsi="宋体" w:cs="宋体"/>
          <w:color w:val="auto"/>
          <w:sz w:val="24"/>
        </w:rPr>
        <w:t>7.2 不得参加与自己有利害关系的政府采购项目的评审活动。对与自己有利害关系的评审项目，如受到邀请，应主动提出回避。财政部门、采购代理机构也可要求该评审专家回避。</w:t>
      </w:r>
    </w:p>
    <w:p>
      <w:pPr>
        <w:spacing w:line="360" w:lineRule="auto"/>
        <w:ind w:firstLine="480" w:firstLineChars="200"/>
        <w:rPr>
          <w:rFonts w:ascii="宋体" w:hAnsi="宋体" w:cs="宋体"/>
          <w:color w:val="auto"/>
          <w:sz w:val="24"/>
        </w:rPr>
      </w:pPr>
      <w:r>
        <w:rPr>
          <w:rFonts w:hint="eastAsia" w:ascii="宋体" w:hAnsi="宋体" w:cs="宋体"/>
          <w:color w:val="auto"/>
          <w:sz w:val="24"/>
        </w:rPr>
        <w:t>有利害关系是指三年内曾在参加该采购项目的供应商处任职(包括一般工作)或担任顾问，配偶或直系亲属在参加该采购项目的供应商中任职或担任顾问，与参加该采购项目供应商发生过法律纠纷，以及其他可能影响公正评审的情况。</w:t>
      </w:r>
    </w:p>
    <w:p>
      <w:pPr>
        <w:spacing w:line="360" w:lineRule="auto"/>
        <w:ind w:firstLine="480" w:firstLineChars="200"/>
        <w:rPr>
          <w:rFonts w:ascii="宋体" w:hAnsi="宋体" w:cs="宋体"/>
          <w:color w:val="auto"/>
          <w:sz w:val="24"/>
        </w:rPr>
      </w:pPr>
      <w:r>
        <w:rPr>
          <w:rFonts w:hint="eastAsia" w:ascii="宋体" w:hAnsi="宋体" w:cs="宋体"/>
          <w:color w:val="auto"/>
          <w:sz w:val="24"/>
        </w:rPr>
        <w:t>7.3 评审或咨询过程中关闭通讯设备，不得与外界联系。因发生不可预见情况，确实需要与外界联系的，应当在现场工作人员陪同下联系。</w:t>
      </w:r>
    </w:p>
    <w:p>
      <w:pPr>
        <w:spacing w:line="360" w:lineRule="auto"/>
        <w:ind w:firstLine="480" w:firstLineChars="200"/>
        <w:rPr>
          <w:rFonts w:ascii="宋体" w:hAnsi="宋体" w:cs="宋体"/>
          <w:color w:val="auto"/>
          <w:sz w:val="24"/>
        </w:rPr>
      </w:pPr>
      <w:r>
        <w:rPr>
          <w:rFonts w:hint="eastAsia" w:ascii="宋体" w:hAnsi="宋体" w:cs="宋体"/>
          <w:color w:val="auto"/>
          <w:sz w:val="24"/>
        </w:rPr>
        <w:t>7.4 评审过程中，不得发表影响评审公正的倾向性、歧视性言论；不得征询或者接受采购人的倾向性意见；不得以任何明示或暗示的方式要求参加该采购项目的供应商以澄清、说明或补正为借口，表达与其原响应文件原意不同的新意见；不得以采购文件没有规定的方法和标准作为评审的依据；不得违反规定的评审格式评分和撰写评审意见；不得拒绝对自己的评审意见签字确认。</w:t>
      </w:r>
    </w:p>
    <w:p>
      <w:pPr>
        <w:spacing w:line="360" w:lineRule="auto"/>
        <w:ind w:firstLine="480" w:firstLineChars="200"/>
        <w:rPr>
          <w:rFonts w:ascii="宋体" w:hAnsi="宋体" w:cs="宋体"/>
          <w:color w:val="auto"/>
          <w:sz w:val="24"/>
        </w:rPr>
      </w:pPr>
      <w:r>
        <w:rPr>
          <w:rFonts w:hint="eastAsia" w:ascii="宋体" w:hAnsi="宋体" w:cs="宋体"/>
          <w:color w:val="auto"/>
          <w:sz w:val="24"/>
        </w:rPr>
        <w:t>7.5 有关部门规定的其他评审工作纪律。</w:t>
      </w:r>
    </w:p>
    <w:p>
      <w:pPr>
        <w:spacing w:line="440" w:lineRule="exact"/>
        <w:rPr>
          <w:rFonts w:ascii="宋体" w:hAnsi="宋体"/>
          <w:color w:val="auto"/>
        </w:rPr>
      </w:pPr>
    </w:p>
    <w:p>
      <w:pPr>
        <w:spacing w:line="360" w:lineRule="auto"/>
        <w:jc w:val="center"/>
        <w:rPr>
          <w:rFonts w:ascii="宋体" w:hAnsi="宋体" w:cs="宋体"/>
          <w:b/>
          <w:color w:val="auto"/>
          <w:sz w:val="24"/>
        </w:rPr>
      </w:pPr>
      <w:r>
        <w:rPr>
          <w:rFonts w:hint="eastAsia"/>
          <w:color w:val="auto"/>
        </w:rPr>
        <w:br w:type="page"/>
      </w:r>
    </w:p>
    <w:p>
      <w:pPr>
        <w:spacing w:after="156" w:afterLines="50" w:line="440" w:lineRule="exact"/>
        <w:jc w:val="center"/>
        <w:rPr>
          <w:rFonts w:ascii="黑体" w:hAnsi="黑体" w:eastAsia="黑体" w:cs="黑体"/>
          <w:b/>
          <w:bCs/>
          <w:color w:val="auto"/>
          <w:kern w:val="0"/>
          <w:sz w:val="30"/>
          <w:szCs w:val="30"/>
          <w:lang w:val="zh-CN"/>
        </w:rPr>
      </w:pPr>
      <w:r>
        <w:rPr>
          <w:rFonts w:hint="eastAsia" w:ascii="黑体" w:hAnsi="黑体" w:eastAsia="黑体" w:cs="黑体"/>
          <w:b/>
          <w:bCs/>
          <w:color w:val="auto"/>
          <w:kern w:val="0"/>
          <w:sz w:val="30"/>
          <w:szCs w:val="30"/>
          <w:lang w:val="zh-CN"/>
        </w:rPr>
        <w:t>竞争性磋商二次报价表</w:t>
      </w:r>
    </w:p>
    <w:tbl>
      <w:tblPr>
        <w:tblStyle w:val="22"/>
        <w:tblW w:w="89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43"/>
        <w:gridCol w:w="74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5" w:hRule="atLeast"/>
          <w:jc w:val="center"/>
        </w:trPr>
        <w:tc>
          <w:tcPr>
            <w:tcW w:w="1443" w:type="dxa"/>
            <w:tcBorders>
              <w:top w:val="single" w:color="auto" w:sz="12" w:space="0"/>
              <w:bottom w:val="single" w:color="auto" w:sz="6" w:space="0"/>
              <w:right w:val="single" w:color="auto" w:sz="4" w:space="0"/>
            </w:tcBorders>
            <w:vAlign w:val="center"/>
          </w:tcPr>
          <w:p>
            <w:pPr>
              <w:adjustRightInd w:val="0"/>
              <w:spacing w:line="312" w:lineRule="atLeast"/>
              <w:jc w:val="center"/>
              <w:textAlignment w:val="baseline"/>
              <w:rPr>
                <w:rFonts w:ascii="宋体" w:hAnsi="宋体" w:cs="宋体"/>
                <w:b/>
                <w:bCs/>
                <w:color w:val="auto"/>
                <w:kern w:val="0"/>
                <w:sz w:val="24"/>
              </w:rPr>
            </w:pPr>
            <w:r>
              <w:rPr>
                <w:rFonts w:hint="eastAsia" w:ascii="宋体" w:hAnsi="宋体" w:cs="宋体"/>
                <w:b/>
                <w:bCs/>
                <w:color w:val="auto"/>
                <w:kern w:val="0"/>
                <w:sz w:val="24"/>
              </w:rPr>
              <w:t>采购单位</w:t>
            </w:r>
          </w:p>
        </w:tc>
        <w:tc>
          <w:tcPr>
            <w:tcW w:w="7473" w:type="dxa"/>
            <w:tcBorders>
              <w:top w:val="single" w:color="auto" w:sz="12" w:space="0"/>
              <w:left w:val="single" w:color="auto" w:sz="4" w:space="0"/>
              <w:bottom w:val="single" w:color="auto" w:sz="6" w:space="0"/>
            </w:tcBorders>
            <w:vAlign w:val="center"/>
          </w:tcPr>
          <w:p>
            <w:pPr>
              <w:adjustRightInd w:val="0"/>
              <w:spacing w:line="312" w:lineRule="atLeast"/>
              <w:jc w:val="center"/>
              <w:textAlignment w:val="baseline"/>
              <w:rPr>
                <w:rFonts w:hint="eastAsia" w:asciiTheme="majorEastAsia" w:hAnsiTheme="majorEastAsia" w:eastAsiaTheme="majorEastAsia" w:cstheme="majorEastAsia"/>
                <w:color w:val="auto"/>
                <w:kern w:val="0"/>
                <w:sz w:val="24"/>
                <w:lang w:eastAsia="zh-CN"/>
              </w:rPr>
            </w:pPr>
            <w:r>
              <w:rPr>
                <w:rFonts w:hint="eastAsia" w:asciiTheme="majorEastAsia" w:hAnsiTheme="majorEastAsia" w:eastAsiaTheme="majorEastAsia" w:cstheme="majorEastAsia"/>
                <w:color w:val="auto"/>
                <w:kern w:val="0"/>
                <w:sz w:val="24"/>
                <w:lang w:eastAsia="zh-CN"/>
              </w:rPr>
              <w:t>儋州市第二中学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0" w:hRule="atLeast"/>
          <w:jc w:val="center"/>
        </w:trPr>
        <w:tc>
          <w:tcPr>
            <w:tcW w:w="1443" w:type="dxa"/>
            <w:tcBorders>
              <w:top w:val="single" w:color="auto" w:sz="6" w:space="0"/>
              <w:bottom w:val="single" w:color="auto" w:sz="6" w:space="0"/>
              <w:right w:val="single" w:color="auto" w:sz="4" w:space="0"/>
            </w:tcBorders>
            <w:vAlign w:val="center"/>
          </w:tcPr>
          <w:p>
            <w:pPr>
              <w:adjustRightInd w:val="0"/>
              <w:spacing w:line="312" w:lineRule="atLeast"/>
              <w:jc w:val="center"/>
              <w:textAlignment w:val="baseline"/>
              <w:rPr>
                <w:rFonts w:ascii="宋体" w:hAnsi="宋体" w:cs="宋体"/>
                <w:b/>
                <w:bCs/>
                <w:color w:val="auto"/>
                <w:kern w:val="0"/>
                <w:sz w:val="24"/>
              </w:rPr>
            </w:pPr>
            <w:r>
              <w:rPr>
                <w:rFonts w:hint="eastAsia" w:ascii="宋体" w:hAnsi="宋体" w:cs="宋体"/>
                <w:b/>
                <w:bCs/>
                <w:color w:val="auto"/>
                <w:kern w:val="0"/>
                <w:sz w:val="24"/>
              </w:rPr>
              <w:t>项目编号</w:t>
            </w:r>
          </w:p>
        </w:tc>
        <w:tc>
          <w:tcPr>
            <w:tcW w:w="7473" w:type="dxa"/>
            <w:tcBorders>
              <w:top w:val="single" w:color="auto" w:sz="6" w:space="0"/>
              <w:left w:val="single" w:color="auto" w:sz="4" w:space="0"/>
              <w:bottom w:val="single" w:color="auto" w:sz="6" w:space="0"/>
            </w:tcBorders>
            <w:vAlign w:val="center"/>
          </w:tcPr>
          <w:p>
            <w:pPr>
              <w:adjustRightInd w:val="0"/>
              <w:spacing w:line="312" w:lineRule="atLeast"/>
              <w:jc w:val="center"/>
              <w:textAlignment w:val="baseline"/>
              <w:rPr>
                <w:rFonts w:hint="eastAsia" w:asciiTheme="majorEastAsia" w:hAnsiTheme="majorEastAsia" w:eastAsiaTheme="majorEastAsia" w:cstheme="majorEastAsia"/>
                <w:color w:val="auto"/>
                <w:kern w:val="0"/>
                <w:sz w:val="24"/>
                <w:lang w:eastAsia="zh-CN"/>
              </w:rPr>
            </w:pPr>
            <w:r>
              <w:rPr>
                <w:rFonts w:hint="eastAsia" w:asciiTheme="majorEastAsia" w:hAnsiTheme="majorEastAsia" w:eastAsiaTheme="majorEastAsia" w:cstheme="majorEastAsia"/>
                <w:color w:val="auto"/>
                <w:kern w:val="0"/>
                <w:sz w:val="24"/>
                <w:lang w:eastAsia="zh-CN"/>
              </w:rPr>
              <w:t>ZX2022-047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5" w:hRule="atLeast"/>
          <w:jc w:val="center"/>
        </w:trPr>
        <w:tc>
          <w:tcPr>
            <w:tcW w:w="1443" w:type="dxa"/>
            <w:tcBorders>
              <w:top w:val="single" w:color="auto" w:sz="6" w:space="0"/>
              <w:bottom w:val="single" w:color="auto" w:sz="6" w:space="0"/>
              <w:right w:val="single" w:color="auto" w:sz="4" w:space="0"/>
            </w:tcBorders>
            <w:vAlign w:val="center"/>
          </w:tcPr>
          <w:p>
            <w:pPr>
              <w:adjustRightInd w:val="0"/>
              <w:spacing w:line="312" w:lineRule="atLeast"/>
              <w:jc w:val="center"/>
              <w:textAlignment w:val="baseline"/>
              <w:rPr>
                <w:rFonts w:ascii="宋体" w:hAnsi="宋体" w:cs="宋体"/>
                <w:b/>
                <w:bCs/>
                <w:color w:val="auto"/>
                <w:kern w:val="0"/>
                <w:sz w:val="24"/>
              </w:rPr>
            </w:pPr>
            <w:r>
              <w:rPr>
                <w:rFonts w:hint="eastAsia" w:ascii="宋体" w:hAnsi="宋体" w:cs="宋体"/>
                <w:b/>
                <w:bCs/>
                <w:color w:val="auto"/>
                <w:kern w:val="0"/>
                <w:sz w:val="24"/>
              </w:rPr>
              <w:t>项目名称</w:t>
            </w:r>
          </w:p>
        </w:tc>
        <w:tc>
          <w:tcPr>
            <w:tcW w:w="7473" w:type="dxa"/>
            <w:tcBorders>
              <w:top w:val="single" w:color="auto" w:sz="6" w:space="0"/>
              <w:left w:val="single" w:color="auto" w:sz="4" w:space="0"/>
              <w:bottom w:val="single" w:color="auto" w:sz="6" w:space="0"/>
            </w:tcBorders>
            <w:vAlign w:val="center"/>
          </w:tcPr>
          <w:p>
            <w:pPr>
              <w:adjustRightInd w:val="0"/>
              <w:spacing w:line="312" w:lineRule="atLeast"/>
              <w:jc w:val="center"/>
              <w:textAlignment w:val="baseline"/>
              <w:rPr>
                <w:rFonts w:hint="eastAsia" w:asciiTheme="majorEastAsia" w:hAnsiTheme="majorEastAsia" w:eastAsiaTheme="majorEastAsia" w:cstheme="majorEastAsia"/>
                <w:color w:val="auto"/>
                <w:kern w:val="0"/>
                <w:sz w:val="24"/>
                <w:lang w:eastAsia="zh-CN"/>
              </w:rPr>
            </w:pPr>
            <w:r>
              <w:rPr>
                <w:rFonts w:hint="eastAsia" w:ascii="宋体" w:hAnsi="宋体" w:cs="宋体" w:eastAsiaTheme="majorEastAsia"/>
                <w:color w:val="auto"/>
                <w:sz w:val="24"/>
                <w:lang w:eastAsia="zh-CN"/>
              </w:rPr>
              <w:t>儋州市第二中学多功能报告厅及开放式书吧改造工程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5" w:hRule="atLeast"/>
          <w:jc w:val="center"/>
        </w:trPr>
        <w:tc>
          <w:tcPr>
            <w:tcW w:w="1443" w:type="dxa"/>
            <w:tcBorders>
              <w:top w:val="single" w:color="auto" w:sz="6" w:space="0"/>
              <w:bottom w:val="single" w:color="auto" w:sz="6" w:space="0"/>
              <w:right w:val="single" w:color="auto" w:sz="4" w:space="0"/>
            </w:tcBorders>
            <w:vAlign w:val="center"/>
          </w:tcPr>
          <w:p>
            <w:pPr>
              <w:adjustRightInd w:val="0"/>
              <w:spacing w:line="312" w:lineRule="atLeast"/>
              <w:jc w:val="center"/>
              <w:textAlignment w:val="baseline"/>
              <w:rPr>
                <w:rFonts w:ascii="宋体" w:hAnsi="宋体" w:cs="宋体"/>
                <w:b/>
                <w:bCs/>
                <w:color w:val="auto"/>
                <w:kern w:val="0"/>
                <w:sz w:val="24"/>
              </w:rPr>
            </w:pPr>
            <w:r>
              <w:rPr>
                <w:rFonts w:hint="eastAsia" w:ascii="宋体" w:hAnsi="宋体" w:cs="宋体"/>
                <w:b/>
                <w:bCs/>
                <w:color w:val="auto"/>
                <w:kern w:val="0"/>
                <w:sz w:val="24"/>
              </w:rPr>
              <w:t>代理机构</w:t>
            </w:r>
          </w:p>
        </w:tc>
        <w:tc>
          <w:tcPr>
            <w:tcW w:w="7473" w:type="dxa"/>
            <w:tcBorders>
              <w:top w:val="single" w:color="auto" w:sz="6" w:space="0"/>
              <w:left w:val="single" w:color="auto" w:sz="4" w:space="0"/>
              <w:bottom w:val="single" w:color="auto" w:sz="6" w:space="0"/>
            </w:tcBorders>
            <w:vAlign w:val="center"/>
          </w:tcPr>
          <w:p>
            <w:pPr>
              <w:adjustRightInd w:val="0"/>
              <w:spacing w:line="312" w:lineRule="atLeast"/>
              <w:jc w:val="center"/>
              <w:textAlignment w:val="baseline"/>
              <w:rPr>
                <w:rFonts w:hint="eastAsia" w:asciiTheme="majorEastAsia" w:hAnsiTheme="majorEastAsia" w:eastAsiaTheme="majorEastAsia" w:cstheme="majorEastAsia"/>
                <w:color w:val="auto"/>
                <w:kern w:val="0"/>
                <w:sz w:val="24"/>
                <w:lang w:eastAsia="zh-CN"/>
              </w:rPr>
            </w:pPr>
            <w:r>
              <w:rPr>
                <w:rFonts w:hint="eastAsia" w:asciiTheme="majorEastAsia" w:hAnsiTheme="majorEastAsia" w:eastAsiaTheme="majorEastAsia" w:cstheme="majorEastAsia"/>
                <w:color w:val="auto"/>
                <w:kern w:val="0"/>
                <w:sz w:val="24"/>
                <w:lang w:eastAsia="zh-CN"/>
              </w:rPr>
              <w:t>海南政鑫招标代理有限公司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5" w:hRule="atLeast"/>
          <w:jc w:val="center"/>
        </w:trPr>
        <w:tc>
          <w:tcPr>
            <w:tcW w:w="1443" w:type="dxa"/>
            <w:tcBorders>
              <w:top w:val="single" w:color="auto" w:sz="6" w:space="0"/>
              <w:bottom w:val="single" w:color="auto" w:sz="4" w:space="0"/>
              <w:right w:val="single" w:color="auto" w:sz="4" w:space="0"/>
            </w:tcBorders>
            <w:vAlign w:val="center"/>
          </w:tcPr>
          <w:p>
            <w:pPr>
              <w:adjustRightInd w:val="0"/>
              <w:spacing w:line="312" w:lineRule="atLeast"/>
              <w:jc w:val="center"/>
              <w:textAlignment w:val="baseline"/>
              <w:rPr>
                <w:rFonts w:ascii="宋体" w:hAnsi="宋体" w:cs="宋体"/>
                <w:b/>
                <w:bCs/>
                <w:color w:val="auto"/>
                <w:kern w:val="0"/>
                <w:sz w:val="24"/>
              </w:rPr>
            </w:pPr>
            <w:r>
              <w:rPr>
                <w:rFonts w:hint="eastAsia" w:ascii="宋体" w:hAnsi="宋体" w:cs="宋体"/>
                <w:b/>
                <w:bCs/>
                <w:color w:val="auto"/>
                <w:kern w:val="0"/>
                <w:sz w:val="24"/>
              </w:rPr>
              <w:t>供应商名称（公章）</w:t>
            </w:r>
          </w:p>
        </w:tc>
        <w:tc>
          <w:tcPr>
            <w:tcW w:w="7473" w:type="dxa"/>
            <w:tcBorders>
              <w:top w:val="single" w:color="auto" w:sz="6" w:space="0"/>
              <w:left w:val="single" w:color="auto" w:sz="4" w:space="0"/>
              <w:bottom w:val="single" w:color="auto" w:sz="4" w:space="0"/>
            </w:tcBorders>
            <w:vAlign w:val="center"/>
          </w:tcPr>
          <w:p>
            <w:pPr>
              <w:adjustRightInd w:val="0"/>
              <w:spacing w:line="312" w:lineRule="atLeast"/>
              <w:textAlignment w:val="baseline"/>
              <w:rPr>
                <w:rFonts w:asciiTheme="majorEastAsia" w:hAnsiTheme="majorEastAsia" w:eastAsiaTheme="majorEastAsia" w:cstheme="majorEastAsia"/>
                <w:b/>
                <w:bCs/>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2" w:hRule="atLeast"/>
          <w:jc w:val="center"/>
        </w:trPr>
        <w:tc>
          <w:tcPr>
            <w:tcW w:w="8916" w:type="dxa"/>
            <w:gridSpan w:val="2"/>
            <w:tcBorders>
              <w:top w:val="single" w:color="auto" w:sz="4" w:space="0"/>
            </w:tcBorders>
          </w:tcPr>
          <w:p>
            <w:pPr>
              <w:adjustRightInd w:val="0"/>
              <w:spacing w:line="312" w:lineRule="atLeast"/>
              <w:textAlignment w:val="baseline"/>
              <w:rPr>
                <w:rFonts w:ascii="宋体" w:hAnsi="宋体" w:cs="宋体"/>
                <w:b/>
                <w:bCs/>
                <w:color w:val="auto"/>
                <w:kern w:val="0"/>
                <w:sz w:val="24"/>
              </w:rPr>
            </w:pPr>
            <w:r>
              <w:rPr>
                <w:rFonts w:hint="eastAsia" w:ascii="宋体" w:hAnsi="宋体" w:cs="宋体"/>
                <w:b/>
                <w:bCs/>
                <w:color w:val="auto"/>
                <w:kern w:val="0"/>
                <w:sz w:val="24"/>
              </w:rPr>
              <w:t xml:space="preserve">二次报价  </w:t>
            </w:r>
          </w:p>
          <w:p>
            <w:pPr>
              <w:adjustRightInd w:val="0"/>
              <w:spacing w:before="312" w:beforeLines="100" w:after="312" w:afterLines="100" w:line="312" w:lineRule="atLeast"/>
              <w:ind w:firstLine="841" w:firstLineChars="349"/>
              <w:textAlignment w:val="baseline"/>
              <w:rPr>
                <w:rFonts w:ascii="宋体" w:hAnsi="宋体" w:cs="宋体"/>
                <w:b/>
                <w:bCs/>
                <w:color w:val="auto"/>
                <w:kern w:val="0"/>
                <w:sz w:val="24"/>
              </w:rPr>
            </w:pPr>
            <w:r>
              <w:rPr>
                <w:rFonts w:hint="eastAsia" w:ascii="宋体" w:hAnsi="宋体" w:cs="宋体"/>
                <w:b/>
                <w:bCs/>
                <w:color w:val="auto"/>
                <w:kern w:val="0"/>
                <w:sz w:val="24"/>
              </w:rPr>
              <w:t>大写：</w:t>
            </w:r>
          </w:p>
          <w:p>
            <w:pPr>
              <w:adjustRightInd w:val="0"/>
              <w:spacing w:before="312" w:beforeLines="100" w:after="312" w:afterLines="100" w:line="312" w:lineRule="atLeast"/>
              <w:ind w:firstLine="841" w:firstLineChars="349"/>
              <w:textAlignment w:val="baseline"/>
              <w:rPr>
                <w:rFonts w:ascii="宋体" w:hAnsi="宋体" w:cs="宋体"/>
                <w:color w:val="auto"/>
                <w:kern w:val="0"/>
                <w:sz w:val="24"/>
              </w:rPr>
            </w:pPr>
            <w:r>
              <w:rPr>
                <w:rFonts w:hint="eastAsia" w:ascii="宋体" w:hAnsi="宋体" w:cs="宋体"/>
                <w:b/>
                <w:bCs/>
                <w:color w:val="auto"/>
                <w:kern w:val="0"/>
                <w:sz w:val="24"/>
              </w:rPr>
              <w:t>小写：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5" w:hRule="atLeast"/>
          <w:jc w:val="center"/>
        </w:trPr>
        <w:tc>
          <w:tcPr>
            <w:tcW w:w="8916" w:type="dxa"/>
            <w:gridSpan w:val="2"/>
          </w:tcPr>
          <w:p>
            <w:pPr>
              <w:adjustRightInd w:val="0"/>
              <w:spacing w:line="312" w:lineRule="atLeast"/>
              <w:textAlignment w:val="baseline"/>
              <w:rPr>
                <w:rFonts w:ascii="宋体" w:hAnsi="宋体" w:cs="宋体"/>
                <w:b/>
                <w:bCs/>
                <w:color w:val="auto"/>
                <w:kern w:val="0"/>
                <w:sz w:val="24"/>
              </w:rPr>
            </w:pPr>
            <w:r>
              <w:rPr>
                <w:rFonts w:hint="eastAsia" w:ascii="宋体" w:hAnsi="宋体" w:cs="宋体"/>
                <w:b/>
                <w:bCs/>
                <w:color w:val="auto"/>
                <w:kern w:val="0"/>
                <w:sz w:val="24"/>
              </w:rPr>
              <w:t>供应商其他承诺：</w:t>
            </w:r>
          </w:p>
          <w:p>
            <w:pPr>
              <w:adjustRightInd w:val="0"/>
              <w:spacing w:line="312" w:lineRule="atLeast"/>
              <w:textAlignment w:val="baseline"/>
              <w:rPr>
                <w:rFonts w:ascii="宋体" w:hAnsi="宋体" w:cs="宋体"/>
                <w:b/>
                <w:bCs/>
                <w:color w:val="auto"/>
                <w:kern w:val="0"/>
                <w:sz w:val="24"/>
              </w:rPr>
            </w:pPr>
          </w:p>
          <w:p>
            <w:pPr>
              <w:adjustRightInd w:val="0"/>
              <w:spacing w:line="312" w:lineRule="atLeast"/>
              <w:jc w:val="right"/>
              <w:textAlignment w:val="baseline"/>
              <w:rPr>
                <w:rFonts w:ascii="宋体" w:hAnsi="宋体" w:cs="宋体"/>
                <w:b/>
                <w:bCs/>
                <w:color w:val="auto"/>
                <w:kern w:val="0"/>
                <w:sz w:val="24"/>
              </w:rPr>
            </w:pPr>
          </w:p>
          <w:p>
            <w:pPr>
              <w:adjustRightInd w:val="0"/>
              <w:spacing w:line="312" w:lineRule="atLeast"/>
              <w:textAlignment w:val="baseline"/>
              <w:rPr>
                <w:rFonts w:ascii="宋体" w:hAnsi="宋体" w:cs="宋体"/>
                <w:b/>
                <w:bCs/>
                <w:color w:val="auto"/>
                <w:kern w:val="0"/>
                <w:sz w:val="24"/>
              </w:rPr>
            </w:pPr>
            <w:r>
              <w:rPr>
                <w:rFonts w:hint="eastAsia" w:ascii="宋体" w:hAnsi="宋体" w:cs="宋体"/>
                <w:b/>
                <w:bCs/>
                <w:color w:val="auto"/>
                <w:kern w:val="0"/>
                <w:sz w:val="24"/>
              </w:rPr>
              <w:t>法定代表人（或被授权人）签字：</w:t>
            </w:r>
          </w:p>
          <w:p>
            <w:pPr>
              <w:adjustRightInd w:val="0"/>
              <w:spacing w:line="312" w:lineRule="atLeast"/>
              <w:jc w:val="right"/>
              <w:textAlignment w:val="baseline"/>
              <w:rPr>
                <w:rFonts w:ascii="宋体" w:hAnsi="宋体" w:cs="宋体"/>
                <w:b/>
                <w:bCs/>
                <w:color w:val="auto"/>
                <w:kern w:val="0"/>
                <w:sz w:val="24"/>
              </w:rPr>
            </w:pPr>
            <w:r>
              <w:rPr>
                <w:rFonts w:hint="eastAsia" w:ascii="宋体" w:hAnsi="宋体" w:cs="宋体"/>
                <w:b/>
                <w:bCs/>
                <w:color w:val="auto"/>
                <w:kern w:val="0"/>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7" w:hRule="atLeast"/>
          <w:jc w:val="center"/>
        </w:trPr>
        <w:tc>
          <w:tcPr>
            <w:tcW w:w="8916" w:type="dxa"/>
            <w:gridSpan w:val="2"/>
          </w:tcPr>
          <w:p>
            <w:pPr>
              <w:adjustRightInd w:val="0"/>
              <w:spacing w:line="312" w:lineRule="atLeast"/>
              <w:textAlignment w:val="baseline"/>
              <w:rPr>
                <w:rFonts w:ascii="宋体" w:hAnsi="宋体" w:cs="宋体"/>
                <w:b/>
                <w:bCs/>
                <w:color w:val="auto"/>
                <w:kern w:val="0"/>
                <w:sz w:val="24"/>
              </w:rPr>
            </w:pPr>
            <w:r>
              <w:rPr>
                <w:rFonts w:hint="eastAsia" w:ascii="宋体" w:hAnsi="宋体" w:cs="宋体"/>
                <w:b/>
                <w:bCs/>
                <w:color w:val="auto"/>
                <w:kern w:val="0"/>
                <w:sz w:val="24"/>
                <w:lang w:val="en-GB"/>
              </w:rPr>
              <w:t>磋商</w:t>
            </w:r>
            <w:r>
              <w:rPr>
                <w:rFonts w:hint="eastAsia" w:ascii="宋体" w:hAnsi="宋体" w:cs="宋体"/>
                <w:b/>
                <w:bCs/>
                <w:color w:val="auto"/>
                <w:kern w:val="0"/>
                <w:sz w:val="24"/>
              </w:rPr>
              <w:t>小组签字：</w:t>
            </w:r>
          </w:p>
          <w:p>
            <w:pPr>
              <w:adjustRightInd w:val="0"/>
              <w:spacing w:line="312" w:lineRule="atLeast"/>
              <w:textAlignment w:val="baseline"/>
              <w:rPr>
                <w:rFonts w:ascii="宋体" w:hAnsi="宋体" w:cs="宋体"/>
                <w:b/>
                <w:bCs/>
                <w:color w:val="auto"/>
                <w:kern w:val="0"/>
                <w:sz w:val="24"/>
              </w:rPr>
            </w:pPr>
          </w:p>
          <w:p>
            <w:pPr>
              <w:adjustRightInd w:val="0"/>
              <w:spacing w:line="312" w:lineRule="atLeast"/>
              <w:textAlignment w:val="baseline"/>
              <w:rPr>
                <w:rFonts w:ascii="宋体" w:hAnsi="宋体" w:cs="宋体"/>
                <w:b/>
                <w:bCs/>
                <w:color w:val="auto"/>
                <w:kern w:val="0"/>
                <w:sz w:val="24"/>
              </w:rPr>
            </w:pPr>
          </w:p>
          <w:p>
            <w:pPr>
              <w:adjustRightInd w:val="0"/>
              <w:spacing w:line="312" w:lineRule="atLeast"/>
              <w:textAlignment w:val="baseline"/>
              <w:rPr>
                <w:rFonts w:ascii="宋体" w:hAnsi="宋体" w:cs="宋体"/>
                <w:b/>
                <w:bCs/>
                <w:color w:val="auto"/>
                <w:kern w:val="0"/>
                <w:sz w:val="24"/>
              </w:rPr>
            </w:pPr>
          </w:p>
          <w:p>
            <w:pPr>
              <w:adjustRightInd w:val="0"/>
              <w:spacing w:line="312" w:lineRule="atLeast"/>
              <w:jc w:val="right"/>
              <w:textAlignment w:val="baseline"/>
              <w:rPr>
                <w:rFonts w:ascii="宋体" w:hAnsi="宋体" w:cs="宋体"/>
                <w:b/>
                <w:bCs/>
                <w:color w:val="auto"/>
                <w:kern w:val="0"/>
                <w:sz w:val="24"/>
              </w:rPr>
            </w:pPr>
            <w:r>
              <w:rPr>
                <w:rFonts w:hint="eastAsia" w:ascii="宋体" w:hAnsi="宋体" w:cs="宋体"/>
                <w:b/>
                <w:bCs/>
                <w:color w:val="auto"/>
                <w:kern w:val="0"/>
                <w:sz w:val="24"/>
              </w:rPr>
              <w:t>年   月   日</w:t>
            </w:r>
          </w:p>
        </w:tc>
      </w:tr>
    </w:tbl>
    <w:p>
      <w:pPr>
        <w:spacing w:line="440" w:lineRule="exact"/>
        <w:rPr>
          <w:rFonts w:asciiTheme="majorEastAsia" w:hAnsiTheme="majorEastAsia" w:eastAsiaTheme="majorEastAsia" w:cstheme="majorEastAsia"/>
          <w:b/>
          <w:color w:val="auto"/>
          <w:kern w:val="0"/>
          <w:sz w:val="24"/>
        </w:rPr>
      </w:pPr>
      <w:r>
        <w:rPr>
          <w:rFonts w:hint="eastAsia" w:asciiTheme="majorEastAsia" w:hAnsiTheme="majorEastAsia" w:eastAsiaTheme="majorEastAsia" w:cstheme="majorEastAsia"/>
          <w:b/>
          <w:color w:val="auto"/>
          <w:kern w:val="0"/>
          <w:sz w:val="24"/>
        </w:rPr>
        <w:t>注：1. 大写数字：零、壹、贰、叁、肆、伍、陆、柒、捌、玖、拾、佰、仟、万、亿；</w:t>
      </w:r>
    </w:p>
    <w:p>
      <w:pPr>
        <w:spacing w:line="440" w:lineRule="exact"/>
        <w:ind w:firstLine="480" w:firstLineChars="200"/>
        <w:rPr>
          <w:rFonts w:asciiTheme="majorEastAsia" w:hAnsiTheme="majorEastAsia" w:eastAsiaTheme="majorEastAsia" w:cstheme="majorEastAsia"/>
          <w:bCs/>
          <w:color w:val="auto"/>
          <w:kern w:val="0"/>
          <w:sz w:val="24"/>
        </w:rPr>
      </w:pPr>
      <w:r>
        <w:rPr>
          <w:rFonts w:hint="eastAsia" w:asciiTheme="majorEastAsia" w:hAnsiTheme="majorEastAsia" w:eastAsiaTheme="majorEastAsia" w:cstheme="majorEastAsia"/>
          <w:bCs/>
          <w:color w:val="auto"/>
          <w:kern w:val="0"/>
          <w:sz w:val="24"/>
        </w:rPr>
        <w:t xml:space="preserve">2. </w:t>
      </w:r>
      <w:r>
        <w:rPr>
          <w:rFonts w:hint="eastAsia" w:asciiTheme="majorEastAsia" w:hAnsiTheme="majorEastAsia" w:eastAsiaTheme="majorEastAsia" w:cstheme="majorEastAsia"/>
          <w:bCs/>
          <w:color w:val="auto"/>
          <w:kern w:val="0"/>
          <w:sz w:val="24"/>
          <w:lang w:val="en-GB"/>
        </w:rPr>
        <w:t>磋商</w:t>
      </w:r>
      <w:r>
        <w:rPr>
          <w:rFonts w:hint="eastAsia" w:asciiTheme="majorEastAsia" w:hAnsiTheme="majorEastAsia" w:eastAsiaTheme="majorEastAsia" w:cstheme="majorEastAsia"/>
          <w:bCs/>
          <w:color w:val="auto"/>
          <w:kern w:val="0"/>
          <w:sz w:val="24"/>
        </w:rPr>
        <w:t>报价应包括</w:t>
      </w:r>
      <w:r>
        <w:rPr>
          <w:rFonts w:hint="eastAsia" w:ascii="宋体" w:hAnsi="宋体" w:cs="宋体"/>
          <w:color w:val="auto"/>
          <w:kern w:val="0"/>
          <w:sz w:val="24"/>
          <w:lang w:val="en-GB"/>
        </w:rPr>
        <w:t>磋商</w:t>
      </w:r>
      <w:r>
        <w:rPr>
          <w:rFonts w:hint="eastAsia" w:asciiTheme="majorEastAsia" w:hAnsiTheme="majorEastAsia" w:eastAsiaTheme="majorEastAsia" w:cstheme="majorEastAsia"/>
          <w:bCs/>
          <w:color w:val="auto"/>
          <w:kern w:val="0"/>
          <w:sz w:val="24"/>
        </w:rPr>
        <w:t>文件所规定的采购范围的全部内容，供应商填完此表应在投标报价大写及小写、签名处盖上手印。</w:t>
      </w:r>
    </w:p>
    <w:p>
      <w:pPr>
        <w:spacing w:line="440" w:lineRule="exact"/>
        <w:ind w:firstLine="480" w:firstLineChars="200"/>
        <w:rPr>
          <w:rFonts w:asciiTheme="majorEastAsia" w:hAnsiTheme="majorEastAsia" w:eastAsiaTheme="majorEastAsia" w:cstheme="majorEastAsia"/>
          <w:bCs/>
          <w:color w:val="auto"/>
          <w:kern w:val="0"/>
          <w:sz w:val="24"/>
        </w:rPr>
      </w:pPr>
      <w:r>
        <w:rPr>
          <w:rFonts w:hint="eastAsia" w:asciiTheme="majorEastAsia" w:hAnsiTheme="majorEastAsia" w:eastAsiaTheme="majorEastAsia" w:cstheme="majorEastAsia"/>
          <w:bCs/>
          <w:color w:val="auto"/>
          <w:kern w:val="0"/>
          <w:sz w:val="24"/>
        </w:rPr>
        <w:t xml:space="preserve">3. </w:t>
      </w:r>
      <w:r>
        <w:rPr>
          <w:rFonts w:hint="eastAsia" w:ascii="宋体" w:hAnsi="宋体" w:cs="宋体"/>
          <w:color w:val="auto"/>
          <w:kern w:val="0"/>
          <w:sz w:val="24"/>
          <w:lang w:val="en-GB"/>
        </w:rPr>
        <w:t>磋商</w:t>
      </w:r>
      <w:r>
        <w:rPr>
          <w:rFonts w:hint="eastAsia" w:asciiTheme="majorEastAsia" w:hAnsiTheme="majorEastAsia" w:eastAsiaTheme="majorEastAsia" w:cstheme="majorEastAsia"/>
          <w:bCs/>
          <w:color w:val="auto"/>
          <w:kern w:val="0"/>
          <w:sz w:val="24"/>
        </w:rPr>
        <w:t>小组发现供应商的报价明显低于其他</w:t>
      </w:r>
      <w:r>
        <w:rPr>
          <w:rFonts w:hint="eastAsia" w:ascii="宋体" w:hAnsi="宋体" w:cs="宋体"/>
          <w:color w:val="auto"/>
          <w:kern w:val="0"/>
          <w:sz w:val="24"/>
          <w:lang w:val="en-GB"/>
        </w:rPr>
        <w:t>磋商</w:t>
      </w:r>
      <w:r>
        <w:rPr>
          <w:rFonts w:hint="eastAsia" w:asciiTheme="majorEastAsia" w:hAnsiTheme="majorEastAsia" w:eastAsiaTheme="majorEastAsia" w:cstheme="majorEastAsia"/>
          <w:bCs/>
          <w:color w:val="auto"/>
          <w:kern w:val="0"/>
          <w:sz w:val="24"/>
        </w:rPr>
        <w:t>报价，或者其</w:t>
      </w:r>
      <w:r>
        <w:rPr>
          <w:rFonts w:hint="eastAsia" w:ascii="宋体" w:hAnsi="宋体" w:cs="宋体"/>
          <w:color w:val="auto"/>
          <w:kern w:val="0"/>
          <w:sz w:val="24"/>
          <w:lang w:val="en-GB"/>
        </w:rPr>
        <w:t>磋商</w:t>
      </w:r>
      <w:r>
        <w:rPr>
          <w:rFonts w:hint="eastAsia" w:asciiTheme="majorEastAsia" w:hAnsiTheme="majorEastAsia" w:eastAsiaTheme="majorEastAsia" w:cstheme="majorEastAsia"/>
          <w:bCs/>
          <w:color w:val="auto"/>
          <w:kern w:val="0"/>
          <w:sz w:val="24"/>
        </w:rPr>
        <w:t>报价可能低于其成本的，应当要求该供应商作出书面说明并提供相应的证明材料。供应商不能合理说明或者不能提供相应证明材料的，由</w:t>
      </w:r>
      <w:r>
        <w:rPr>
          <w:rFonts w:hint="eastAsia" w:ascii="宋体" w:hAnsi="宋体" w:cs="宋体"/>
          <w:color w:val="auto"/>
          <w:kern w:val="0"/>
          <w:sz w:val="24"/>
          <w:lang w:val="en-GB"/>
        </w:rPr>
        <w:t>磋商</w:t>
      </w:r>
      <w:r>
        <w:rPr>
          <w:rFonts w:hint="eastAsia" w:asciiTheme="majorEastAsia" w:hAnsiTheme="majorEastAsia" w:eastAsiaTheme="majorEastAsia" w:cstheme="majorEastAsia"/>
          <w:bCs/>
          <w:color w:val="auto"/>
          <w:kern w:val="0"/>
          <w:sz w:val="24"/>
        </w:rPr>
        <w:t>小组认定该供应商以低于成本报价竞标，其响应作废标处理。</w:t>
      </w:r>
    </w:p>
    <w:p>
      <w:pPr>
        <w:spacing w:line="440" w:lineRule="exact"/>
        <w:ind w:firstLine="482" w:firstLineChars="200"/>
        <w:rPr>
          <w:rFonts w:asciiTheme="majorEastAsia" w:hAnsiTheme="majorEastAsia" w:eastAsiaTheme="majorEastAsia" w:cstheme="majorEastAsia"/>
          <w:b/>
          <w:color w:val="auto"/>
          <w:kern w:val="0"/>
          <w:sz w:val="24"/>
        </w:rPr>
      </w:pPr>
      <w:r>
        <w:rPr>
          <w:rFonts w:hint="eastAsia" w:asciiTheme="majorEastAsia" w:hAnsiTheme="majorEastAsia" w:eastAsiaTheme="majorEastAsia" w:cstheme="majorEastAsia"/>
          <w:b/>
          <w:color w:val="auto"/>
          <w:kern w:val="0"/>
          <w:sz w:val="24"/>
        </w:rPr>
        <w:t>4. 在开标时，供应商携带此最后</w:t>
      </w:r>
      <w:r>
        <w:rPr>
          <w:rFonts w:hint="eastAsia" w:asciiTheme="majorEastAsia" w:hAnsiTheme="majorEastAsia" w:eastAsiaTheme="majorEastAsia" w:cstheme="majorEastAsia"/>
          <w:b/>
          <w:color w:val="auto"/>
          <w:kern w:val="0"/>
          <w:sz w:val="24"/>
          <w:lang w:val="en-GB"/>
        </w:rPr>
        <w:t>磋商</w:t>
      </w:r>
      <w:r>
        <w:rPr>
          <w:rFonts w:hint="eastAsia" w:asciiTheme="majorEastAsia" w:hAnsiTheme="majorEastAsia" w:eastAsiaTheme="majorEastAsia" w:cstheme="majorEastAsia"/>
          <w:b/>
          <w:color w:val="auto"/>
          <w:kern w:val="0"/>
          <w:sz w:val="24"/>
        </w:rPr>
        <w:t>报价表，并盖好公章。开标现场招标代理工作人员通知开始最后</w:t>
      </w:r>
      <w:r>
        <w:rPr>
          <w:rFonts w:hint="eastAsia" w:asciiTheme="majorEastAsia" w:hAnsiTheme="majorEastAsia" w:eastAsiaTheme="majorEastAsia" w:cstheme="majorEastAsia"/>
          <w:b/>
          <w:color w:val="auto"/>
          <w:kern w:val="0"/>
          <w:sz w:val="24"/>
          <w:lang w:val="en-GB"/>
        </w:rPr>
        <w:t>磋商</w:t>
      </w:r>
      <w:r>
        <w:rPr>
          <w:rFonts w:hint="eastAsia" w:asciiTheme="majorEastAsia" w:hAnsiTheme="majorEastAsia" w:eastAsiaTheme="majorEastAsia" w:cstheme="majorEastAsia"/>
          <w:b/>
          <w:color w:val="auto"/>
          <w:kern w:val="0"/>
          <w:sz w:val="24"/>
        </w:rPr>
        <w:t>报价时，供应商方可填写最后</w:t>
      </w:r>
      <w:r>
        <w:rPr>
          <w:rFonts w:hint="eastAsia" w:asciiTheme="majorEastAsia" w:hAnsiTheme="majorEastAsia" w:eastAsiaTheme="majorEastAsia" w:cstheme="majorEastAsia"/>
          <w:b/>
          <w:color w:val="auto"/>
          <w:kern w:val="0"/>
          <w:sz w:val="24"/>
          <w:lang w:val="en-GB"/>
        </w:rPr>
        <w:t>磋商</w:t>
      </w:r>
      <w:r>
        <w:rPr>
          <w:rFonts w:hint="eastAsia" w:asciiTheme="majorEastAsia" w:hAnsiTheme="majorEastAsia" w:eastAsiaTheme="majorEastAsia" w:cstheme="majorEastAsia"/>
          <w:b/>
          <w:color w:val="auto"/>
          <w:kern w:val="0"/>
          <w:sz w:val="24"/>
        </w:rPr>
        <w:t>报价表，并递交招标代理公司工作人员，如未携带最后</w:t>
      </w:r>
      <w:r>
        <w:rPr>
          <w:rFonts w:hint="eastAsia" w:asciiTheme="majorEastAsia" w:hAnsiTheme="majorEastAsia" w:eastAsiaTheme="majorEastAsia" w:cstheme="majorEastAsia"/>
          <w:b/>
          <w:color w:val="auto"/>
          <w:kern w:val="0"/>
          <w:sz w:val="24"/>
          <w:lang w:val="en-GB"/>
        </w:rPr>
        <w:t>磋商</w:t>
      </w:r>
      <w:r>
        <w:rPr>
          <w:rFonts w:hint="eastAsia" w:asciiTheme="majorEastAsia" w:hAnsiTheme="majorEastAsia" w:eastAsiaTheme="majorEastAsia" w:cstheme="majorEastAsia"/>
          <w:b/>
          <w:color w:val="auto"/>
          <w:kern w:val="0"/>
          <w:sz w:val="24"/>
        </w:rPr>
        <w:t>报价表，视为放弃本项目报价。</w:t>
      </w:r>
    </w:p>
    <w:p>
      <w:pPr>
        <w:spacing w:line="440" w:lineRule="exact"/>
        <w:rPr>
          <w:rFonts w:ascii="黑体" w:hAnsi="黑体" w:cs="黑体" w:eastAsiaTheme="minorEastAsia"/>
          <w:b/>
          <w:color w:val="auto"/>
          <w:sz w:val="44"/>
          <w:szCs w:val="44"/>
        </w:rPr>
        <w:sectPr>
          <w:footerReference r:id="rId8" w:type="default"/>
          <w:pgSz w:w="11906" w:h="16838"/>
          <w:pgMar w:top="1417" w:right="1417" w:bottom="1417" w:left="1417" w:header="851" w:footer="992" w:gutter="0"/>
          <w:pgNumType w:start="1"/>
          <w:cols w:space="0" w:num="1"/>
          <w:docGrid w:type="lines" w:linePitch="312" w:charSpace="0"/>
        </w:sectPr>
      </w:pPr>
    </w:p>
    <w:p>
      <w:pPr>
        <w:snapToGrid w:val="0"/>
        <w:spacing w:line="500" w:lineRule="exact"/>
        <w:jc w:val="center"/>
        <w:rPr>
          <w:rFonts w:ascii="黑体" w:hAnsi="黑体" w:eastAsia="黑体" w:cs="黑体"/>
          <w:b/>
          <w:color w:val="auto"/>
          <w:sz w:val="30"/>
          <w:szCs w:val="30"/>
        </w:rPr>
      </w:pPr>
      <w:r>
        <w:rPr>
          <w:rFonts w:hint="eastAsia" w:ascii="黑体" w:hAnsi="黑体" w:eastAsia="黑体" w:cs="黑体"/>
          <w:b/>
          <w:color w:val="auto"/>
          <w:sz w:val="30"/>
          <w:szCs w:val="30"/>
        </w:rPr>
        <w:t>附表1、初步审查表</w:t>
      </w:r>
    </w:p>
    <w:p>
      <w:pPr>
        <w:spacing w:line="440" w:lineRule="exact"/>
        <w:rPr>
          <w:rFonts w:ascii="宋体" w:hAnsi="宋体" w:cs="宋体"/>
          <w:color w:val="auto"/>
          <w:sz w:val="24"/>
        </w:rPr>
      </w:pPr>
    </w:p>
    <w:p>
      <w:pPr>
        <w:spacing w:line="440" w:lineRule="exact"/>
        <w:rPr>
          <w:rFonts w:ascii="宋体" w:hAnsi="宋体" w:cs="宋体"/>
          <w:color w:val="auto"/>
          <w:sz w:val="24"/>
        </w:rPr>
      </w:pPr>
      <w:r>
        <w:rPr>
          <w:rFonts w:hint="eastAsia" w:ascii="宋体" w:hAnsi="宋体" w:cs="宋体"/>
          <w:color w:val="auto"/>
          <w:sz w:val="24"/>
        </w:rPr>
        <w:t xml:space="preserve">项目名称：                                       </w:t>
      </w:r>
    </w:p>
    <w:p>
      <w:pPr>
        <w:spacing w:line="440" w:lineRule="exact"/>
        <w:rPr>
          <w:rFonts w:ascii="宋体" w:hAnsi="宋体" w:cs="宋体"/>
          <w:color w:val="auto"/>
          <w:sz w:val="24"/>
          <w:u w:val="single"/>
        </w:rPr>
      </w:pPr>
      <w:r>
        <w:rPr>
          <w:rFonts w:hint="eastAsia" w:ascii="宋体" w:hAnsi="宋体" w:cs="宋体"/>
          <w:color w:val="auto"/>
          <w:sz w:val="24"/>
        </w:rPr>
        <w:t>项目编号：                                              日期：    年  月  日</w:t>
      </w:r>
    </w:p>
    <w:tbl>
      <w:tblPr>
        <w:tblStyle w:val="22"/>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2160"/>
        <w:gridCol w:w="3350"/>
        <w:gridCol w:w="1157"/>
        <w:gridCol w:w="1157"/>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 w:val="24"/>
              </w:rPr>
            </w:pPr>
            <w:r>
              <w:rPr>
                <w:rFonts w:hint="eastAsia" w:ascii="宋体" w:hAnsi="宋体" w:cs="宋体"/>
                <w:b/>
                <w:color w:val="auto"/>
                <w:sz w:val="24"/>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 w:val="24"/>
              </w:rPr>
            </w:pPr>
            <w:r>
              <w:rPr>
                <w:rFonts w:hint="eastAsia" w:ascii="宋体" w:hAnsi="宋体" w:cs="宋体"/>
                <w:b/>
                <w:color w:val="auto"/>
                <w:sz w:val="24"/>
              </w:rPr>
              <w:t>审查项目</w:t>
            </w:r>
          </w:p>
        </w:tc>
        <w:tc>
          <w:tcPr>
            <w:tcW w:w="33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 w:val="24"/>
              </w:rPr>
            </w:pPr>
            <w:r>
              <w:rPr>
                <w:rFonts w:hint="eastAsia" w:ascii="宋体" w:hAnsi="宋体" w:cs="宋体"/>
                <w:b/>
                <w:color w:val="auto"/>
                <w:sz w:val="24"/>
              </w:rPr>
              <w:t>评议内容</w:t>
            </w:r>
          </w:p>
        </w:tc>
        <w:tc>
          <w:tcPr>
            <w:tcW w:w="11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宋体"/>
                <w:b/>
                <w:color w:val="auto"/>
                <w:sz w:val="24"/>
              </w:rPr>
            </w:pPr>
            <w:r>
              <w:rPr>
                <w:rFonts w:hint="eastAsia" w:ascii="宋体" w:hAnsi="宋体" w:cs="宋体"/>
                <w:b/>
                <w:color w:val="auto"/>
                <w:sz w:val="24"/>
              </w:rPr>
              <w:t>供应商1</w:t>
            </w:r>
          </w:p>
        </w:tc>
        <w:tc>
          <w:tcPr>
            <w:tcW w:w="11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宋体"/>
                <w:b/>
                <w:color w:val="auto"/>
                <w:sz w:val="24"/>
              </w:rPr>
            </w:pPr>
            <w:r>
              <w:rPr>
                <w:rFonts w:hint="eastAsia" w:ascii="宋体" w:hAnsi="宋体" w:cs="宋体"/>
                <w:b/>
                <w:color w:val="auto"/>
                <w:sz w:val="24"/>
              </w:rPr>
              <w:t>供应商2</w:t>
            </w:r>
          </w:p>
        </w:tc>
        <w:tc>
          <w:tcPr>
            <w:tcW w:w="11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宋体"/>
                <w:b/>
                <w:color w:val="auto"/>
                <w:sz w:val="24"/>
              </w:rPr>
            </w:pPr>
            <w:r>
              <w:rPr>
                <w:rFonts w:hint="eastAsia" w:ascii="宋体" w:hAnsi="宋体" w:cs="宋体"/>
                <w:b/>
                <w:color w:val="auto"/>
                <w:sz w:val="24"/>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 w:val="24"/>
              </w:rPr>
            </w:pPr>
            <w:r>
              <w:rPr>
                <w:rFonts w:hint="eastAsia" w:ascii="宋体" w:hAnsi="宋体" w:cs="宋体"/>
                <w:b/>
                <w:color w:val="auto"/>
                <w:sz w:val="24"/>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r>
              <w:rPr>
                <w:rFonts w:hint="eastAsia" w:ascii="宋体" w:hAnsi="宋体" w:cs="宋体"/>
                <w:b/>
                <w:color w:val="auto"/>
                <w:sz w:val="24"/>
              </w:rPr>
              <w:t>相关资格证明文件</w:t>
            </w:r>
          </w:p>
        </w:tc>
        <w:tc>
          <w:tcPr>
            <w:tcW w:w="335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r>
              <w:rPr>
                <w:rFonts w:hint="eastAsia" w:ascii="宋体" w:hAnsi="宋体" w:cs="宋体"/>
                <w:color w:val="auto"/>
                <w:sz w:val="24"/>
              </w:rPr>
              <w:t>是否符合供应商资格要求</w:t>
            </w:r>
          </w:p>
        </w:tc>
        <w:tc>
          <w:tcPr>
            <w:tcW w:w="11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c>
          <w:tcPr>
            <w:tcW w:w="115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 w:val="24"/>
              </w:rPr>
            </w:pPr>
            <w:r>
              <w:rPr>
                <w:rFonts w:hint="eastAsia" w:ascii="宋体" w:hAnsi="宋体" w:cs="宋体"/>
                <w:b/>
                <w:color w:val="auto"/>
                <w:sz w:val="24"/>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r>
              <w:rPr>
                <w:rFonts w:hint="eastAsia" w:ascii="宋体" w:hAnsi="宋体" w:cs="宋体"/>
                <w:b/>
                <w:color w:val="auto"/>
                <w:sz w:val="24"/>
              </w:rPr>
              <w:t>磋商响应文件递交情况</w:t>
            </w:r>
          </w:p>
        </w:tc>
        <w:tc>
          <w:tcPr>
            <w:tcW w:w="335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 w:val="24"/>
              </w:rPr>
            </w:pPr>
            <w:r>
              <w:rPr>
                <w:rFonts w:hint="eastAsia" w:ascii="宋体" w:hAnsi="宋体" w:cs="宋体"/>
                <w:color w:val="auto"/>
                <w:sz w:val="24"/>
              </w:rPr>
              <w:t>正本和副本的数量是否符合竞争性磋商文件要求</w:t>
            </w:r>
          </w:p>
        </w:tc>
        <w:tc>
          <w:tcPr>
            <w:tcW w:w="11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c>
          <w:tcPr>
            <w:tcW w:w="115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 w:val="24"/>
              </w:rPr>
            </w:pPr>
            <w:r>
              <w:rPr>
                <w:rFonts w:hint="eastAsia" w:ascii="宋体" w:hAnsi="宋体" w:cs="宋体"/>
                <w:b/>
                <w:color w:val="auto"/>
                <w:sz w:val="24"/>
              </w:rPr>
              <w:t>3</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r>
              <w:rPr>
                <w:rFonts w:hint="eastAsia" w:ascii="宋体" w:hAnsi="宋体" w:cs="宋体"/>
                <w:b/>
                <w:color w:val="auto"/>
                <w:sz w:val="24"/>
              </w:rPr>
              <w:t>磋商响应文件的有效性</w:t>
            </w:r>
          </w:p>
        </w:tc>
        <w:tc>
          <w:tcPr>
            <w:tcW w:w="335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 w:val="24"/>
              </w:rPr>
            </w:pPr>
            <w:r>
              <w:rPr>
                <w:rFonts w:hint="eastAsia" w:ascii="宋体" w:hAnsi="宋体" w:cs="宋体"/>
                <w:color w:val="auto"/>
                <w:sz w:val="24"/>
              </w:rPr>
              <w:t>是否符合磋商文件的式样和签署要求且内容完整无缺漏</w:t>
            </w:r>
          </w:p>
        </w:tc>
        <w:tc>
          <w:tcPr>
            <w:tcW w:w="11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c>
          <w:tcPr>
            <w:tcW w:w="115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 w:val="24"/>
              </w:rPr>
            </w:pPr>
            <w:r>
              <w:rPr>
                <w:rFonts w:hint="eastAsia" w:ascii="宋体" w:hAnsi="宋体" w:cs="宋体"/>
                <w:b/>
                <w:color w:val="auto"/>
                <w:sz w:val="24"/>
              </w:rPr>
              <w:t>4</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r>
              <w:rPr>
                <w:rFonts w:hint="eastAsia" w:ascii="宋体" w:hAnsi="宋体" w:cs="宋体"/>
                <w:b/>
                <w:color w:val="auto"/>
                <w:sz w:val="24"/>
              </w:rPr>
              <w:t>磋商保证金</w:t>
            </w:r>
          </w:p>
        </w:tc>
        <w:tc>
          <w:tcPr>
            <w:tcW w:w="335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 w:val="24"/>
              </w:rPr>
            </w:pPr>
            <w:r>
              <w:rPr>
                <w:rFonts w:hint="eastAsia" w:ascii="宋体" w:hAnsi="宋体" w:cs="宋体"/>
                <w:color w:val="auto"/>
                <w:sz w:val="24"/>
              </w:rPr>
              <w:t>是否按要求提交磋商保证金</w:t>
            </w:r>
          </w:p>
        </w:tc>
        <w:tc>
          <w:tcPr>
            <w:tcW w:w="11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c>
          <w:tcPr>
            <w:tcW w:w="115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 w:val="24"/>
              </w:rPr>
            </w:pPr>
            <w:r>
              <w:rPr>
                <w:rFonts w:hint="eastAsia" w:ascii="宋体" w:hAnsi="宋体" w:cs="宋体"/>
                <w:b/>
                <w:color w:val="auto"/>
                <w:sz w:val="24"/>
              </w:rPr>
              <w:t>5</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r>
              <w:rPr>
                <w:rFonts w:hint="eastAsia" w:ascii="宋体" w:hAnsi="宋体" w:cs="宋体"/>
                <w:b/>
                <w:color w:val="auto"/>
                <w:sz w:val="24"/>
              </w:rPr>
              <w:t>投标有效期</w:t>
            </w:r>
          </w:p>
        </w:tc>
        <w:tc>
          <w:tcPr>
            <w:tcW w:w="335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 w:val="24"/>
              </w:rPr>
            </w:pPr>
            <w:r>
              <w:rPr>
                <w:rFonts w:hint="eastAsia" w:ascii="宋体" w:hAnsi="宋体" w:cs="宋体"/>
                <w:color w:val="auto"/>
                <w:sz w:val="24"/>
              </w:rPr>
              <w:t>投标有效期是否满足磋商文件</w:t>
            </w:r>
          </w:p>
        </w:tc>
        <w:tc>
          <w:tcPr>
            <w:tcW w:w="11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c>
          <w:tcPr>
            <w:tcW w:w="115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 w:val="24"/>
              </w:rPr>
            </w:pPr>
            <w:r>
              <w:rPr>
                <w:rFonts w:hint="eastAsia" w:ascii="宋体" w:hAnsi="宋体" w:cs="宋体"/>
                <w:b/>
                <w:color w:val="auto"/>
                <w:sz w:val="24"/>
              </w:rPr>
              <w:t>6</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r>
              <w:rPr>
                <w:rFonts w:hint="eastAsia" w:ascii="宋体" w:hAnsi="宋体" w:cs="宋体"/>
                <w:b/>
                <w:color w:val="auto"/>
                <w:sz w:val="24"/>
              </w:rPr>
              <w:t>合同履行期限</w:t>
            </w:r>
          </w:p>
        </w:tc>
        <w:tc>
          <w:tcPr>
            <w:tcW w:w="335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 w:val="24"/>
              </w:rPr>
            </w:pPr>
            <w:r>
              <w:rPr>
                <w:rFonts w:hint="eastAsia" w:ascii="宋体" w:hAnsi="宋体" w:cs="宋体"/>
                <w:color w:val="auto"/>
                <w:sz w:val="24"/>
              </w:rPr>
              <w:t>是否满足磋商文件要求</w:t>
            </w:r>
          </w:p>
        </w:tc>
        <w:tc>
          <w:tcPr>
            <w:tcW w:w="11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c>
          <w:tcPr>
            <w:tcW w:w="115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 w:val="24"/>
              </w:rPr>
            </w:pPr>
            <w:r>
              <w:rPr>
                <w:rFonts w:hint="eastAsia" w:ascii="宋体" w:hAnsi="宋体" w:cs="宋体"/>
                <w:b/>
                <w:color w:val="auto"/>
                <w:sz w:val="24"/>
              </w:rPr>
              <w:t>7</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r>
              <w:rPr>
                <w:rFonts w:hint="eastAsia" w:ascii="宋体" w:hAnsi="宋体" w:cs="宋体"/>
                <w:b/>
                <w:color w:val="auto"/>
                <w:sz w:val="24"/>
              </w:rPr>
              <w:t>投标报价</w:t>
            </w:r>
          </w:p>
        </w:tc>
        <w:tc>
          <w:tcPr>
            <w:tcW w:w="335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 w:val="24"/>
              </w:rPr>
            </w:pPr>
            <w:r>
              <w:rPr>
                <w:rFonts w:hint="eastAsia" w:ascii="宋体" w:hAnsi="宋体" w:cs="宋体"/>
                <w:color w:val="auto"/>
                <w:sz w:val="24"/>
              </w:rPr>
              <w:t>投标报价是否满足采购文件要求（报价有效、不漏项，不超出采购预算）</w:t>
            </w:r>
          </w:p>
        </w:tc>
        <w:tc>
          <w:tcPr>
            <w:tcW w:w="11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c>
          <w:tcPr>
            <w:tcW w:w="115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 w:val="24"/>
              </w:rPr>
            </w:pPr>
            <w:r>
              <w:rPr>
                <w:rFonts w:hint="eastAsia" w:ascii="宋体" w:hAnsi="宋体" w:cs="宋体"/>
                <w:b/>
                <w:color w:val="auto"/>
                <w:sz w:val="24"/>
              </w:rPr>
              <w:t>8</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r>
              <w:rPr>
                <w:rFonts w:hint="eastAsia" w:ascii="宋体" w:hAnsi="宋体" w:cs="宋体"/>
                <w:b/>
                <w:color w:val="auto"/>
                <w:sz w:val="24"/>
              </w:rPr>
              <w:t>其它</w:t>
            </w:r>
          </w:p>
        </w:tc>
        <w:tc>
          <w:tcPr>
            <w:tcW w:w="335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 w:val="24"/>
              </w:rPr>
            </w:pPr>
            <w:r>
              <w:rPr>
                <w:rFonts w:hint="eastAsia" w:ascii="宋体" w:hAnsi="宋体" w:cs="宋体"/>
                <w:color w:val="auto"/>
                <w:sz w:val="24"/>
              </w:rPr>
              <w:t>是否有其它无效响应认定条件</w:t>
            </w:r>
          </w:p>
        </w:tc>
        <w:tc>
          <w:tcPr>
            <w:tcW w:w="11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c>
          <w:tcPr>
            <w:tcW w:w="115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26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sz w:val="24"/>
              </w:rPr>
            </w:pPr>
            <w:r>
              <w:rPr>
                <w:rFonts w:hint="eastAsia" w:ascii="宋体" w:hAnsi="宋体" w:cs="宋体"/>
                <w:b/>
                <w:color w:val="auto"/>
                <w:sz w:val="24"/>
              </w:rPr>
              <w:t>结       论</w:t>
            </w:r>
          </w:p>
        </w:tc>
        <w:tc>
          <w:tcPr>
            <w:tcW w:w="11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c>
          <w:tcPr>
            <w:tcW w:w="11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c>
          <w:tcPr>
            <w:tcW w:w="115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
                <w:color w:val="auto"/>
                <w:sz w:val="24"/>
              </w:rPr>
            </w:pPr>
          </w:p>
        </w:tc>
      </w:tr>
    </w:tbl>
    <w:p>
      <w:pPr>
        <w:spacing w:line="440" w:lineRule="exact"/>
        <w:rPr>
          <w:rFonts w:ascii="宋体" w:hAnsi="宋体" w:cs="宋体"/>
          <w:b/>
          <w:bCs/>
          <w:color w:val="auto"/>
          <w:sz w:val="24"/>
        </w:rPr>
      </w:pPr>
      <w:r>
        <w:rPr>
          <w:rFonts w:hint="eastAsia" w:ascii="宋体" w:hAnsi="宋体" w:cs="宋体"/>
          <w:b/>
          <w:bCs/>
          <w:color w:val="auto"/>
          <w:sz w:val="24"/>
        </w:rPr>
        <w:t>注：</w:t>
      </w:r>
    </w:p>
    <w:p>
      <w:pPr>
        <w:numPr>
          <w:ilvl w:val="0"/>
          <w:numId w:val="2"/>
        </w:numPr>
        <w:spacing w:line="440" w:lineRule="exact"/>
        <w:ind w:firstLine="480" w:firstLineChars="200"/>
        <w:rPr>
          <w:rFonts w:ascii="宋体" w:hAnsi="宋体" w:cs="宋体"/>
          <w:color w:val="auto"/>
          <w:sz w:val="24"/>
        </w:rPr>
      </w:pPr>
      <w:r>
        <w:rPr>
          <w:rFonts w:hint="eastAsia" w:ascii="宋体" w:hAnsi="宋体" w:cs="宋体"/>
          <w:color w:val="auto"/>
          <w:sz w:val="24"/>
        </w:rPr>
        <w:t>表中只需填写“√”通过或“×”不通过；</w:t>
      </w:r>
    </w:p>
    <w:p>
      <w:pPr>
        <w:numPr>
          <w:ilvl w:val="0"/>
          <w:numId w:val="2"/>
        </w:numPr>
        <w:spacing w:line="440" w:lineRule="exact"/>
        <w:ind w:firstLine="480" w:firstLineChars="200"/>
        <w:rPr>
          <w:rFonts w:ascii="宋体" w:hAnsi="宋体" w:cs="宋体"/>
          <w:color w:val="auto"/>
          <w:sz w:val="24"/>
        </w:rPr>
      </w:pPr>
      <w:r>
        <w:rPr>
          <w:rFonts w:hint="eastAsia" w:ascii="宋体" w:hAnsi="宋体" w:cs="宋体"/>
          <w:color w:val="auto"/>
          <w:sz w:val="24"/>
        </w:rPr>
        <w:t>在结论中按“一项否决”的原则，只有全部是“√”通过的，填写“合格”；只要其中有一项是“×”不通过的，填写“不合格”；</w:t>
      </w:r>
    </w:p>
    <w:p>
      <w:pPr>
        <w:numPr>
          <w:ilvl w:val="0"/>
          <w:numId w:val="2"/>
        </w:numPr>
        <w:spacing w:line="440" w:lineRule="exact"/>
        <w:ind w:firstLine="480" w:firstLineChars="200"/>
        <w:rPr>
          <w:rFonts w:ascii="宋体" w:hAnsi="宋体" w:cs="宋体"/>
          <w:color w:val="auto"/>
          <w:sz w:val="24"/>
          <w:lang w:val="en-GB"/>
        </w:rPr>
      </w:pPr>
      <w:r>
        <w:rPr>
          <w:rFonts w:hint="eastAsia" w:ascii="宋体" w:hAnsi="宋体" w:cs="宋体"/>
          <w:color w:val="auto"/>
          <w:sz w:val="24"/>
        </w:rPr>
        <w:t>结论是合格的，才能进入下一轮，不合格的被淘汰。</w:t>
      </w:r>
    </w:p>
    <w:p>
      <w:pPr>
        <w:jc w:val="center"/>
        <w:outlineLvl w:val="1"/>
        <w:rPr>
          <w:rFonts w:hAnsi="宋体"/>
          <w:b/>
          <w:color w:val="auto"/>
        </w:rPr>
      </w:pPr>
    </w:p>
    <w:p>
      <w:pPr>
        <w:pStyle w:val="2"/>
        <w:rPr>
          <w:color w:val="auto"/>
        </w:rPr>
      </w:pPr>
      <w:r>
        <w:rPr>
          <w:rFonts w:hint="eastAsia"/>
          <w:color w:val="auto"/>
        </w:rPr>
        <w:br w:type="page"/>
      </w:r>
    </w:p>
    <w:p>
      <w:pPr>
        <w:snapToGrid w:val="0"/>
        <w:spacing w:line="500" w:lineRule="exact"/>
        <w:jc w:val="center"/>
        <w:rPr>
          <w:rFonts w:ascii="黑体" w:hAnsi="黑体" w:eastAsia="黑体" w:cs="黑体"/>
          <w:b/>
          <w:color w:val="auto"/>
          <w:sz w:val="30"/>
          <w:szCs w:val="30"/>
        </w:rPr>
      </w:pPr>
      <w:bookmarkStart w:id="439" w:name="_Toc18808"/>
      <w:r>
        <w:rPr>
          <w:rFonts w:hint="eastAsia" w:ascii="黑体" w:hAnsi="黑体" w:eastAsia="黑体" w:cs="黑体"/>
          <w:b/>
          <w:color w:val="auto"/>
          <w:sz w:val="30"/>
          <w:szCs w:val="30"/>
        </w:rPr>
        <w:t>附表2、综合评审表</w:t>
      </w:r>
      <w:bookmarkEnd w:id="439"/>
    </w:p>
    <w:p>
      <w:pPr>
        <w:spacing w:line="440" w:lineRule="exact"/>
        <w:rPr>
          <w:rFonts w:ascii="宋体" w:hAnsi="宋体" w:cs="宋体"/>
          <w:color w:val="auto"/>
          <w:sz w:val="24"/>
        </w:rPr>
      </w:pPr>
    </w:p>
    <w:p>
      <w:pPr>
        <w:spacing w:line="440" w:lineRule="exact"/>
        <w:rPr>
          <w:rFonts w:ascii="宋体" w:hAnsi="宋体" w:cs="宋体"/>
          <w:color w:val="auto"/>
          <w:sz w:val="24"/>
        </w:rPr>
      </w:pPr>
      <w:r>
        <w:rPr>
          <w:rFonts w:hint="eastAsia" w:ascii="宋体" w:hAnsi="宋体" w:cs="宋体"/>
          <w:color w:val="auto"/>
          <w:sz w:val="24"/>
        </w:rPr>
        <w:t xml:space="preserve">项目名称：                                          </w:t>
      </w:r>
    </w:p>
    <w:p>
      <w:pPr>
        <w:spacing w:line="440" w:lineRule="exact"/>
        <w:rPr>
          <w:rFonts w:ascii="宋体" w:hAnsi="宋体" w:cs="宋体"/>
          <w:color w:val="auto"/>
          <w:sz w:val="24"/>
        </w:rPr>
      </w:pPr>
      <w:r>
        <w:rPr>
          <w:rFonts w:hint="eastAsia" w:ascii="宋体" w:hAnsi="宋体" w:cs="宋体"/>
          <w:color w:val="auto"/>
          <w:sz w:val="24"/>
        </w:rPr>
        <w:t>项目编号：                                        日期：    年    月    日</w:t>
      </w:r>
    </w:p>
    <w:tbl>
      <w:tblPr>
        <w:tblStyle w:val="22"/>
        <w:tblW w:w="10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418"/>
        <w:gridCol w:w="6657"/>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294" w:type="dxa"/>
            <w:shd w:val="pct20" w:color="auto" w:fill="auto"/>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宋体" w:hAnsi="宋体" w:cs="宋体"/>
                <w:b/>
                <w:bCs/>
                <w:color w:val="auto"/>
                <w:sz w:val="24"/>
              </w:rPr>
            </w:pPr>
            <w:r>
              <w:rPr>
                <w:rFonts w:hint="eastAsia" w:ascii="宋体" w:hAnsi="宋体" w:cs="宋体"/>
                <w:b/>
                <w:color w:val="auto"/>
                <w:sz w:val="24"/>
              </w:rPr>
              <w:t>评审内容</w:t>
            </w:r>
          </w:p>
        </w:tc>
        <w:tc>
          <w:tcPr>
            <w:tcW w:w="1418" w:type="dxa"/>
            <w:shd w:val="pct20" w:color="auto" w:fill="auto"/>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宋体" w:hAnsi="宋体" w:cs="宋体"/>
                <w:b/>
                <w:bCs/>
                <w:color w:val="auto"/>
                <w:sz w:val="24"/>
              </w:rPr>
            </w:pPr>
            <w:r>
              <w:rPr>
                <w:rFonts w:hint="eastAsia" w:ascii="宋体" w:hAnsi="宋体" w:cs="宋体"/>
                <w:b/>
                <w:bCs/>
                <w:color w:val="auto"/>
                <w:sz w:val="24"/>
              </w:rPr>
              <w:t>评分指标</w:t>
            </w:r>
          </w:p>
        </w:tc>
        <w:tc>
          <w:tcPr>
            <w:tcW w:w="6657" w:type="dxa"/>
            <w:shd w:val="pct20" w:color="auto" w:fill="auto"/>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宋体" w:hAnsi="宋体" w:cs="宋体"/>
                <w:b/>
                <w:bCs/>
                <w:color w:val="auto"/>
                <w:sz w:val="24"/>
              </w:rPr>
            </w:pPr>
            <w:r>
              <w:rPr>
                <w:rFonts w:hint="eastAsia" w:ascii="宋体" w:hAnsi="宋体" w:cs="宋体"/>
                <w:b/>
                <w:bCs/>
                <w:color w:val="auto"/>
                <w:sz w:val="24"/>
              </w:rPr>
              <w:t>评分标准</w:t>
            </w:r>
          </w:p>
        </w:tc>
        <w:tc>
          <w:tcPr>
            <w:tcW w:w="889" w:type="dxa"/>
            <w:shd w:val="pct20" w:color="auto" w:fill="auto"/>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宋体" w:hAnsi="宋体" w:cs="宋体"/>
                <w:b/>
                <w:bCs/>
                <w:color w:val="auto"/>
                <w:sz w:val="24"/>
              </w:rPr>
            </w:pPr>
            <w:r>
              <w:rPr>
                <w:rFonts w:hint="eastAsia" w:ascii="宋体" w:hAnsi="宋体" w:cs="宋体"/>
                <w:b/>
                <w:bCs/>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29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宋体" w:hAnsi="宋体" w:cs="宋体"/>
                <w:b/>
                <w:bCs/>
                <w:color w:val="auto"/>
                <w:sz w:val="24"/>
              </w:rPr>
            </w:pPr>
            <w:bookmarkStart w:id="440" w:name="_Hlk34233839"/>
            <w:r>
              <w:rPr>
                <w:rFonts w:hint="eastAsia" w:ascii="宋体" w:hAnsi="宋体" w:cs="宋体"/>
                <w:b/>
                <w:bCs/>
                <w:color w:val="auto"/>
                <w:sz w:val="24"/>
              </w:rPr>
              <w:t>施工组织设计</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宋体" w:hAnsi="宋体" w:cs="宋体"/>
                <w:b/>
                <w:bCs/>
                <w:color w:val="auto"/>
                <w:sz w:val="24"/>
              </w:rPr>
            </w:pPr>
            <w:r>
              <w:rPr>
                <w:rFonts w:hint="eastAsia" w:ascii="宋体" w:hAnsi="宋体" w:cs="宋体"/>
                <w:b/>
                <w:bCs/>
                <w:color w:val="auto"/>
                <w:sz w:val="24"/>
              </w:rPr>
              <w:t>（</w:t>
            </w:r>
            <w:r>
              <w:rPr>
                <w:rFonts w:hint="eastAsia" w:ascii="宋体" w:hAnsi="宋体" w:cs="宋体"/>
                <w:b/>
                <w:bCs/>
                <w:color w:val="auto"/>
                <w:sz w:val="24"/>
                <w:lang w:val="en-US" w:eastAsia="zh-CN"/>
              </w:rPr>
              <w:t>6</w:t>
            </w:r>
            <w:r>
              <w:rPr>
                <w:rFonts w:ascii="宋体" w:hAnsi="宋体" w:cs="宋体"/>
                <w:b/>
                <w:bCs/>
                <w:color w:val="auto"/>
                <w:sz w:val="24"/>
              </w:rPr>
              <w:t>0</w:t>
            </w:r>
            <w:r>
              <w:rPr>
                <w:rFonts w:hint="eastAsia" w:ascii="宋体" w:hAnsi="宋体" w:cs="宋体"/>
                <w:b/>
                <w:bCs/>
                <w:color w:val="auto"/>
                <w:sz w:val="24"/>
              </w:rPr>
              <w:t>分）</w:t>
            </w:r>
          </w:p>
        </w:tc>
        <w:tc>
          <w:tcPr>
            <w:tcW w:w="1418" w:type="dxa"/>
            <w:vAlign w:val="center"/>
          </w:tcPr>
          <w:p>
            <w:pPr>
              <w:keepNext w:val="0"/>
              <w:keepLines w:val="0"/>
              <w:pageBreakBefore w:val="0"/>
              <w:widowControl w:val="0"/>
              <w:kinsoku/>
              <w:wordWrap/>
              <w:overflowPunct/>
              <w:topLinePunct w:val="0"/>
              <w:autoSpaceDE/>
              <w:autoSpaceDN/>
              <w:bidi w:val="0"/>
              <w:spacing w:line="540" w:lineRule="exact"/>
              <w:jc w:val="center"/>
              <w:textAlignment w:val="auto"/>
              <w:rPr>
                <w:rFonts w:ascii="宋体" w:hAnsi="宋体" w:cs="宋体"/>
                <w:color w:val="auto"/>
                <w:sz w:val="24"/>
              </w:rPr>
            </w:pPr>
            <w:r>
              <w:rPr>
                <w:rFonts w:hint="eastAsia" w:ascii="宋体" w:hAnsi="宋体" w:cs="宋体"/>
                <w:color w:val="auto"/>
                <w:sz w:val="24"/>
              </w:rPr>
              <w:t>施工方案与技术措施</w:t>
            </w:r>
          </w:p>
        </w:tc>
        <w:tc>
          <w:tcPr>
            <w:tcW w:w="6657" w:type="dxa"/>
            <w:vAlign w:val="center"/>
          </w:tcPr>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kern w:val="0"/>
                <w:sz w:val="24"/>
              </w:rPr>
            </w:pPr>
            <w:r>
              <w:rPr>
                <w:rFonts w:hint="eastAsia" w:ascii="宋体" w:hAnsi="宋体" w:cs="宋体"/>
                <w:color w:val="auto"/>
                <w:kern w:val="0"/>
                <w:sz w:val="24"/>
              </w:rPr>
              <w:t>根据投标人提供的施工方案与技术措施进行比较赋分：</w:t>
            </w:r>
          </w:p>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kern w:val="0"/>
                <w:sz w:val="24"/>
              </w:rPr>
            </w:pPr>
            <w:r>
              <w:rPr>
                <w:rFonts w:hint="eastAsia" w:ascii="宋体" w:hAnsi="宋体" w:cs="宋体"/>
                <w:color w:val="auto"/>
                <w:kern w:val="0"/>
                <w:sz w:val="24"/>
              </w:rPr>
              <w:t>A.施工方案与技术措施科学合理，适用性强，思路清晰，内容全面，能够根据实际情况制订，满足采购人的需要，考虑问题周全，实施过程务实，各项指标均能完成，</w:t>
            </w:r>
            <w:r>
              <w:rPr>
                <w:rFonts w:hint="eastAsia" w:ascii="宋体" w:hAnsi="宋体" w:cs="宋体"/>
                <w:color w:val="auto"/>
                <w:kern w:val="0"/>
                <w:sz w:val="24"/>
                <w:lang w:val="en-US" w:eastAsia="zh-CN"/>
              </w:rPr>
              <w:t>9</w:t>
            </w:r>
            <w:r>
              <w:rPr>
                <w:rFonts w:ascii="宋体" w:hAnsi="宋体" w:cs="宋体"/>
                <w:color w:val="auto"/>
                <w:kern w:val="0"/>
                <w:sz w:val="24"/>
              </w:rPr>
              <w:t>-1</w:t>
            </w:r>
            <w:r>
              <w:rPr>
                <w:rFonts w:hint="eastAsia" w:ascii="宋体" w:hAnsi="宋体" w:cs="宋体"/>
                <w:color w:val="auto"/>
                <w:kern w:val="0"/>
                <w:sz w:val="24"/>
                <w:lang w:val="en-US" w:eastAsia="zh-CN"/>
              </w:rPr>
              <w:t>2</w:t>
            </w:r>
            <w:r>
              <w:rPr>
                <w:rFonts w:hint="eastAsia" w:ascii="宋体" w:hAnsi="宋体" w:cs="宋体"/>
                <w:color w:val="auto"/>
                <w:kern w:val="0"/>
                <w:sz w:val="24"/>
              </w:rPr>
              <w:t>分；</w:t>
            </w:r>
          </w:p>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kern w:val="0"/>
                <w:sz w:val="24"/>
              </w:rPr>
            </w:pPr>
            <w:r>
              <w:rPr>
                <w:rFonts w:hint="eastAsia" w:ascii="宋体" w:hAnsi="宋体" w:cs="宋体"/>
                <w:color w:val="auto"/>
                <w:kern w:val="0"/>
                <w:sz w:val="24"/>
              </w:rPr>
              <w:t>B.施工方案与技术措施基本能够满足采购需要，操作性不强，</w:t>
            </w:r>
            <w:r>
              <w:rPr>
                <w:rFonts w:hint="eastAsia" w:ascii="宋体" w:hAnsi="宋体" w:cs="宋体"/>
                <w:color w:val="auto"/>
                <w:kern w:val="0"/>
                <w:sz w:val="24"/>
                <w:lang w:val="en-US" w:eastAsia="zh-CN"/>
              </w:rPr>
              <w:t>5</w:t>
            </w:r>
            <w:r>
              <w:rPr>
                <w:rFonts w:ascii="宋体" w:hAnsi="宋体" w:cs="宋体"/>
                <w:color w:val="auto"/>
                <w:kern w:val="0"/>
                <w:sz w:val="24"/>
              </w:rPr>
              <w:t>-</w:t>
            </w:r>
            <w:r>
              <w:rPr>
                <w:rFonts w:hint="eastAsia" w:ascii="宋体" w:hAnsi="宋体" w:cs="宋体"/>
                <w:color w:val="auto"/>
                <w:kern w:val="0"/>
                <w:sz w:val="24"/>
                <w:lang w:val="en-US" w:eastAsia="zh-CN"/>
              </w:rPr>
              <w:t>8</w:t>
            </w:r>
            <w:r>
              <w:rPr>
                <w:rFonts w:hint="eastAsia" w:ascii="宋体" w:hAnsi="宋体" w:cs="宋体"/>
                <w:color w:val="auto"/>
                <w:kern w:val="0"/>
                <w:sz w:val="24"/>
              </w:rPr>
              <w:t>分；</w:t>
            </w:r>
          </w:p>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kern w:val="0"/>
                <w:sz w:val="24"/>
              </w:rPr>
            </w:pPr>
            <w:r>
              <w:rPr>
                <w:rFonts w:hint="eastAsia" w:ascii="宋体" w:hAnsi="宋体" w:cs="宋体"/>
                <w:color w:val="auto"/>
                <w:kern w:val="0"/>
                <w:sz w:val="24"/>
              </w:rPr>
              <w:t>C.施工方案与技术措施不合理，1-</w:t>
            </w:r>
            <w:r>
              <w:rPr>
                <w:rFonts w:hint="eastAsia" w:ascii="宋体" w:hAnsi="宋体" w:cs="宋体"/>
                <w:color w:val="auto"/>
                <w:kern w:val="0"/>
                <w:sz w:val="24"/>
                <w:lang w:val="en-US" w:eastAsia="zh-CN"/>
              </w:rPr>
              <w:t>4</w:t>
            </w:r>
            <w:r>
              <w:rPr>
                <w:rFonts w:hint="eastAsia" w:ascii="宋体" w:hAnsi="宋体" w:cs="宋体"/>
                <w:color w:val="auto"/>
                <w:kern w:val="0"/>
                <w:sz w:val="24"/>
              </w:rPr>
              <w:t>分；</w:t>
            </w:r>
          </w:p>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sz w:val="24"/>
              </w:rPr>
            </w:pPr>
            <w:r>
              <w:rPr>
                <w:rFonts w:hint="eastAsia" w:ascii="宋体" w:hAnsi="宋体" w:cs="宋体"/>
                <w:color w:val="auto"/>
                <w:kern w:val="0"/>
                <w:sz w:val="24"/>
              </w:rPr>
              <w:t>D.不提供者得0分。</w:t>
            </w:r>
          </w:p>
        </w:tc>
        <w:tc>
          <w:tcPr>
            <w:tcW w:w="889" w:type="dxa"/>
            <w:vAlign w:val="center"/>
          </w:tcPr>
          <w:p>
            <w:pPr>
              <w:pStyle w:val="34"/>
              <w:keepNext w:val="0"/>
              <w:keepLines w:val="0"/>
              <w:pageBreakBefore w:val="0"/>
              <w:widowControl w:val="0"/>
              <w:kinsoku/>
              <w:wordWrap/>
              <w:overflowPunct/>
              <w:topLinePunct w:val="0"/>
              <w:autoSpaceDE/>
              <w:autoSpaceDN/>
              <w:bidi w:val="0"/>
              <w:snapToGrid w:val="0"/>
              <w:spacing w:line="540" w:lineRule="exact"/>
              <w:ind w:firstLine="0" w:firstLineChars="0"/>
              <w:jc w:val="center"/>
              <w:textAlignment w:val="auto"/>
              <w:rPr>
                <w:rFonts w:ascii="宋体" w:hAnsi="宋体" w:cs="宋体"/>
                <w:b/>
                <w:bCs/>
                <w:color w:val="auto"/>
                <w:sz w:val="24"/>
              </w:rPr>
            </w:pPr>
            <w:r>
              <w:rPr>
                <w:rFonts w:hint="eastAsia" w:ascii="宋体" w:hAnsi="宋体" w:cs="宋体"/>
                <w:b/>
                <w:bCs/>
                <w:color w:val="auto"/>
                <w:sz w:val="24"/>
                <w:lang w:val="en-US" w:eastAsia="zh-CN"/>
              </w:rPr>
              <w:t>12</w:t>
            </w:r>
            <w:r>
              <w:rPr>
                <w:rFonts w:hint="eastAsia" w:ascii="宋体" w:hAnsi="宋体" w:cs="宋体"/>
                <w:b/>
                <w:bCs/>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29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宋体" w:hAnsi="宋体" w:cs="宋体"/>
                <w:b/>
                <w:bCs/>
                <w:color w:val="auto"/>
                <w:sz w:val="24"/>
              </w:rPr>
            </w:pPr>
          </w:p>
        </w:tc>
        <w:tc>
          <w:tcPr>
            <w:tcW w:w="1418" w:type="dxa"/>
            <w:vAlign w:val="center"/>
          </w:tcPr>
          <w:p>
            <w:pPr>
              <w:keepNext w:val="0"/>
              <w:keepLines w:val="0"/>
              <w:pageBreakBefore w:val="0"/>
              <w:widowControl w:val="0"/>
              <w:kinsoku/>
              <w:wordWrap/>
              <w:overflowPunct/>
              <w:topLinePunct w:val="0"/>
              <w:autoSpaceDE/>
              <w:autoSpaceDN/>
              <w:bidi w:val="0"/>
              <w:spacing w:line="540" w:lineRule="exact"/>
              <w:jc w:val="center"/>
              <w:textAlignment w:val="auto"/>
              <w:rPr>
                <w:rFonts w:ascii="宋体" w:hAnsi="宋体" w:cs="宋体"/>
                <w:color w:val="auto"/>
                <w:sz w:val="24"/>
              </w:rPr>
            </w:pPr>
            <w:r>
              <w:rPr>
                <w:rFonts w:hint="eastAsia" w:ascii="宋体" w:hAnsi="宋体" w:cs="宋体"/>
                <w:color w:val="auto"/>
                <w:sz w:val="24"/>
              </w:rPr>
              <w:t>质量管理体系与措施</w:t>
            </w:r>
          </w:p>
        </w:tc>
        <w:tc>
          <w:tcPr>
            <w:tcW w:w="6657" w:type="dxa"/>
            <w:vAlign w:val="center"/>
          </w:tcPr>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kern w:val="0"/>
                <w:sz w:val="24"/>
              </w:rPr>
            </w:pPr>
            <w:r>
              <w:rPr>
                <w:rFonts w:hint="eastAsia" w:ascii="宋体" w:hAnsi="宋体" w:cs="宋体"/>
                <w:color w:val="auto"/>
                <w:kern w:val="0"/>
                <w:sz w:val="24"/>
              </w:rPr>
              <w:t>根据投标人提供的质量管理体系与措施进行比较赋分：</w:t>
            </w:r>
          </w:p>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kern w:val="0"/>
                <w:sz w:val="24"/>
              </w:rPr>
            </w:pPr>
            <w:r>
              <w:rPr>
                <w:rFonts w:hint="eastAsia" w:ascii="宋体" w:hAnsi="宋体" w:cs="宋体"/>
                <w:color w:val="auto"/>
                <w:kern w:val="0"/>
                <w:sz w:val="24"/>
              </w:rPr>
              <w:t>A.质量管理体系与措施科学合理，适用性强，思路清晰，内容全面，能够根据实际情况制订，满足采购人的需要，考虑问题周全，实施过程务实，各项指标均能完成，</w:t>
            </w:r>
            <w:r>
              <w:rPr>
                <w:rFonts w:hint="eastAsia" w:ascii="宋体" w:hAnsi="宋体" w:cs="宋体"/>
                <w:color w:val="auto"/>
                <w:kern w:val="0"/>
                <w:sz w:val="24"/>
                <w:lang w:val="en-US" w:eastAsia="zh-CN"/>
              </w:rPr>
              <w:t>9</w:t>
            </w:r>
            <w:r>
              <w:rPr>
                <w:rFonts w:hint="eastAsia" w:ascii="宋体" w:hAnsi="宋体" w:cs="宋体"/>
                <w:color w:val="auto"/>
                <w:kern w:val="0"/>
                <w:sz w:val="24"/>
              </w:rPr>
              <w:t>-1</w:t>
            </w:r>
            <w:r>
              <w:rPr>
                <w:rFonts w:hint="eastAsia" w:ascii="宋体" w:hAnsi="宋体" w:cs="宋体"/>
                <w:color w:val="auto"/>
                <w:kern w:val="0"/>
                <w:sz w:val="24"/>
                <w:lang w:val="en-US" w:eastAsia="zh-CN"/>
              </w:rPr>
              <w:t>2</w:t>
            </w:r>
            <w:r>
              <w:rPr>
                <w:rFonts w:hint="eastAsia" w:ascii="宋体" w:hAnsi="宋体" w:cs="宋体"/>
                <w:color w:val="auto"/>
                <w:kern w:val="0"/>
                <w:sz w:val="24"/>
              </w:rPr>
              <w:t>分；</w:t>
            </w:r>
          </w:p>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kern w:val="0"/>
                <w:sz w:val="24"/>
              </w:rPr>
            </w:pPr>
            <w:r>
              <w:rPr>
                <w:rFonts w:hint="eastAsia" w:ascii="宋体" w:hAnsi="宋体" w:cs="宋体"/>
                <w:color w:val="auto"/>
                <w:kern w:val="0"/>
                <w:sz w:val="24"/>
              </w:rPr>
              <w:t>B.质量管理体系与措施基本能够满足采购需要，操作性不强，</w:t>
            </w:r>
            <w:r>
              <w:rPr>
                <w:rFonts w:hint="eastAsia" w:ascii="宋体" w:hAnsi="宋体" w:cs="宋体"/>
                <w:color w:val="auto"/>
                <w:kern w:val="0"/>
                <w:sz w:val="24"/>
                <w:lang w:val="en-US" w:eastAsia="zh-CN"/>
              </w:rPr>
              <w:t>5</w:t>
            </w:r>
            <w:r>
              <w:rPr>
                <w:rFonts w:ascii="宋体" w:hAnsi="宋体" w:cs="宋体"/>
                <w:color w:val="auto"/>
                <w:kern w:val="0"/>
                <w:sz w:val="24"/>
              </w:rPr>
              <w:t>-</w:t>
            </w:r>
            <w:r>
              <w:rPr>
                <w:rFonts w:hint="eastAsia" w:ascii="宋体" w:hAnsi="宋体" w:cs="宋体"/>
                <w:color w:val="auto"/>
                <w:kern w:val="0"/>
                <w:sz w:val="24"/>
                <w:lang w:val="en-US" w:eastAsia="zh-CN"/>
              </w:rPr>
              <w:t>8</w:t>
            </w:r>
            <w:r>
              <w:rPr>
                <w:rFonts w:hint="eastAsia" w:ascii="宋体" w:hAnsi="宋体" w:cs="宋体"/>
                <w:color w:val="auto"/>
                <w:kern w:val="0"/>
                <w:sz w:val="24"/>
              </w:rPr>
              <w:t>分；</w:t>
            </w:r>
          </w:p>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kern w:val="0"/>
                <w:sz w:val="24"/>
              </w:rPr>
            </w:pPr>
            <w:r>
              <w:rPr>
                <w:rFonts w:hint="eastAsia" w:ascii="宋体" w:hAnsi="宋体" w:cs="宋体"/>
                <w:color w:val="auto"/>
                <w:kern w:val="0"/>
                <w:sz w:val="24"/>
              </w:rPr>
              <w:t>C.质量管理体系与措施不合理，1-</w:t>
            </w:r>
            <w:r>
              <w:rPr>
                <w:rFonts w:hint="eastAsia" w:ascii="宋体" w:hAnsi="宋体" w:cs="宋体"/>
                <w:color w:val="auto"/>
                <w:kern w:val="0"/>
                <w:sz w:val="24"/>
                <w:lang w:val="en-US" w:eastAsia="zh-CN"/>
              </w:rPr>
              <w:t>4</w:t>
            </w:r>
            <w:r>
              <w:rPr>
                <w:rFonts w:hint="eastAsia" w:ascii="宋体" w:hAnsi="宋体" w:cs="宋体"/>
                <w:color w:val="auto"/>
                <w:kern w:val="0"/>
                <w:sz w:val="24"/>
              </w:rPr>
              <w:t>分；</w:t>
            </w:r>
          </w:p>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sz w:val="24"/>
              </w:rPr>
            </w:pPr>
            <w:r>
              <w:rPr>
                <w:rFonts w:hint="eastAsia" w:ascii="宋体" w:hAnsi="宋体" w:cs="宋体"/>
                <w:color w:val="auto"/>
                <w:kern w:val="0"/>
                <w:sz w:val="24"/>
              </w:rPr>
              <w:t>D.不提供者得0分。</w:t>
            </w:r>
          </w:p>
        </w:tc>
        <w:tc>
          <w:tcPr>
            <w:tcW w:w="889" w:type="dxa"/>
            <w:vAlign w:val="center"/>
          </w:tcPr>
          <w:p>
            <w:pPr>
              <w:pStyle w:val="34"/>
              <w:keepNext w:val="0"/>
              <w:keepLines w:val="0"/>
              <w:pageBreakBefore w:val="0"/>
              <w:widowControl w:val="0"/>
              <w:kinsoku/>
              <w:wordWrap/>
              <w:overflowPunct/>
              <w:topLinePunct w:val="0"/>
              <w:autoSpaceDE/>
              <w:autoSpaceDN/>
              <w:bidi w:val="0"/>
              <w:snapToGrid w:val="0"/>
              <w:spacing w:line="540" w:lineRule="exact"/>
              <w:ind w:firstLine="0" w:firstLineChars="0"/>
              <w:jc w:val="center"/>
              <w:textAlignment w:val="auto"/>
              <w:rPr>
                <w:rFonts w:ascii="宋体" w:hAnsi="宋体" w:cs="宋体"/>
                <w:b/>
                <w:bCs/>
                <w:color w:val="auto"/>
                <w:sz w:val="24"/>
              </w:rPr>
            </w:pPr>
            <w:r>
              <w:rPr>
                <w:rFonts w:hint="eastAsia" w:ascii="宋体" w:hAnsi="宋体" w:cs="宋体"/>
                <w:b/>
                <w:bCs/>
                <w:color w:val="auto"/>
                <w:sz w:val="24"/>
              </w:rPr>
              <w:t>1</w:t>
            </w:r>
            <w:r>
              <w:rPr>
                <w:rFonts w:hint="eastAsia" w:ascii="宋体" w:hAnsi="宋体" w:cs="宋体"/>
                <w:b/>
                <w:bCs/>
                <w:color w:val="auto"/>
                <w:sz w:val="24"/>
                <w:lang w:val="en-US" w:eastAsia="zh-CN"/>
              </w:rPr>
              <w:t>2</w:t>
            </w:r>
            <w:r>
              <w:rPr>
                <w:rFonts w:hint="eastAsia" w:ascii="宋体" w:hAnsi="宋体" w:cs="宋体"/>
                <w:b/>
                <w:bCs/>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29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宋体" w:hAnsi="宋体" w:cs="宋体"/>
                <w:b/>
                <w:bCs/>
                <w:color w:val="auto"/>
                <w:sz w:val="24"/>
              </w:rPr>
            </w:pPr>
          </w:p>
        </w:tc>
        <w:tc>
          <w:tcPr>
            <w:tcW w:w="1418" w:type="dxa"/>
            <w:vAlign w:val="center"/>
          </w:tcPr>
          <w:p>
            <w:pPr>
              <w:keepNext w:val="0"/>
              <w:keepLines w:val="0"/>
              <w:pageBreakBefore w:val="0"/>
              <w:widowControl w:val="0"/>
              <w:kinsoku/>
              <w:wordWrap/>
              <w:overflowPunct/>
              <w:topLinePunct w:val="0"/>
              <w:autoSpaceDE/>
              <w:autoSpaceDN/>
              <w:bidi w:val="0"/>
              <w:spacing w:line="540" w:lineRule="exact"/>
              <w:jc w:val="center"/>
              <w:textAlignment w:val="auto"/>
              <w:rPr>
                <w:rFonts w:ascii="宋体" w:hAnsi="宋体" w:cs="宋体"/>
                <w:color w:val="auto"/>
                <w:sz w:val="24"/>
              </w:rPr>
            </w:pPr>
            <w:r>
              <w:rPr>
                <w:rFonts w:hint="eastAsia" w:ascii="宋体" w:hAnsi="宋体" w:cs="宋体"/>
                <w:color w:val="auto"/>
                <w:sz w:val="24"/>
              </w:rPr>
              <w:t>安全管理体系与措施</w:t>
            </w:r>
          </w:p>
        </w:tc>
        <w:tc>
          <w:tcPr>
            <w:tcW w:w="6657" w:type="dxa"/>
            <w:vAlign w:val="center"/>
          </w:tcPr>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kern w:val="0"/>
                <w:sz w:val="24"/>
              </w:rPr>
            </w:pPr>
            <w:r>
              <w:rPr>
                <w:rFonts w:hint="eastAsia" w:ascii="宋体" w:hAnsi="宋体" w:cs="宋体"/>
                <w:color w:val="auto"/>
                <w:kern w:val="0"/>
                <w:sz w:val="24"/>
              </w:rPr>
              <w:t>根据投标人提供的安全管理体系与措施进行比较赋分：</w:t>
            </w:r>
          </w:p>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kern w:val="0"/>
                <w:sz w:val="24"/>
              </w:rPr>
            </w:pPr>
            <w:r>
              <w:rPr>
                <w:rFonts w:hint="eastAsia" w:ascii="宋体" w:hAnsi="宋体" w:cs="宋体"/>
                <w:color w:val="auto"/>
                <w:kern w:val="0"/>
                <w:sz w:val="24"/>
              </w:rPr>
              <w:t>A.安全管理体系与措施科学合理，适用性强，思路清晰，内容全面，能够根据实际情况制订，满足采购人的需要，考虑问题周全，实施过程务实，各项指标均能完成，</w:t>
            </w:r>
            <w:r>
              <w:rPr>
                <w:rFonts w:hint="eastAsia" w:ascii="宋体" w:hAnsi="宋体" w:cs="宋体"/>
                <w:color w:val="auto"/>
                <w:kern w:val="0"/>
                <w:sz w:val="24"/>
                <w:lang w:val="en-US" w:eastAsia="zh-CN"/>
              </w:rPr>
              <w:t>9</w:t>
            </w:r>
            <w:r>
              <w:rPr>
                <w:rFonts w:hint="eastAsia" w:ascii="宋体" w:hAnsi="宋体" w:cs="宋体"/>
                <w:color w:val="auto"/>
                <w:kern w:val="0"/>
                <w:sz w:val="24"/>
              </w:rPr>
              <w:t>-1</w:t>
            </w:r>
            <w:r>
              <w:rPr>
                <w:rFonts w:hint="eastAsia" w:ascii="宋体" w:hAnsi="宋体" w:cs="宋体"/>
                <w:color w:val="auto"/>
                <w:kern w:val="0"/>
                <w:sz w:val="24"/>
                <w:lang w:val="en-US" w:eastAsia="zh-CN"/>
              </w:rPr>
              <w:t>2</w:t>
            </w:r>
            <w:r>
              <w:rPr>
                <w:rFonts w:hint="eastAsia" w:ascii="宋体" w:hAnsi="宋体" w:cs="宋体"/>
                <w:color w:val="auto"/>
                <w:kern w:val="0"/>
                <w:sz w:val="24"/>
              </w:rPr>
              <w:t>分；</w:t>
            </w:r>
          </w:p>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kern w:val="0"/>
                <w:sz w:val="24"/>
              </w:rPr>
            </w:pPr>
            <w:r>
              <w:rPr>
                <w:rFonts w:hint="eastAsia" w:ascii="宋体" w:hAnsi="宋体" w:cs="宋体"/>
                <w:color w:val="auto"/>
                <w:kern w:val="0"/>
                <w:sz w:val="24"/>
              </w:rPr>
              <w:t>B.安全管理体系与措施基本能够满足采购需要，操作性不强，</w:t>
            </w:r>
            <w:r>
              <w:rPr>
                <w:rFonts w:hint="eastAsia" w:ascii="宋体" w:hAnsi="宋体" w:cs="宋体"/>
                <w:color w:val="auto"/>
                <w:kern w:val="0"/>
                <w:sz w:val="24"/>
                <w:lang w:val="en-US" w:eastAsia="zh-CN"/>
              </w:rPr>
              <w:t>5</w:t>
            </w:r>
            <w:r>
              <w:rPr>
                <w:rFonts w:hint="eastAsia" w:ascii="宋体" w:hAnsi="宋体" w:cs="宋体"/>
                <w:color w:val="auto"/>
                <w:kern w:val="0"/>
                <w:sz w:val="24"/>
              </w:rPr>
              <w:t>-</w:t>
            </w:r>
            <w:r>
              <w:rPr>
                <w:rFonts w:hint="eastAsia" w:ascii="宋体" w:hAnsi="宋体" w:cs="宋体"/>
                <w:color w:val="auto"/>
                <w:kern w:val="0"/>
                <w:sz w:val="24"/>
                <w:lang w:val="en-US" w:eastAsia="zh-CN"/>
              </w:rPr>
              <w:t>8</w:t>
            </w:r>
            <w:r>
              <w:rPr>
                <w:rFonts w:hint="eastAsia" w:ascii="宋体" w:hAnsi="宋体" w:cs="宋体"/>
                <w:color w:val="auto"/>
                <w:kern w:val="0"/>
                <w:sz w:val="24"/>
              </w:rPr>
              <w:t>分；</w:t>
            </w:r>
          </w:p>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kern w:val="0"/>
                <w:sz w:val="24"/>
              </w:rPr>
            </w:pPr>
            <w:r>
              <w:rPr>
                <w:rFonts w:hint="eastAsia" w:ascii="宋体" w:hAnsi="宋体" w:cs="宋体"/>
                <w:color w:val="auto"/>
                <w:kern w:val="0"/>
                <w:sz w:val="24"/>
              </w:rPr>
              <w:t>C.安全管理体系与措施不合理，1-</w:t>
            </w:r>
            <w:r>
              <w:rPr>
                <w:rFonts w:hint="eastAsia" w:ascii="宋体" w:hAnsi="宋体" w:cs="宋体"/>
                <w:color w:val="auto"/>
                <w:kern w:val="0"/>
                <w:sz w:val="24"/>
                <w:lang w:val="en-US" w:eastAsia="zh-CN"/>
              </w:rPr>
              <w:t>4</w:t>
            </w:r>
            <w:r>
              <w:rPr>
                <w:rFonts w:hint="eastAsia" w:ascii="宋体" w:hAnsi="宋体" w:cs="宋体"/>
                <w:color w:val="auto"/>
                <w:kern w:val="0"/>
                <w:sz w:val="24"/>
              </w:rPr>
              <w:t>分；</w:t>
            </w:r>
          </w:p>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sz w:val="24"/>
              </w:rPr>
            </w:pPr>
            <w:r>
              <w:rPr>
                <w:rFonts w:hint="eastAsia" w:ascii="宋体" w:hAnsi="宋体" w:cs="宋体"/>
                <w:color w:val="auto"/>
                <w:kern w:val="0"/>
                <w:sz w:val="24"/>
              </w:rPr>
              <w:t>D.不提供者得0分。</w:t>
            </w:r>
          </w:p>
        </w:tc>
        <w:tc>
          <w:tcPr>
            <w:tcW w:w="889" w:type="dxa"/>
            <w:vAlign w:val="center"/>
          </w:tcPr>
          <w:p>
            <w:pPr>
              <w:pStyle w:val="34"/>
              <w:keepNext w:val="0"/>
              <w:keepLines w:val="0"/>
              <w:pageBreakBefore w:val="0"/>
              <w:widowControl w:val="0"/>
              <w:kinsoku/>
              <w:wordWrap/>
              <w:overflowPunct/>
              <w:topLinePunct w:val="0"/>
              <w:autoSpaceDE/>
              <w:autoSpaceDN/>
              <w:bidi w:val="0"/>
              <w:snapToGrid w:val="0"/>
              <w:spacing w:line="540" w:lineRule="exact"/>
              <w:ind w:firstLine="0" w:firstLineChars="0"/>
              <w:jc w:val="center"/>
              <w:textAlignment w:val="auto"/>
              <w:rPr>
                <w:rFonts w:ascii="宋体" w:hAnsi="宋体" w:cs="宋体"/>
                <w:b/>
                <w:bCs/>
                <w:color w:val="auto"/>
                <w:sz w:val="24"/>
              </w:rPr>
            </w:pPr>
            <w:r>
              <w:rPr>
                <w:rFonts w:hint="eastAsia" w:ascii="宋体" w:hAnsi="宋体" w:cs="宋体"/>
                <w:b/>
                <w:bCs/>
                <w:color w:val="auto"/>
                <w:sz w:val="24"/>
              </w:rPr>
              <w:t>1</w:t>
            </w:r>
            <w:r>
              <w:rPr>
                <w:rFonts w:hint="eastAsia" w:ascii="宋体" w:hAnsi="宋体" w:cs="宋体"/>
                <w:b/>
                <w:bCs/>
                <w:color w:val="auto"/>
                <w:sz w:val="24"/>
                <w:lang w:val="en-US" w:eastAsia="zh-CN"/>
              </w:rPr>
              <w:t>2</w:t>
            </w:r>
            <w:r>
              <w:rPr>
                <w:rFonts w:hint="eastAsia" w:ascii="宋体" w:hAnsi="宋体" w:cs="宋体"/>
                <w:b/>
                <w:bCs/>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29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宋体" w:hAnsi="宋体" w:cs="宋体"/>
                <w:b/>
                <w:bCs/>
                <w:color w:val="auto"/>
                <w:sz w:val="24"/>
              </w:rPr>
            </w:pPr>
          </w:p>
        </w:tc>
        <w:tc>
          <w:tcPr>
            <w:tcW w:w="1418" w:type="dxa"/>
            <w:vAlign w:val="center"/>
          </w:tcPr>
          <w:p>
            <w:pPr>
              <w:keepNext w:val="0"/>
              <w:keepLines w:val="0"/>
              <w:pageBreakBefore w:val="0"/>
              <w:widowControl w:val="0"/>
              <w:kinsoku/>
              <w:wordWrap/>
              <w:overflowPunct/>
              <w:topLinePunct w:val="0"/>
              <w:autoSpaceDE/>
              <w:autoSpaceDN/>
              <w:bidi w:val="0"/>
              <w:spacing w:line="540" w:lineRule="exact"/>
              <w:jc w:val="center"/>
              <w:textAlignment w:val="auto"/>
              <w:rPr>
                <w:rFonts w:ascii="宋体" w:hAnsi="宋体" w:cs="宋体"/>
                <w:color w:val="auto"/>
                <w:sz w:val="24"/>
              </w:rPr>
            </w:pPr>
            <w:r>
              <w:rPr>
                <w:rFonts w:hint="eastAsia" w:ascii="宋体" w:hAnsi="宋体" w:cs="宋体"/>
                <w:color w:val="auto"/>
                <w:sz w:val="24"/>
              </w:rPr>
              <w:t>环保管理体系与措施</w:t>
            </w:r>
          </w:p>
        </w:tc>
        <w:tc>
          <w:tcPr>
            <w:tcW w:w="6657" w:type="dxa"/>
            <w:vAlign w:val="center"/>
          </w:tcPr>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kern w:val="0"/>
                <w:sz w:val="24"/>
              </w:rPr>
            </w:pPr>
            <w:r>
              <w:rPr>
                <w:rFonts w:hint="eastAsia" w:ascii="宋体" w:hAnsi="宋体" w:cs="宋体"/>
                <w:color w:val="auto"/>
                <w:kern w:val="0"/>
                <w:sz w:val="24"/>
              </w:rPr>
              <w:t>根据投标人提供的环保管理体系与措施进行比较赋分：</w:t>
            </w:r>
          </w:p>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kern w:val="0"/>
                <w:sz w:val="24"/>
              </w:rPr>
            </w:pPr>
            <w:r>
              <w:rPr>
                <w:rFonts w:hint="eastAsia" w:ascii="宋体" w:hAnsi="宋体" w:cs="宋体"/>
                <w:color w:val="auto"/>
                <w:kern w:val="0"/>
                <w:sz w:val="24"/>
              </w:rPr>
              <w:t>A.环保管理体系与措施科学合理，适用性强，思路清晰，内容全面，能够根据实际情况制订，满足采购人的需要，考虑问题周全，实施过程务实，各项指标均能完成，</w:t>
            </w:r>
            <w:r>
              <w:rPr>
                <w:rFonts w:hint="eastAsia" w:ascii="宋体" w:hAnsi="宋体" w:cs="宋体"/>
                <w:color w:val="auto"/>
                <w:kern w:val="0"/>
                <w:sz w:val="24"/>
                <w:lang w:val="en-US" w:eastAsia="zh-CN"/>
              </w:rPr>
              <w:t>9</w:t>
            </w:r>
            <w:r>
              <w:rPr>
                <w:rFonts w:hint="eastAsia" w:ascii="宋体" w:hAnsi="宋体" w:cs="宋体"/>
                <w:color w:val="auto"/>
                <w:kern w:val="0"/>
                <w:sz w:val="24"/>
              </w:rPr>
              <w:t>-1</w:t>
            </w:r>
            <w:r>
              <w:rPr>
                <w:rFonts w:hint="eastAsia" w:ascii="宋体" w:hAnsi="宋体" w:cs="宋体"/>
                <w:color w:val="auto"/>
                <w:kern w:val="0"/>
                <w:sz w:val="24"/>
                <w:lang w:val="en-US" w:eastAsia="zh-CN"/>
              </w:rPr>
              <w:t>2</w:t>
            </w:r>
            <w:r>
              <w:rPr>
                <w:rFonts w:hint="eastAsia" w:ascii="宋体" w:hAnsi="宋体" w:cs="宋体"/>
                <w:color w:val="auto"/>
                <w:kern w:val="0"/>
                <w:sz w:val="24"/>
              </w:rPr>
              <w:t>分；</w:t>
            </w:r>
          </w:p>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kern w:val="0"/>
                <w:sz w:val="24"/>
              </w:rPr>
            </w:pPr>
            <w:r>
              <w:rPr>
                <w:rFonts w:hint="eastAsia" w:ascii="宋体" w:hAnsi="宋体" w:cs="宋体"/>
                <w:color w:val="auto"/>
                <w:kern w:val="0"/>
                <w:sz w:val="24"/>
              </w:rPr>
              <w:t>B.环保管理体系与措施基本能够满足采购需要，操作性不强，</w:t>
            </w:r>
            <w:r>
              <w:rPr>
                <w:rFonts w:hint="eastAsia" w:ascii="宋体" w:hAnsi="宋体" w:cs="宋体"/>
                <w:color w:val="auto"/>
                <w:kern w:val="0"/>
                <w:sz w:val="24"/>
                <w:lang w:val="en-US" w:eastAsia="zh-CN"/>
              </w:rPr>
              <w:t>5</w:t>
            </w:r>
            <w:r>
              <w:rPr>
                <w:rFonts w:hint="eastAsia" w:ascii="宋体" w:hAnsi="宋体" w:cs="宋体"/>
                <w:color w:val="auto"/>
                <w:kern w:val="0"/>
                <w:sz w:val="24"/>
              </w:rPr>
              <w:t>-</w:t>
            </w:r>
            <w:r>
              <w:rPr>
                <w:rFonts w:hint="eastAsia" w:ascii="宋体" w:hAnsi="宋体" w:cs="宋体"/>
                <w:color w:val="auto"/>
                <w:kern w:val="0"/>
                <w:sz w:val="24"/>
                <w:lang w:val="en-US" w:eastAsia="zh-CN"/>
              </w:rPr>
              <w:t>8</w:t>
            </w:r>
            <w:r>
              <w:rPr>
                <w:rFonts w:hint="eastAsia" w:ascii="宋体" w:hAnsi="宋体" w:cs="宋体"/>
                <w:color w:val="auto"/>
                <w:kern w:val="0"/>
                <w:sz w:val="24"/>
              </w:rPr>
              <w:t>分；</w:t>
            </w:r>
          </w:p>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kern w:val="0"/>
                <w:sz w:val="24"/>
              </w:rPr>
            </w:pPr>
            <w:r>
              <w:rPr>
                <w:rFonts w:hint="eastAsia" w:ascii="宋体" w:hAnsi="宋体" w:cs="宋体"/>
                <w:color w:val="auto"/>
                <w:kern w:val="0"/>
                <w:sz w:val="24"/>
              </w:rPr>
              <w:t>C.环保管理体系与措施不合理，1-</w:t>
            </w:r>
            <w:r>
              <w:rPr>
                <w:rFonts w:hint="eastAsia" w:ascii="宋体" w:hAnsi="宋体" w:cs="宋体"/>
                <w:color w:val="auto"/>
                <w:kern w:val="0"/>
                <w:sz w:val="24"/>
                <w:lang w:val="en-US" w:eastAsia="zh-CN"/>
              </w:rPr>
              <w:t>4</w:t>
            </w:r>
            <w:r>
              <w:rPr>
                <w:rFonts w:hint="eastAsia" w:ascii="宋体" w:hAnsi="宋体" w:cs="宋体"/>
                <w:color w:val="auto"/>
                <w:kern w:val="0"/>
                <w:sz w:val="24"/>
              </w:rPr>
              <w:t>分；</w:t>
            </w:r>
          </w:p>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sz w:val="24"/>
              </w:rPr>
            </w:pPr>
            <w:r>
              <w:rPr>
                <w:rFonts w:hint="eastAsia" w:ascii="宋体" w:hAnsi="宋体" w:cs="宋体"/>
                <w:color w:val="auto"/>
                <w:kern w:val="0"/>
                <w:sz w:val="24"/>
              </w:rPr>
              <w:t>D.不提供者得0分。</w:t>
            </w:r>
          </w:p>
        </w:tc>
        <w:tc>
          <w:tcPr>
            <w:tcW w:w="889" w:type="dxa"/>
            <w:vAlign w:val="center"/>
          </w:tcPr>
          <w:p>
            <w:pPr>
              <w:pStyle w:val="34"/>
              <w:keepNext w:val="0"/>
              <w:keepLines w:val="0"/>
              <w:pageBreakBefore w:val="0"/>
              <w:widowControl w:val="0"/>
              <w:kinsoku/>
              <w:wordWrap/>
              <w:overflowPunct/>
              <w:topLinePunct w:val="0"/>
              <w:autoSpaceDE/>
              <w:autoSpaceDN/>
              <w:bidi w:val="0"/>
              <w:snapToGrid w:val="0"/>
              <w:spacing w:line="540" w:lineRule="exact"/>
              <w:ind w:firstLine="0" w:firstLineChars="0"/>
              <w:jc w:val="center"/>
              <w:textAlignment w:val="auto"/>
              <w:rPr>
                <w:rFonts w:ascii="宋体" w:hAnsi="宋体" w:cs="宋体"/>
                <w:b/>
                <w:bCs/>
                <w:color w:val="auto"/>
                <w:sz w:val="24"/>
              </w:rPr>
            </w:pPr>
            <w:r>
              <w:rPr>
                <w:rFonts w:hint="eastAsia" w:ascii="宋体" w:hAnsi="宋体" w:cs="宋体"/>
                <w:b/>
                <w:bCs/>
                <w:color w:val="auto"/>
                <w:sz w:val="24"/>
              </w:rPr>
              <w:t>1</w:t>
            </w:r>
            <w:r>
              <w:rPr>
                <w:rFonts w:hint="eastAsia" w:ascii="宋体" w:hAnsi="宋体" w:cs="宋体"/>
                <w:b/>
                <w:bCs/>
                <w:color w:val="auto"/>
                <w:sz w:val="24"/>
                <w:lang w:val="en-US" w:eastAsia="zh-CN"/>
              </w:rPr>
              <w:t>2</w:t>
            </w:r>
            <w:r>
              <w:rPr>
                <w:rFonts w:hint="eastAsia" w:ascii="宋体" w:hAnsi="宋体" w:cs="宋体"/>
                <w:b/>
                <w:bCs/>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129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宋体" w:hAnsi="宋体" w:cs="宋体"/>
                <w:b/>
                <w:bCs/>
                <w:color w:val="auto"/>
                <w:sz w:val="24"/>
              </w:rPr>
            </w:pPr>
          </w:p>
        </w:tc>
        <w:tc>
          <w:tcPr>
            <w:tcW w:w="1418" w:type="dxa"/>
            <w:vAlign w:val="center"/>
          </w:tcPr>
          <w:p>
            <w:pPr>
              <w:keepNext w:val="0"/>
              <w:keepLines w:val="0"/>
              <w:pageBreakBefore w:val="0"/>
              <w:widowControl w:val="0"/>
              <w:kinsoku/>
              <w:wordWrap/>
              <w:overflowPunct/>
              <w:topLinePunct w:val="0"/>
              <w:autoSpaceDE/>
              <w:autoSpaceDN/>
              <w:bidi w:val="0"/>
              <w:spacing w:line="540" w:lineRule="exact"/>
              <w:jc w:val="center"/>
              <w:textAlignment w:val="auto"/>
              <w:rPr>
                <w:rFonts w:ascii="宋体" w:hAnsi="宋体" w:cs="宋体"/>
                <w:color w:val="auto"/>
                <w:sz w:val="24"/>
              </w:rPr>
            </w:pPr>
            <w:r>
              <w:rPr>
                <w:rFonts w:hint="eastAsia" w:ascii="宋体" w:hAnsi="宋体" w:cs="宋体"/>
                <w:color w:val="auto"/>
                <w:sz w:val="24"/>
              </w:rPr>
              <w:t>工程进度计划与措施</w:t>
            </w:r>
          </w:p>
        </w:tc>
        <w:tc>
          <w:tcPr>
            <w:tcW w:w="6657" w:type="dxa"/>
            <w:vAlign w:val="center"/>
          </w:tcPr>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kern w:val="0"/>
                <w:sz w:val="24"/>
              </w:rPr>
            </w:pPr>
            <w:r>
              <w:rPr>
                <w:rFonts w:hint="eastAsia" w:ascii="宋体" w:hAnsi="宋体" w:cs="宋体"/>
                <w:color w:val="auto"/>
                <w:kern w:val="0"/>
                <w:sz w:val="24"/>
              </w:rPr>
              <w:t>根据投标人提供的工程进度计划与措施进行比较赋分：</w:t>
            </w:r>
          </w:p>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kern w:val="0"/>
                <w:sz w:val="24"/>
              </w:rPr>
            </w:pPr>
            <w:r>
              <w:rPr>
                <w:rFonts w:hint="eastAsia" w:ascii="宋体" w:hAnsi="宋体" w:cs="宋体"/>
                <w:color w:val="auto"/>
                <w:kern w:val="0"/>
                <w:sz w:val="24"/>
              </w:rPr>
              <w:t>A.工程进度计划与措施科学合理，适用性强，思路清晰，内容全面，能够根据实际情况制订，满足采购人的需要，考虑问题周全，实施过程务实，各项指标均能完成，</w:t>
            </w:r>
            <w:r>
              <w:rPr>
                <w:rFonts w:hint="eastAsia" w:ascii="宋体" w:hAnsi="宋体" w:cs="宋体"/>
                <w:color w:val="auto"/>
                <w:kern w:val="0"/>
                <w:sz w:val="24"/>
                <w:lang w:val="en-US" w:eastAsia="zh-CN"/>
              </w:rPr>
              <w:t>9</w:t>
            </w:r>
            <w:r>
              <w:rPr>
                <w:rFonts w:ascii="宋体" w:hAnsi="宋体" w:cs="宋体"/>
                <w:color w:val="auto"/>
                <w:kern w:val="0"/>
                <w:sz w:val="24"/>
              </w:rPr>
              <w:t>-1</w:t>
            </w:r>
            <w:r>
              <w:rPr>
                <w:rFonts w:hint="eastAsia" w:ascii="宋体" w:hAnsi="宋体" w:cs="宋体"/>
                <w:color w:val="auto"/>
                <w:kern w:val="0"/>
                <w:sz w:val="24"/>
                <w:lang w:val="en-US" w:eastAsia="zh-CN"/>
              </w:rPr>
              <w:t>2</w:t>
            </w:r>
            <w:r>
              <w:rPr>
                <w:rFonts w:hint="eastAsia" w:ascii="宋体" w:hAnsi="宋体" w:cs="宋体"/>
                <w:color w:val="auto"/>
                <w:kern w:val="0"/>
                <w:sz w:val="24"/>
              </w:rPr>
              <w:t>分；</w:t>
            </w:r>
          </w:p>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kern w:val="0"/>
                <w:sz w:val="24"/>
              </w:rPr>
            </w:pPr>
            <w:r>
              <w:rPr>
                <w:rFonts w:hint="eastAsia" w:ascii="宋体" w:hAnsi="宋体" w:cs="宋体"/>
                <w:color w:val="auto"/>
                <w:kern w:val="0"/>
                <w:sz w:val="24"/>
              </w:rPr>
              <w:t>B.工程进度计划与措施基本能够满足采购需要，操作性不强，</w:t>
            </w:r>
            <w:r>
              <w:rPr>
                <w:rFonts w:hint="eastAsia" w:ascii="宋体" w:hAnsi="宋体" w:cs="宋体"/>
                <w:color w:val="auto"/>
                <w:kern w:val="0"/>
                <w:sz w:val="24"/>
                <w:lang w:val="en-US" w:eastAsia="zh-CN"/>
              </w:rPr>
              <w:t>5</w:t>
            </w:r>
            <w:r>
              <w:rPr>
                <w:rFonts w:ascii="宋体" w:hAnsi="宋体" w:cs="宋体"/>
                <w:color w:val="auto"/>
                <w:kern w:val="0"/>
                <w:sz w:val="24"/>
              </w:rPr>
              <w:t>-</w:t>
            </w:r>
            <w:r>
              <w:rPr>
                <w:rFonts w:hint="eastAsia" w:ascii="宋体" w:hAnsi="宋体" w:cs="宋体"/>
                <w:color w:val="auto"/>
                <w:kern w:val="0"/>
                <w:sz w:val="24"/>
                <w:lang w:val="en-US" w:eastAsia="zh-CN"/>
              </w:rPr>
              <w:t>8</w:t>
            </w:r>
            <w:r>
              <w:rPr>
                <w:rFonts w:hint="eastAsia" w:ascii="宋体" w:hAnsi="宋体" w:cs="宋体"/>
                <w:color w:val="auto"/>
                <w:kern w:val="0"/>
                <w:sz w:val="24"/>
              </w:rPr>
              <w:t>分；</w:t>
            </w:r>
          </w:p>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kern w:val="0"/>
                <w:sz w:val="24"/>
              </w:rPr>
            </w:pPr>
            <w:r>
              <w:rPr>
                <w:rFonts w:hint="eastAsia" w:ascii="宋体" w:hAnsi="宋体" w:cs="宋体"/>
                <w:color w:val="auto"/>
                <w:kern w:val="0"/>
                <w:sz w:val="24"/>
              </w:rPr>
              <w:t>C.工程进度计划与措施不合理，1-</w:t>
            </w:r>
            <w:r>
              <w:rPr>
                <w:rFonts w:hint="eastAsia" w:ascii="宋体" w:hAnsi="宋体" w:cs="宋体"/>
                <w:color w:val="auto"/>
                <w:kern w:val="0"/>
                <w:sz w:val="24"/>
                <w:lang w:val="en-US" w:eastAsia="zh-CN"/>
              </w:rPr>
              <w:t>4</w:t>
            </w:r>
            <w:r>
              <w:rPr>
                <w:rFonts w:hint="eastAsia" w:ascii="宋体" w:hAnsi="宋体" w:cs="宋体"/>
                <w:color w:val="auto"/>
                <w:kern w:val="0"/>
                <w:sz w:val="24"/>
              </w:rPr>
              <w:t>分；</w:t>
            </w:r>
          </w:p>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sz w:val="24"/>
              </w:rPr>
            </w:pPr>
            <w:r>
              <w:rPr>
                <w:rFonts w:hint="eastAsia" w:ascii="宋体" w:hAnsi="宋体" w:cs="宋体"/>
                <w:color w:val="auto"/>
                <w:kern w:val="0"/>
                <w:sz w:val="24"/>
              </w:rPr>
              <w:t>D.不提供者得0分。</w:t>
            </w:r>
          </w:p>
        </w:tc>
        <w:tc>
          <w:tcPr>
            <w:tcW w:w="889" w:type="dxa"/>
            <w:vAlign w:val="center"/>
          </w:tcPr>
          <w:p>
            <w:pPr>
              <w:pStyle w:val="34"/>
              <w:keepNext w:val="0"/>
              <w:keepLines w:val="0"/>
              <w:pageBreakBefore w:val="0"/>
              <w:widowControl w:val="0"/>
              <w:kinsoku/>
              <w:wordWrap/>
              <w:overflowPunct/>
              <w:topLinePunct w:val="0"/>
              <w:autoSpaceDE/>
              <w:autoSpaceDN/>
              <w:bidi w:val="0"/>
              <w:snapToGrid w:val="0"/>
              <w:spacing w:line="540" w:lineRule="exact"/>
              <w:ind w:firstLine="0" w:firstLineChars="0"/>
              <w:jc w:val="center"/>
              <w:textAlignment w:val="auto"/>
              <w:rPr>
                <w:rFonts w:ascii="宋体" w:hAnsi="宋体" w:cs="宋体"/>
                <w:b/>
                <w:bCs/>
                <w:color w:val="auto"/>
                <w:sz w:val="24"/>
              </w:rPr>
            </w:pPr>
            <w:r>
              <w:rPr>
                <w:rFonts w:ascii="宋体" w:hAnsi="宋体" w:cs="宋体"/>
                <w:b/>
                <w:bCs/>
                <w:color w:val="auto"/>
                <w:sz w:val="24"/>
              </w:rPr>
              <w:t>1</w:t>
            </w:r>
            <w:r>
              <w:rPr>
                <w:rFonts w:hint="eastAsia" w:ascii="宋体" w:hAnsi="宋体" w:cs="宋体"/>
                <w:b/>
                <w:bCs/>
                <w:color w:val="auto"/>
                <w:sz w:val="24"/>
                <w:lang w:val="en-US" w:eastAsia="zh-CN"/>
              </w:rPr>
              <w:t>2</w:t>
            </w:r>
            <w:r>
              <w:rPr>
                <w:rFonts w:hint="eastAsia" w:ascii="宋体" w:hAnsi="宋体" w:cs="宋体"/>
                <w:b/>
                <w:bCs/>
                <w:color w:val="auto"/>
                <w:sz w:val="24"/>
              </w:rPr>
              <w:t>分</w:t>
            </w:r>
          </w:p>
        </w:tc>
      </w:tr>
      <w:bookmarkEnd w:id="4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1294" w:type="dxa"/>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宋体" w:hAnsi="宋体" w:cs="宋体"/>
                <w:b/>
                <w:bCs/>
                <w:color w:val="auto"/>
                <w:sz w:val="24"/>
              </w:rPr>
            </w:pPr>
            <w:r>
              <w:rPr>
                <w:rFonts w:hint="eastAsia" w:ascii="宋体" w:hAnsi="宋体" w:cs="宋体"/>
                <w:b/>
                <w:bCs/>
                <w:color w:val="auto"/>
                <w:sz w:val="24"/>
              </w:rPr>
              <w:t>商务部分</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宋体" w:hAnsi="宋体" w:cs="宋体"/>
                <w:color w:val="auto"/>
                <w:sz w:val="24"/>
              </w:rPr>
            </w:pPr>
            <w:r>
              <w:rPr>
                <w:rFonts w:hint="eastAsia" w:ascii="宋体" w:hAnsi="宋体" w:cs="宋体"/>
                <w:b/>
                <w:bCs/>
                <w:color w:val="auto"/>
                <w:sz w:val="24"/>
              </w:rPr>
              <w:t>（</w:t>
            </w:r>
            <w:r>
              <w:rPr>
                <w:rFonts w:hint="eastAsia" w:ascii="宋体" w:hAnsi="宋体" w:cs="宋体"/>
                <w:b/>
                <w:bCs/>
                <w:color w:val="auto"/>
                <w:sz w:val="24"/>
                <w:lang w:val="en-US" w:eastAsia="zh-CN"/>
              </w:rPr>
              <w:t>1</w:t>
            </w:r>
            <w:r>
              <w:rPr>
                <w:rFonts w:ascii="宋体" w:hAnsi="宋体" w:cs="宋体"/>
                <w:b/>
                <w:bCs/>
                <w:color w:val="auto"/>
                <w:sz w:val="24"/>
              </w:rPr>
              <w:t>0</w:t>
            </w:r>
            <w:r>
              <w:rPr>
                <w:rFonts w:hint="eastAsia" w:ascii="宋体" w:hAnsi="宋体" w:cs="宋体"/>
                <w:b/>
                <w:bCs/>
                <w:color w:val="auto"/>
                <w:sz w:val="24"/>
              </w:rPr>
              <w:t>分）</w:t>
            </w:r>
          </w:p>
        </w:tc>
        <w:tc>
          <w:tcPr>
            <w:tcW w:w="1418" w:type="dxa"/>
            <w:vAlign w:val="center"/>
          </w:tcPr>
          <w:p>
            <w:pPr>
              <w:keepNext w:val="0"/>
              <w:keepLines w:val="0"/>
              <w:pageBreakBefore w:val="0"/>
              <w:widowControl w:val="0"/>
              <w:kinsoku/>
              <w:wordWrap/>
              <w:overflowPunct/>
              <w:topLinePunct w:val="0"/>
              <w:autoSpaceDE/>
              <w:autoSpaceDN/>
              <w:bidi w:val="0"/>
              <w:spacing w:line="540" w:lineRule="exact"/>
              <w:jc w:val="center"/>
              <w:textAlignment w:val="auto"/>
              <w:rPr>
                <w:rFonts w:ascii="宋体" w:hAnsi="宋体" w:cs="宋体"/>
                <w:color w:val="auto"/>
                <w:sz w:val="24"/>
              </w:rPr>
            </w:pPr>
            <w:r>
              <w:rPr>
                <w:rFonts w:hint="eastAsia"/>
                <w:color w:val="auto"/>
                <w:sz w:val="24"/>
              </w:rPr>
              <w:t>人员配备</w:t>
            </w:r>
          </w:p>
        </w:tc>
        <w:tc>
          <w:tcPr>
            <w:tcW w:w="6657" w:type="dxa"/>
            <w:vAlign w:val="center"/>
          </w:tcPr>
          <w:p>
            <w:pPr>
              <w:pStyle w:val="34"/>
              <w:keepNext w:val="0"/>
              <w:keepLines w:val="0"/>
              <w:pageBreakBefore w:val="0"/>
              <w:widowControl w:val="0"/>
              <w:kinsoku/>
              <w:wordWrap/>
              <w:overflowPunct/>
              <w:topLinePunct w:val="0"/>
              <w:autoSpaceDE/>
              <w:autoSpaceDN/>
              <w:bidi w:val="0"/>
              <w:snapToGrid w:val="0"/>
              <w:spacing w:line="540" w:lineRule="exact"/>
              <w:ind w:firstLine="0" w:firstLineChars="0"/>
              <w:textAlignment w:val="auto"/>
              <w:rPr>
                <w:rFonts w:ascii="宋体" w:hAnsi="宋体" w:cs="宋体"/>
                <w:color w:val="auto"/>
                <w:sz w:val="24"/>
              </w:rPr>
            </w:pPr>
            <w:r>
              <w:rPr>
                <w:rFonts w:hint="eastAsia" w:ascii="宋体" w:hAnsi="宋体" w:cs="宋体"/>
                <w:color w:val="auto"/>
                <w:kern w:val="0"/>
                <w:sz w:val="24"/>
              </w:rPr>
              <w:t>基本配备：要求项目</w:t>
            </w:r>
            <w:r>
              <w:rPr>
                <w:rFonts w:hint="eastAsia" w:ascii="宋体" w:hAnsi="宋体" w:cs="宋体"/>
                <w:color w:val="auto"/>
                <w:kern w:val="0"/>
                <w:sz w:val="24"/>
                <w:lang w:val="en-US" w:eastAsia="zh-CN"/>
              </w:rPr>
              <w:t>经理、</w:t>
            </w:r>
            <w:r>
              <w:rPr>
                <w:rFonts w:hint="eastAsia" w:ascii="宋体" w:hAnsi="宋体" w:cs="宋体"/>
                <w:color w:val="auto"/>
                <w:kern w:val="0"/>
                <w:sz w:val="24"/>
              </w:rPr>
              <w:t>技术负责人、施工员、安全员、资料员、质量员岗位配备齐全得</w:t>
            </w:r>
            <w:r>
              <w:rPr>
                <w:rFonts w:hint="eastAsia" w:ascii="宋体" w:hAnsi="宋体" w:cs="宋体"/>
                <w:color w:val="auto"/>
                <w:kern w:val="0"/>
                <w:sz w:val="24"/>
                <w:lang w:val="en-US" w:eastAsia="zh-CN"/>
              </w:rPr>
              <w:t>10</w:t>
            </w:r>
            <w:r>
              <w:rPr>
                <w:rFonts w:hint="eastAsia" w:ascii="宋体" w:hAnsi="宋体" w:cs="宋体"/>
                <w:color w:val="auto"/>
                <w:kern w:val="0"/>
                <w:sz w:val="24"/>
              </w:rPr>
              <w:t>分，缺少1个岗位人员扣2分，缺少2个岗位人员该项不得分。</w:t>
            </w:r>
          </w:p>
        </w:tc>
        <w:tc>
          <w:tcPr>
            <w:tcW w:w="889" w:type="dxa"/>
            <w:vAlign w:val="center"/>
          </w:tcPr>
          <w:p>
            <w:pPr>
              <w:pStyle w:val="34"/>
              <w:keepNext w:val="0"/>
              <w:keepLines w:val="0"/>
              <w:pageBreakBefore w:val="0"/>
              <w:widowControl w:val="0"/>
              <w:kinsoku/>
              <w:wordWrap/>
              <w:overflowPunct/>
              <w:topLinePunct w:val="0"/>
              <w:autoSpaceDE/>
              <w:autoSpaceDN/>
              <w:bidi w:val="0"/>
              <w:snapToGrid w:val="0"/>
              <w:spacing w:line="540" w:lineRule="exact"/>
              <w:ind w:firstLine="0" w:firstLineChars="0"/>
              <w:jc w:val="center"/>
              <w:textAlignment w:val="auto"/>
              <w:rPr>
                <w:rFonts w:ascii="宋体" w:hAnsi="宋体" w:cs="宋体"/>
                <w:b/>
                <w:bCs/>
                <w:color w:val="auto"/>
                <w:sz w:val="24"/>
              </w:rPr>
            </w:pPr>
            <w:r>
              <w:rPr>
                <w:rFonts w:hint="eastAsia" w:ascii="宋体" w:hAnsi="宋体" w:cs="宋体"/>
                <w:b/>
                <w:bCs/>
                <w:color w:val="auto"/>
                <w:sz w:val="24"/>
                <w:lang w:val="en-US" w:eastAsia="zh-CN"/>
              </w:rPr>
              <w:t>10</w:t>
            </w:r>
            <w:r>
              <w:rPr>
                <w:rFonts w:ascii="宋体" w:hAnsi="宋体" w:cs="宋体"/>
                <w:b/>
                <w:bCs/>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294" w:type="dxa"/>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宋体" w:hAnsi="宋体" w:cs="宋体"/>
                <w:b/>
                <w:bCs/>
                <w:color w:val="auto"/>
                <w:sz w:val="24"/>
              </w:rPr>
            </w:pPr>
            <w:r>
              <w:rPr>
                <w:rFonts w:hint="eastAsia" w:ascii="宋体" w:hAnsi="宋体" w:cs="宋体"/>
                <w:b/>
                <w:bCs/>
                <w:color w:val="auto"/>
                <w:sz w:val="24"/>
              </w:rPr>
              <w:t>价格部分</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宋体" w:hAnsi="宋体" w:cs="宋体"/>
                <w:color w:val="auto"/>
                <w:sz w:val="24"/>
              </w:rPr>
            </w:pPr>
            <w:r>
              <w:rPr>
                <w:rFonts w:hint="eastAsia" w:ascii="宋体" w:hAnsi="宋体" w:cs="宋体"/>
                <w:b/>
                <w:bCs/>
                <w:color w:val="auto"/>
                <w:sz w:val="24"/>
              </w:rPr>
              <w:t>（30分）</w:t>
            </w:r>
          </w:p>
        </w:tc>
        <w:tc>
          <w:tcPr>
            <w:tcW w:w="8075" w:type="dxa"/>
            <w:gridSpan w:val="2"/>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宋体" w:hAnsi="宋体" w:cs="宋体"/>
                <w:color w:val="auto"/>
                <w:sz w:val="24"/>
              </w:rPr>
            </w:pPr>
            <w:r>
              <w:rPr>
                <w:rFonts w:hint="eastAsia" w:ascii="宋体" w:hAnsi="宋体" w:cs="宋体"/>
                <w:color w:val="auto"/>
                <w:sz w:val="24"/>
                <w:lang w:val="en-GB"/>
              </w:rPr>
              <w:t>价格部分得分</w:t>
            </w:r>
            <w:r>
              <w:rPr>
                <w:rFonts w:hint="eastAsia" w:ascii="宋体" w:hAnsi="宋体" w:cs="宋体"/>
                <w:color w:val="auto"/>
                <w:sz w:val="24"/>
              </w:rPr>
              <w:t>=（磋商基准价／最终磋商报价）×价格权重×100</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GB"/>
              </w:rPr>
              <w:t>满足磋商文件要求且价格最低的报价为磋商基准价）</w:t>
            </w:r>
          </w:p>
        </w:tc>
        <w:tc>
          <w:tcPr>
            <w:tcW w:w="889" w:type="dxa"/>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宋体" w:hAnsi="宋体" w:cs="宋体"/>
                <w:b/>
                <w:bCs/>
                <w:color w:val="auto"/>
                <w:sz w:val="24"/>
              </w:rPr>
            </w:pPr>
            <w:r>
              <w:rPr>
                <w:rFonts w:hint="eastAsia" w:ascii="宋体" w:hAnsi="宋体" w:cs="宋体"/>
                <w:b/>
                <w:bCs/>
                <w:color w:val="auto"/>
                <w:sz w:val="24"/>
              </w:rPr>
              <w:t>30分</w:t>
            </w:r>
          </w:p>
        </w:tc>
      </w:tr>
    </w:tbl>
    <w:p>
      <w:pPr>
        <w:spacing w:before="250" w:beforeLines="50" w:after="250" w:afterLines="50" w:line="360" w:lineRule="auto"/>
        <w:jc w:val="center"/>
        <w:rPr>
          <w:rFonts w:ascii="黑体" w:hAnsi="黑体" w:eastAsia="黑体" w:cs="黑体"/>
          <w:b/>
          <w:color w:val="auto"/>
          <w:sz w:val="44"/>
          <w:szCs w:val="44"/>
        </w:rPr>
      </w:pPr>
      <w:r>
        <w:rPr>
          <w:rFonts w:hint="eastAsia" w:ascii="宋体" w:hAnsi="宋体"/>
          <w:color w:val="auto"/>
        </w:rPr>
        <w:br w:type="page"/>
      </w:r>
      <w:r>
        <w:rPr>
          <w:rFonts w:hint="eastAsia" w:ascii="黑体" w:hAnsi="黑体" w:eastAsia="黑体" w:cs="黑体"/>
          <w:b/>
          <w:color w:val="auto"/>
          <w:sz w:val="44"/>
          <w:szCs w:val="44"/>
        </w:rPr>
        <w:t>第四章  工程量清单及图纸</w:t>
      </w:r>
    </w:p>
    <w:p>
      <w:pPr>
        <w:pStyle w:val="4"/>
        <w:spacing w:before="250" w:beforeLines="50" w:after="250" w:afterLines="50" w:line="440" w:lineRule="exact"/>
        <w:rPr>
          <w:color w:val="auto"/>
          <w:kern w:val="1"/>
        </w:rPr>
      </w:pPr>
      <w:bookmarkStart w:id="441" w:name="_Toc489348825"/>
      <w:bookmarkStart w:id="442" w:name="_Toc489346766"/>
      <w:bookmarkStart w:id="443" w:name="_Toc489362482"/>
      <w:bookmarkStart w:id="444" w:name="_Toc16714"/>
      <w:bookmarkStart w:id="445" w:name="_Toc489363812"/>
      <w:bookmarkStart w:id="446" w:name="_Toc38219012"/>
      <w:r>
        <w:rPr>
          <w:color w:val="auto"/>
          <w:kern w:val="1"/>
        </w:rPr>
        <w:t xml:space="preserve">1. </w:t>
      </w:r>
      <w:r>
        <w:rPr>
          <w:rFonts w:hint="eastAsia"/>
          <w:color w:val="auto"/>
          <w:kern w:val="1"/>
        </w:rPr>
        <w:t>工程量清单说明</w:t>
      </w:r>
      <w:bookmarkEnd w:id="441"/>
      <w:bookmarkEnd w:id="442"/>
      <w:bookmarkEnd w:id="443"/>
      <w:bookmarkEnd w:id="444"/>
      <w:bookmarkEnd w:id="445"/>
      <w:bookmarkEnd w:id="446"/>
    </w:p>
    <w:p>
      <w:pPr>
        <w:spacing w:line="440" w:lineRule="exact"/>
        <w:rPr>
          <w:rFonts w:ascii="宋体" w:hAnsi="宋体" w:cs="宋体"/>
          <w:color w:val="auto"/>
          <w:sz w:val="24"/>
        </w:rPr>
      </w:pPr>
      <w:r>
        <w:rPr>
          <w:rFonts w:hint="eastAsia" w:ascii="宋体" w:hAnsi="宋体" w:cs="宋体"/>
          <w:color w:val="auto"/>
          <w:sz w:val="24"/>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40" w:lineRule="exact"/>
        <w:rPr>
          <w:rFonts w:ascii="宋体" w:hAnsi="宋体" w:cs="宋体"/>
          <w:color w:val="auto"/>
          <w:sz w:val="24"/>
        </w:rPr>
      </w:pPr>
      <w:r>
        <w:rPr>
          <w:rFonts w:hint="eastAsia" w:ascii="宋体" w:hAnsi="宋体" w:cs="宋体"/>
          <w:color w:val="auto"/>
          <w:sz w:val="24"/>
        </w:rPr>
        <w:t>1.2 本工程量清单应与招标文件中的供应商须知、通用合同条款、专用合同条款、技术标准和要求及图纸等一起阅读和理解。</w:t>
      </w:r>
    </w:p>
    <w:p>
      <w:pPr>
        <w:spacing w:line="440" w:lineRule="exact"/>
        <w:rPr>
          <w:rFonts w:ascii="宋体" w:hAnsi="宋体" w:cs="宋体"/>
          <w:color w:val="auto"/>
          <w:sz w:val="24"/>
        </w:rPr>
      </w:pPr>
      <w:r>
        <w:rPr>
          <w:rFonts w:hint="eastAsia" w:ascii="宋体" w:hAnsi="宋体" w:cs="宋体"/>
          <w:color w:val="auto"/>
          <w:sz w:val="24"/>
        </w:rPr>
        <w:t>1.3 本工程量清单仅是投标报价的共同基础，实际工程计量和工程价款的支付应遵循合同条款的约定和第七章“技术标准和要求”的有关规定。</w:t>
      </w:r>
    </w:p>
    <w:p>
      <w:pPr>
        <w:spacing w:line="440" w:lineRule="exact"/>
        <w:rPr>
          <w:rFonts w:ascii="宋体" w:hAnsi="宋体" w:cs="宋体"/>
          <w:color w:val="auto"/>
          <w:sz w:val="24"/>
        </w:rPr>
      </w:pPr>
      <w:r>
        <w:rPr>
          <w:rFonts w:hint="eastAsia" w:ascii="宋体" w:hAnsi="宋体" w:cs="宋体"/>
          <w:color w:val="auto"/>
          <w:sz w:val="24"/>
        </w:rPr>
        <w:t>1.4 补充子目工程量计算规则及子目工作内容说明。</w:t>
      </w:r>
    </w:p>
    <w:p>
      <w:pPr>
        <w:pStyle w:val="4"/>
        <w:spacing w:before="250" w:beforeLines="50" w:after="250" w:afterLines="50" w:line="440" w:lineRule="exact"/>
        <w:rPr>
          <w:color w:val="auto"/>
          <w:kern w:val="1"/>
        </w:rPr>
      </w:pPr>
      <w:bookmarkStart w:id="447" w:name="_Toc152045774"/>
      <w:bookmarkEnd w:id="447"/>
      <w:bookmarkStart w:id="448" w:name="_Toc20173"/>
      <w:bookmarkEnd w:id="448"/>
      <w:bookmarkStart w:id="449" w:name="_Toc144974836"/>
      <w:bookmarkEnd w:id="449"/>
      <w:bookmarkStart w:id="450" w:name="_Toc247085857"/>
      <w:bookmarkEnd w:id="450"/>
      <w:bookmarkStart w:id="451" w:name="_Toc433737406"/>
      <w:bookmarkEnd w:id="451"/>
      <w:bookmarkStart w:id="452" w:name="_Toc246997085"/>
      <w:bookmarkEnd w:id="452"/>
      <w:bookmarkStart w:id="453" w:name="_Toc152042556"/>
      <w:bookmarkEnd w:id="453"/>
      <w:bookmarkStart w:id="454" w:name="_Toc179632791"/>
      <w:bookmarkEnd w:id="454"/>
      <w:bookmarkStart w:id="455" w:name="_Toc246996342"/>
      <w:bookmarkEnd w:id="455"/>
      <w:bookmarkStart w:id="456" w:name="_Toc28917"/>
      <w:bookmarkStart w:id="457" w:name="_Toc489346767"/>
      <w:bookmarkStart w:id="458" w:name="_Toc489348826"/>
      <w:bookmarkStart w:id="459" w:name="_Toc38219013"/>
      <w:bookmarkStart w:id="460" w:name="_Toc489363813"/>
      <w:bookmarkStart w:id="461" w:name="_Toc489362483"/>
      <w:r>
        <w:rPr>
          <w:color w:val="auto"/>
          <w:kern w:val="1"/>
        </w:rPr>
        <w:t xml:space="preserve">2. </w:t>
      </w:r>
      <w:r>
        <w:rPr>
          <w:rFonts w:hint="eastAsia"/>
          <w:color w:val="auto"/>
          <w:kern w:val="1"/>
        </w:rPr>
        <w:t>投标报价说明</w:t>
      </w:r>
      <w:bookmarkEnd w:id="456"/>
      <w:bookmarkEnd w:id="457"/>
      <w:bookmarkEnd w:id="458"/>
      <w:bookmarkEnd w:id="459"/>
      <w:bookmarkEnd w:id="460"/>
      <w:bookmarkEnd w:id="461"/>
    </w:p>
    <w:p>
      <w:pPr>
        <w:spacing w:line="440" w:lineRule="exact"/>
        <w:rPr>
          <w:rFonts w:ascii="宋体" w:hAnsi="宋体" w:cs="宋体"/>
          <w:color w:val="auto"/>
          <w:sz w:val="24"/>
        </w:rPr>
      </w:pPr>
      <w:r>
        <w:rPr>
          <w:rFonts w:hint="eastAsia" w:ascii="宋体" w:hAnsi="宋体" w:cs="宋体"/>
          <w:color w:val="auto"/>
          <w:sz w:val="24"/>
        </w:rPr>
        <w:t>2.1 工程量清单中的每一子目须填入单价或价格，且只允许有一个报价。</w:t>
      </w:r>
    </w:p>
    <w:p>
      <w:pPr>
        <w:spacing w:line="440" w:lineRule="exact"/>
        <w:rPr>
          <w:rFonts w:ascii="宋体" w:hAnsi="宋体" w:cs="宋体"/>
          <w:color w:val="auto"/>
          <w:sz w:val="24"/>
        </w:rPr>
      </w:pPr>
      <w:r>
        <w:rPr>
          <w:rFonts w:hint="eastAsia" w:ascii="宋体" w:hAnsi="宋体" w:cs="宋体"/>
          <w:color w:val="auto"/>
          <w:sz w:val="24"/>
        </w:rPr>
        <w:t>2.2 工程量清单中标价的单价或金额，应包括所需的人工费、材料和施工机具使用费和企业管理费、利润以及一定范围内的风险费用等。</w:t>
      </w:r>
    </w:p>
    <w:p>
      <w:pPr>
        <w:spacing w:line="440" w:lineRule="exact"/>
        <w:rPr>
          <w:rFonts w:ascii="宋体" w:hAnsi="宋体" w:cs="宋体"/>
          <w:color w:val="auto"/>
          <w:sz w:val="24"/>
        </w:rPr>
      </w:pPr>
      <w:r>
        <w:rPr>
          <w:rFonts w:hint="eastAsia" w:ascii="宋体" w:hAnsi="宋体" w:cs="宋体"/>
          <w:color w:val="auto"/>
          <w:sz w:val="24"/>
        </w:rPr>
        <w:t>2.3 工程量清单中供应商没有填入单价或价格的子目，其费用视为已分摊在工程量清单中其他相关子目的单价或价格之中。</w:t>
      </w:r>
    </w:p>
    <w:p>
      <w:pPr>
        <w:spacing w:line="440" w:lineRule="exact"/>
        <w:rPr>
          <w:rFonts w:ascii="宋体" w:hAnsi="宋体" w:cs="宋体"/>
          <w:color w:val="auto"/>
          <w:sz w:val="24"/>
        </w:rPr>
      </w:pPr>
      <w:r>
        <w:rPr>
          <w:rFonts w:hint="eastAsia" w:ascii="宋体" w:hAnsi="宋体" w:cs="宋体"/>
          <w:color w:val="auto"/>
          <w:sz w:val="24"/>
        </w:rPr>
        <w:t>2.4 暂列金额的数量及拟用子目的说明：</w:t>
      </w:r>
    </w:p>
    <w:p>
      <w:pPr>
        <w:pStyle w:val="4"/>
        <w:spacing w:before="250" w:beforeLines="50" w:after="250" w:afterLines="50" w:line="440" w:lineRule="exact"/>
        <w:rPr>
          <w:color w:val="auto"/>
          <w:kern w:val="1"/>
        </w:rPr>
      </w:pPr>
      <w:bookmarkStart w:id="462" w:name="_Toc246996343"/>
      <w:bookmarkEnd w:id="462"/>
      <w:bookmarkStart w:id="463" w:name="_Toc152042557"/>
      <w:bookmarkEnd w:id="463"/>
      <w:bookmarkStart w:id="464" w:name="_Toc246997086"/>
      <w:bookmarkEnd w:id="464"/>
      <w:bookmarkStart w:id="465" w:name="_Toc144974837"/>
      <w:bookmarkEnd w:id="465"/>
      <w:bookmarkStart w:id="466" w:name="_Toc433737407"/>
      <w:bookmarkEnd w:id="466"/>
      <w:bookmarkStart w:id="467" w:name="_Toc179632792"/>
      <w:bookmarkEnd w:id="467"/>
      <w:bookmarkStart w:id="468" w:name="_Toc247085858"/>
      <w:bookmarkEnd w:id="468"/>
      <w:bookmarkStart w:id="469" w:name="_Toc21540"/>
      <w:bookmarkEnd w:id="469"/>
      <w:bookmarkStart w:id="470" w:name="_Toc152045775"/>
      <w:bookmarkEnd w:id="470"/>
      <w:bookmarkStart w:id="471" w:name="_Toc489363814"/>
      <w:bookmarkStart w:id="472" w:name="_Toc489362484"/>
      <w:bookmarkStart w:id="473" w:name="_Toc9971"/>
      <w:bookmarkStart w:id="474" w:name="_Toc489346768"/>
      <w:bookmarkStart w:id="475" w:name="_Toc38219014"/>
      <w:bookmarkStart w:id="476" w:name="_Toc489348827"/>
      <w:r>
        <w:rPr>
          <w:color w:val="auto"/>
          <w:kern w:val="1"/>
        </w:rPr>
        <w:t xml:space="preserve">3. </w:t>
      </w:r>
      <w:r>
        <w:rPr>
          <w:rFonts w:hint="eastAsia"/>
          <w:color w:val="auto"/>
          <w:kern w:val="1"/>
        </w:rPr>
        <w:t>其他说明</w:t>
      </w:r>
      <w:bookmarkEnd w:id="471"/>
      <w:bookmarkEnd w:id="472"/>
      <w:bookmarkEnd w:id="473"/>
      <w:bookmarkEnd w:id="474"/>
      <w:bookmarkEnd w:id="475"/>
      <w:bookmarkEnd w:id="476"/>
      <w:bookmarkStart w:id="477" w:name="_Toc152042558"/>
      <w:bookmarkEnd w:id="477"/>
      <w:bookmarkStart w:id="478" w:name="_Toc152045776"/>
      <w:bookmarkEnd w:id="478"/>
      <w:bookmarkStart w:id="479" w:name="_Toc179632793"/>
      <w:bookmarkEnd w:id="479"/>
      <w:bookmarkStart w:id="480" w:name="_Toc246996344"/>
      <w:bookmarkEnd w:id="480"/>
      <w:bookmarkStart w:id="481" w:name="_Toc247085859"/>
      <w:bookmarkEnd w:id="481"/>
      <w:bookmarkStart w:id="482" w:name="_Toc144974838"/>
      <w:bookmarkEnd w:id="482"/>
      <w:bookmarkStart w:id="483" w:name="_Toc246997087"/>
      <w:bookmarkEnd w:id="483"/>
    </w:p>
    <w:p>
      <w:pPr>
        <w:pStyle w:val="4"/>
        <w:spacing w:before="500" w:beforeLines="100" w:after="500" w:afterLines="100" w:line="440" w:lineRule="exact"/>
        <w:rPr>
          <w:rFonts w:ascii="宋体" w:hAnsi="宋体" w:cs="宋体"/>
          <w:color w:val="auto"/>
          <w:sz w:val="28"/>
          <w:szCs w:val="28"/>
        </w:rPr>
      </w:pPr>
      <w:bookmarkStart w:id="484" w:name="_Toc433737408"/>
      <w:bookmarkEnd w:id="484"/>
      <w:bookmarkStart w:id="485" w:name="_Toc15147"/>
      <w:bookmarkStart w:id="486" w:name="_Toc38219015"/>
      <w:bookmarkStart w:id="487" w:name="_Toc489346769"/>
      <w:bookmarkStart w:id="488" w:name="_Toc489348828"/>
      <w:bookmarkStart w:id="489" w:name="_Toc489363815"/>
      <w:bookmarkStart w:id="490" w:name="_Toc489362485"/>
      <w:r>
        <w:rPr>
          <w:rFonts w:hint="eastAsia" w:ascii="黑体" w:hAnsi="黑体" w:cs="黑体"/>
          <w:color w:val="auto"/>
          <w:kern w:val="1"/>
        </w:rPr>
        <w:t>4.工程量清单</w:t>
      </w:r>
      <w:r>
        <w:rPr>
          <w:rFonts w:hint="eastAsia" w:ascii="宋体" w:hAnsi="宋体" w:cs="宋体"/>
          <w:color w:val="auto"/>
          <w:sz w:val="28"/>
          <w:szCs w:val="28"/>
        </w:rPr>
        <w:t>（另附）</w:t>
      </w:r>
    </w:p>
    <w:p>
      <w:pPr>
        <w:pStyle w:val="4"/>
        <w:spacing w:before="500" w:beforeLines="100" w:after="500" w:afterLines="100" w:line="440" w:lineRule="exact"/>
        <w:rPr>
          <w:rFonts w:ascii="黑体" w:hAnsi="黑体" w:cs="黑体"/>
          <w:color w:val="auto"/>
        </w:rPr>
      </w:pPr>
      <w:r>
        <w:rPr>
          <w:rFonts w:hint="eastAsia" w:ascii="黑体" w:hAnsi="黑体" w:cs="黑体"/>
          <w:color w:val="auto"/>
          <w:kern w:val="1"/>
        </w:rPr>
        <w:t>5.图纸</w:t>
      </w:r>
      <w:r>
        <w:rPr>
          <w:rFonts w:hint="eastAsia" w:ascii="宋体" w:hAnsi="宋体" w:cs="宋体"/>
          <w:color w:val="auto"/>
          <w:sz w:val="28"/>
          <w:szCs w:val="28"/>
        </w:rPr>
        <w:t>（另附）</w:t>
      </w:r>
    </w:p>
    <w:p>
      <w:pPr>
        <w:rPr>
          <w:color w:val="auto"/>
          <w:kern w:val="1"/>
        </w:rPr>
      </w:pPr>
      <w:r>
        <w:rPr>
          <w:color w:val="auto"/>
          <w:kern w:val="1"/>
        </w:rPr>
        <w:br w:type="page"/>
      </w:r>
    </w:p>
    <w:bookmarkEnd w:id="485"/>
    <w:bookmarkEnd w:id="486"/>
    <w:bookmarkEnd w:id="487"/>
    <w:bookmarkEnd w:id="488"/>
    <w:bookmarkEnd w:id="489"/>
    <w:bookmarkEnd w:id="490"/>
    <w:p>
      <w:pPr>
        <w:spacing w:before="250" w:beforeLines="50" w:after="250" w:afterLines="50" w:line="360" w:lineRule="auto"/>
        <w:jc w:val="center"/>
        <w:rPr>
          <w:rFonts w:ascii="黑体" w:hAnsi="黑体" w:eastAsia="黑体" w:cs="黑体"/>
          <w:b/>
          <w:color w:val="auto"/>
          <w:sz w:val="44"/>
          <w:szCs w:val="44"/>
        </w:rPr>
      </w:pPr>
      <w:r>
        <w:rPr>
          <w:rFonts w:hint="eastAsia" w:ascii="黑体" w:hAnsi="黑体" w:eastAsia="黑体" w:cs="黑体"/>
          <w:b/>
          <w:color w:val="auto"/>
          <w:sz w:val="44"/>
          <w:szCs w:val="44"/>
        </w:rPr>
        <w:t>第五章  合同条款及格式</w:t>
      </w:r>
    </w:p>
    <w:p>
      <w:pPr>
        <w:autoSpaceDE w:val="0"/>
        <w:autoSpaceDN w:val="0"/>
        <w:spacing w:line="360" w:lineRule="auto"/>
        <w:jc w:val="center"/>
        <w:rPr>
          <w:rFonts w:ascii="宋体" w:hAnsi="宋体" w:cs="宋体"/>
          <w:b/>
          <w:bCs/>
          <w:color w:val="auto"/>
          <w:sz w:val="32"/>
          <w:szCs w:val="32"/>
        </w:rPr>
      </w:pPr>
      <w:bookmarkStart w:id="491" w:name="_Toc14221_WPSOffice_Level2"/>
      <w:r>
        <w:rPr>
          <w:rFonts w:hint="eastAsia" w:ascii="宋体" w:hAnsi="宋体" w:cs="宋体"/>
          <w:b/>
          <w:bCs/>
          <w:color w:val="auto"/>
          <w:sz w:val="32"/>
          <w:szCs w:val="32"/>
        </w:rPr>
        <w:t>第一节</w:t>
      </w:r>
      <w:r>
        <w:rPr>
          <w:rFonts w:hint="eastAsia" w:ascii="宋体" w:hAnsi="宋体" w:cs="宋体"/>
          <w:b/>
          <w:bCs/>
          <w:color w:val="auto"/>
          <w:sz w:val="32"/>
          <w:szCs w:val="32"/>
        </w:rPr>
        <w:tab/>
      </w:r>
      <w:r>
        <w:rPr>
          <w:rFonts w:hint="eastAsia" w:ascii="宋体" w:hAnsi="宋体" w:cs="宋体"/>
          <w:b/>
          <w:bCs/>
          <w:color w:val="auto"/>
          <w:sz w:val="32"/>
          <w:szCs w:val="32"/>
        </w:rPr>
        <w:t>通用合同条款</w:t>
      </w:r>
      <w:bookmarkEnd w:id="491"/>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1.一般约定</w:t>
      </w:r>
    </w:p>
    <w:p>
      <w:pPr>
        <w:autoSpaceDE w:val="0"/>
        <w:autoSpaceDN w:val="0"/>
        <w:spacing w:line="440" w:lineRule="exact"/>
        <w:rPr>
          <w:rFonts w:ascii="宋体" w:hAnsi="宋体" w:cs="宋体"/>
          <w:b/>
          <w:bCs/>
          <w:color w:val="auto"/>
        </w:rPr>
      </w:pPr>
      <w:r>
        <w:rPr>
          <w:rFonts w:hint="eastAsia" w:ascii="宋体" w:hAnsi="宋体" w:cs="宋体"/>
          <w:b/>
          <w:bCs/>
          <w:color w:val="auto"/>
        </w:rPr>
        <w:t>1.1词语定义</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通用合同条款、专用合同条款中的下列词语应具有本款所赋予的含义。</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1.1.1合同</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1.1.1.1合同文件（或称合同）：指合同协议书、中标通知书、投标函及投标函附录、专用合同条款、通用合同条款、技术标准和要求、图纸、已标价工程量清单，以及其他合同文件。</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1.1.1.2合同协议书：指第 1.5 款所指的合同协议书。</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1.1.1.3中标通知书：指发包人通知承包人中标的函件。中标通知书随附的澄清、说明、补正事项纪要等，是中标通知书的组成部分。</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1.1.1.4投标函：指构成合同文件组成部分的由承包人填写并签署的投标函。</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1.1.1.5投标函附录：指附在投标函后构成合同文件的投标函附录。</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1.1.1.6技术标准和要求：指构成合同文件组成部分的名为技术标准和要求的文件，以及合同双方当事人约定对其所作的修改或补充。</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1.1.1.7图纸：指包含在合同中的工程图纸，以及由发包人按合同约定提供的任何补充和修改的图纸，包括配套的说明。</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1.1.1.8已标价工程量清单：指构成合同文件组成部分的由承包人按照规定的格式和要求填写并标明价格的工程量清单。</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1.1.1.9其他合同文件：指经合同双方当事人确认构成合同文件的其他文件。</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1.1.2合同当事人和人员</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1.1.2.1合同当事人：指发包人和（或）承包人。</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1.1.2.2发包人：指专用合同条款中指明并与承包人在合同协议书中签字的当事人。</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1.1.2.3承包人：指与发包人签订合同协议书的当事人。</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1.1.2.4承包人项目经理：指承包人派驻施工场地的全权负责人。</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1.1.2.5监理人：指在专用合同条款中指明的，受发包人委托对合同履行实施管理的法人或其他组织。属于国家强制监理的，监理人应当具有相应的监理资质。</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1.1.2.6总监理工程师（总监）：指由监理人委派常驻施工场地对合同履行实施管理的全权负责人。</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1.1.3工程和设备</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1.1.3.1工程：指永久工程和（或）临时工程。</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1.1.3.2工程设备：指构成或计划构成永久工程一部分的机电设备、仪器装置、运载工具及其他类似的设备和装置。</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1.1.3.3施工场地（或称工地、现场）：指用于合同工程施工的场所，以及在合同中指定作为施工场地组成部分的其他场所，包括永久占地和临时占地。</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1.1.4日期</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1.1.4.1开工通知：指监理人按第 6.2 款通知承包人开工的函件。</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1.1.4.2开工日期：指监理人按第 6.2 款发出的开工通知中写明的开工日期。</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1.1.4.3工期：指承包人在投标函中承诺的完成合同工程所需的期限，包括按第</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6.3 款、第 6.4 款约定所作的变更。</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1.1.4.4竣工日期：指第 1.1.4.3 目约定工期届满时的日期。实际竣工日期以工程接收证书中写明的日期为准。</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1.1.4.5缺陷责任期：指履行第 12.1 款约定的缺陷责任的期限，具体期限由专用合同条款约定。</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1.1.4.6天：除特别指明外，指日历天。合同中按天计算时间的，开始当天不计入，从次日开始计算。期限最后一天的截止时间为当天 24:00。</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1.1.5合同价格和费用</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1.1.5.1签约合同价：指签定合同时合同协议书中写明的，包括了暂列金额的合同总金额。</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1.1.5.2合同价格：指承包人按合同约定完成了包括缺陷责任期内的全部承包工作后，发包人应付给承包人的金额，包括在履行合同过程中按合同约定进行的变更和调整。</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1.1.5.3费用：指为履行合同所发生的或将要发生的所有合理开支，包括管理费和应分摊的其他费用，但不包括利润。</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1.1.5.4暂列金额：指已标价工程量清单中所列的暂列金额，用于在签订协议书时尚未确定或不可预见变更的施工及其所需材料、工程设备、服务等的金额，包括以计日工方式支付的金额。</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1.1.5.5计日工：指对零星工作采取的一种计价方式，按合同中的计日工子目及其单价计价付款。</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1.1.5.6质量保证金（或称保留金）：指按第 10.4 款约定用于保证在缺陷责任期内履行缺陷修复义务的金额。</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1.1.6其他</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1.1.6.1书面形式：指合同文件、信函、电报、传真、电子数据交换和电子邮件等可以有形地表现所载内容的形式。</w:t>
      </w:r>
    </w:p>
    <w:p>
      <w:pPr>
        <w:autoSpaceDE w:val="0"/>
        <w:autoSpaceDN w:val="0"/>
        <w:spacing w:line="440" w:lineRule="exact"/>
        <w:rPr>
          <w:rFonts w:ascii="宋体" w:hAnsi="宋体" w:cs="宋体"/>
          <w:b/>
          <w:bCs/>
          <w:color w:val="auto"/>
        </w:rPr>
      </w:pPr>
      <w:r>
        <w:rPr>
          <w:rFonts w:hint="eastAsia" w:ascii="宋体" w:hAnsi="宋体" w:cs="宋体"/>
          <w:b/>
          <w:bCs/>
          <w:color w:val="auto"/>
        </w:rPr>
        <w:t>1.2语言文字</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合同使用的语言文字为中文。专用术语使用外文的，应附有中文注释。</w:t>
      </w:r>
    </w:p>
    <w:p>
      <w:pPr>
        <w:autoSpaceDE w:val="0"/>
        <w:autoSpaceDN w:val="0"/>
        <w:spacing w:line="440" w:lineRule="exact"/>
        <w:rPr>
          <w:rFonts w:ascii="宋体" w:hAnsi="宋体" w:cs="宋体"/>
          <w:b/>
          <w:bCs/>
          <w:color w:val="auto"/>
        </w:rPr>
      </w:pPr>
      <w:r>
        <w:rPr>
          <w:rFonts w:hint="eastAsia" w:ascii="宋体" w:hAnsi="宋体" w:cs="宋体"/>
          <w:b/>
          <w:bCs/>
          <w:color w:val="auto"/>
        </w:rPr>
        <w:t>1.3法律</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适用于合同的法律包括中华人民共和国法律、行政法规、部门规章，以及工程所在地的地方法规、自治条例、单行条例和地方政府规章。</w:t>
      </w:r>
    </w:p>
    <w:p>
      <w:pPr>
        <w:autoSpaceDE w:val="0"/>
        <w:autoSpaceDN w:val="0"/>
        <w:spacing w:line="440" w:lineRule="exact"/>
        <w:rPr>
          <w:rFonts w:ascii="宋体" w:hAnsi="宋体" w:cs="宋体"/>
          <w:b/>
          <w:bCs/>
          <w:color w:val="auto"/>
        </w:rPr>
      </w:pPr>
      <w:r>
        <w:rPr>
          <w:rFonts w:hint="eastAsia" w:ascii="宋体" w:hAnsi="宋体" w:cs="宋体"/>
          <w:b/>
          <w:bCs/>
          <w:color w:val="auto"/>
        </w:rPr>
        <w:t>1.4合同文件的优先顺序</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组成合同的各项文件应互相解释，互为说明。除专用合同条款另有约定外，解释合同文件的优先顺序如下：</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（1）合同协议书；</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（2）中标通知书；</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（3）投标函及投标函附录；</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（4）专用合同条款；</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（5）通用合同条款；</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（6）技术标准和要求；</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（7）图纸；</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（8）已标价工程量清单；</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（9）其他合同文件。</w:t>
      </w:r>
    </w:p>
    <w:p>
      <w:pPr>
        <w:autoSpaceDE w:val="0"/>
        <w:autoSpaceDN w:val="0"/>
        <w:spacing w:line="440" w:lineRule="exact"/>
        <w:rPr>
          <w:rFonts w:ascii="宋体" w:hAnsi="宋体" w:cs="宋体"/>
          <w:b/>
          <w:bCs/>
          <w:color w:val="auto"/>
        </w:rPr>
      </w:pPr>
      <w:r>
        <w:rPr>
          <w:rFonts w:hint="eastAsia" w:ascii="宋体" w:hAnsi="宋体" w:cs="宋体"/>
          <w:b/>
          <w:bCs/>
          <w:color w:val="auto"/>
        </w:rPr>
        <w:t>1.5合同协议书</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承包人按中标通知书规定的时间与发包人签订合同协议书。除法律另有规定或合同另有约定外，发包人和承包人的法定代表人或其委托代理人在合同协议书上签字并盖单位章后，合同生效。</w:t>
      </w:r>
    </w:p>
    <w:p>
      <w:pPr>
        <w:autoSpaceDE w:val="0"/>
        <w:autoSpaceDN w:val="0"/>
        <w:spacing w:line="440" w:lineRule="exact"/>
        <w:rPr>
          <w:rFonts w:ascii="宋体" w:hAnsi="宋体" w:cs="宋体"/>
          <w:b/>
          <w:bCs/>
          <w:color w:val="auto"/>
        </w:rPr>
      </w:pPr>
      <w:r>
        <w:rPr>
          <w:rFonts w:hint="eastAsia" w:ascii="宋体" w:hAnsi="宋体" w:cs="宋体"/>
          <w:b/>
          <w:bCs/>
          <w:color w:val="auto"/>
        </w:rPr>
        <w:t>1.6图纸和承包人文件</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1.6.1发包人提供的图纸</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除专用合同条款另有约定外，图纸应在合理的期限内按照合同约定的数量提供给承包人。</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1.6.2承包人提供的文件</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按专用合同条款约定由承包人提供的文件，包括部分工程的大样图、加工图等，承包人应按约定的数量和期限报送监理人。监理人应在专用合同条款约定的期限内批复。</w:t>
      </w:r>
    </w:p>
    <w:p>
      <w:pPr>
        <w:autoSpaceDE w:val="0"/>
        <w:autoSpaceDN w:val="0"/>
        <w:spacing w:line="440" w:lineRule="exact"/>
        <w:rPr>
          <w:rFonts w:ascii="宋体" w:hAnsi="宋体" w:cs="宋体"/>
          <w:b/>
          <w:bCs/>
          <w:color w:val="auto"/>
        </w:rPr>
      </w:pPr>
      <w:r>
        <w:rPr>
          <w:rFonts w:hint="eastAsia" w:ascii="宋体" w:hAnsi="宋体" w:cs="宋体"/>
          <w:b/>
          <w:bCs/>
          <w:color w:val="auto"/>
        </w:rPr>
        <w:t>1.7联络</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与合同有关的通知、批准、证明、证书、指示、要求、请求、同意、意见、确定和决定等重要文件，均应采用书面形式。按合同约定应当由监理人审核、批准、确认或者提出修改意见的承包人的要求、请求、申请和报批等，监理人在合同约定的期限内未回复的，视同认可，合同中未明确约定回复期限的，其相应期限均为收到相关文件后 7 天。</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2.发包人义务</w:t>
      </w:r>
    </w:p>
    <w:p>
      <w:pPr>
        <w:autoSpaceDE w:val="0"/>
        <w:autoSpaceDN w:val="0"/>
        <w:spacing w:line="440" w:lineRule="exact"/>
        <w:rPr>
          <w:rFonts w:ascii="宋体" w:hAnsi="宋体" w:cs="宋体"/>
          <w:b/>
          <w:bCs/>
          <w:color w:val="auto"/>
        </w:rPr>
      </w:pPr>
      <w:r>
        <w:rPr>
          <w:rFonts w:hint="eastAsia" w:ascii="宋体" w:hAnsi="宋体" w:cs="宋体"/>
          <w:b/>
          <w:bCs/>
          <w:color w:val="auto"/>
        </w:rPr>
        <w:t>2.1遵守法律</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发包人在履行合同过程中应遵守法律，并保证承包人免于承担因发包人违反法律而引起的任何责任。</w:t>
      </w:r>
    </w:p>
    <w:p>
      <w:pPr>
        <w:autoSpaceDE w:val="0"/>
        <w:autoSpaceDN w:val="0"/>
        <w:spacing w:line="440" w:lineRule="exact"/>
        <w:rPr>
          <w:rFonts w:ascii="宋体" w:hAnsi="宋体" w:cs="宋体"/>
          <w:b/>
          <w:bCs/>
          <w:color w:val="auto"/>
        </w:rPr>
      </w:pPr>
      <w:r>
        <w:rPr>
          <w:rFonts w:hint="eastAsia" w:ascii="宋体" w:hAnsi="宋体" w:cs="宋体"/>
          <w:b/>
          <w:bCs/>
          <w:color w:val="auto"/>
        </w:rPr>
        <w:t>2.2发出开工通知</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发包人应委托监理人按第 6.2 款的约定向承包人发出开工通知。</w:t>
      </w:r>
    </w:p>
    <w:p>
      <w:pPr>
        <w:autoSpaceDE w:val="0"/>
        <w:autoSpaceDN w:val="0"/>
        <w:spacing w:line="440" w:lineRule="exact"/>
        <w:rPr>
          <w:rFonts w:ascii="宋体" w:hAnsi="宋体" w:cs="宋体"/>
          <w:b/>
          <w:bCs/>
          <w:color w:val="auto"/>
        </w:rPr>
      </w:pPr>
      <w:r>
        <w:rPr>
          <w:rFonts w:hint="eastAsia" w:ascii="宋体" w:hAnsi="宋体" w:cs="宋体"/>
          <w:b/>
          <w:bCs/>
          <w:color w:val="auto"/>
        </w:rPr>
        <w:t>2.3提供施工场地</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发包人应按专用合同条款约定向承包人提供施工场地，以及施工场地内地下管线和地下设施等有关资料，并保证资料的真实、准确、完整。</w:t>
      </w:r>
    </w:p>
    <w:p>
      <w:pPr>
        <w:autoSpaceDE w:val="0"/>
        <w:autoSpaceDN w:val="0"/>
        <w:spacing w:line="440" w:lineRule="exact"/>
        <w:rPr>
          <w:rFonts w:ascii="宋体" w:hAnsi="宋体" w:cs="宋体"/>
          <w:b/>
          <w:bCs/>
          <w:color w:val="auto"/>
        </w:rPr>
      </w:pPr>
      <w:r>
        <w:rPr>
          <w:rFonts w:hint="eastAsia" w:ascii="宋体" w:hAnsi="宋体" w:cs="宋体"/>
          <w:b/>
          <w:bCs/>
          <w:color w:val="auto"/>
        </w:rPr>
        <w:t>2.4协助承包人办理证件和批件</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发包人应协助承包人办理法律规定的有关施工证件和批件。</w:t>
      </w:r>
    </w:p>
    <w:p>
      <w:pPr>
        <w:autoSpaceDE w:val="0"/>
        <w:autoSpaceDN w:val="0"/>
        <w:spacing w:line="440" w:lineRule="exact"/>
        <w:rPr>
          <w:rFonts w:ascii="宋体" w:hAnsi="宋体" w:cs="宋体"/>
          <w:b/>
          <w:bCs/>
          <w:color w:val="auto"/>
        </w:rPr>
      </w:pPr>
      <w:r>
        <w:rPr>
          <w:rFonts w:hint="eastAsia" w:ascii="宋体" w:hAnsi="宋体" w:cs="宋体"/>
          <w:b/>
          <w:bCs/>
          <w:color w:val="auto"/>
        </w:rPr>
        <w:t>2.5组织设计交底</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发包人应根据合同进度计划，组织设计单位向承包人进行设计交底。</w:t>
      </w:r>
    </w:p>
    <w:p>
      <w:pPr>
        <w:autoSpaceDE w:val="0"/>
        <w:autoSpaceDN w:val="0"/>
        <w:spacing w:line="440" w:lineRule="exact"/>
        <w:rPr>
          <w:rFonts w:ascii="宋体" w:hAnsi="宋体" w:cs="宋体"/>
          <w:b/>
          <w:bCs/>
          <w:color w:val="auto"/>
        </w:rPr>
      </w:pPr>
      <w:r>
        <w:rPr>
          <w:rFonts w:hint="eastAsia" w:ascii="宋体" w:hAnsi="宋体" w:cs="宋体"/>
          <w:b/>
          <w:bCs/>
          <w:color w:val="auto"/>
        </w:rPr>
        <w:t>2.6支付合同价款</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发包人应按合同约定向承包人及时支付合同价款。</w:t>
      </w:r>
    </w:p>
    <w:p>
      <w:pPr>
        <w:autoSpaceDE w:val="0"/>
        <w:autoSpaceDN w:val="0"/>
        <w:spacing w:line="440" w:lineRule="exact"/>
        <w:rPr>
          <w:rFonts w:ascii="宋体" w:hAnsi="宋体" w:cs="宋体"/>
          <w:b/>
          <w:bCs/>
          <w:color w:val="auto"/>
        </w:rPr>
      </w:pPr>
      <w:r>
        <w:rPr>
          <w:rFonts w:hint="eastAsia" w:ascii="宋体" w:hAnsi="宋体" w:cs="宋体"/>
          <w:b/>
          <w:bCs/>
          <w:color w:val="auto"/>
        </w:rPr>
        <w:t>2.7组织竣工验收</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发包人应按合同约定及时组织竣工验收。</w:t>
      </w:r>
    </w:p>
    <w:p>
      <w:pPr>
        <w:autoSpaceDE w:val="0"/>
        <w:autoSpaceDN w:val="0"/>
        <w:spacing w:line="440" w:lineRule="exact"/>
        <w:rPr>
          <w:rFonts w:ascii="宋体" w:hAnsi="宋体" w:cs="宋体"/>
          <w:b/>
          <w:bCs/>
          <w:color w:val="auto"/>
        </w:rPr>
      </w:pPr>
      <w:r>
        <w:rPr>
          <w:rFonts w:hint="eastAsia" w:ascii="宋体" w:hAnsi="宋体" w:cs="宋体"/>
          <w:b/>
          <w:bCs/>
          <w:color w:val="auto"/>
        </w:rPr>
        <w:t>2.8其他义务</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发包人应履行合同约定的其他义务。</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3.监理人</w:t>
      </w:r>
    </w:p>
    <w:p>
      <w:pPr>
        <w:autoSpaceDE w:val="0"/>
        <w:autoSpaceDN w:val="0"/>
        <w:spacing w:line="440" w:lineRule="exact"/>
        <w:rPr>
          <w:rFonts w:ascii="宋体" w:hAnsi="宋体" w:cs="宋体"/>
          <w:b/>
          <w:bCs/>
          <w:color w:val="auto"/>
        </w:rPr>
      </w:pPr>
      <w:r>
        <w:rPr>
          <w:rFonts w:hint="eastAsia" w:ascii="宋体" w:hAnsi="宋体" w:cs="宋体"/>
          <w:b/>
          <w:bCs/>
          <w:color w:val="auto"/>
        </w:rPr>
        <w:t>3.1监理人的职责和权力</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3.1.1监理人受发包人委托，享有合同约定的权力，其所发出的任何指示应视为已得到发包人的批准。监理人在行使某项权力前需要经发包人事先批准而通用合同条款没有指明的，应在专用合同条款中指明。未经发包人批准，监理人无权修改合同。</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3.1.2合同约定应由承包人承担的义务和责任，不因监理人对承包人文件的审查或批准，对工程、材料和工程设备的检查和检验，以及为实施监理作出的指示等职务行为而减轻或解除。</w:t>
      </w:r>
    </w:p>
    <w:p>
      <w:pPr>
        <w:autoSpaceDE w:val="0"/>
        <w:autoSpaceDN w:val="0"/>
        <w:spacing w:line="440" w:lineRule="exact"/>
        <w:rPr>
          <w:rFonts w:ascii="宋体" w:hAnsi="宋体" w:cs="宋体"/>
          <w:b/>
          <w:bCs/>
          <w:color w:val="auto"/>
        </w:rPr>
      </w:pPr>
      <w:r>
        <w:rPr>
          <w:rFonts w:hint="eastAsia" w:ascii="宋体" w:hAnsi="宋体" w:cs="宋体"/>
          <w:b/>
          <w:bCs/>
          <w:color w:val="auto"/>
        </w:rPr>
        <w:t>3.2总监理工程师</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发包人应在发出开工通知前将总监理工程师的任命通知承包人。</w:t>
      </w:r>
    </w:p>
    <w:p>
      <w:pPr>
        <w:autoSpaceDE w:val="0"/>
        <w:autoSpaceDN w:val="0"/>
        <w:spacing w:line="440" w:lineRule="exact"/>
        <w:rPr>
          <w:rFonts w:ascii="宋体" w:hAnsi="宋体" w:cs="宋体"/>
          <w:b/>
          <w:bCs/>
          <w:color w:val="auto"/>
        </w:rPr>
      </w:pPr>
      <w:r>
        <w:rPr>
          <w:rFonts w:hint="eastAsia" w:ascii="宋体" w:hAnsi="宋体" w:cs="宋体"/>
          <w:b/>
          <w:bCs/>
          <w:color w:val="auto"/>
        </w:rPr>
        <w:t>3.3监理人员</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3.3.1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发包人和承包人。</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3.3.2监理人员对承包人文件、工程或其采用的材料和工程设备未在约定的或合理的期限内提出否定意见的，视为已获批准，但不影响监理人在以后拒绝该项工作、工程、材料或工程设备的权利，监理人的拒绝应当符合法律规定和合同约定。</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3.3.3承包人对总监理工程师授权的监理人员发出的指示有疑问的，可在该指示发出的 48 小时内向总监理工程师提出书面异议，总监理工程师应在 48 小时内对该指示予以确认、更改或撤销。</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3.3.4除专用合同条款另有约定外，总监理工程师不应将第 3.5 款约定应由总监理工程师作出确定的权力授权或委托给其他监理人员。</w:t>
      </w:r>
    </w:p>
    <w:p>
      <w:pPr>
        <w:autoSpaceDE w:val="0"/>
        <w:autoSpaceDN w:val="0"/>
        <w:spacing w:line="440" w:lineRule="exact"/>
        <w:rPr>
          <w:rFonts w:ascii="宋体" w:hAnsi="宋体" w:cs="宋体"/>
          <w:b/>
          <w:bCs/>
          <w:color w:val="auto"/>
        </w:rPr>
      </w:pPr>
      <w:r>
        <w:rPr>
          <w:rFonts w:hint="eastAsia" w:ascii="宋体" w:hAnsi="宋体" w:cs="宋体"/>
          <w:b/>
          <w:bCs/>
          <w:color w:val="auto"/>
        </w:rPr>
        <w:t>3.4监理人的指示</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3.4.1监理人应按第 3.1 款的约定向承包人发出指示，监理人的指示应盖有监理人授权的施工场地机构章，并由总监理工程师或总监理工程师按第 3.3.1 项约定授权的监理人员签字。</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3.4.2承包人收到监理人按第 3.4.1 项作出的指示后应遵照执行。指示构成变更的， 应按第 9 条处理。</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3.4.3在紧急情况下，总监理工程师或被授权的监理人员可以当场签发临时书面指示，承包人应遵照执行。承包人应在收到上述临时书面指示后 24 小时内，向监理人发出书面确认函。监理人在收到书面确认函后 24 小时内未予答复的，该书面确认函应被视为监理人的正式指示。</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3.4.4除合同另有约定外，承包人只从总监理工程师或按第 3.3.1 项被授权的监理人员处取得指示。</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3.4.5由于监理人未能按合同约定发出指示、指示延误或指示错误而导致承包人费用增加和（或）工期延误的，由发包人承担赔偿责任。</w:t>
      </w:r>
    </w:p>
    <w:p>
      <w:pPr>
        <w:autoSpaceDE w:val="0"/>
        <w:autoSpaceDN w:val="0"/>
        <w:spacing w:line="440" w:lineRule="exact"/>
        <w:rPr>
          <w:rFonts w:ascii="宋体" w:hAnsi="宋体" w:cs="宋体"/>
          <w:b/>
          <w:bCs/>
          <w:color w:val="auto"/>
        </w:rPr>
      </w:pPr>
      <w:r>
        <w:rPr>
          <w:rFonts w:hint="eastAsia" w:ascii="宋体" w:hAnsi="宋体" w:cs="宋体"/>
          <w:b/>
          <w:bCs/>
          <w:color w:val="auto"/>
        </w:rPr>
        <w:t>3.5商定或确定</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3.5.1合同约定总监理工程师应按照本款对任何事项进行商定或确定时，总监理工程师应与合同当事人协商，尽量达成一致。不能达成一致的，总监理工程师应认真研究后审慎确定。</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3.5.2总监理工程师应将商定或确定的事项通知合同当事人，并附详细依据。对总监理工程师的确定有异议的，构成争议，按照第 17 条的约定处理。在争议解决前，双方应暂按总监理工程师的确定执行，按照第 17 条的约定对总监理工程师的确定作出修改的， 按修改后的结果执行。</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4.承包人</w:t>
      </w:r>
    </w:p>
    <w:p>
      <w:pPr>
        <w:autoSpaceDE w:val="0"/>
        <w:autoSpaceDN w:val="0"/>
        <w:spacing w:line="440" w:lineRule="exact"/>
        <w:rPr>
          <w:rFonts w:ascii="宋体" w:hAnsi="宋体" w:cs="宋体"/>
          <w:b/>
          <w:bCs/>
          <w:color w:val="auto"/>
        </w:rPr>
      </w:pPr>
      <w:r>
        <w:rPr>
          <w:rFonts w:hint="eastAsia" w:ascii="宋体" w:hAnsi="宋体" w:cs="宋体"/>
          <w:b/>
          <w:bCs/>
          <w:color w:val="auto"/>
        </w:rPr>
        <w:t>4.1承包人的一般义务</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4.1.1承包人应按合同约定以及监理人根据第 3.4 款作出的指示，实施、完成全部工程，并修补工程中的任何缺陷。</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4.1.2除合同另有约定外，承包人应提供为按照合同完成工程所需的劳务、材料、施工设备、工程设备和其他物品，以及按合同约定的临时设施等。</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4.1.3承包人应对所有现场作业、所有施工方法和全部工程的完备性、稳定性和安全性负责。</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4.1.4承包人应按照法律规定和合同约定，负责施工场地及周边环境与生态的保护工作。</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4.1.5工程接收证书颁发前，承包人应负责照管和维护工程。工程接收证书颁发时尚有部分未竣工工程的，承包人还应负责该未竣工工程的照管和维护工作，直至竣工后移交给发包人为止。</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4.1.6承包人应履行合同约定的其他义务。</w:t>
      </w:r>
    </w:p>
    <w:p>
      <w:pPr>
        <w:autoSpaceDE w:val="0"/>
        <w:autoSpaceDN w:val="0"/>
        <w:spacing w:line="440" w:lineRule="exact"/>
        <w:rPr>
          <w:rFonts w:ascii="宋体" w:hAnsi="宋体" w:cs="宋体"/>
          <w:b/>
          <w:bCs/>
          <w:color w:val="auto"/>
        </w:rPr>
      </w:pPr>
      <w:r>
        <w:rPr>
          <w:rFonts w:hint="eastAsia" w:ascii="宋体" w:hAnsi="宋体" w:cs="宋体"/>
          <w:b/>
          <w:bCs/>
          <w:color w:val="auto"/>
        </w:rPr>
        <w:t>4.2履约担保</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4.2.1详见专用条款</w:t>
      </w:r>
    </w:p>
    <w:p>
      <w:pPr>
        <w:autoSpaceDE w:val="0"/>
        <w:autoSpaceDN w:val="0"/>
        <w:spacing w:line="440" w:lineRule="exact"/>
        <w:rPr>
          <w:rFonts w:ascii="宋体" w:hAnsi="宋体" w:cs="宋体"/>
          <w:b/>
          <w:bCs/>
          <w:color w:val="auto"/>
        </w:rPr>
      </w:pPr>
      <w:r>
        <w:rPr>
          <w:rFonts w:hint="eastAsia" w:ascii="宋体" w:hAnsi="宋体" w:cs="宋体"/>
          <w:b/>
          <w:bCs/>
          <w:color w:val="auto"/>
        </w:rPr>
        <w:t>4.3承包人项目经理</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承包人应按合同约定指派项目经理，并在约定的期限内到职。承包人项目经理应按合同约定以及监理人按第 3.4 款作出的指示，负责组织合同工程的实施。承包人为履行合同发出的一切函件均应盖有承包人授权的施工场地管理机构章，并由承包人项目经理或其授权代表签字。</w:t>
      </w:r>
    </w:p>
    <w:p>
      <w:pPr>
        <w:autoSpaceDE w:val="0"/>
        <w:autoSpaceDN w:val="0"/>
        <w:spacing w:line="440" w:lineRule="exact"/>
        <w:rPr>
          <w:rFonts w:ascii="宋体" w:hAnsi="宋体" w:cs="宋体"/>
          <w:b/>
          <w:bCs/>
          <w:color w:val="auto"/>
        </w:rPr>
      </w:pPr>
      <w:r>
        <w:rPr>
          <w:rFonts w:hint="eastAsia" w:ascii="宋体" w:hAnsi="宋体" w:cs="宋体"/>
          <w:b/>
          <w:bCs/>
          <w:color w:val="auto"/>
        </w:rPr>
        <w:t>4.4工程价款应专款专用</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发包人按合同约定支付给承包人的各项价款应专用于合同工程。</w:t>
      </w:r>
    </w:p>
    <w:p>
      <w:pPr>
        <w:autoSpaceDE w:val="0"/>
        <w:autoSpaceDN w:val="0"/>
        <w:spacing w:line="440" w:lineRule="exact"/>
        <w:rPr>
          <w:rFonts w:ascii="宋体" w:hAnsi="宋体" w:cs="宋体"/>
          <w:b/>
          <w:bCs/>
          <w:color w:val="auto"/>
        </w:rPr>
      </w:pPr>
      <w:r>
        <w:rPr>
          <w:rFonts w:hint="eastAsia" w:ascii="宋体" w:hAnsi="宋体" w:cs="宋体"/>
          <w:b/>
          <w:bCs/>
          <w:color w:val="auto"/>
        </w:rPr>
        <w:t>4.5不利物质条件</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4.5.1不利物质条件，除专用合同条款另有约定外，是指承包人在施工场地遇到的不可预见的自然物质条件、非自然的物质障碍和污染物，包括地下和水文条件，但不包括气候条件。</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4.5.2承包人遇到不利物质条件时，应采取适应不利物质条件的合理措施继续施工， 并及时通知监理人，通知应载明不利物质条件的内容以及承包人认为不可预见的理由。监理人应当及时发出指示，指示构成变更的，按第 9 条约定执行。监理人没有发出指示的， 承包人因采取合理措施而增加的费用和（或）工期延误，由发包人承担。</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5.施工控制网</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5.1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5.2承包人应负责管理施工控制网点。施工控制网点丢失或损坏的，承包人应及时修复。承包人应承担施工控制网点的管理与修复费用，在工程竣工后将施工控制网点移交发包人。</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6.工期</w:t>
      </w:r>
    </w:p>
    <w:p>
      <w:pPr>
        <w:autoSpaceDE w:val="0"/>
        <w:autoSpaceDN w:val="0"/>
        <w:spacing w:line="440" w:lineRule="exact"/>
        <w:rPr>
          <w:rFonts w:ascii="宋体" w:hAnsi="宋体" w:cs="宋体"/>
          <w:b/>
          <w:bCs/>
          <w:color w:val="auto"/>
        </w:rPr>
      </w:pPr>
      <w:r>
        <w:rPr>
          <w:rFonts w:hint="eastAsia" w:ascii="宋体" w:hAnsi="宋体" w:cs="宋体"/>
          <w:b/>
          <w:bCs/>
          <w:color w:val="auto"/>
        </w:rPr>
        <w:t>6.1进度计划</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承包人应按照专用合同条款约定的时间，向监理人提交进度计划。经监理人审批后的进度计划具有合同约束力，承包人应当严格执行。实际进度与进度计划不符时，监理人应当指示承包人对进度计划进行修订，重新提交给监理人审批。</w:t>
      </w:r>
    </w:p>
    <w:p>
      <w:pPr>
        <w:autoSpaceDE w:val="0"/>
        <w:autoSpaceDN w:val="0"/>
        <w:spacing w:line="440" w:lineRule="exact"/>
        <w:rPr>
          <w:rFonts w:ascii="宋体" w:hAnsi="宋体" w:cs="宋体"/>
          <w:b/>
          <w:bCs/>
          <w:color w:val="auto"/>
        </w:rPr>
      </w:pPr>
      <w:r>
        <w:rPr>
          <w:rFonts w:hint="eastAsia" w:ascii="宋体" w:hAnsi="宋体" w:cs="宋体"/>
          <w:b/>
          <w:bCs/>
          <w:color w:val="auto"/>
        </w:rPr>
        <w:t>6.2工程实施</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监理人应在开工日期 7 天前向承包人发出开工通知。承包人应在第 1.1.4.3 目约定的期限内完成合同工程。实际竣工日期在接收证书中写明。</w:t>
      </w:r>
    </w:p>
    <w:p>
      <w:pPr>
        <w:autoSpaceDE w:val="0"/>
        <w:autoSpaceDN w:val="0"/>
        <w:spacing w:line="440" w:lineRule="exact"/>
        <w:rPr>
          <w:rFonts w:ascii="宋体" w:hAnsi="宋体" w:cs="宋体"/>
          <w:b/>
          <w:bCs/>
          <w:color w:val="auto"/>
        </w:rPr>
      </w:pPr>
      <w:r>
        <w:rPr>
          <w:rFonts w:hint="eastAsia" w:ascii="宋体" w:hAnsi="宋体" w:cs="宋体"/>
          <w:b/>
          <w:bCs/>
          <w:color w:val="auto"/>
        </w:rPr>
        <w:t>6.3发包人引起的工期延误</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在履行合同过程中，由于发包人的下列原因造成工期延误的，承包人有权要求发包人延长工期和（或）增加费用，并支付合理利润。需要修订合同进度计划的，按照第 6.1 款的约定执行。</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（1）增加合同工作内容；</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（2）改变合同中任何一项工作的质量要求或其他特性；</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（3）发包人迟延提供材料、工程设备或变更交货地点；</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（4）因发包人原因导致的暂停施工；</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（5）提供图纸延误；</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（6）未按合同约定及时支付预付款、进度款；</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（7）发包人造成工期延误的其他原因。</w:t>
      </w:r>
    </w:p>
    <w:p>
      <w:pPr>
        <w:autoSpaceDE w:val="0"/>
        <w:autoSpaceDN w:val="0"/>
        <w:spacing w:line="440" w:lineRule="exact"/>
        <w:rPr>
          <w:rFonts w:ascii="宋体" w:hAnsi="宋体" w:cs="宋体"/>
          <w:b/>
          <w:bCs/>
          <w:color w:val="auto"/>
        </w:rPr>
      </w:pPr>
      <w:r>
        <w:rPr>
          <w:rFonts w:hint="eastAsia" w:ascii="宋体" w:hAnsi="宋体" w:cs="宋体"/>
          <w:b/>
          <w:bCs/>
          <w:color w:val="auto"/>
        </w:rPr>
        <w:t>6.4异常恶劣的气候条件</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由于出现专用合同条款约定的异常恶劣气候导致工期延误的，承包人有权要求发包人延长工期。</w:t>
      </w:r>
    </w:p>
    <w:p>
      <w:pPr>
        <w:autoSpaceDE w:val="0"/>
        <w:autoSpaceDN w:val="0"/>
        <w:spacing w:line="440" w:lineRule="exact"/>
        <w:rPr>
          <w:rFonts w:ascii="宋体" w:hAnsi="宋体" w:cs="宋体"/>
          <w:b/>
          <w:bCs/>
          <w:color w:val="auto"/>
        </w:rPr>
      </w:pPr>
      <w:r>
        <w:rPr>
          <w:rFonts w:hint="eastAsia" w:ascii="宋体" w:hAnsi="宋体" w:cs="宋体"/>
          <w:b/>
          <w:bCs/>
          <w:color w:val="auto"/>
        </w:rPr>
        <w:t>6.5承包人引起的工期延误</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由于承包人原因造成工期延误，承包人应按照专用合同条款中约定的逾期竣工违约金计算方法和最高限额，支付逾期竣工违约金。承包人支付逾期竣工违约金，不免除承包人完成工程及修补缺陷的义务。</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7.工程质量</w:t>
      </w:r>
    </w:p>
    <w:p>
      <w:pPr>
        <w:autoSpaceDE w:val="0"/>
        <w:autoSpaceDN w:val="0"/>
        <w:spacing w:line="440" w:lineRule="exact"/>
        <w:rPr>
          <w:rFonts w:ascii="宋体" w:hAnsi="宋体" w:cs="宋体"/>
          <w:b/>
          <w:bCs/>
          <w:color w:val="auto"/>
        </w:rPr>
      </w:pPr>
      <w:r>
        <w:rPr>
          <w:rFonts w:hint="eastAsia" w:ascii="宋体" w:hAnsi="宋体" w:cs="宋体"/>
          <w:b/>
          <w:bCs/>
          <w:color w:val="auto"/>
        </w:rPr>
        <w:t>7.1工程质量要求</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工程质量验收按照合同约定的验收标准执行。</w:t>
      </w:r>
    </w:p>
    <w:p>
      <w:pPr>
        <w:autoSpaceDE w:val="0"/>
        <w:autoSpaceDN w:val="0"/>
        <w:spacing w:line="440" w:lineRule="exact"/>
        <w:rPr>
          <w:rFonts w:ascii="宋体" w:hAnsi="宋体" w:cs="宋体"/>
          <w:b/>
          <w:bCs/>
          <w:color w:val="auto"/>
        </w:rPr>
      </w:pPr>
      <w:r>
        <w:rPr>
          <w:rFonts w:hint="eastAsia" w:ascii="宋体" w:hAnsi="宋体" w:cs="宋体"/>
          <w:b/>
          <w:bCs/>
          <w:color w:val="auto"/>
        </w:rPr>
        <w:t>7.2监理人的质量检查</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监理人有权对工程的所有部位及其施工工艺、材料和工程设备进行检查和检验。监理人的检查和检验，不免除承包人按合同约定应负的责任。</w:t>
      </w:r>
    </w:p>
    <w:p>
      <w:pPr>
        <w:autoSpaceDE w:val="0"/>
        <w:autoSpaceDN w:val="0"/>
        <w:spacing w:line="440" w:lineRule="exact"/>
        <w:rPr>
          <w:rFonts w:ascii="宋体" w:hAnsi="宋体" w:cs="宋体"/>
          <w:b/>
          <w:bCs/>
          <w:color w:val="auto"/>
        </w:rPr>
      </w:pPr>
      <w:r>
        <w:rPr>
          <w:rFonts w:hint="eastAsia" w:ascii="宋体" w:hAnsi="宋体" w:cs="宋体"/>
          <w:b/>
          <w:bCs/>
          <w:color w:val="auto"/>
        </w:rPr>
        <w:t>7.3工程隐蔽部位覆盖前的检查</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经承包人自检确认的工程隐蔽部位具备覆盖条件后，承包人应通知监理人在约定的期限内检查。监理人应按时到场检查。监理人未到场检查的，除监理人另有指示外，承包人可自行完成覆盖工作。无论监理人是否到场检查，对已覆盖的工程隐蔽部位，监理人可要求承包人对已覆盖的部位进行钻孔探测或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承包人未通知监理人到场检查，私自将工程隐蔽部位覆盖的，监理人有权指示承包人钻孔探测或揭开检查，无论工程隐蔽部位质量是否合格，由此增加的费用和（或）工期延误由承包人承担。</w:t>
      </w:r>
    </w:p>
    <w:p>
      <w:pPr>
        <w:autoSpaceDE w:val="0"/>
        <w:autoSpaceDN w:val="0"/>
        <w:spacing w:line="440" w:lineRule="exact"/>
        <w:rPr>
          <w:rFonts w:ascii="宋体" w:hAnsi="宋体" w:cs="宋体"/>
          <w:b/>
          <w:bCs/>
          <w:color w:val="auto"/>
        </w:rPr>
      </w:pPr>
      <w:r>
        <w:rPr>
          <w:rFonts w:hint="eastAsia" w:ascii="宋体" w:hAnsi="宋体" w:cs="宋体"/>
          <w:b/>
          <w:bCs/>
          <w:color w:val="auto"/>
        </w:rPr>
        <w:t>7.4清除不合格工程</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由于承包人的材料、工程设备，或采用施工工艺不符合合同要求造成的任何缺陷，监理人可以随时发出指示，要求承包人立即采取措施进行补救，直至达到合同要求的质量标准，由此增加的费用和（或）工期延误由承包人承担。</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8.试验和检验</w:t>
      </w:r>
    </w:p>
    <w:p>
      <w:pPr>
        <w:autoSpaceDE w:val="0"/>
        <w:autoSpaceDN w:val="0"/>
        <w:spacing w:line="440" w:lineRule="exact"/>
        <w:rPr>
          <w:rFonts w:ascii="宋体" w:hAnsi="宋体" w:cs="宋体"/>
          <w:b/>
          <w:bCs/>
          <w:color w:val="auto"/>
        </w:rPr>
      </w:pPr>
      <w:r>
        <w:rPr>
          <w:rFonts w:hint="eastAsia" w:ascii="宋体" w:hAnsi="宋体" w:cs="宋体"/>
          <w:b/>
          <w:bCs/>
          <w:color w:val="auto"/>
        </w:rPr>
        <w:t>8.1材料、工程设备和工程的试验和检验</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8.1.1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8.1.2监理人未按合同约定派员参加试验和检验的，除监理人另有指示外，承包人可自行试验和检验，并应立即将试验和检验结果报送监理人，监理人应签字确认。</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8.1.3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autoSpaceDE w:val="0"/>
        <w:autoSpaceDN w:val="0"/>
        <w:spacing w:line="440" w:lineRule="exact"/>
        <w:rPr>
          <w:rFonts w:ascii="宋体" w:hAnsi="宋体" w:cs="宋体"/>
          <w:b/>
          <w:bCs/>
          <w:color w:val="auto"/>
        </w:rPr>
      </w:pPr>
      <w:r>
        <w:rPr>
          <w:rFonts w:hint="eastAsia" w:ascii="宋体" w:hAnsi="宋体" w:cs="宋体"/>
          <w:b/>
          <w:bCs/>
          <w:color w:val="auto"/>
        </w:rPr>
        <w:t>8.2现场材料试验</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8.2.1承包人根据合同约定或监理人指示进行的现场材料试验，应由承包人提供试验场所、试验人员、试验设备器材以及其他必要的试验条件。</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8.2.2监理人在必要时可以使用承包人的试验场所、试验设备器材以及其他试验条件，进行以工程质量检查为目的的复核性材料试验，承包人应予以协助。</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9.变更</w:t>
      </w:r>
    </w:p>
    <w:p>
      <w:pPr>
        <w:autoSpaceDE w:val="0"/>
        <w:autoSpaceDN w:val="0"/>
        <w:spacing w:line="440" w:lineRule="exact"/>
        <w:rPr>
          <w:rFonts w:ascii="宋体" w:hAnsi="宋体" w:cs="宋体"/>
          <w:b/>
          <w:bCs/>
          <w:color w:val="auto"/>
        </w:rPr>
      </w:pPr>
      <w:r>
        <w:rPr>
          <w:rFonts w:hint="eastAsia" w:ascii="宋体" w:hAnsi="宋体" w:cs="宋体"/>
          <w:b/>
          <w:bCs/>
          <w:color w:val="auto"/>
        </w:rPr>
        <w:t>9.1变更权</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在履行合同过程中，经发包人同意，监理人可按第 9.2 款约定的变更程序向承包人作出变更指示，承包人应遵照执行。</w:t>
      </w:r>
    </w:p>
    <w:p>
      <w:pPr>
        <w:autoSpaceDE w:val="0"/>
        <w:autoSpaceDN w:val="0"/>
        <w:spacing w:line="440" w:lineRule="exact"/>
        <w:rPr>
          <w:rFonts w:ascii="宋体" w:hAnsi="宋体" w:cs="宋体"/>
          <w:b/>
          <w:bCs/>
          <w:color w:val="auto"/>
        </w:rPr>
      </w:pPr>
      <w:r>
        <w:rPr>
          <w:rFonts w:hint="eastAsia" w:ascii="宋体" w:hAnsi="宋体" w:cs="宋体"/>
          <w:b/>
          <w:bCs/>
          <w:color w:val="auto"/>
        </w:rPr>
        <w:t>9.2变更程序</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承包人应在收到变更指示</w:t>
      </w:r>
      <w:r>
        <w:rPr>
          <w:rFonts w:hint="eastAsia" w:ascii="宋体" w:hAnsi="宋体" w:cs="宋体"/>
          <w:color w:val="auto"/>
          <w:u w:val="single"/>
        </w:rPr>
        <w:t xml:space="preserve"> 14 </w:t>
      </w:r>
      <w:r>
        <w:rPr>
          <w:rFonts w:hint="eastAsia" w:ascii="宋体" w:hAnsi="宋体" w:cs="宋体"/>
          <w:color w:val="auto"/>
        </w:rPr>
        <w:t>天内，向监理人提交变更报价书。监理人应审查，并在收到承包人变更报价书后</w:t>
      </w:r>
      <w:r>
        <w:rPr>
          <w:rFonts w:hint="eastAsia" w:ascii="宋体" w:hAnsi="宋体" w:cs="宋体"/>
          <w:color w:val="auto"/>
          <w:u w:val="single"/>
        </w:rPr>
        <w:t xml:space="preserve"> 14 </w:t>
      </w:r>
      <w:r>
        <w:rPr>
          <w:rFonts w:hint="eastAsia" w:ascii="宋体" w:hAnsi="宋体" w:cs="宋体"/>
          <w:color w:val="auto"/>
        </w:rPr>
        <w:t>天内，与发包人和承包人共同商定此估价。在未达成协议的情况下，监理人应确定该估价。</w:t>
      </w:r>
    </w:p>
    <w:p>
      <w:pPr>
        <w:autoSpaceDE w:val="0"/>
        <w:autoSpaceDN w:val="0"/>
        <w:spacing w:line="440" w:lineRule="exact"/>
        <w:rPr>
          <w:rFonts w:ascii="宋体" w:hAnsi="宋体" w:cs="宋体"/>
          <w:b/>
          <w:bCs/>
          <w:color w:val="auto"/>
        </w:rPr>
      </w:pPr>
      <w:r>
        <w:rPr>
          <w:rFonts w:hint="eastAsia" w:ascii="宋体" w:hAnsi="宋体" w:cs="宋体"/>
          <w:b/>
          <w:bCs/>
          <w:color w:val="auto"/>
        </w:rPr>
        <w:t>9.3变更的估价原则</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除专用合同条款另有约定外，因变更引起的价格调整按照本款约定处理：</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（1）已标价工程量清单中有适用于变更工作的子目的，采用该子目的单价；</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（2）已标价工程量清单中无适用于变更工作的子目，但有类似子目的，可在合理范围内参照类似项目，由监理人按第 3.5 款商定或确定变更工作的单价；</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（3）已标价工程量清单中无适用或类似子目的单价，可按照成本加利润的原则，由监理人按第 3.5 款商定或确定变更工作的单价。</w:t>
      </w:r>
    </w:p>
    <w:p>
      <w:pPr>
        <w:autoSpaceDE w:val="0"/>
        <w:autoSpaceDN w:val="0"/>
        <w:spacing w:line="440" w:lineRule="exact"/>
        <w:rPr>
          <w:rFonts w:ascii="宋体" w:hAnsi="宋体" w:cs="宋体"/>
          <w:b/>
          <w:bCs/>
          <w:color w:val="auto"/>
        </w:rPr>
      </w:pPr>
      <w:r>
        <w:rPr>
          <w:rFonts w:hint="eastAsia" w:ascii="宋体" w:hAnsi="宋体" w:cs="宋体"/>
          <w:b/>
          <w:bCs/>
          <w:color w:val="auto"/>
        </w:rPr>
        <w:t>9.4暂列金额</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暂列金额只能按照监理人的指示使用，并对合同价格进行相应调整。</w:t>
      </w:r>
    </w:p>
    <w:p>
      <w:pPr>
        <w:autoSpaceDE w:val="0"/>
        <w:autoSpaceDN w:val="0"/>
        <w:spacing w:line="440" w:lineRule="exact"/>
        <w:rPr>
          <w:rFonts w:ascii="宋体" w:hAnsi="宋体" w:cs="宋体"/>
          <w:b/>
          <w:bCs/>
          <w:color w:val="auto"/>
        </w:rPr>
      </w:pPr>
      <w:r>
        <w:rPr>
          <w:rFonts w:hint="eastAsia" w:ascii="宋体" w:hAnsi="宋体" w:cs="宋体"/>
          <w:b/>
          <w:bCs/>
          <w:color w:val="auto"/>
        </w:rPr>
        <w:t>9.5计日工</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9.5.1发包人认为有必要时，由监理人通知承包人以计日工方式实施变更的零星工作。其价款按列入已标价工程量清单中的计日工计价子目及其单价进行计算。</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9.5.2采用计日工计价的任何一项变更工作，应从暂列金额中支付，承包人应在该项变更的实施过程中，每天提交以下报表和有关凭证报送监理人审批：</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（l）工作名称、内容和数量；</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（2）投入该工作所有人员的姓名、工种、级别和耗用工时；</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（3）投入该工作的材料类别和数量；</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（4）投入该工作的施工设备型号、台数和耗用台时；</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（5）监理人要求提交的其他资料和凭证。</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9.5.3计日工由承包人汇总后，按第 10.3 款的约定列入进度付款申请单，由监理人复核并经发包人同意后列入进度付款。</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10.支付</w:t>
      </w:r>
    </w:p>
    <w:p>
      <w:pPr>
        <w:autoSpaceDE w:val="0"/>
        <w:autoSpaceDN w:val="0"/>
        <w:spacing w:line="440" w:lineRule="exact"/>
        <w:rPr>
          <w:rFonts w:ascii="宋体" w:hAnsi="宋体" w:cs="宋体"/>
          <w:b/>
          <w:bCs/>
          <w:color w:val="auto"/>
        </w:rPr>
      </w:pPr>
      <w:r>
        <w:rPr>
          <w:rFonts w:hint="eastAsia" w:ascii="宋体" w:hAnsi="宋体" w:cs="宋体"/>
          <w:b/>
          <w:bCs/>
          <w:color w:val="auto"/>
        </w:rPr>
        <w:t>10.1预付款</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预付款用于承包人为合同工程施工购置材料、工程设备、施工设备、修建临时设施以及组织施工队伍进场等。预付款的额度及预付办法在专用合同条款中约定。预付款必须专用于合同工程。</w:t>
      </w:r>
    </w:p>
    <w:p>
      <w:pPr>
        <w:autoSpaceDE w:val="0"/>
        <w:autoSpaceDN w:val="0"/>
        <w:spacing w:line="440" w:lineRule="exact"/>
        <w:rPr>
          <w:rFonts w:ascii="宋体" w:hAnsi="宋体" w:cs="宋体"/>
          <w:b/>
          <w:bCs/>
          <w:color w:val="auto"/>
        </w:rPr>
      </w:pPr>
      <w:r>
        <w:rPr>
          <w:rFonts w:hint="eastAsia" w:ascii="宋体" w:hAnsi="宋体" w:cs="宋体"/>
          <w:b/>
          <w:bCs/>
          <w:color w:val="auto"/>
        </w:rPr>
        <w:t>10.2工程进度付款</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监理人应在收到承包人进度付款申请单以及相应的支持性证明文件后的 7 天内完成核查，并向承包人出具经发包人签认的付款证书。发包人应在监理人收到进度付款申请单的14 天内将进度应付款支付给承包人。涉及政府投资资金的，按照国库集中支付等国家相关规定和专用合同条款的约定执行。</w:t>
      </w:r>
    </w:p>
    <w:p>
      <w:pPr>
        <w:autoSpaceDE w:val="0"/>
        <w:autoSpaceDN w:val="0"/>
        <w:spacing w:line="440" w:lineRule="exact"/>
        <w:rPr>
          <w:rFonts w:ascii="宋体" w:hAnsi="宋体" w:cs="宋体"/>
          <w:b/>
          <w:bCs/>
          <w:color w:val="auto"/>
        </w:rPr>
      </w:pPr>
      <w:r>
        <w:rPr>
          <w:rFonts w:hint="eastAsia" w:ascii="宋体" w:hAnsi="宋体" w:cs="宋体"/>
          <w:b/>
          <w:bCs/>
          <w:color w:val="auto"/>
        </w:rPr>
        <w:t>10.3质量保证金</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在专用合同条款约定的缺陷责任期满时，承包人向发包人申请到期应返还承包人剩余的质量保证金金额，发包人应在 14 天内会同承包人按照合同约定的内容核实承包人是否完成缺陷责任，并将无异议的剩余质量保证金返还承包人。</w:t>
      </w:r>
    </w:p>
    <w:p>
      <w:pPr>
        <w:autoSpaceDE w:val="0"/>
        <w:autoSpaceDN w:val="0"/>
        <w:spacing w:line="440" w:lineRule="exact"/>
        <w:rPr>
          <w:rFonts w:ascii="宋体" w:hAnsi="宋体" w:cs="宋体"/>
          <w:b/>
          <w:bCs/>
          <w:color w:val="auto"/>
        </w:rPr>
      </w:pPr>
      <w:r>
        <w:rPr>
          <w:rFonts w:hint="eastAsia" w:ascii="宋体" w:hAnsi="宋体" w:cs="宋体"/>
          <w:b/>
          <w:bCs/>
          <w:color w:val="auto"/>
        </w:rPr>
        <w:t>10.4竣工结算</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10.4.1除专用合同条款另有约定外，竣工结算价格不因物价波动和法律变化而调整。</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10.4.2工程接收证书颁发后，承包人应按专用合同条款约定的份数和期限向监理人提交竣工付款申请单，并提供相关证明材料。监理人应当在收到竣工结算申请单的 7 天内完成核查、准备竣工付款证书并送发包人审核，发包人应在收到后 14 天内提出具体意见或签认竣工付款证书，并在监理人收到竣工结算申请单的 28 天内将应付款支付给承包人。发包人未在约定时间内审核并提出具体意见或者签认竣工付款证书的，视为同意承包人提出的竣工付款金额。</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10.4.3竣工付款涉及政府投资资金的，按照国库集中支付等国家相关规定和专用合同条款的约定执行。</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11.竣工验收</w:t>
      </w:r>
    </w:p>
    <w:p>
      <w:pPr>
        <w:autoSpaceDE w:val="0"/>
        <w:autoSpaceDN w:val="0"/>
        <w:spacing w:line="440" w:lineRule="exact"/>
        <w:rPr>
          <w:rFonts w:ascii="宋体" w:hAnsi="宋体" w:cs="宋体"/>
          <w:b/>
          <w:bCs/>
          <w:color w:val="auto"/>
        </w:rPr>
      </w:pPr>
      <w:r>
        <w:rPr>
          <w:rFonts w:hint="eastAsia" w:ascii="宋体" w:hAnsi="宋体" w:cs="宋体"/>
          <w:b/>
          <w:bCs/>
          <w:color w:val="auto"/>
        </w:rPr>
        <w:t>11.1竣工验收的含义</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11.1.1竣工验收是指承包人完成了全部合同工作后，发包人按合同要求进行的验收。</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11.1.2需要进行国家验收的，竣工验收是国家验收的一部分。竣工验收所采用的各项验收和评定标准应符合国家验收标准。发包人和承包人为竣工验收提供的各项竣工验收资料应符合国家验收的要求。</w:t>
      </w:r>
    </w:p>
    <w:p>
      <w:pPr>
        <w:autoSpaceDE w:val="0"/>
        <w:autoSpaceDN w:val="0"/>
        <w:spacing w:line="440" w:lineRule="exact"/>
        <w:rPr>
          <w:rFonts w:ascii="宋体" w:hAnsi="宋体" w:cs="宋体"/>
          <w:b/>
          <w:bCs/>
          <w:color w:val="auto"/>
        </w:rPr>
      </w:pPr>
      <w:r>
        <w:rPr>
          <w:rFonts w:hint="eastAsia" w:ascii="宋体" w:hAnsi="宋体" w:cs="宋体"/>
          <w:b/>
          <w:bCs/>
          <w:color w:val="auto"/>
        </w:rPr>
        <w:t>11.2竣工验收申请报告</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当工程具备竣工条件时，承包人即可向监理人报送竣工验收申请报告。</w:t>
      </w:r>
    </w:p>
    <w:p>
      <w:pPr>
        <w:autoSpaceDE w:val="0"/>
        <w:autoSpaceDN w:val="0"/>
        <w:spacing w:line="440" w:lineRule="exact"/>
        <w:rPr>
          <w:rFonts w:ascii="宋体" w:hAnsi="宋体" w:cs="宋体"/>
          <w:b/>
          <w:bCs/>
          <w:color w:val="auto"/>
        </w:rPr>
      </w:pPr>
      <w:r>
        <w:rPr>
          <w:rFonts w:hint="eastAsia" w:ascii="宋体" w:hAnsi="宋体" w:cs="宋体"/>
          <w:b/>
          <w:bCs/>
          <w:color w:val="auto"/>
        </w:rPr>
        <w:t>11.3竣工和验收</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监理人审查后认为具备竣工验收条件的，提请发包人进行工程验收。发包人经过验收后同意接收工程的，由监理人向承包人出具经发包人签认的工程接收证书。</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除专用合同条款另有约定外，经验收合格工程的实际竣工日期，以提交竣工验收申请报告的日期为准，并在工程接收证书中写明。</w:t>
      </w:r>
    </w:p>
    <w:p>
      <w:pPr>
        <w:autoSpaceDE w:val="0"/>
        <w:autoSpaceDN w:val="0"/>
        <w:spacing w:line="440" w:lineRule="exact"/>
        <w:rPr>
          <w:rFonts w:ascii="宋体" w:hAnsi="宋体" w:cs="宋体"/>
          <w:b/>
          <w:bCs/>
          <w:color w:val="auto"/>
        </w:rPr>
      </w:pPr>
      <w:r>
        <w:rPr>
          <w:rFonts w:hint="eastAsia" w:ascii="宋体" w:hAnsi="宋体" w:cs="宋体"/>
          <w:b/>
          <w:bCs/>
          <w:color w:val="auto"/>
        </w:rPr>
        <w:t>11.4试运行</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除专用合同条款另有约定外，承包人应按专用合同条款约定进行工程及工程设备试运行，负责提供试运行所需的人员、器材和必要的条件，并承担全部试运行费用。</w:t>
      </w:r>
    </w:p>
    <w:p>
      <w:pPr>
        <w:autoSpaceDE w:val="0"/>
        <w:autoSpaceDN w:val="0"/>
        <w:spacing w:line="440" w:lineRule="exact"/>
        <w:rPr>
          <w:rFonts w:ascii="宋体" w:hAnsi="宋体" w:cs="宋体"/>
          <w:b/>
          <w:bCs/>
          <w:color w:val="auto"/>
        </w:rPr>
      </w:pPr>
      <w:r>
        <w:rPr>
          <w:rFonts w:hint="eastAsia" w:ascii="宋体" w:hAnsi="宋体" w:cs="宋体"/>
          <w:b/>
          <w:bCs/>
          <w:color w:val="auto"/>
        </w:rPr>
        <w:t>11.5竣工清场</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除合同另有约定外，工程接收证书颁发后，承包人应对施工场地进行清理，直至监理人检验合格为止。竣工清场费用由承包人承担。</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12.缺陷责任与保修责任</w:t>
      </w:r>
    </w:p>
    <w:p>
      <w:pPr>
        <w:autoSpaceDE w:val="0"/>
        <w:autoSpaceDN w:val="0"/>
        <w:spacing w:line="440" w:lineRule="exact"/>
        <w:rPr>
          <w:rFonts w:ascii="宋体" w:hAnsi="宋体" w:cs="宋体"/>
          <w:b/>
          <w:bCs/>
          <w:color w:val="auto"/>
        </w:rPr>
      </w:pPr>
      <w:r>
        <w:rPr>
          <w:rFonts w:hint="eastAsia" w:ascii="宋体" w:hAnsi="宋体" w:cs="宋体"/>
          <w:b/>
          <w:bCs/>
          <w:color w:val="auto"/>
        </w:rPr>
        <w:t>12.1缺陷责任</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缺陷责任自实际竣工日期起计算。在缺陷责任期内，已交付的工程由于承包人的材料、设备或工艺不符合合同要求所产生的缺陷，修补费用由承包人承担。由于承包人原因造成某项缺陷或损坏使某项工程或工程设备不能按原定目标使用而需要再次检查、检验和修复的，发包人有权要求承包人相应延长缺陷责任期，但缺陷责任期最长不超过</w:t>
      </w:r>
      <w:r>
        <w:rPr>
          <w:rFonts w:hint="eastAsia" w:ascii="宋体" w:hAnsi="宋体" w:cs="宋体"/>
          <w:color w:val="auto"/>
          <w:u w:val="single"/>
        </w:rPr>
        <w:t xml:space="preserve"> 2 </w:t>
      </w:r>
      <w:r>
        <w:rPr>
          <w:rFonts w:hint="eastAsia" w:ascii="宋体" w:hAnsi="宋体" w:cs="宋体"/>
          <w:color w:val="auto"/>
        </w:rPr>
        <w:t>年。</w:t>
      </w:r>
    </w:p>
    <w:p>
      <w:pPr>
        <w:autoSpaceDE w:val="0"/>
        <w:autoSpaceDN w:val="0"/>
        <w:spacing w:line="440" w:lineRule="exact"/>
        <w:rPr>
          <w:rFonts w:ascii="宋体" w:hAnsi="宋体" w:cs="宋体"/>
          <w:b/>
          <w:bCs/>
          <w:color w:val="auto"/>
        </w:rPr>
      </w:pPr>
      <w:r>
        <w:rPr>
          <w:rFonts w:hint="eastAsia" w:ascii="宋体" w:hAnsi="宋体" w:cs="宋体"/>
          <w:b/>
          <w:bCs/>
          <w:color w:val="auto"/>
        </w:rPr>
        <w:t>12.2保修责任</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合同当事人根据有关法律规定，在专用合同条款中约定工程质量保修范围、期限和责任。保修期自实际竣工日期起计算。</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13.保险</w:t>
      </w:r>
    </w:p>
    <w:p>
      <w:pPr>
        <w:autoSpaceDE w:val="0"/>
        <w:autoSpaceDN w:val="0"/>
        <w:spacing w:line="440" w:lineRule="exact"/>
        <w:rPr>
          <w:rFonts w:ascii="宋体" w:hAnsi="宋体" w:cs="宋体"/>
          <w:b/>
          <w:bCs/>
          <w:color w:val="auto"/>
        </w:rPr>
      </w:pPr>
      <w:r>
        <w:rPr>
          <w:rFonts w:hint="eastAsia" w:ascii="宋体" w:hAnsi="宋体" w:cs="宋体"/>
          <w:b/>
          <w:bCs/>
          <w:color w:val="auto"/>
        </w:rPr>
        <w:t>13.1保险范围</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13.1.1承包人按照专用合同条款的约定向双方同意的保险人投保建筑工程一切险或安装工程一切险等保险。具体的投保险种、保险范围、保险金额、保险费率、保险期限等有关内容应当在专用合同条款中明确约定。</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13.1.2承包人应依照有关法律规定参加工伤保险和人身意外伤害险，为其履行合同所雇佣的全部人员，缴纳工伤保险费和人身意外伤害险费。</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13.1.3发包人应依照有关法律规定参加工伤保险和人身意外伤害险，为其现场机构雇佣的全部人员，缴纳工伤保险费和人身意外伤害险费，并要求其监理人也进行此类保险。</w:t>
      </w:r>
    </w:p>
    <w:p>
      <w:pPr>
        <w:autoSpaceDE w:val="0"/>
        <w:autoSpaceDN w:val="0"/>
        <w:spacing w:line="440" w:lineRule="exact"/>
        <w:rPr>
          <w:rFonts w:ascii="宋体" w:hAnsi="宋体" w:cs="宋体"/>
          <w:b/>
          <w:bCs/>
          <w:color w:val="auto"/>
        </w:rPr>
      </w:pPr>
      <w:r>
        <w:rPr>
          <w:rFonts w:hint="eastAsia" w:ascii="宋体" w:hAnsi="宋体" w:cs="宋体"/>
          <w:b/>
          <w:bCs/>
          <w:color w:val="auto"/>
        </w:rPr>
        <w:t>13.2未办理保险</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13.2.1由于负有投保义务的一方当事人未按合同约定办理保险，或未能使保险持续有效的，另一方当事人可代为办理，所需费用由对方当事人承担。</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13.2.2由于负有投保义务的一方当事人未按合同约定办理某项保险，导致受益人未能得到保险人的赔偿，原应从该项保险得到的保险金应由负有投保义务的一方当事人支付。</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14.不可抗力</w:t>
      </w:r>
    </w:p>
    <w:p>
      <w:pPr>
        <w:autoSpaceDE w:val="0"/>
        <w:autoSpaceDN w:val="0"/>
        <w:spacing w:line="440" w:lineRule="exact"/>
        <w:rPr>
          <w:rFonts w:ascii="宋体" w:hAnsi="宋体" w:cs="宋体"/>
          <w:b/>
          <w:bCs/>
          <w:color w:val="auto"/>
        </w:rPr>
      </w:pPr>
      <w:r>
        <w:rPr>
          <w:rFonts w:hint="eastAsia" w:ascii="宋体" w:hAnsi="宋体" w:cs="宋体"/>
          <w:b/>
          <w:bCs/>
          <w:color w:val="auto"/>
        </w:rPr>
        <w:t>14.1不可抗力的确认</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14.1.1不可抗力是指承包人和发包人在订立合同时不可预见，在履行合同过程中不可避免发生并不能克服的自然灾害和社会性突发事件，如地震、海啸、瘟疫、水灾、骚乱、暴动、战争和专用合同条款约定的其他情形。</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14.1.2不可抗力发生后，发包人和承包人应及时认真统计所造成的损失，收集不可抗力造成损失的证据。合同双方对是否属于不可抗力或其损失的意见不一致的，由监理人按第 3.5 款商定或确定。发生争议时，按第 17 条的约定执行。</w:t>
      </w:r>
    </w:p>
    <w:p>
      <w:pPr>
        <w:autoSpaceDE w:val="0"/>
        <w:autoSpaceDN w:val="0"/>
        <w:spacing w:line="440" w:lineRule="exact"/>
        <w:rPr>
          <w:rFonts w:ascii="宋体" w:hAnsi="宋体" w:cs="宋体"/>
          <w:b/>
          <w:bCs/>
          <w:color w:val="auto"/>
        </w:rPr>
      </w:pPr>
      <w:r>
        <w:rPr>
          <w:rFonts w:hint="eastAsia" w:ascii="宋体" w:hAnsi="宋体" w:cs="宋体"/>
          <w:b/>
          <w:bCs/>
          <w:color w:val="auto"/>
        </w:rPr>
        <w:t>14.2不可抗力的通知</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合同一方当事人遇到不可抗力事件，使其履行合同义务受到阻碍时，应立即通知合同另一方当事人和监理人，书面说明不可抗力和受阻碍的详细情况，并提供必要的证明。如不可抗力持续发生，合同一方当事人应及时向合同另一方当事人和监理人提交中间报告，说明不可抗力和履行合同受阻的情况，并于不可抗力事件结束后14天内提交最终报告及有关资料。</w:t>
      </w:r>
    </w:p>
    <w:p>
      <w:pPr>
        <w:autoSpaceDE w:val="0"/>
        <w:autoSpaceDN w:val="0"/>
        <w:spacing w:line="440" w:lineRule="exact"/>
        <w:rPr>
          <w:rFonts w:ascii="宋体" w:hAnsi="宋体" w:cs="宋体"/>
          <w:b/>
          <w:bCs/>
          <w:color w:val="auto"/>
        </w:rPr>
      </w:pPr>
      <w:r>
        <w:rPr>
          <w:rFonts w:hint="eastAsia" w:ascii="宋体" w:hAnsi="宋体" w:cs="宋体"/>
          <w:b/>
          <w:bCs/>
          <w:color w:val="auto"/>
        </w:rPr>
        <w:t>14.3不可抗力后果及其处理</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除专用合同条款另有约定外，不可抗力导致的人员伤亡、财产损失、费用增加和（或） 工期延误等后果，由合同双方按以下原则承担：</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（1）永久工程，包括已运至施工场地的材料和工程设备的损害，以及因工程损害造成的第三者人员伤亡和财产损失由发包人承担；</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（2）承包人设备的损坏由承包人承担；</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（3）发包人和承包人各自承担其人员伤亡和其他财产损失及其相关费用；</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（4）承包人的停工损失由承包人承担，但停工期间应监理人要求照管工程和清理、修复工程的金额由发包人承担；</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（5）不能按期竣工的，应合理延长工期，承包人不需支付逾期竣工违约金。发包人要求赶工的，承包人应采取赶工措施，赶工费用由发包人承担。</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15.违约</w:t>
      </w:r>
    </w:p>
    <w:p>
      <w:pPr>
        <w:autoSpaceDE w:val="0"/>
        <w:autoSpaceDN w:val="0"/>
        <w:spacing w:line="440" w:lineRule="exact"/>
        <w:rPr>
          <w:rFonts w:ascii="宋体" w:hAnsi="宋体" w:cs="宋体"/>
          <w:b/>
          <w:bCs/>
          <w:color w:val="auto"/>
        </w:rPr>
      </w:pPr>
      <w:r>
        <w:rPr>
          <w:rFonts w:hint="eastAsia" w:ascii="宋体" w:hAnsi="宋体" w:cs="宋体"/>
          <w:b/>
          <w:bCs/>
          <w:color w:val="auto"/>
        </w:rPr>
        <w:t>15.1承包人违约</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15.1.1如果承包人拒绝或未能遵守监理人的指示，或未能按合同进度计划及时完成合同约定的工作，已造成或预期造成工期延误，或违反合同不顾书面警告，监理人可发出通知，告知承包人违约。</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15.1.2如果承包人在收到监理人通知后 21 天内，没有采取可行的措施纠正违约，发包人可向承包人发出解除合同通知。发包人因继续完成该工程的需要，有权扣留使用承包人在现场的材料、设备和临时设施。但发包人的这一行动不免除承包人应承担的违约责任，也不影响发包人根据合同约定享有的索赔权利。</w:t>
      </w:r>
    </w:p>
    <w:p>
      <w:pPr>
        <w:autoSpaceDE w:val="0"/>
        <w:autoSpaceDN w:val="0"/>
        <w:spacing w:line="440" w:lineRule="exact"/>
        <w:rPr>
          <w:rFonts w:ascii="宋体" w:hAnsi="宋体" w:cs="宋体"/>
          <w:b/>
          <w:bCs/>
          <w:color w:val="auto"/>
        </w:rPr>
      </w:pPr>
      <w:r>
        <w:rPr>
          <w:rFonts w:hint="eastAsia" w:ascii="宋体" w:hAnsi="宋体" w:cs="宋体"/>
          <w:b/>
          <w:bCs/>
          <w:color w:val="auto"/>
        </w:rPr>
        <w:t>15.2发包人违约</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15.2.1如果发包人未能按合同付款，或违反合同不顾书面警告，承包人可发出通知， 告知发包人违约。如果发包人在收到该通知后 14 天内未纠正违约，承包人可暂停工作或放慢工作进度。</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15.2.2如果发包人收到承包人通知后 28 内未纠正违约，承包人可向发包人发出解除合同通知。合同解除后，承包人应妥善做好已竣工工程和已购材料、设备的保护和移交工作，按发包人要求将承包人设备和人员撤出施工场地，同时发包人应为承包人的撤出提供必要条件，但承包人的这一行动不免除发包人应承担的违约责任，也不影响承包人根据合同约定享有的索赔权利。</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16.索赔</w:t>
      </w:r>
    </w:p>
    <w:p>
      <w:pPr>
        <w:autoSpaceDE w:val="0"/>
        <w:autoSpaceDN w:val="0"/>
        <w:spacing w:line="440" w:lineRule="exact"/>
        <w:rPr>
          <w:rFonts w:ascii="宋体" w:hAnsi="宋体" w:cs="宋体"/>
          <w:b/>
          <w:bCs/>
          <w:color w:val="auto"/>
        </w:rPr>
      </w:pPr>
      <w:r>
        <w:rPr>
          <w:rFonts w:hint="eastAsia" w:ascii="宋体" w:hAnsi="宋体" w:cs="宋体"/>
          <w:b/>
          <w:bCs/>
          <w:color w:val="auto"/>
        </w:rPr>
        <w:t>16.1承包人索赔的提出</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根据合同约定，承包人认为有权得到追加付款和（或）延长工期的，应按以下程序向发包人提出索赔：</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（l）承包人应在知道或应当知道索赔事件发生后 14 天内，向监理人递交索赔通知书。索赔通知书应详细说明索赔理由以及要求追加的付款金额和（或）延长的工期，并附必要的记录和证明材料；</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（2）索赔事件具有连续影响的，承包人应在索赔事件影响结束后的 14 天内，向监理人递交最终索赔通知书，说明最终要求索赔的追加付款金额和延长的工期，并附必要的记录和证明材料；</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（3）承包人未在前述 14 天内递交索赔通知书的，丧失要求追加付款和（或）延长工期的权利。</w:t>
      </w:r>
    </w:p>
    <w:p>
      <w:pPr>
        <w:autoSpaceDE w:val="0"/>
        <w:autoSpaceDN w:val="0"/>
        <w:spacing w:line="440" w:lineRule="exact"/>
        <w:rPr>
          <w:rFonts w:ascii="宋体" w:hAnsi="宋体" w:cs="宋体"/>
          <w:b/>
          <w:bCs/>
          <w:color w:val="auto"/>
        </w:rPr>
      </w:pPr>
      <w:r>
        <w:rPr>
          <w:rFonts w:hint="eastAsia" w:ascii="宋体" w:hAnsi="宋体" w:cs="宋体"/>
          <w:b/>
          <w:bCs/>
          <w:color w:val="auto"/>
        </w:rPr>
        <w:t>16.2承包人索赔处理程序</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（1）监理人收到承包人提交的索赔通知书后，应按第 3.5 款商定或确定追加的付款</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和（或）延长的工期，并在收到上述索赔通知书或有关索赔的进一步证明材料后的 14 天内，将索赔处理结果答复承包人。</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（2）承包人接受索赔处理结果的，发包人应在作出索赔处理结果答复后 14 天内完成</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赔付。承包人不接受索赔处理结果的，按第 17 条的约定执行。</w:t>
      </w:r>
    </w:p>
    <w:p>
      <w:pPr>
        <w:autoSpaceDE w:val="0"/>
        <w:autoSpaceDN w:val="0"/>
        <w:spacing w:line="440" w:lineRule="exact"/>
        <w:rPr>
          <w:rFonts w:ascii="宋体" w:hAnsi="宋体" w:cs="宋体"/>
          <w:b/>
          <w:bCs/>
          <w:color w:val="auto"/>
        </w:rPr>
      </w:pPr>
      <w:r>
        <w:rPr>
          <w:rFonts w:hint="eastAsia" w:ascii="宋体" w:hAnsi="宋体" w:cs="宋体"/>
          <w:b/>
          <w:bCs/>
          <w:color w:val="auto"/>
        </w:rPr>
        <w:t>16.3承包人提出索赔的期限</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承包人按第 10.5 款的约定接受了竣工付款证书后，应被认为已无权再提出在合同工程接收证书颁发前所发生的任何索赔。</w:t>
      </w:r>
    </w:p>
    <w:p>
      <w:pPr>
        <w:autoSpaceDE w:val="0"/>
        <w:autoSpaceDN w:val="0"/>
        <w:spacing w:line="440" w:lineRule="exact"/>
        <w:rPr>
          <w:rFonts w:ascii="宋体" w:hAnsi="宋体" w:cs="宋体"/>
          <w:b/>
          <w:bCs/>
          <w:color w:val="auto"/>
        </w:rPr>
      </w:pPr>
      <w:r>
        <w:rPr>
          <w:rFonts w:hint="eastAsia" w:ascii="宋体" w:hAnsi="宋体" w:cs="宋体"/>
          <w:b/>
          <w:bCs/>
          <w:color w:val="auto"/>
        </w:rPr>
        <w:t>16.4发包人索赔的提出</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根据合同约定，发包人认为有权得到追加付款和（或）延长工期的，应按以下程序向承包人提出索赔：</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（l）监理人应在知道或应当知道索赔事件发生后 14 天内，向承包人递交索赔通知书。索赔通知书应详细说明索赔理由以及要求追加的付款金额和（或）延长的工期，并附必要的记录和证明材料；</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（2）索赔事件具有连续影响的，监理人应在索赔事件影响结束后的 14 天内，向承包人递交最终索赔通知书，说明最终要求索赔的追加付款金额和延长的工期，并附必要的记录和证明材料。</w:t>
      </w:r>
    </w:p>
    <w:p>
      <w:pPr>
        <w:autoSpaceDE w:val="0"/>
        <w:autoSpaceDN w:val="0"/>
        <w:spacing w:line="440" w:lineRule="exact"/>
        <w:rPr>
          <w:rFonts w:ascii="宋体" w:hAnsi="宋体" w:cs="宋体"/>
          <w:b/>
          <w:bCs/>
          <w:color w:val="auto"/>
        </w:rPr>
      </w:pPr>
      <w:r>
        <w:rPr>
          <w:rFonts w:hint="eastAsia" w:ascii="宋体" w:hAnsi="宋体" w:cs="宋体"/>
          <w:b/>
          <w:bCs/>
          <w:color w:val="auto"/>
        </w:rPr>
        <w:t>16.5发包人索赔处理程序</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（1）承包人收到监理人提交的索赔通知书后，应按第 3.5 款商定或确定追加的付款和（或）延长的工期，并在收到上述索赔通知书或有关索赔的进一步证明材料后的 14 天内，将索赔处理结果答复监理人。</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（2）监理人接受索赔处理结果的，承包人应在作出索赔处理结果答复后 14 天内完成赔付。监理人不接受索赔处理结果的，按第 17 条的约定执行。</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17.争议的解决</w:t>
      </w:r>
    </w:p>
    <w:p>
      <w:pPr>
        <w:autoSpaceDE w:val="0"/>
        <w:autoSpaceDN w:val="0"/>
        <w:spacing w:line="440" w:lineRule="exact"/>
        <w:rPr>
          <w:rFonts w:ascii="宋体" w:hAnsi="宋体" w:cs="宋体"/>
          <w:b/>
          <w:bCs/>
          <w:color w:val="auto"/>
        </w:rPr>
      </w:pPr>
      <w:r>
        <w:rPr>
          <w:rFonts w:hint="eastAsia" w:ascii="宋体" w:hAnsi="宋体" w:cs="宋体"/>
          <w:b/>
          <w:bCs/>
          <w:color w:val="auto"/>
        </w:rPr>
        <w:t>17.1争议的解决方式</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（l）向约定的仲裁委员会申请仲裁；</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（2）向有管辖权的人民法院提起诉讼。</w:t>
      </w:r>
    </w:p>
    <w:p>
      <w:pPr>
        <w:autoSpaceDE w:val="0"/>
        <w:autoSpaceDN w:val="0"/>
        <w:spacing w:line="440" w:lineRule="exact"/>
        <w:rPr>
          <w:rFonts w:ascii="宋体" w:hAnsi="宋体" w:cs="宋体"/>
          <w:b/>
          <w:bCs/>
          <w:color w:val="auto"/>
        </w:rPr>
      </w:pPr>
      <w:r>
        <w:rPr>
          <w:rFonts w:hint="eastAsia" w:ascii="宋体" w:hAnsi="宋体" w:cs="宋体"/>
          <w:b/>
          <w:bCs/>
          <w:color w:val="auto"/>
        </w:rPr>
        <w:t>17.2友好解决</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在提请争议评审、仲裁或者诉讼前，以及在争议评审、仲裁或诉讼过程中，发包人和承包人均可共同努力友好协商解决争议。</w:t>
      </w:r>
    </w:p>
    <w:p>
      <w:pPr>
        <w:autoSpaceDE w:val="0"/>
        <w:autoSpaceDN w:val="0"/>
        <w:spacing w:line="440" w:lineRule="exact"/>
        <w:rPr>
          <w:rFonts w:ascii="宋体" w:hAnsi="宋体" w:cs="宋体"/>
          <w:b/>
          <w:bCs/>
          <w:color w:val="auto"/>
        </w:rPr>
      </w:pPr>
      <w:r>
        <w:rPr>
          <w:rFonts w:hint="eastAsia" w:ascii="宋体" w:hAnsi="宋体" w:cs="宋体"/>
          <w:b/>
          <w:bCs/>
          <w:color w:val="auto"/>
        </w:rPr>
        <w:t>17.3争议评审</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17.3.1采用争议评审的，发包人和承包人应当在专用合同条款中约定争议评审的程序和规则，并在开工日后的 28 天内或在争议发生后，协商成立争议评审组。</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17.3.2发包人和承包人接受评审意见的，由监理人根据评审意见拟定执行协议，经争议双方签字后作为合同的补充文件，并遵照执行。</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17.3.3发包人或承包人不接受评审意见，并要求提交仲裁或提起诉讼的，应在收到评审意见后的 14 天内将仲裁或起诉意向书面通知另一方，并抄送监理人，但在仲裁或诉讼结束前应暂按总监理工程师的确定执行。</w:t>
      </w:r>
    </w:p>
    <w:p>
      <w:pPr>
        <w:widowControl/>
        <w:jc w:val="left"/>
        <w:rPr>
          <w:rFonts w:ascii="宋体" w:hAnsi="宋体" w:cs="宋体"/>
          <w:color w:val="auto"/>
        </w:rPr>
      </w:pPr>
      <w:bookmarkStart w:id="492" w:name="_Toc22471_WPSOffice_Level2"/>
      <w:r>
        <w:rPr>
          <w:rFonts w:hint="eastAsia" w:ascii="宋体" w:hAnsi="宋体" w:cs="宋体"/>
          <w:color w:val="auto"/>
        </w:rPr>
        <w:br w:type="page"/>
      </w:r>
    </w:p>
    <w:p>
      <w:pPr>
        <w:autoSpaceDE w:val="0"/>
        <w:autoSpaceDN w:val="0"/>
        <w:spacing w:line="360" w:lineRule="auto"/>
        <w:ind w:firstLine="643" w:firstLineChars="200"/>
        <w:jc w:val="center"/>
        <w:rPr>
          <w:rFonts w:ascii="宋体" w:hAnsi="宋体" w:cs="宋体"/>
          <w:color w:val="auto"/>
        </w:rPr>
      </w:pPr>
      <w:r>
        <w:rPr>
          <w:rFonts w:hint="eastAsia" w:ascii="宋体" w:hAnsi="宋体" w:cs="宋体"/>
          <w:b/>
          <w:bCs/>
          <w:color w:val="auto"/>
          <w:sz w:val="32"/>
          <w:szCs w:val="32"/>
        </w:rPr>
        <w:t>第二节</w:t>
      </w:r>
      <w:r>
        <w:rPr>
          <w:rFonts w:hint="eastAsia" w:ascii="宋体" w:hAnsi="宋体" w:cs="宋体"/>
          <w:b/>
          <w:bCs/>
          <w:color w:val="auto"/>
          <w:sz w:val="32"/>
          <w:szCs w:val="32"/>
        </w:rPr>
        <w:tab/>
      </w:r>
      <w:r>
        <w:rPr>
          <w:rFonts w:hint="eastAsia" w:ascii="宋体" w:hAnsi="宋体" w:cs="宋体"/>
          <w:b/>
          <w:bCs/>
          <w:color w:val="auto"/>
          <w:sz w:val="32"/>
          <w:szCs w:val="32"/>
        </w:rPr>
        <w:t>专用合同条款</w:t>
      </w:r>
      <w:bookmarkEnd w:id="492"/>
    </w:p>
    <w:p>
      <w:pPr>
        <w:autoSpaceDE w:val="0"/>
        <w:autoSpaceDN w:val="0"/>
        <w:spacing w:line="440" w:lineRule="exact"/>
        <w:ind w:firstLine="420" w:firstLineChars="200"/>
        <w:jc w:val="center"/>
        <w:rPr>
          <w:rFonts w:ascii="宋体" w:hAnsi="宋体" w:cs="宋体"/>
          <w:color w:val="auto"/>
        </w:rPr>
      </w:pPr>
      <w:r>
        <w:rPr>
          <w:rFonts w:hint="eastAsia" w:ascii="宋体" w:hAnsi="宋体" w:cs="宋体"/>
          <w:color w:val="auto"/>
        </w:rPr>
        <w:t>（本专用条款仅供参考，具体以业主和成交单位合同谈判为准）</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说明：合同通用条款如没有做出规定或与专用条款之规定有冲突，则以专用条款的规定为准。</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1.一般约定</w:t>
      </w:r>
    </w:p>
    <w:p>
      <w:pPr>
        <w:autoSpaceDE w:val="0"/>
        <w:autoSpaceDN w:val="0"/>
        <w:spacing w:line="440" w:lineRule="exact"/>
        <w:rPr>
          <w:rFonts w:ascii="宋体" w:hAnsi="宋体" w:cs="宋体"/>
          <w:b/>
          <w:bCs/>
          <w:color w:val="auto"/>
        </w:rPr>
      </w:pPr>
      <w:r>
        <w:rPr>
          <w:rFonts w:hint="eastAsia" w:ascii="宋体" w:hAnsi="宋体" w:cs="宋体"/>
          <w:b/>
          <w:bCs/>
          <w:color w:val="auto"/>
        </w:rPr>
        <w:t>1.1词语定义</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1.1.1合同当事人和人员</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1.1.1.2发包人：</w:t>
      </w:r>
      <w:r>
        <w:rPr>
          <w:rFonts w:hint="eastAsia" w:ascii="宋体" w:hAnsi="宋体" w:cs="宋体"/>
          <w:color w:val="auto"/>
          <w:u w:val="single"/>
        </w:rPr>
        <w:tab/>
      </w:r>
      <w:r>
        <w:rPr>
          <w:rFonts w:hint="eastAsia" w:ascii="宋体" w:hAnsi="宋体" w:cs="宋体"/>
          <w:color w:val="auto"/>
        </w:rPr>
        <w:t>。</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1.1.1.3承包人：</w:t>
      </w:r>
      <w:r>
        <w:rPr>
          <w:rFonts w:hint="eastAsia" w:ascii="宋体" w:hAnsi="宋体" w:cs="宋体"/>
          <w:color w:val="auto"/>
          <w:u w:val="single"/>
        </w:rPr>
        <w:t xml:space="preserve"> (签约后填入承包人的名称) </w:t>
      </w:r>
      <w:r>
        <w:rPr>
          <w:rFonts w:hint="eastAsia" w:ascii="宋体" w:hAnsi="宋体" w:cs="宋体"/>
          <w:color w:val="auto"/>
        </w:rPr>
        <w:t>。</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1.1.1.5分包人：</w:t>
      </w:r>
      <w:r>
        <w:rPr>
          <w:rFonts w:hint="eastAsia" w:ascii="宋体" w:hAnsi="宋体" w:cs="宋体"/>
          <w:color w:val="auto"/>
          <w:u w:val="single"/>
        </w:rPr>
        <w:tab/>
      </w:r>
      <w:r>
        <w:rPr>
          <w:rFonts w:hint="eastAsia" w:ascii="宋体" w:hAnsi="宋体" w:cs="宋体"/>
          <w:color w:val="auto"/>
          <w:u w:val="single"/>
        </w:rPr>
        <w:t xml:space="preserve">(签约后填入分包人的名称) </w:t>
      </w:r>
      <w:r>
        <w:rPr>
          <w:rFonts w:hint="eastAsia" w:ascii="宋体" w:hAnsi="宋体" w:cs="宋体"/>
          <w:color w:val="auto"/>
        </w:rPr>
        <w:t>。</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1.1.1.6监理人：</w:t>
      </w:r>
      <w:r>
        <w:rPr>
          <w:rFonts w:hint="eastAsia" w:ascii="宋体" w:hAnsi="宋体" w:cs="宋体"/>
          <w:color w:val="auto"/>
          <w:u w:val="single"/>
        </w:rPr>
        <w:tab/>
      </w:r>
      <w:r>
        <w:rPr>
          <w:rFonts w:hint="eastAsia" w:ascii="宋体" w:hAnsi="宋体" w:cs="宋体"/>
          <w:color w:val="auto"/>
          <w:u w:val="single"/>
        </w:rPr>
        <w:t xml:space="preserve">(填入监理人名称) </w:t>
      </w:r>
      <w:r>
        <w:rPr>
          <w:rFonts w:hint="eastAsia" w:ascii="宋体" w:hAnsi="宋体" w:cs="宋体"/>
          <w:color w:val="auto"/>
        </w:rPr>
        <w:t>。</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1.1.2日期</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1.1.2.1缺陷责任期（工程质量保修期）：</w:t>
      </w:r>
      <w:r>
        <w:rPr>
          <w:rFonts w:hint="eastAsia" w:ascii="宋体" w:hAnsi="宋体" w:cs="宋体"/>
          <w:color w:val="auto"/>
          <w:u w:val="single"/>
        </w:rPr>
        <w:t xml:space="preserve"> 工程竣工验收后一年</w:t>
      </w:r>
      <w:r>
        <w:rPr>
          <w:rFonts w:hint="eastAsia" w:ascii="宋体" w:hAnsi="宋体" w:cs="宋体"/>
          <w:color w:val="auto"/>
          <w:u w:val="single"/>
        </w:rPr>
        <w:tab/>
      </w:r>
      <w:r>
        <w:rPr>
          <w:rFonts w:hint="eastAsia" w:ascii="宋体" w:hAnsi="宋体" w:cs="宋体"/>
          <w:color w:val="auto"/>
        </w:rPr>
        <w:t>。</w:t>
      </w:r>
    </w:p>
    <w:p>
      <w:pPr>
        <w:autoSpaceDE w:val="0"/>
        <w:autoSpaceDN w:val="0"/>
        <w:spacing w:line="440" w:lineRule="exact"/>
        <w:rPr>
          <w:rFonts w:ascii="宋体" w:hAnsi="宋体" w:cs="宋体"/>
          <w:b/>
          <w:bCs/>
          <w:color w:val="auto"/>
        </w:rPr>
      </w:pPr>
      <w:r>
        <w:rPr>
          <w:rFonts w:hint="eastAsia" w:ascii="宋体" w:hAnsi="宋体" w:cs="宋体"/>
          <w:b/>
          <w:bCs/>
          <w:color w:val="auto"/>
        </w:rPr>
        <w:t>1.2合同文件的优先顺序</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进入合同的各项文件及其优先顺序是</w:t>
      </w:r>
      <w:r>
        <w:rPr>
          <w:rFonts w:hint="eastAsia" w:ascii="宋体" w:hAnsi="宋体" w:cs="宋体"/>
          <w:color w:val="auto"/>
          <w:u w:val="single"/>
        </w:rPr>
        <w:t xml:space="preserve"> 按本合同协议书第 1 条办理</w:t>
      </w:r>
      <w:r>
        <w:rPr>
          <w:rFonts w:hint="eastAsia" w:ascii="宋体" w:hAnsi="宋体" w:cs="宋体"/>
          <w:color w:val="auto"/>
          <w:u w:val="single"/>
        </w:rPr>
        <w:tab/>
      </w:r>
      <w:r>
        <w:rPr>
          <w:rFonts w:hint="eastAsia" w:ascii="宋体" w:hAnsi="宋体" w:cs="宋体"/>
          <w:color w:val="auto"/>
        </w:rPr>
        <w:t>。</w:t>
      </w:r>
    </w:p>
    <w:p>
      <w:pPr>
        <w:autoSpaceDE w:val="0"/>
        <w:autoSpaceDN w:val="0"/>
        <w:spacing w:line="440" w:lineRule="exact"/>
        <w:rPr>
          <w:rFonts w:ascii="宋体" w:hAnsi="宋体" w:cs="宋体"/>
          <w:b/>
          <w:bCs/>
          <w:color w:val="auto"/>
        </w:rPr>
      </w:pPr>
      <w:r>
        <w:rPr>
          <w:rFonts w:hint="eastAsia" w:ascii="宋体" w:hAnsi="宋体" w:cs="宋体"/>
          <w:b/>
          <w:bCs/>
          <w:color w:val="auto"/>
        </w:rPr>
        <w:t>1.3联络</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1.3.1来往函件均应按技术标准和要求（ 合同技术条款）</w:t>
      </w:r>
      <w:r>
        <w:rPr>
          <w:rFonts w:hint="eastAsia" w:ascii="宋体" w:hAnsi="宋体" w:cs="宋体"/>
          <w:color w:val="auto"/>
          <w:u w:val="single"/>
        </w:rPr>
        <w:t xml:space="preserve"> 约定的期限送达 </w:t>
      </w:r>
      <w:r>
        <w:rPr>
          <w:rFonts w:hint="eastAsia" w:ascii="宋体" w:hAnsi="宋体" w:cs="宋体"/>
          <w:color w:val="auto"/>
          <w:u w:val="single"/>
        </w:rPr>
        <w:tab/>
      </w:r>
      <w:r>
        <w:rPr>
          <w:rFonts w:hint="eastAsia" w:ascii="宋体" w:hAnsi="宋体" w:cs="宋体"/>
          <w:color w:val="auto"/>
        </w:rPr>
        <w:t>。</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2.发包人义务</w:t>
      </w:r>
    </w:p>
    <w:p>
      <w:pPr>
        <w:autoSpaceDE w:val="0"/>
        <w:autoSpaceDN w:val="0"/>
        <w:spacing w:line="440" w:lineRule="exact"/>
        <w:rPr>
          <w:rFonts w:ascii="宋体" w:hAnsi="宋体" w:cs="宋体"/>
          <w:b/>
          <w:bCs/>
          <w:color w:val="auto"/>
        </w:rPr>
      </w:pPr>
      <w:r>
        <w:rPr>
          <w:rFonts w:hint="eastAsia" w:ascii="宋体" w:hAnsi="宋体" w:cs="宋体"/>
          <w:b/>
          <w:bCs/>
          <w:color w:val="auto"/>
        </w:rPr>
        <w:t>2.1提供施工场地</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2.1.1发包人提供的施工场地范围为：</w:t>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rPr>
        <w:t>。</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2.1.2承包人自行勘察的施工场地范围为：</w:t>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rPr>
        <w:t>。</w:t>
      </w:r>
    </w:p>
    <w:p>
      <w:pPr>
        <w:autoSpaceDE w:val="0"/>
        <w:autoSpaceDN w:val="0"/>
        <w:spacing w:line="440" w:lineRule="exact"/>
        <w:rPr>
          <w:rFonts w:ascii="宋体" w:hAnsi="宋体" w:cs="宋体"/>
          <w:b/>
          <w:bCs/>
          <w:color w:val="auto"/>
        </w:rPr>
      </w:pPr>
      <w:r>
        <w:rPr>
          <w:rFonts w:hint="eastAsia" w:ascii="宋体" w:hAnsi="宋体" w:cs="宋体"/>
          <w:b/>
          <w:bCs/>
          <w:color w:val="auto"/>
        </w:rPr>
        <w:t>2.2其它义务</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无</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3.监理人</w:t>
      </w:r>
    </w:p>
    <w:p>
      <w:pPr>
        <w:autoSpaceDE w:val="0"/>
        <w:autoSpaceDN w:val="0"/>
        <w:spacing w:line="440" w:lineRule="exact"/>
        <w:rPr>
          <w:rFonts w:ascii="宋体" w:hAnsi="宋体" w:cs="宋体"/>
          <w:b/>
          <w:bCs/>
          <w:color w:val="auto"/>
        </w:rPr>
      </w:pPr>
      <w:r>
        <w:rPr>
          <w:rFonts w:hint="eastAsia" w:ascii="宋体" w:hAnsi="宋体" w:cs="宋体"/>
          <w:b/>
          <w:bCs/>
          <w:color w:val="auto"/>
        </w:rPr>
        <w:t>3.1监理人的职责和权力</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(1)变更合同的范围；</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 xml:space="preserve">(2)影响工期、质量、合同价等其他重大决定； </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(3)影响工程总进度的工程暂停指示；</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(4)批准因责任事故停工后的复工；</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 xml:space="preserve"> (5)对承包方变更单价要求的答复；</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4.承包人</w:t>
      </w:r>
    </w:p>
    <w:p>
      <w:pPr>
        <w:autoSpaceDE w:val="0"/>
        <w:autoSpaceDN w:val="0"/>
        <w:spacing w:line="440" w:lineRule="exact"/>
        <w:rPr>
          <w:rFonts w:ascii="宋体" w:hAnsi="宋体" w:cs="宋体"/>
          <w:b/>
          <w:bCs/>
          <w:color w:val="auto"/>
        </w:rPr>
      </w:pPr>
      <w:r>
        <w:rPr>
          <w:rFonts w:hint="eastAsia" w:ascii="宋体" w:hAnsi="宋体" w:cs="宋体"/>
          <w:b/>
          <w:bCs/>
          <w:color w:val="auto"/>
        </w:rPr>
        <w:t>4.1承包人的一般义务</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4.1.1其他义务</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承包人应按约定的时间和要求完成以下工作：</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(1)需由设计资质等级和业务范围允许的承包人完成的设计文件提交时间：</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由承包人免费完成施工过程中发生的需要进行设计、验算的工作，并于该部分工作实施前 7 日提交设计文件（施工组织设计部分另见相关内容），报发包人批准。</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(2)应提供计划、报表的名称及完成时间：</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① 每月 25 日前提交本月工作报告，包括项目进度情况、质量情况、投资情况及其他需要说明的情况，重点应在说明进度情况及造成原因。</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② 每月 25 日前提交下月工作计划，包括项目进度计划、人员物资机械的投入计划、投资计划及其他需要说明的情况。</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③ 发包人要求的其他计划与报表</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④发包人要求的其他计划与报表。</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(3)承担施工安全保卫工作及非夜间施工照明的责任和要求：</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全面负责本施工现场范围内（包括发包人所有的物资、设备等财物）的安全保卫工作及夜间施工照明，并承担因该部分工作不力而引起的相关责任；自费提供和维护所需的灯光、护板、栅栏、警告信号等设施及警卫人员；国家对施工安全保卫工作及夜间施工照明有规定质量要求的还应达到国家规定的要求。承包人负责工程施工、竣工及保修的整个过程中施工现场全部人员的安全。除因发包人、发包人代表或发包人雇员的原因造成的伤亡外，发包人不承担承包人的任何赔偿责任。</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(4)向发包人提供的办公和生活房屋及设施的要求：无。</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(5)需承包人办理的有关施工场地交通、环卫和施工噪声管理等手续：</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①承包人必须遵守海南省地方法规，服从发包人管理部门的管理，凡涉及到承包人的施工备案、车辆准运等有关证、照，均由承包人自行办理，发生的费用由承包人承担。</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②噪声管理费：承包人自行办理夜间施工许可手续，并负责费用，解决由于施工噪声而引起的纠纷。</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③垃圾管理费：承包人自行办理垃圾弃置许可手续，并负责费用。</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④场内施工道路由承包人负责硬化和整修，满足施工及材料、设备运输的需要，费用由承包人承担。</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(6)已完工程成品保护的特殊要求及费用承担：竣工交付使用前，由承包人承担，交付后由发包人承担。</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(7)施工场地周围地下管线和邻近建筑物、构筑物（含文物保护建筑）、古树名木的保护要求及费用承担：按规定进行保护，并由承包人承担保护费用及由于保护不利而引起的罚款、损失等费用</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(8)施工场地清洁卫生的要求：施工工地达到安全文明工地要求，竣工后将全部废弃物清扫并运走。</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5.交通运输</w:t>
      </w:r>
    </w:p>
    <w:p>
      <w:pPr>
        <w:autoSpaceDE w:val="0"/>
        <w:autoSpaceDN w:val="0"/>
        <w:spacing w:line="440" w:lineRule="exact"/>
        <w:rPr>
          <w:rFonts w:ascii="宋体" w:hAnsi="宋体" w:cs="宋体"/>
          <w:b/>
          <w:bCs/>
          <w:color w:val="auto"/>
        </w:rPr>
      </w:pPr>
      <w:r>
        <w:rPr>
          <w:rFonts w:hint="eastAsia" w:ascii="宋体" w:hAnsi="宋体" w:cs="宋体"/>
          <w:b/>
          <w:bCs/>
          <w:color w:val="auto"/>
        </w:rPr>
        <w:t>5.1道路通行权和场外设施</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道路通行权及场外设施的约定：由承包人自行办理，并承担有关费用，发包人应协助办理上述手续。</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6.施工安全、治安保卫和环境保护</w:t>
      </w:r>
    </w:p>
    <w:p>
      <w:pPr>
        <w:autoSpaceDE w:val="0"/>
        <w:autoSpaceDN w:val="0"/>
        <w:spacing w:line="440" w:lineRule="exact"/>
        <w:rPr>
          <w:rFonts w:ascii="宋体" w:hAnsi="宋体" w:cs="宋体"/>
          <w:b/>
          <w:bCs/>
          <w:color w:val="auto"/>
        </w:rPr>
      </w:pPr>
      <w:r>
        <w:rPr>
          <w:rFonts w:hint="eastAsia" w:ascii="宋体" w:hAnsi="宋体" w:cs="宋体"/>
          <w:b/>
          <w:bCs/>
          <w:color w:val="auto"/>
        </w:rPr>
        <w:t>6.1承包人的施工安全责任</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承包方应严格执行施工安全操作规程，确保施工安全，承包方发生人身伤亡事故由承包方负责。承包方应按国家有关规定与发包人签署安全生产事故承诺书并制定应急预案。</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7.开工和竣工（完工）</w:t>
      </w:r>
    </w:p>
    <w:p>
      <w:pPr>
        <w:autoSpaceDE w:val="0"/>
        <w:autoSpaceDN w:val="0"/>
        <w:spacing w:line="440" w:lineRule="exact"/>
        <w:rPr>
          <w:rFonts w:ascii="宋体" w:hAnsi="宋体" w:cs="宋体"/>
          <w:b/>
          <w:bCs/>
          <w:color w:val="auto"/>
        </w:rPr>
      </w:pPr>
      <w:r>
        <w:rPr>
          <w:rFonts w:hint="eastAsia" w:ascii="宋体" w:hAnsi="宋体" w:cs="宋体"/>
          <w:b/>
          <w:bCs/>
          <w:color w:val="auto"/>
        </w:rPr>
        <w:t>7.1异常恶劣的气候条件</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7.1.1本合同工程界定异常恶劣气候条件的范围为：</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（1）日降雨量大于</w:t>
      </w:r>
      <w:r>
        <w:rPr>
          <w:rFonts w:hint="eastAsia" w:ascii="宋体" w:hAnsi="宋体" w:cs="宋体"/>
          <w:color w:val="auto"/>
          <w:u w:val="single"/>
        </w:rPr>
        <w:t xml:space="preserve"> 150mm </w:t>
      </w:r>
      <w:r>
        <w:rPr>
          <w:rFonts w:hint="eastAsia" w:ascii="宋体" w:hAnsi="宋体" w:cs="宋体"/>
          <w:color w:val="auto"/>
        </w:rPr>
        <w:t>的雨日超过 1 天； `</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（2）风速大于</w:t>
      </w:r>
      <w:r>
        <w:rPr>
          <w:rFonts w:hint="eastAsia" w:ascii="宋体" w:hAnsi="宋体" w:cs="宋体"/>
          <w:color w:val="auto"/>
          <w:u w:val="single"/>
        </w:rPr>
        <w:t xml:space="preserve"> 10</w:t>
      </w:r>
      <w:r>
        <w:rPr>
          <w:rFonts w:ascii="宋体" w:hAnsi="宋体" w:cs="宋体"/>
          <w:color w:val="auto"/>
          <w:u w:val="single"/>
        </w:rPr>
        <w:t xml:space="preserve"> </w:t>
      </w:r>
      <w:r>
        <w:rPr>
          <w:rFonts w:hint="eastAsia" w:ascii="宋体" w:hAnsi="宋体" w:cs="宋体"/>
          <w:color w:val="auto"/>
        </w:rPr>
        <w:t>级以上持续 3 天的台风灾害；</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（3）日气温超过</w:t>
      </w:r>
      <w:r>
        <w:rPr>
          <w:rFonts w:hint="eastAsia" w:ascii="宋体" w:hAnsi="宋体" w:cs="宋体"/>
          <w:color w:val="auto"/>
          <w:u w:val="single"/>
        </w:rPr>
        <w:t xml:space="preserve"> 40 ℃</w:t>
      </w:r>
      <w:r>
        <w:rPr>
          <w:rFonts w:hint="eastAsia" w:ascii="宋体" w:hAnsi="宋体" w:cs="宋体"/>
          <w:color w:val="auto"/>
        </w:rPr>
        <w:t>的高温大于 7 天；</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（4）其他异常恶劣气候灾害。</w:t>
      </w:r>
    </w:p>
    <w:p>
      <w:pPr>
        <w:autoSpaceDE w:val="0"/>
        <w:autoSpaceDN w:val="0"/>
        <w:spacing w:line="440" w:lineRule="exact"/>
        <w:rPr>
          <w:rFonts w:ascii="宋体" w:hAnsi="宋体" w:cs="宋体"/>
          <w:b/>
          <w:bCs/>
          <w:color w:val="auto"/>
        </w:rPr>
      </w:pPr>
      <w:r>
        <w:rPr>
          <w:rFonts w:hint="eastAsia" w:ascii="宋体" w:hAnsi="宋体" w:cs="宋体"/>
          <w:b/>
          <w:bCs/>
          <w:color w:val="auto"/>
        </w:rPr>
        <w:t>7.2承包人工期延误</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（1）逾期完工违约金：因承包人原因造成工期延误，每延误一天罚款合同价款的千分之一。</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（2）全部逾期完工违约金的总限额为</w:t>
      </w:r>
      <w:r>
        <w:rPr>
          <w:rFonts w:hint="eastAsia" w:ascii="宋体" w:hAnsi="宋体" w:cs="宋体"/>
          <w:color w:val="auto"/>
          <w:u w:val="single"/>
        </w:rPr>
        <w:tab/>
      </w:r>
      <w:r>
        <w:rPr>
          <w:rFonts w:hint="eastAsia" w:ascii="宋体" w:hAnsi="宋体" w:cs="宋体"/>
          <w:color w:val="auto"/>
        </w:rPr>
        <w:t>。</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如因不可抗力或政府政策调整等原因，造成工期延误，发包人不承担任何相关责任。承包人不应就上述问题向发包人提出费用索赔。</w:t>
      </w:r>
    </w:p>
    <w:p>
      <w:pPr>
        <w:autoSpaceDE w:val="0"/>
        <w:autoSpaceDN w:val="0"/>
        <w:spacing w:line="440" w:lineRule="exact"/>
        <w:rPr>
          <w:rFonts w:ascii="宋体" w:hAnsi="宋体" w:cs="宋体"/>
          <w:b/>
          <w:bCs/>
          <w:color w:val="auto"/>
        </w:rPr>
      </w:pPr>
      <w:r>
        <w:rPr>
          <w:rFonts w:hint="eastAsia" w:ascii="宋体" w:hAnsi="宋体" w:cs="宋体"/>
          <w:b/>
          <w:bCs/>
          <w:color w:val="auto"/>
        </w:rPr>
        <w:t>7.3工期提前</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工期提前的资金约定：</w:t>
      </w:r>
      <w:r>
        <w:rPr>
          <w:rFonts w:hint="eastAsia" w:ascii="宋体" w:hAnsi="宋体" w:cs="宋体"/>
          <w:color w:val="auto"/>
          <w:u w:val="single"/>
        </w:rPr>
        <w:tab/>
      </w:r>
      <w:r>
        <w:rPr>
          <w:rFonts w:hint="eastAsia" w:ascii="宋体" w:hAnsi="宋体" w:cs="宋体"/>
          <w:color w:val="auto"/>
          <w:u w:val="single"/>
        </w:rPr>
        <w:t>无</w:t>
      </w:r>
      <w:r>
        <w:rPr>
          <w:rFonts w:hint="eastAsia" w:ascii="宋体" w:hAnsi="宋体" w:cs="宋体"/>
          <w:color w:val="auto"/>
          <w:u w:val="single"/>
        </w:rPr>
        <w:tab/>
      </w:r>
      <w:r>
        <w:rPr>
          <w:rFonts w:hint="eastAsia" w:ascii="宋体" w:hAnsi="宋体" w:cs="宋体"/>
          <w:color w:val="auto"/>
        </w:rPr>
        <w:t>。</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8.暂停施工</w:t>
      </w:r>
    </w:p>
    <w:p>
      <w:pPr>
        <w:autoSpaceDE w:val="0"/>
        <w:autoSpaceDN w:val="0"/>
        <w:spacing w:line="440" w:lineRule="exact"/>
        <w:rPr>
          <w:rFonts w:ascii="宋体" w:hAnsi="宋体" w:cs="宋体"/>
          <w:b/>
          <w:bCs/>
          <w:color w:val="auto"/>
        </w:rPr>
      </w:pPr>
      <w:r>
        <w:rPr>
          <w:rFonts w:hint="eastAsia" w:ascii="宋体" w:hAnsi="宋体" w:cs="宋体"/>
          <w:b/>
          <w:bCs/>
          <w:color w:val="auto"/>
        </w:rPr>
        <w:t>8.1承包人暂停施工的责任</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 承包人承担暂停施工责任的其它情形：</w:t>
      </w:r>
      <w:r>
        <w:rPr>
          <w:rFonts w:hint="eastAsia" w:ascii="宋体" w:hAnsi="宋体" w:cs="宋体"/>
          <w:color w:val="auto"/>
          <w:u w:val="single"/>
        </w:rPr>
        <w:tab/>
      </w:r>
      <w:r>
        <w:rPr>
          <w:rFonts w:hint="eastAsia" w:ascii="宋体" w:hAnsi="宋体" w:cs="宋体"/>
          <w:color w:val="auto"/>
          <w:u w:val="single"/>
        </w:rPr>
        <w:t>另行约定</w:t>
      </w:r>
      <w:r>
        <w:rPr>
          <w:rFonts w:hint="eastAsia" w:ascii="宋体" w:hAnsi="宋体" w:cs="宋体"/>
          <w:color w:val="auto"/>
          <w:u w:val="single"/>
        </w:rPr>
        <w:tab/>
      </w:r>
      <w:r>
        <w:rPr>
          <w:rFonts w:hint="eastAsia" w:ascii="宋体" w:hAnsi="宋体" w:cs="宋体"/>
          <w:color w:val="auto"/>
        </w:rPr>
        <w:t>。</w:t>
      </w:r>
    </w:p>
    <w:p>
      <w:pPr>
        <w:autoSpaceDE w:val="0"/>
        <w:autoSpaceDN w:val="0"/>
        <w:spacing w:line="440" w:lineRule="exact"/>
        <w:rPr>
          <w:rFonts w:ascii="宋体" w:hAnsi="宋体" w:cs="宋体"/>
          <w:b/>
          <w:bCs/>
          <w:color w:val="auto"/>
        </w:rPr>
      </w:pPr>
      <w:r>
        <w:rPr>
          <w:rFonts w:hint="eastAsia" w:ascii="宋体" w:hAnsi="宋体" w:cs="宋体"/>
          <w:b/>
          <w:bCs/>
          <w:color w:val="auto"/>
        </w:rPr>
        <w:t>8.2发包人暂停施工的责任</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 发包人承担暂停施工责任的其它情形：</w:t>
      </w:r>
      <w:r>
        <w:rPr>
          <w:rFonts w:hint="eastAsia" w:ascii="宋体" w:hAnsi="宋体" w:cs="宋体"/>
          <w:color w:val="auto"/>
          <w:u w:val="single"/>
        </w:rPr>
        <w:tab/>
      </w:r>
      <w:r>
        <w:rPr>
          <w:rFonts w:hint="eastAsia" w:ascii="宋体" w:hAnsi="宋体" w:cs="宋体"/>
          <w:color w:val="auto"/>
          <w:u w:val="single"/>
        </w:rPr>
        <w:t>另行约定</w:t>
      </w:r>
      <w:r>
        <w:rPr>
          <w:rFonts w:hint="eastAsia" w:ascii="宋体" w:hAnsi="宋体" w:cs="宋体"/>
          <w:color w:val="auto"/>
          <w:u w:val="single"/>
        </w:rPr>
        <w:tab/>
      </w:r>
      <w:r>
        <w:rPr>
          <w:rFonts w:hint="eastAsia" w:ascii="宋体" w:hAnsi="宋体" w:cs="宋体"/>
          <w:color w:val="auto"/>
        </w:rPr>
        <w:t>。</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9.工程质量</w:t>
      </w:r>
    </w:p>
    <w:p>
      <w:pPr>
        <w:autoSpaceDE w:val="0"/>
        <w:autoSpaceDN w:val="0"/>
        <w:spacing w:line="440" w:lineRule="exact"/>
        <w:rPr>
          <w:rFonts w:ascii="宋体" w:hAnsi="宋体" w:cs="宋体"/>
          <w:b/>
          <w:bCs/>
          <w:color w:val="auto"/>
        </w:rPr>
      </w:pPr>
      <w:r>
        <w:rPr>
          <w:rFonts w:hint="eastAsia" w:ascii="宋体" w:hAnsi="宋体" w:cs="宋体"/>
          <w:b/>
          <w:bCs/>
          <w:color w:val="auto"/>
        </w:rPr>
        <w:t>9.1工程质量要求</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9.1.1工程质量验收标准 ：</w:t>
      </w:r>
      <w:r>
        <w:rPr>
          <w:rFonts w:hint="eastAsia" w:ascii="宋体" w:hAnsi="宋体" w:cs="宋体"/>
          <w:color w:val="auto"/>
          <w:u w:val="single"/>
        </w:rPr>
        <w:t xml:space="preserve">  合格  </w:t>
      </w:r>
      <w:r>
        <w:rPr>
          <w:rFonts w:hint="eastAsia" w:ascii="宋体" w:hAnsi="宋体" w:cs="宋体"/>
          <w:color w:val="auto"/>
        </w:rPr>
        <w:t>。</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10.变更</w:t>
      </w:r>
    </w:p>
    <w:p>
      <w:pPr>
        <w:autoSpaceDE w:val="0"/>
        <w:autoSpaceDN w:val="0"/>
        <w:spacing w:line="440" w:lineRule="exact"/>
        <w:rPr>
          <w:rFonts w:ascii="宋体" w:hAnsi="宋体" w:cs="宋体"/>
          <w:b/>
          <w:bCs/>
          <w:color w:val="auto"/>
        </w:rPr>
      </w:pPr>
      <w:r>
        <w:rPr>
          <w:rFonts w:hint="eastAsia" w:ascii="宋体" w:hAnsi="宋体" w:cs="宋体"/>
          <w:b/>
          <w:bCs/>
          <w:color w:val="auto"/>
        </w:rPr>
        <w:t>10.1变更的范围和内容</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（1）增加或减少合同中关键项目的工程量超过其项目工程总量的</w:t>
      </w:r>
      <w:r>
        <w:rPr>
          <w:rFonts w:hint="eastAsia" w:ascii="宋体" w:hAnsi="宋体" w:cs="宋体"/>
          <w:color w:val="auto"/>
          <w:u w:val="single"/>
        </w:rPr>
        <w:tab/>
      </w:r>
      <w:r>
        <w:rPr>
          <w:rFonts w:hint="eastAsia" w:ascii="宋体" w:hAnsi="宋体" w:cs="宋体"/>
          <w:color w:val="auto"/>
          <w:u w:val="single"/>
        </w:rPr>
        <w:t>％</w:t>
      </w:r>
      <w:r>
        <w:rPr>
          <w:rFonts w:hint="eastAsia" w:ascii="宋体" w:hAnsi="宋体" w:cs="宋体"/>
          <w:color w:val="auto"/>
        </w:rPr>
        <w:t>，关键项目：</w:t>
      </w:r>
      <w:r>
        <w:rPr>
          <w:rFonts w:hint="eastAsia" w:ascii="宋体" w:hAnsi="宋体" w:cs="宋体"/>
          <w:color w:val="auto"/>
          <w:u w:val="single"/>
        </w:rPr>
        <w:tab/>
      </w:r>
      <w:r>
        <w:rPr>
          <w:rFonts w:hint="eastAsia" w:ascii="宋体" w:hAnsi="宋体" w:cs="宋体"/>
          <w:color w:val="auto"/>
        </w:rPr>
        <w:t>，单价调整方式：</w:t>
      </w:r>
      <w:r>
        <w:rPr>
          <w:rFonts w:hint="eastAsia" w:ascii="宋体" w:hAnsi="宋体" w:cs="宋体"/>
          <w:color w:val="auto"/>
          <w:u w:val="single"/>
        </w:rPr>
        <w:tab/>
      </w:r>
      <w:r>
        <w:rPr>
          <w:rFonts w:hint="eastAsia" w:ascii="宋体" w:hAnsi="宋体" w:cs="宋体"/>
          <w:color w:val="auto"/>
          <w:u w:val="single"/>
        </w:rPr>
        <w:t>不调整</w:t>
      </w:r>
      <w:r>
        <w:rPr>
          <w:rFonts w:hint="eastAsia" w:ascii="宋体" w:hAnsi="宋体" w:cs="宋体"/>
          <w:color w:val="auto"/>
          <w:u w:val="single"/>
        </w:rPr>
        <w:tab/>
      </w:r>
      <w:r>
        <w:rPr>
          <w:rFonts w:hint="eastAsia" w:ascii="宋体" w:hAnsi="宋体" w:cs="宋体"/>
          <w:color w:val="auto"/>
        </w:rPr>
        <w:t>。</w:t>
      </w:r>
    </w:p>
    <w:p>
      <w:pPr>
        <w:autoSpaceDE w:val="0"/>
        <w:autoSpaceDN w:val="0"/>
        <w:spacing w:line="440" w:lineRule="exact"/>
        <w:rPr>
          <w:rFonts w:ascii="宋体" w:hAnsi="宋体" w:cs="宋体"/>
          <w:b/>
          <w:bCs/>
          <w:color w:val="auto"/>
        </w:rPr>
      </w:pPr>
      <w:r>
        <w:rPr>
          <w:rFonts w:hint="eastAsia" w:ascii="宋体" w:hAnsi="宋体" w:cs="宋体"/>
          <w:b/>
          <w:bCs/>
          <w:color w:val="auto"/>
        </w:rPr>
        <w:t>11.1承包人的合理化建议</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11.1.1承包人实现合理化建议的奖励金额为：</w:t>
      </w:r>
      <w:r>
        <w:rPr>
          <w:rFonts w:hint="eastAsia" w:ascii="宋体" w:hAnsi="宋体" w:cs="宋体"/>
          <w:color w:val="auto"/>
          <w:u w:val="single"/>
        </w:rPr>
        <w:tab/>
      </w:r>
      <w:r>
        <w:rPr>
          <w:rFonts w:hint="eastAsia" w:ascii="宋体" w:hAnsi="宋体" w:cs="宋体"/>
          <w:color w:val="auto"/>
          <w:u w:val="single"/>
        </w:rPr>
        <w:t>无</w:t>
      </w:r>
      <w:r>
        <w:rPr>
          <w:rFonts w:hint="eastAsia" w:ascii="宋体" w:hAnsi="宋体" w:cs="宋体"/>
          <w:color w:val="auto"/>
          <w:u w:val="single"/>
        </w:rPr>
        <w:tab/>
      </w:r>
      <w:r>
        <w:rPr>
          <w:rFonts w:hint="eastAsia" w:ascii="宋体" w:hAnsi="宋体" w:cs="宋体"/>
          <w:color w:val="auto"/>
        </w:rPr>
        <w:t>。</w:t>
      </w:r>
    </w:p>
    <w:p>
      <w:pPr>
        <w:autoSpaceDE w:val="0"/>
        <w:autoSpaceDN w:val="0"/>
        <w:spacing w:line="440" w:lineRule="exact"/>
        <w:rPr>
          <w:rFonts w:ascii="宋体" w:hAnsi="宋体" w:cs="宋体"/>
          <w:b/>
          <w:bCs/>
          <w:color w:val="auto"/>
        </w:rPr>
      </w:pPr>
      <w:r>
        <w:rPr>
          <w:rFonts w:hint="eastAsia" w:ascii="宋体" w:hAnsi="宋体" w:cs="宋体"/>
          <w:b/>
          <w:bCs/>
          <w:color w:val="auto"/>
        </w:rPr>
        <w:t>11.2暂估价</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11.2.1（1）发包人和承包人组织采购的暂估价项目：</w:t>
      </w:r>
      <w:r>
        <w:rPr>
          <w:rFonts w:hint="eastAsia" w:ascii="宋体" w:hAnsi="宋体" w:cs="宋体"/>
          <w:color w:val="auto"/>
          <w:u w:val="single"/>
        </w:rPr>
        <w:t xml:space="preserve">  （签约后填入）</w:t>
      </w:r>
      <w:r>
        <w:rPr>
          <w:rFonts w:hint="eastAsia" w:ascii="宋体" w:hAnsi="宋体" w:cs="宋体"/>
          <w:color w:val="auto"/>
          <w:u w:val="single"/>
        </w:rPr>
        <w:tab/>
      </w:r>
      <w:r>
        <w:rPr>
          <w:rFonts w:hint="eastAsia" w:ascii="宋体" w:hAnsi="宋体" w:cs="宋体"/>
          <w:color w:val="auto"/>
        </w:rPr>
        <w:t>；发包人组织采购的暂估价项目：</w:t>
      </w:r>
      <w:r>
        <w:rPr>
          <w:rFonts w:hint="eastAsia" w:ascii="宋体" w:hAnsi="宋体" w:cs="宋体"/>
          <w:color w:val="auto"/>
          <w:u w:val="single"/>
        </w:rPr>
        <w:tab/>
      </w:r>
      <w:r>
        <w:rPr>
          <w:rFonts w:hint="eastAsia" w:ascii="宋体" w:hAnsi="宋体" w:cs="宋体"/>
          <w:color w:val="auto"/>
          <w:u w:val="single"/>
        </w:rPr>
        <w:t>（签约后填入）</w:t>
      </w:r>
      <w:r>
        <w:rPr>
          <w:rFonts w:hint="eastAsia" w:ascii="宋体" w:hAnsi="宋体" w:cs="宋体"/>
          <w:color w:val="auto"/>
          <w:u w:val="single"/>
        </w:rPr>
        <w:tab/>
      </w:r>
      <w:r>
        <w:rPr>
          <w:rFonts w:hint="eastAsia" w:ascii="宋体" w:hAnsi="宋体" w:cs="宋体"/>
          <w:color w:val="auto"/>
        </w:rPr>
        <w:t>。</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（2）发包人和承包人以采购方式选择暂估价项目供应商或分包人时，双方的权利义务关系：。</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12.价格调整</w:t>
      </w:r>
    </w:p>
    <w:p>
      <w:pPr>
        <w:autoSpaceDE w:val="0"/>
        <w:autoSpaceDN w:val="0"/>
        <w:spacing w:line="440" w:lineRule="exact"/>
        <w:rPr>
          <w:rFonts w:ascii="宋体" w:hAnsi="宋体" w:cs="宋体"/>
          <w:b/>
          <w:bCs/>
          <w:color w:val="auto"/>
        </w:rPr>
      </w:pPr>
      <w:r>
        <w:rPr>
          <w:rFonts w:hint="eastAsia" w:ascii="宋体" w:hAnsi="宋体" w:cs="宋体"/>
          <w:b/>
          <w:bCs/>
          <w:color w:val="auto"/>
        </w:rPr>
        <w:t>12.1物价波动引起的价格调整</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物价波动引起的价格调整:删去本款条文并代之于,本合同不调价,但政府文件规定的除外。</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13.计量与支付</w:t>
      </w:r>
    </w:p>
    <w:p>
      <w:pPr>
        <w:autoSpaceDE w:val="0"/>
        <w:autoSpaceDN w:val="0"/>
        <w:spacing w:line="440" w:lineRule="exact"/>
        <w:rPr>
          <w:rFonts w:ascii="宋体" w:hAnsi="宋体" w:cs="宋体"/>
          <w:b/>
          <w:bCs/>
          <w:color w:val="auto"/>
        </w:rPr>
      </w:pPr>
      <w:r>
        <w:rPr>
          <w:rFonts w:hint="eastAsia" w:ascii="宋体" w:hAnsi="宋体" w:cs="宋体"/>
          <w:b/>
          <w:bCs/>
          <w:color w:val="auto"/>
        </w:rPr>
        <w:t>13.1预付款</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13.1.1预付款</w:t>
      </w:r>
    </w:p>
    <w:p>
      <w:pPr>
        <w:autoSpaceDE w:val="0"/>
        <w:autoSpaceDN w:val="0"/>
        <w:spacing w:line="440" w:lineRule="exact"/>
        <w:ind w:firstLine="420" w:firstLineChars="200"/>
        <w:rPr>
          <w:rFonts w:ascii="宋体" w:hAnsi="宋体" w:cs="宋体"/>
          <w:color w:val="auto"/>
          <w:u w:val="single"/>
        </w:rPr>
      </w:pPr>
      <w:r>
        <w:rPr>
          <w:rFonts w:hint="eastAsia" w:ascii="宋体" w:hAnsi="宋体" w:cs="宋体"/>
          <w:color w:val="auto"/>
        </w:rPr>
        <w:t>发包人向承包人预付工程款的时间和金额或占合同价款总额的比例：。</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13.1.2预付款保函（担保）</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（2）预付款的保函约定为： 无 。</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13.1.3预付款的扣回与还清扣回工程款的时间、比例： 。</w:t>
      </w:r>
    </w:p>
    <w:p>
      <w:pPr>
        <w:autoSpaceDE w:val="0"/>
        <w:autoSpaceDN w:val="0"/>
        <w:spacing w:line="440" w:lineRule="exact"/>
        <w:rPr>
          <w:rFonts w:ascii="宋体" w:hAnsi="宋体" w:cs="宋体"/>
          <w:b/>
          <w:bCs/>
          <w:color w:val="auto"/>
        </w:rPr>
      </w:pPr>
      <w:r>
        <w:rPr>
          <w:rFonts w:hint="eastAsia" w:ascii="宋体" w:hAnsi="宋体" w:cs="宋体"/>
          <w:b/>
          <w:bCs/>
          <w:color w:val="auto"/>
        </w:rPr>
        <w:t>13.2工程进度付款</w:t>
      </w:r>
    </w:p>
    <w:p>
      <w:pPr>
        <w:autoSpaceDE w:val="0"/>
        <w:autoSpaceDN w:val="0"/>
        <w:spacing w:line="440" w:lineRule="exact"/>
        <w:ind w:firstLine="420" w:firstLineChars="200"/>
        <w:rPr>
          <w:rFonts w:ascii="宋体" w:hAnsi="宋体" w:cs="宋体"/>
          <w:color w:val="auto"/>
          <w:u w:val="single"/>
        </w:rPr>
      </w:pPr>
      <w:r>
        <w:rPr>
          <w:rFonts w:hint="eastAsia" w:ascii="宋体" w:hAnsi="宋体" w:cs="宋体"/>
          <w:color w:val="auto"/>
        </w:rPr>
        <w:t>双方约定的工程款（进度款）支付的方式和时间：。</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13.2.1进度付款申请单份。</w:t>
      </w:r>
    </w:p>
    <w:p>
      <w:pPr>
        <w:autoSpaceDE w:val="0"/>
        <w:autoSpaceDN w:val="0"/>
        <w:spacing w:line="440" w:lineRule="exact"/>
        <w:rPr>
          <w:rFonts w:ascii="宋体" w:hAnsi="宋体" w:cs="宋体"/>
          <w:b/>
          <w:bCs/>
          <w:color w:val="auto"/>
        </w:rPr>
      </w:pPr>
      <w:r>
        <w:rPr>
          <w:rFonts w:hint="eastAsia" w:ascii="宋体" w:hAnsi="宋体" w:cs="宋体"/>
          <w:b/>
          <w:bCs/>
          <w:color w:val="auto"/>
        </w:rPr>
        <w:t>13.3质量保证金</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13.3.1竣工结算后扣留的结算款作为质保金。</w:t>
      </w:r>
    </w:p>
    <w:p>
      <w:pPr>
        <w:autoSpaceDE w:val="0"/>
        <w:autoSpaceDN w:val="0"/>
        <w:spacing w:line="440" w:lineRule="exact"/>
        <w:rPr>
          <w:rFonts w:ascii="宋体" w:hAnsi="宋体" w:cs="宋体"/>
          <w:b/>
          <w:bCs/>
          <w:color w:val="auto"/>
        </w:rPr>
      </w:pPr>
      <w:r>
        <w:rPr>
          <w:rFonts w:hint="eastAsia" w:ascii="宋体" w:hAnsi="宋体" w:cs="宋体"/>
          <w:b/>
          <w:bCs/>
          <w:color w:val="auto"/>
        </w:rPr>
        <w:t>13.4竣工（完工）结算</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13.4.1竣工（完工）付款申请单</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（1）承包人应提交竣工付款申请单一式</w:t>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rPr>
        <w:t>份。</w:t>
      </w:r>
    </w:p>
    <w:p>
      <w:pPr>
        <w:autoSpaceDE w:val="0"/>
        <w:autoSpaceDN w:val="0"/>
        <w:spacing w:line="440" w:lineRule="exact"/>
        <w:rPr>
          <w:rFonts w:ascii="宋体" w:hAnsi="宋体" w:cs="宋体"/>
          <w:b/>
          <w:bCs/>
          <w:color w:val="auto"/>
        </w:rPr>
      </w:pPr>
      <w:r>
        <w:rPr>
          <w:rFonts w:hint="eastAsia" w:ascii="宋体" w:hAnsi="宋体" w:cs="宋体"/>
          <w:b/>
          <w:bCs/>
          <w:color w:val="auto"/>
        </w:rPr>
        <w:t>13.5最终结清</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13.5 1最终结清申请单</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（1）承包人应提交最终结清申请单一式</w:t>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rPr>
        <w:t>份。</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14.竣工验收（验收）</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承包人提供竣工图的约定：工程竣工验收合格后十日内向发包人提供竣工图、竣工资料伍份及配套贰套光盘给发包方。</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15.保险和担保</w:t>
      </w:r>
    </w:p>
    <w:p>
      <w:pPr>
        <w:autoSpaceDE w:val="0"/>
        <w:autoSpaceDN w:val="0"/>
        <w:spacing w:line="440" w:lineRule="exact"/>
        <w:rPr>
          <w:rFonts w:ascii="宋体" w:hAnsi="宋体" w:cs="宋体"/>
          <w:b/>
          <w:bCs/>
          <w:color w:val="auto"/>
        </w:rPr>
      </w:pPr>
      <w:r>
        <w:rPr>
          <w:rFonts w:hint="eastAsia" w:ascii="宋体" w:hAnsi="宋体" w:cs="宋体"/>
          <w:b/>
          <w:bCs/>
          <w:color w:val="auto"/>
        </w:rPr>
        <w:t>15.1履约担保：</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15.1.1履约担保的形式：。</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16.1.2履约担保的金额：。</w:t>
      </w:r>
    </w:p>
    <w:p>
      <w:pPr>
        <w:autoSpaceDE w:val="0"/>
        <w:autoSpaceDN w:val="0"/>
        <w:spacing w:line="440" w:lineRule="exact"/>
        <w:rPr>
          <w:rFonts w:ascii="宋体" w:hAnsi="宋体" w:cs="宋体"/>
          <w:b/>
          <w:bCs/>
          <w:color w:val="auto"/>
          <w:sz w:val="24"/>
        </w:rPr>
      </w:pPr>
      <w:r>
        <w:rPr>
          <w:rFonts w:hint="eastAsia" w:ascii="宋体" w:hAnsi="宋体" w:cs="宋体"/>
          <w:b/>
          <w:bCs/>
          <w:color w:val="auto"/>
          <w:sz w:val="24"/>
        </w:rPr>
        <w:t>16.争议的解决</w:t>
      </w:r>
    </w:p>
    <w:p>
      <w:pPr>
        <w:autoSpaceDE w:val="0"/>
        <w:autoSpaceDN w:val="0"/>
        <w:spacing w:line="440" w:lineRule="exact"/>
        <w:rPr>
          <w:rFonts w:ascii="宋体" w:hAnsi="宋体" w:cs="宋体"/>
          <w:b/>
          <w:bCs/>
          <w:color w:val="auto"/>
        </w:rPr>
      </w:pPr>
      <w:r>
        <w:rPr>
          <w:rFonts w:hint="eastAsia" w:ascii="宋体" w:hAnsi="宋体" w:cs="宋体"/>
          <w:b/>
          <w:bCs/>
          <w:color w:val="auto"/>
        </w:rPr>
        <w:t>16.1争议的解决方式</w:t>
      </w:r>
    </w:p>
    <w:p>
      <w:pPr>
        <w:autoSpaceDE w:val="0"/>
        <w:autoSpaceDN w:val="0"/>
        <w:spacing w:line="440" w:lineRule="exact"/>
        <w:ind w:firstLine="420" w:firstLineChars="200"/>
        <w:rPr>
          <w:rFonts w:ascii="宋体" w:hAnsi="宋体" w:cs="宋体"/>
          <w:color w:val="auto"/>
        </w:rPr>
      </w:pPr>
      <w:r>
        <w:rPr>
          <w:rFonts w:hint="eastAsia" w:ascii="宋体" w:hAnsi="宋体" w:cs="宋体"/>
          <w:color w:val="auto"/>
        </w:rPr>
        <w:t>合同当事人友好协商解决不成、不愿提请争议评审或不接受争议评审组意见的， 约定的合同争议解决方式 ：</w:t>
      </w:r>
      <w:r>
        <w:rPr>
          <w:rFonts w:hint="eastAsia" w:ascii="宋体" w:hAnsi="宋体" w:cs="宋体"/>
          <w:color w:val="auto"/>
          <w:u w:val="single"/>
        </w:rPr>
        <w:t xml:space="preserve"> 提交采购人所在地仲裁机构仲裁</w:t>
      </w:r>
      <w:r>
        <w:rPr>
          <w:rFonts w:hint="eastAsia" w:ascii="宋体" w:hAnsi="宋体" w:cs="宋体"/>
          <w:color w:val="auto"/>
          <w:u w:val="single"/>
        </w:rPr>
        <w:tab/>
      </w:r>
      <w:r>
        <w:rPr>
          <w:rFonts w:hint="eastAsia" w:ascii="宋体" w:hAnsi="宋体" w:cs="宋体"/>
          <w:color w:val="auto"/>
        </w:rPr>
        <w:t>。</w:t>
      </w:r>
    </w:p>
    <w:p>
      <w:pPr>
        <w:autoSpaceDE w:val="0"/>
        <w:autoSpaceDN w:val="0"/>
        <w:spacing w:line="440" w:lineRule="exact"/>
        <w:ind w:firstLine="420" w:firstLineChars="200"/>
        <w:rPr>
          <w:rFonts w:ascii="宋体" w:hAnsi="宋体" w:cs="宋体"/>
          <w:color w:val="auto"/>
        </w:rPr>
      </w:pPr>
    </w:p>
    <w:p>
      <w:pPr>
        <w:spacing w:line="440" w:lineRule="exact"/>
        <w:rPr>
          <w:rFonts w:ascii="宋体" w:hAnsi="宋体" w:cs="宋体"/>
          <w:color w:val="auto"/>
          <w:sz w:val="24"/>
        </w:rPr>
      </w:pPr>
      <w:r>
        <w:rPr>
          <w:rFonts w:hint="eastAsia" w:ascii="宋体" w:hAnsi="宋体" w:cs="宋体"/>
          <w:color w:val="auto"/>
        </w:rPr>
        <w:t>以上专用合同条款未尽事宜，在签订施工承包合同时予以确定及补充。</w:t>
      </w:r>
    </w:p>
    <w:p>
      <w:pPr>
        <w:widowControl/>
        <w:jc w:val="left"/>
        <w:rPr>
          <w:color w:val="auto"/>
        </w:rPr>
      </w:pPr>
      <w:r>
        <w:rPr>
          <w:color w:val="auto"/>
        </w:rPr>
        <w:br w:type="page"/>
      </w:r>
    </w:p>
    <w:p>
      <w:pPr>
        <w:spacing w:before="250" w:beforeLines="50" w:after="250" w:afterLines="50" w:line="360" w:lineRule="auto"/>
        <w:jc w:val="center"/>
        <w:rPr>
          <w:rFonts w:ascii="黑体" w:hAnsi="黑体" w:eastAsia="黑体" w:cs="黑体"/>
          <w:b/>
          <w:color w:val="auto"/>
          <w:sz w:val="44"/>
          <w:szCs w:val="44"/>
        </w:rPr>
      </w:pPr>
      <w:r>
        <w:rPr>
          <w:rFonts w:hint="eastAsia" w:ascii="黑体" w:hAnsi="黑体" w:eastAsia="黑体" w:cs="黑体"/>
          <w:b/>
          <w:color w:val="auto"/>
          <w:sz w:val="44"/>
          <w:szCs w:val="44"/>
        </w:rPr>
        <w:t>第六章  磋商响应文件格式</w:t>
      </w:r>
    </w:p>
    <w:p>
      <w:pPr>
        <w:spacing w:line="360" w:lineRule="auto"/>
        <w:jc w:val="right"/>
        <w:outlineLvl w:val="1"/>
        <w:rPr>
          <w:rFonts w:ascii="宋体" w:hAnsi="宋体" w:cs="宋体"/>
          <w:b/>
          <w:bCs/>
          <w:color w:val="auto"/>
          <w:sz w:val="44"/>
          <w:szCs w:val="44"/>
        </w:rPr>
      </w:pPr>
      <w:r>
        <w:rPr>
          <w:rFonts w:hint="eastAsia" w:ascii="黑体" w:hAnsi="黑体" w:eastAsia="黑体" w:cs="黑体"/>
          <w:b/>
          <w:bCs/>
          <w:color w:val="auto"/>
          <w:sz w:val="44"/>
          <w:szCs w:val="44"/>
          <w:bdr w:val="single" w:color="auto" w:sz="4" w:space="0"/>
        </w:rPr>
        <w:t>正/副本</w:t>
      </w:r>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（项目名称）</w:t>
      </w:r>
    </w:p>
    <w:p>
      <w:pPr>
        <w:pStyle w:val="17"/>
        <w:rPr>
          <w:color w:val="auto"/>
        </w:rPr>
      </w:pPr>
    </w:p>
    <w:p>
      <w:pPr>
        <w:jc w:val="center"/>
        <w:rPr>
          <w:rFonts w:ascii="黑体" w:eastAsia="黑体"/>
          <w:color w:val="auto"/>
          <w:sz w:val="32"/>
          <w:szCs w:val="32"/>
        </w:rPr>
      </w:pPr>
      <w:r>
        <w:rPr>
          <w:rFonts w:hint="eastAsia" w:ascii="黑体" w:eastAsia="黑体"/>
          <w:color w:val="auto"/>
          <w:sz w:val="32"/>
          <w:szCs w:val="32"/>
        </w:rPr>
        <w:t>（项目编号）</w:t>
      </w:r>
    </w:p>
    <w:p>
      <w:pPr>
        <w:jc w:val="center"/>
        <w:rPr>
          <w:rFonts w:ascii="黑体" w:eastAsia="黑体"/>
          <w:color w:val="auto"/>
          <w:sz w:val="28"/>
          <w:szCs w:val="28"/>
        </w:rPr>
      </w:pPr>
    </w:p>
    <w:p>
      <w:pPr>
        <w:spacing w:before="500" w:beforeLines="100"/>
        <w:jc w:val="center"/>
        <w:rPr>
          <w:rFonts w:ascii="黑体" w:eastAsia="黑体"/>
          <w:b/>
          <w:color w:val="auto"/>
          <w:sz w:val="72"/>
          <w:szCs w:val="72"/>
        </w:rPr>
      </w:pPr>
      <w:r>
        <w:rPr>
          <w:rFonts w:hint="eastAsia" w:ascii="黑体" w:eastAsia="黑体"/>
          <w:b/>
          <w:color w:val="auto"/>
          <w:sz w:val="72"/>
          <w:szCs w:val="72"/>
        </w:rPr>
        <w:t>磋商响应文件</w:t>
      </w:r>
    </w:p>
    <w:p>
      <w:pPr>
        <w:jc w:val="center"/>
        <w:rPr>
          <w:rFonts w:ascii="黑体" w:eastAsia="黑体"/>
          <w:color w:val="auto"/>
          <w:sz w:val="32"/>
          <w:szCs w:val="32"/>
        </w:rPr>
      </w:pPr>
    </w:p>
    <w:p>
      <w:pPr>
        <w:jc w:val="center"/>
        <w:rPr>
          <w:rFonts w:ascii="黑体" w:eastAsia="黑体"/>
          <w:color w:val="auto"/>
          <w:sz w:val="32"/>
          <w:szCs w:val="32"/>
        </w:rPr>
      </w:pPr>
    </w:p>
    <w:p>
      <w:pPr>
        <w:jc w:val="center"/>
        <w:rPr>
          <w:rFonts w:ascii="黑体" w:eastAsia="黑体"/>
          <w:color w:val="auto"/>
          <w:sz w:val="32"/>
          <w:szCs w:val="32"/>
        </w:rPr>
      </w:pPr>
    </w:p>
    <w:p>
      <w:pPr>
        <w:jc w:val="center"/>
        <w:rPr>
          <w:rFonts w:ascii="黑体" w:eastAsia="黑体"/>
          <w:color w:val="auto"/>
          <w:sz w:val="32"/>
          <w:szCs w:val="32"/>
        </w:rPr>
      </w:pPr>
    </w:p>
    <w:p>
      <w:pPr>
        <w:jc w:val="center"/>
        <w:rPr>
          <w:rFonts w:ascii="黑体" w:eastAsia="黑体"/>
          <w:color w:val="auto"/>
          <w:sz w:val="32"/>
          <w:szCs w:val="32"/>
        </w:rPr>
      </w:pPr>
    </w:p>
    <w:p>
      <w:pPr>
        <w:jc w:val="center"/>
        <w:rPr>
          <w:rFonts w:ascii="黑体" w:eastAsia="黑体"/>
          <w:color w:val="auto"/>
          <w:sz w:val="32"/>
          <w:szCs w:val="32"/>
        </w:rPr>
      </w:pPr>
    </w:p>
    <w:p>
      <w:pPr>
        <w:jc w:val="center"/>
        <w:rPr>
          <w:rFonts w:ascii="黑体" w:eastAsia="黑体"/>
          <w:color w:val="auto"/>
          <w:sz w:val="32"/>
          <w:szCs w:val="32"/>
        </w:rPr>
      </w:pPr>
    </w:p>
    <w:p>
      <w:pPr>
        <w:jc w:val="center"/>
        <w:rPr>
          <w:rFonts w:ascii="黑体" w:eastAsia="黑体"/>
          <w:color w:val="auto"/>
          <w:sz w:val="32"/>
          <w:szCs w:val="32"/>
        </w:rPr>
      </w:pPr>
    </w:p>
    <w:p>
      <w:pPr>
        <w:spacing w:line="360" w:lineRule="auto"/>
        <w:ind w:firstLine="1680" w:firstLineChars="600"/>
        <w:rPr>
          <w:rFonts w:ascii="黑体" w:eastAsia="黑体"/>
          <w:color w:val="auto"/>
          <w:sz w:val="28"/>
          <w:szCs w:val="28"/>
        </w:rPr>
      </w:pPr>
      <w:r>
        <w:rPr>
          <w:rFonts w:hint="eastAsia" w:ascii="黑体" w:eastAsia="黑体"/>
          <w:color w:val="auto"/>
          <w:sz w:val="28"/>
          <w:szCs w:val="28"/>
        </w:rPr>
        <w:t>投标人：（盖单位章）</w:t>
      </w:r>
    </w:p>
    <w:p>
      <w:pPr>
        <w:spacing w:line="360" w:lineRule="auto"/>
        <w:ind w:firstLine="1680" w:firstLineChars="600"/>
        <w:rPr>
          <w:rFonts w:ascii="黑体" w:eastAsia="黑体"/>
          <w:color w:val="auto"/>
          <w:sz w:val="28"/>
          <w:szCs w:val="28"/>
        </w:rPr>
      </w:pPr>
      <w:r>
        <w:rPr>
          <w:rFonts w:hint="eastAsia" w:ascii="黑体" w:eastAsia="黑体"/>
          <w:color w:val="auto"/>
          <w:sz w:val="28"/>
          <w:szCs w:val="28"/>
        </w:rPr>
        <w:t>法定代表人或其委托代理人：（签字或盖章）</w:t>
      </w:r>
    </w:p>
    <w:p>
      <w:pPr>
        <w:jc w:val="center"/>
        <w:rPr>
          <w:rFonts w:ascii="黑体" w:eastAsia="黑体"/>
          <w:color w:val="auto"/>
          <w:sz w:val="28"/>
          <w:szCs w:val="28"/>
        </w:rPr>
      </w:pPr>
    </w:p>
    <w:p>
      <w:pPr>
        <w:jc w:val="center"/>
        <w:rPr>
          <w:rFonts w:ascii="黑体" w:eastAsia="黑体"/>
          <w:color w:val="auto"/>
          <w:sz w:val="28"/>
          <w:szCs w:val="28"/>
        </w:rPr>
      </w:pPr>
    </w:p>
    <w:p>
      <w:pPr>
        <w:jc w:val="center"/>
        <w:rPr>
          <w:rFonts w:ascii="黑体" w:eastAsia="黑体"/>
          <w:color w:val="auto"/>
          <w:sz w:val="28"/>
          <w:szCs w:val="28"/>
        </w:rPr>
      </w:pPr>
      <w:r>
        <w:rPr>
          <w:rFonts w:hint="eastAsia" w:ascii="黑体" w:eastAsia="黑体"/>
          <w:color w:val="auto"/>
          <w:sz w:val="28"/>
          <w:szCs w:val="28"/>
        </w:rPr>
        <w:t>年月日</w:t>
      </w:r>
    </w:p>
    <w:p>
      <w:pPr>
        <w:tabs>
          <w:tab w:val="left" w:leader="dot" w:pos="8400"/>
        </w:tabs>
        <w:spacing w:line="360" w:lineRule="auto"/>
        <w:jc w:val="center"/>
        <w:rPr>
          <w:rFonts w:ascii="黑体" w:hAnsi="黑体" w:eastAsia="黑体" w:cs="黑体"/>
          <w:b/>
          <w:color w:val="auto"/>
          <w:sz w:val="44"/>
          <w:szCs w:val="44"/>
        </w:rPr>
      </w:pPr>
      <w:r>
        <w:rPr>
          <w:rFonts w:ascii="黑体" w:eastAsia="黑体"/>
          <w:color w:val="auto"/>
          <w:sz w:val="28"/>
          <w:szCs w:val="28"/>
        </w:rPr>
        <w:br w:type="page"/>
      </w:r>
      <w:r>
        <w:rPr>
          <w:rFonts w:hint="eastAsia" w:ascii="黑体" w:hAnsi="黑体" w:eastAsia="黑体" w:cs="黑体"/>
          <w:b/>
          <w:color w:val="auto"/>
          <w:sz w:val="44"/>
          <w:szCs w:val="44"/>
        </w:rPr>
        <w:t>目  录</w:t>
      </w:r>
    </w:p>
    <w:p>
      <w:pPr>
        <w:spacing w:line="600" w:lineRule="exact"/>
        <w:ind w:firstLine="410" w:firstLineChars="171"/>
        <w:rPr>
          <w:rFonts w:ascii="宋体" w:hAnsi="宋体"/>
          <w:color w:val="auto"/>
          <w:sz w:val="24"/>
        </w:rPr>
      </w:pPr>
      <w:r>
        <w:rPr>
          <w:rFonts w:hint="eastAsia" w:ascii="宋体" w:hAnsi="宋体"/>
          <w:color w:val="auto"/>
          <w:sz w:val="24"/>
        </w:rPr>
        <w:t>一、投标函及投标函附录</w:t>
      </w:r>
    </w:p>
    <w:p>
      <w:pPr>
        <w:spacing w:line="600" w:lineRule="exact"/>
        <w:ind w:firstLine="410" w:firstLineChars="171"/>
        <w:rPr>
          <w:rFonts w:ascii="宋体" w:hAnsi="宋体"/>
          <w:color w:val="auto"/>
          <w:sz w:val="24"/>
        </w:rPr>
      </w:pPr>
      <w:r>
        <w:rPr>
          <w:rFonts w:hint="eastAsia" w:ascii="宋体" w:hAnsi="宋体"/>
          <w:color w:val="auto"/>
          <w:sz w:val="24"/>
        </w:rPr>
        <w:t>二、法定代表人身份证明</w:t>
      </w:r>
    </w:p>
    <w:p>
      <w:pPr>
        <w:spacing w:line="600" w:lineRule="exact"/>
        <w:ind w:firstLine="410" w:firstLineChars="171"/>
        <w:rPr>
          <w:rFonts w:ascii="宋体" w:hAnsi="宋体"/>
          <w:color w:val="auto"/>
          <w:sz w:val="24"/>
        </w:rPr>
      </w:pPr>
      <w:r>
        <w:rPr>
          <w:rFonts w:hint="eastAsia" w:ascii="宋体" w:hAnsi="宋体"/>
          <w:color w:val="auto"/>
          <w:sz w:val="24"/>
        </w:rPr>
        <w:t>三、授权委托书</w:t>
      </w:r>
    </w:p>
    <w:p>
      <w:pPr>
        <w:spacing w:line="600" w:lineRule="exact"/>
        <w:ind w:firstLine="410" w:firstLineChars="171"/>
        <w:rPr>
          <w:rFonts w:ascii="宋体" w:hAnsi="宋体"/>
          <w:color w:val="auto"/>
          <w:sz w:val="24"/>
        </w:rPr>
      </w:pPr>
      <w:r>
        <w:rPr>
          <w:rFonts w:hint="eastAsia" w:ascii="宋体" w:hAnsi="宋体"/>
          <w:color w:val="auto"/>
          <w:sz w:val="24"/>
        </w:rPr>
        <w:t>四、磋商响应保证金</w:t>
      </w:r>
    </w:p>
    <w:p>
      <w:pPr>
        <w:spacing w:line="600" w:lineRule="exact"/>
        <w:ind w:firstLine="410" w:firstLineChars="171"/>
        <w:rPr>
          <w:rFonts w:ascii="宋体" w:hAnsi="宋体"/>
          <w:color w:val="auto"/>
          <w:sz w:val="24"/>
        </w:rPr>
      </w:pPr>
      <w:r>
        <w:rPr>
          <w:rFonts w:hint="eastAsia" w:ascii="宋体" w:hAnsi="宋体"/>
          <w:color w:val="auto"/>
          <w:sz w:val="24"/>
        </w:rPr>
        <w:t>五、已标价工程量清单</w:t>
      </w:r>
    </w:p>
    <w:p>
      <w:pPr>
        <w:spacing w:line="600" w:lineRule="exact"/>
        <w:ind w:firstLine="410" w:firstLineChars="171"/>
        <w:rPr>
          <w:rFonts w:ascii="宋体" w:hAnsi="宋体"/>
          <w:color w:val="auto"/>
          <w:sz w:val="24"/>
        </w:rPr>
      </w:pPr>
      <w:r>
        <w:rPr>
          <w:rFonts w:hint="eastAsia" w:ascii="宋体" w:hAnsi="宋体"/>
          <w:color w:val="auto"/>
          <w:sz w:val="24"/>
        </w:rPr>
        <w:t>六、施工组织设计</w:t>
      </w:r>
    </w:p>
    <w:p>
      <w:pPr>
        <w:spacing w:line="600" w:lineRule="exact"/>
        <w:ind w:firstLine="410" w:firstLineChars="171"/>
        <w:rPr>
          <w:rFonts w:ascii="宋体" w:hAnsi="宋体"/>
          <w:color w:val="auto"/>
          <w:sz w:val="24"/>
        </w:rPr>
      </w:pPr>
      <w:r>
        <w:rPr>
          <w:rFonts w:hint="eastAsia" w:ascii="宋体" w:hAnsi="宋体"/>
          <w:color w:val="auto"/>
          <w:sz w:val="24"/>
        </w:rPr>
        <w:t>七、项目管理机构</w:t>
      </w:r>
    </w:p>
    <w:p>
      <w:pPr>
        <w:spacing w:line="600" w:lineRule="exact"/>
        <w:ind w:firstLine="410" w:firstLineChars="171"/>
        <w:rPr>
          <w:rFonts w:ascii="宋体" w:hAnsi="宋体"/>
          <w:color w:val="auto"/>
          <w:sz w:val="24"/>
        </w:rPr>
      </w:pPr>
      <w:r>
        <w:rPr>
          <w:rFonts w:hint="eastAsia" w:ascii="宋体" w:hAnsi="宋体"/>
          <w:color w:val="auto"/>
          <w:sz w:val="24"/>
        </w:rPr>
        <w:t>八、资格审查资料</w:t>
      </w:r>
    </w:p>
    <w:p>
      <w:pPr>
        <w:spacing w:line="600" w:lineRule="exact"/>
        <w:ind w:firstLine="410" w:firstLineChars="171"/>
        <w:rPr>
          <w:rFonts w:ascii="宋体" w:hAnsi="宋体"/>
          <w:color w:val="auto"/>
          <w:sz w:val="24"/>
        </w:rPr>
      </w:pPr>
      <w:r>
        <w:rPr>
          <w:rFonts w:hint="eastAsia" w:ascii="宋体" w:hAnsi="宋体"/>
          <w:color w:val="auto"/>
          <w:sz w:val="24"/>
        </w:rPr>
        <w:t>九、其他材料</w:t>
      </w:r>
    </w:p>
    <w:p>
      <w:pPr>
        <w:pStyle w:val="4"/>
        <w:spacing w:before="250" w:beforeLines="50" w:after="250" w:afterLines="50" w:line="360" w:lineRule="auto"/>
        <w:jc w:val="center"/>
        <w:rPr>
          <w:rFonts w:ascii="宋体" w:hAnsi="宋体" w:eastAsia="宋体"/>
          <w:color w:val="auto"/>
        </w:rPr>
      </w:pPr>
      <w:r>
        <w:rPr>
          <w:rFonts w:ascii="黑体"/>
          <w:color w:val="auto"/>
          <w:sz w:val="28"/>
          <w:szCs w:val="28"/>
        </w:rPr>
        <w:br w:type="page"/>
      </w:r>
      <w:bookmarkStart w:id="493" w:name="_Toc425177185"/>
      <w:bookmarkStart w:id="494" w:name="_Toc394565357"/>
      <w:bookmarkStart w:id="495" w:name="_Toc28891"/>
      <w:bookmarkStart w:id="496" w:name="_Toc482228139"/>
      <w:r>
        <w:rPr>
          <w:rFonts w:hint="eastAsia" w:ascii="黑体" w:hAnsi="黑体" w:cs="黑体"/>
          <w:color w:val="auto"/>
        </w:rPr>
        <w:t>一、投标函及投标函附录</w:t>
      </w:r>
      <w:bookmarkEnd w:id="493"/>
      <w:bookmarkEnd w:id="494"/>
      <w:bookmarkEnd w:id="495"/>
    </w:p>
    <w:p>
      <w:pPr>
        <w:pStyle w:val="2"/>
        <w:spacing w:before="0" w:after="0" w:line="360" w:lineRule="auto"/>
        <w:jc w:val="center"/>
        <w:rPr>
          <w:rFonts w:ascii="黑体" w:hAnsi="黑体" w:eastAsia="黑体" w:cs="黑体"/>
          <w:color w:val="auto"/>
        </w:rPr>
      </w:pPr>
      <w:bookmarkStart w:id="497" w:name="_Toc20006"/>
      <w:bookmarkStart w:id="498" w:name="_Toc246996357"/>
      <w:bookmarkStart w:id="499" w:name="_Toc152045789"/>
      <w:bookmarkStart w:id="500" w:name="_Toc152042578"/>
      <w:bookmarkStart w:id="501" w:name="_Toc246997100"/>
      <w:bookmarkStart w:id="502" w:name="_Toc425177186"/>
      <w:bookmarkStart w:id="503" w:name="_Toc247085875"/>
      <w:bookmarkStart w:id="504" w:name="_Toc394565358"/>
      <w:bookmarkStart w:id="505" w:name="_Toc144974858"/>
      <w:bookmarkStart w:id="506" w:name="_Toc179632809"/>
      <w:bookmarkStart w:id="507" w:name="_Toc247085876"/>
      <w:bookmarkStart w:id="508" w:name="_Toc152042579"/>
      <w:bookmarkStart w:id="509" w:name="_Toc394565359"/>
      <w:bookmarkStart w:id="510" w:name="_Toc24833"/>
      <w:bookmarkStart w:id="511" w:name="_Toc144974859"/>
      <w:bookmarkStart w:id="512" w:name="_Toc246997101"/>
      <w:bookmarkStart w:id="513" w:name="_Toc246996358"/>
      <w:bookmarkStart w:id="514" w:name="_Toc152045790"/>
      <w:bookmarkStart w:id="515" w:name="_Toc425177187"/>
      <w:bookmarkStart w:id="516" w:name="_Toc179632810"/>
      <w:r>
        <w:rPr>
          <w:rFonts w:hint="eastAsia" w:ascii="黑体" w:hAnsi="黑体" w:eastAsia="黑体" w:cs="黑体"/>
          <w:color w:val="auto"/>
        </w:rPr>
        <w:t>（一）投标函</w:t>
      </w:r>
      <w:bookmarkEnd w:id="497"/>
      <w:bookmarkEnd w:id="498"/>
      <w:bookmarkEnd w:id="499"/>
      <w:bookmarkEnd w:id="500"/>
      <w:bookmarkEnd w:id="501"/>
      <w:bookmarkEnd w:id="502"/>
      <w:bookmarkEnd w:id="503"/>
      <w:bookmarkEnd w:id="504"/>
      <w:bookmarkEnd w:id="505"/>
      <w:bookmarkEnd w:id="506"/>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olor w:val="auto"/>
          <w:szCs w:val="21"/>
        </w:rPr>
      </w:pPr>
      <w:r>
        <w:rPr>
          <w:rFonts w:hint="eastAsia" w:ascii="宋体" w:hAnsi="宋体"/>
          <w:color w:val="auto"/>
          <w:szCs w:val="21"/>
        </w:rPr>
        <w:t>致：（招标人名称）</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ascii="宋体" w:hAnsi="宋体"/>
          <w:color w:val="auto"/>
          <w:szCs w:val="21"/>
        </w:rPr>
      </w:pPr>
      <w:r>
        <w:rPr>
          <w:rFonts w:hint="eastAsia" w:ascii="宋体" w:hAnsi="宋体"/>
          <w:color w:val="auto"/>
          <w:szCs w:val="21"/>
        </w:rPr>
        <w:t>在考察现场并充分研究（项目名称）（以下简称“本工程”）施工招标文件的全部内容后，我方兹以：</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ascii="宋体" w:hAnsi="宋体"/>
          <w:color w:val="auto"/>
          <w:szCs w:val="21"/>
          <w:u w:val="single"/>
        </w:rPr>
      </w:pPr>
      <w:r>
        <w:rPr>
          <w:rFonts w:hint="eastAsia" w:ascii="宋体" w:hAnsi="宋体"/>
          <w:color w:val="auto"/>
          <w:szCs w:val="21"/>
        </w:rPr>
        <w:t>人民币（大写）：</w:t>
      </w:r>
      <w:r>
        <w:rPr>
          <w:rFonts w:hint="eastAsia" w:ascii="宋体" w:hAnsi="宋体"/>
          <w:color w:val="auto"/>
          <w:szCs w:val="21"/>
          <w:u w:val="single"/>
        </w:rPr>
        <w:t xml:space="preserve"> </w:t>
      </w:r>
      <w:r>
        <w:rPr>
          <w:rFonts w:ascii="宋体" w:hAnsi="宋体"/>
          <w:color w:val="auto"/>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ascii="宋体" w:hAnsi="宋体"/>
          <w:color w:val="auto"/>
          <w:szCs w:val="21"/>
        </w:rPr>
      </w:pPr>
      <w:r>
        <w:rPr>
          <w:rFonts w:hint="eastAsia" w:ascii="宋体" w:hAnsi="宋体"/>
          <w:color w:val="auto"/>
          <w:szCs w:val="21"/>
        </w:rPr>
        <w:t>RMB￥：</w:t>
      </w:r>
      <w:r>
        <w:rPr>
          <w:rFonts w:ascii="宋体" w:hAnsi="宋体"/>
          <w:color w:val="auto"/>
          <w:szCs w:val="21"/>
          <w:u w:val="single"/>
        </w:rPr>
        <w:t xml:space="preserve">              </w:t>
      </w:r>
      <w:r>
        <w:rPr>
          <w:rFonts w:hint="eastAsia" w:ascii="宋体" w:hAnsi="宋体"/>
          <w:color w:val="auto"/>
          <w:szCs w:val="21"/>
        </w:rPr>
        <w:t>元</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ascii="宋体" w:hAnsi="宋体"/>
          <w:color w:val="auto"/>
          <w:szCs w:val="21"/>
        </w:rPr>
      </w:pPr>
      <w:r>
        <w:rPr>
          <w:rFonts w:hint="eastAsia" w:ascii="宋体" w:hAnsi="宋体"/>
          <w:color w:val="auto"/>
          <w:szCs w:val="21"/>
        </w:rPr>
        <w:t>的投标价格和按合同约定有权得到的其它金额，并严格按照合同约定，施工、竣工和交付本工程并维修其中的任何缺陷。</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ascii="宋体" w:hAnsi="宋体"/>
          <w:color w:val="auto"/>
          <w:szCs w:val="21"/>
        </w:rPr>
      </w:pPr>
      <w:r>
        <w:rPr>
          <w:rFonts w:hint="eastAsia" w:ascii="宋体" w:hAnsi="宋体"/>
          <w:color w:val="auto"/>
          <w:szCs w:val="21"/>
        </w:rPr>
        <w:t>如果我方中标，我方保证按照合同约定的开工日期开始本工程的施工，</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ascii="宋体" w:hAnsi="宋体"/>
          <w:color w:val="auto"/>
          <w:szCs w:val="21"/>
          <w:u w:val="single"/>
        </w:rPr>
        <w:t xml:space="preserve"> </w:t>
      </w:r>
      <w:r>
        <w:rPr>
          <w:rFonts w:hint="eastAsia" w:ascii="宋体" w:hAnsi="宋体"/>
          <w:color w:val="auto"/>
          <w:szCs w:val="21"/>
        </w:rPr>
        <w:t>天（日历天）内竣工，并确保工程质量达到</w:t>
      </w:r>
      <w:r>
        <w:rPr>
          <w:rFonts w:ascii="宋体" w:hAnsi="宋体"/>
          <w:color w:val="auto"/>
          <w:szCs w:val="21"/>
          <w:u w:val="single"/>
        </w:rPr>
        <w:t xml:space="preserve">      </w:t>
      </w:r>
      <w:r>
        <w:rPr>
          <w:rFonts w:hint="eastAsia" w:ascii="宋体" w:hAnsi="宋体"/>
          <w:color w:val="auto"/>
          <w:szCs w:val="21"/>
        </w:rPr>
        <w:t>标准。我方同意本投标函在招标文件规定的提交投标文件截止时间后，在招标文件规定的投标有效期期满前对我方具有约束力，且随时准备接受你方发出的中标通知书。</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ascii="宋体" w:hAnsi="宋体"/>
          <w:color w:val="auto"/>
          <w:szCs w:val="21"/>
        </w:rPr>
      </w:pPr>
      <w:r>
        <w:rPr>
          <w:rFonts w:hint="eastAsia" w:ascii="宋体" w:hAnsi="宋体"/>
          <w:color w:val="auto"/>
          <w:szCs w:val="21"/>
        </w:rPr>
        <w:t>随本投标函递交的投标函附录是本投标函的组成部分，对我方构成约束力。</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ascii="宋体" w:hAnsi="宋体"/>
          <w:color w:val="auto"/>
          <w:szCs w:val="21"/>
        </w:rPr>
      </w:pPr>
      <w:r>
        <w:rPr>
          <w:rFonts w:hint="eastAsia" w:ascii="宋体" w:hAnsi="宋体"/>
          <w:color w:val="auto"/>
          <w:szCs w:val="21"/>
        </w:rPr>
        <w:t>随同本投标函递交投标保证金一份，金额为人民币（大写）：</w:t>
      </w:r>
      <w:r>
        <w:rPr>
          <w:rFonts w:ascii="宋体" w:hAnsi="宋体"/>
          <w:color w:val="auto"/>
          <w:szCs w:val="21"/>
          <w:u w:val="single"/>
        </w:rPr>
        <w:t xml:space="preserve">      </w:t>
      </w:r>
      <w:r>
        <w:rPr>
          <w:rFonts w:hint="eastAsia" w:ascii="宋体" w:hAnsi="宋体"/>
          <w:color w:val="auto"/>
          <w:szCs w:val="21"/>
        </w:rPr>
        <w:t>（￥：</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元）。</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ascii="宋体" w:hAnsi="宋体"/>
          <w:color w:val="auto"/>
          <w:szCs w:val="21"/>
        </w:rPr>
      </w:pPr>
      <w:r>
        <w:rPr>
          <w:rFonts w:hint="eastAsia" w:ascii="宋体" w:hAnsi="宋体"/>
          <w:color w:val="auto"/>
          <w:szCs w:val="21"/>
        </w:rPr>
        <w:t>在签署协议书之前，你方的中标通知书连同本投标函，包括投标函附录，对双方具有约束力。</w:t>
      </w:r>
    </w:p>
    <w:p>
      <w:pPr>
        <w:spacing w:line="440" w:lineRule="exact"/>
        <w:ind w:firstLine="3360" w:firstLineChars="1600"/>
        <w:rPr>
          <w:rFonts w:ascii="宋体" w:hAnsi="宋体"/>
          <w:color w:val="auto"/>
          <w:szCs w:val="21"/>
        </w:rPr>
      </w:pPr>
    </w:p>
    <w:p>
      <w:pPr>
        <w:spacing w:line="440" w:lineRule="exact"/>
        <w:ind w:firstLine="3360" w:firstLineChars="1600"/>
        <w:rPr>
          <w:rFonts w:ascii="宋体" w:hAnsi="宋体"/>
          <w:color w:val="auto"/>
          <w:szCs w:val="21"/>
        </w:rPr>
      </w:pPr>
    </w:p>
    <w:p>
      <w:pPr>
        <w:spacing w:line="440" w:lineRule="exact"/>
        <w:ind w:firstLine="3360" w:firstLineChars="1600"/>
        <w:rPr>
          <w:rFonts w:ascii="宋体" w:hAnsi="宋体"/>
          <w:color w:val="auto"/>
          <w:szCs w:val="21"/>
        </w:rPr>
      </w:pPr>
      <w:r>
        <w:rPr>
          <w:rFonts w:hint="eastAsia" w:ascii="宋体" w:hAnsi="宋体"/>
          <w:color w:val="auto"/>
          <w:szCs w:val="21"/>
        </w:rPr>
        <w:t>投标人（盖章）：</w:t>
      </w:r>
    </w:p>
    <w:p>
      <w:pPr>
        <w:spacing w:line="440" w:lineRule="exact"/>
        <w:ind w:firstLine="3360" w:firstLineChars="1600"/>
        <w:rPr>
          <w:rFonts w:ascii="宋体" w:hAnsi="宋体"/>
          <w:color w:val="auto"/>
          <w:szCs w:val="21"/>
        </w:rPr>
      </w:pPr>
      <w:r>
        <w:rPr>
          <w:rFonts w:hint="eastAsia" w:ascii="宋体" w:hAnsi="宋体"/>
          <w:color w:val="auto"/>
          <w:szCs w:val="21"/>
        </w:rPr>
        <w:t>法人代表或委托代理人（签字或盖章）：</w:t>
      </w:r>
    </w:p>
    <w:p>
      <w:pPr>
        <w:spacing w:line="440" w:lineRule="exact"/>
        <w:ind w:firstLine="3360" w:firstLineChars="1600"/>
        <w:rPr>
          <w:rFonts w:ascii="宋体" w:hAnsi="宋体"/>
          <w:color w:val="auto"/>
          <w:szCs w:val="21"/>
        </w:rPr>
      </w:pPr>
      <w:r>
        <w:rPr>
          <w:rFonts w:hint="eastAsia" w:ascii="宋体" w:hAnsi="宋体"/>
          <w:color w:val="auto"/>
          <w:szCs w:val="21"/>
        </w:rPr>
        <w:t>日期： 年 月 日</w:t>
      </w:r>
    </w:p>
    <w:p>
      <w:pPr>
        <w:pStyle w:val="2"/>
        <w:spacing w:before="0" w:after="0" w:line="360" w:lineRule="auto"/>
        <w:rPr>
          <w:rFonts w:hint="eastAsia" w:ascii="黑体" w:hAnsi="黑体" w:eastAsia="黑体" w:cs="黑体"/>
          <w:color w:val="auto"/>
        </w:rPr>
      </w:pPr>
    </w:p>
    <w:p>
      <w:pPr>
        <w:pStyle w:val="2"/>
        <w:spacing w:before="0" w:after="0" w:line="360" w:lineRule="auto"/>
        <w:rPr>
          <w:rFonts w:hint="eastAsia" w:ascii="黑体" w:hAnsi="黑体" w:eastAsia="黑体" w:cs="黑体"/>
          <w:color w:val="auto"/>
        </w:rPr>
      </w:pPr>
    </w:p>
    <w:p>
      <w:pPr>
        <w:rPr>
          <w:rFonts w:hint="eastAsia"/>
          <w:color w:val="auto"/>
        </w:rPr>
      </w:pPr>
    </w:p>
    <w:p>
      <w:pPr>
        <w:pStyle w:val="2"/>
        <w:spacing w:before="0" w:after="0" w:line="360" w:lineRule="auto"/>
        <w:jc w:val="center"/>
        <w:rPr>
          <w:rFonts w:ascii="黑体" w:hAnsi="黑体" w:eastAsia="黑体" w:cs="黑体"/>
          <w:color w:val="auto"/>
        </w:rPr>
      </w:pPr>
      <w:r>
        <w:rPr>
          <w:rFonts w:hint="eastAsia" w:ascii="黑体" w:hAnsi="黑体" w:eastAsia="黑体" w:cs="黑体"/>
          <w:color w:val="auto"/>
        </w:rPr>
        <w:t>（二）投标函附录</w:t>
      </w:r>
      <w:bookmarkEnd w:id="507"/>
      <w:bookmarkEnd w:id="508"/>
      <w:bookmarkEnd w:id="509"/>
      <w:bookmarkEnd w:id="510"/>
      <w:bookmarkEnd w:id="511"/>
      <w:bookmarkEnd w:id="512"/>
      <w:bookmarkEnd w:id="513"/>
      <w:bookmarkEnd w:id="514"/>
      <w:bookmarkEnd w:id="515"/>
      <w:bookmarkEnd w:id="516"/>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337"/>
        <w:gridCol w:w="2161"/>
        <w:gridCol w:w="2702"/>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ascii="宋体" w:hAnsi="宋体"/>
                <w:b/>
                <w:color w:val="auto"/>
                <w:szCs w:val="21"/>
              </w:rPr>
            </w:pPr>
            <w:r>
              <w:rPr>
                <w:rFonts w:ascii="宋体" w:hAnsi="宋体"/>
                <w:b/>
                <w:color w:val="auto"/>
                <w:szCs w:val="21"/>
              </w:rPr>
              <w:t>序号</w:t>
            </w:r>
          </w:p>
        </w:tc>
        <w:tc>
          <w:tcPr>
            <w:tcW w:w="2337" w:type="dxa"/>
            <w:vAlign w:val="center"/>
          </w:tcPr>
          <w:p>
            <w:pPr>
              <w:spacing w:line="440" w:lineRule="exact"/>
              <w:jc w:val="center"/>
              <w:rPr>
                <w:rFonts w:ascii="宋体" w:hAnsi="宋体"/>
                <w:b/>
                <w:color w:val="auto"/>
                <w:szCs w:val="21"/>
              </w:rPr>
            </w:pPr>
            <w:r>
              <w:rPr>
                <w:rFonts w:hint="eastAsia" w:ascii="宋体" w:hAnsi="宋体"/>
                <w:b/>
                <w:color w:val="auto"/>
                <w:szCs w:val="21"/>
              </w:rPr>
              <w:t>条款名称</w:t>
            </w:r>
          </w:p>
        </w:tc>
        <w:tc>
          <w:tcPr>
            <w:tcW w:w="2161" w:type="dxa"/>
            <w:vAlign w:val="center"/>
          </w:tcPr>
          <w:p>
            <w:pPr>
              <w:spacing w:line="440" w:lineRule="exact"/>
              <w:jc w:val="center"/>
              <w:rPr>
                <w:rFonts w:ascii="宋体" w:hAnsi="宋体"/>
                <w:b/>
                <w:color w:val="auto"/>
                <w:szCs w:val="21"/>
              </w:rPr>
            </w:pPr>
            <w:r>
              <w:rPr>
                <w:rFonts w:ascii="宋体" w:hAnsi="宋体"/>
                <w:b/>
                <w:color w:val="auto"/>
                <w:szCs w:val="21"/>
              </w:rPr>
              <w:t>合同条款号</w:t>
            </w:r>
          </w:p>
        </w:tc>
        <w:tc>
          <w:tcPr>
            <w:tcW w:w="2702" w:type="dxa"/>
            <w:vAlign w:val="center"/>
          </w:tcPr>
          <w:p>
            <w:pPr>
              <w:spacing w:line="440" w:lineRule="exact"/>
              <w:jc w:val="center"/>
              <w:rPr>
                <w:rFonts w:ascii="宋体" w:hAnsi="宋体"/>
                <w:b/>
                <w:color w:val="auto"/>
                <w:szCs w:val="21"/>
              </w:rPr>
            </w:pPr>
            <w:r>
              <w:rPr>
                <w:rFonts w:hint="eastAsia" w:ascii="宋体" w:hAnsi="宋体"/>
                <w:b/>
                <w:color w:val="auto"/>
                <w:szCs w:val="21"/>
              </w:rPr>
              <w:t>约定</w:t>
            </w:r>
            <w:r>
              <w:rPr>
                <w:rFonts w:ascii="宋体" w:hAnsi="宋体"/>
                <w:b/>
                <w:color w:val="auto"/>
                <w:szCs w:val="21"/>
              </w:rPr>
              <w:t>内容</w:t>
            </w:r>
          </w:p>
        </w:tc>
        <w:tc>
          <w:tcPr>
            <w:tcW w:w="1213" w:type="dxa"/>
            <w:vAlign w:val="center"/>
          </w:tcPr>
          <w:p>
            <w:pPr>
              <w:spacing w:line="440" w:lineRule="exact"/>
              <w:jc w:val="center"/>
              <w:rPr>
                <w:rFonts w:ascii="宋体" w:hAnsi="宋体"/>
                <w:b/>
                <w:color w:val="auto"/>
                <w:szCs w:val="21"/>
              </w:rPr>
            </w:pPr>
            <w:r>
              <w:rPr>
                <w:rFonts w:ascii="宋体" w:hAnsi="宋体"/>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ascii="宋体" w:hAnsi="宋体"/>
                <w:color w:val="auto"/>
                <w:szCs w:val="21"/>
              </w:rPr>
            </w:pPr>
            <w:r>
              <w:rPr>
                <w:rFonts w:ascii="宋体" w:hAnsi="宋体"/>
                <w:color w:val="auto"/>
                <w:szCs w:val="21"/>
              </w:rPr>
              <w:t>1</w:t>
            </w:r>
          </w:p>
        </w:tc>
        <w:tc>
          <w:tcPr>
            <w:tcW w:w="2337" w:type="dxa"/>
            <w:vAlign w:val="center"/>
          </w:tcPr>
          <w:p>
            <w:pPr>
              <w:widowControl/>
              <w:rPr>
                <w:rFonts w:ascii="宋体" w:hAnsi="宋体" w:cs="宋体"/>
                <w:color w:val="auto"/>
                <w:kern w:val="0"/>
                <w:szCs w:val="21"/>
              </w:rPr>
            </w:pPr>
            <w:r>
              <w:rPr>
                <w:rFonts w:hint="eastAsia" w:ascii="宋体" w:hAnsi="宋体" w:cs="宋体"/>
                <w:color w:val="auto"/>
                <w:kern w:val="0"/>
                <w:szCs w:val="21"/>
              </w:rPr>
              <w:t>项目负责人（项目经理）</w:t>
            </w:r>
          </w:p>
        </w:tc>
        <w:tc>
          <w:tcPr>
            <w:tcW w:w="2161" w:type="dxa"/>
            <w:vAlign w:val="center"/>
          </w:tcPr>
          <w:p>
            <w:pPr>
              <w:widowControl/>
              <w:rPr>
                <w:rFonts w:ascii="宋体" w:hAnsi="宋体" w:cs="宋体"/>
                <w:color w:val="auto"/>
                <w:kern w:val="0"/>
                <w:szCs w:val="21"/>
              </w:rPr>
            </w:pPr>
            <w:r>
              <w:rPr>
                <w:rFonts w:hint="eastAsia" w:ascii="宋体" w:hAnsi="宋体" w:cs="宋体"/>
                <w:color w:val="auto"/>
                <w:kern w:val="0"/>
                <w:szCs w:val="21"/>
              </w:rPr>
              <w:t>1.1.2.4</w:t>
            </w:r>
          </w:p>
        </w:tc>
        <w:tc>
          <w:tcPr>
            <w:tcW w:w="2702" w:type="dxa"/>
            <w:vAlign w:val="center"/>
          </w:tcPr>
          <w:p>
            <w:pPr>
              <w:widowControl/>
              <w:rPr>
                <w:rFonts w:ascii="宋体" w:hAnsi="宋体" w:cs="宋体"/>
                <w:color w:val="auto"/>
                <w:kern w:val="0"/>
                <w:szCs w:val="21"/>
              </w:rPr>
            </w:pPr>
            <w:r>
              <w:rPr>
                <w:rFonts w:hint="eastAsia" w:ascii="宋体" w:hAnsi="宋体" w:cs="宋体"/>
                <w:color w:val="auto"/>
                <w:kern w:val="0"/>
                <w:szCs w:val="21"/>
              </w:rPr>
              <w:t xml:space="preserve">姓名：           </w:t>
            </w:r>
          </w:p>
        </w:tc>
        <w:tc>
          <w:tcPr>
            <w:tcW w:w="1213" w:type="dxa"/>
            <w:vAlign w:val="center"/>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ascii="宋体" w:hAnsi="宋体"/>
                <w:color w:val="auto"/>
                <w:szCs w:val="21"/>
              </w:rPr>
            </w:pPr>
            <w:r>
              <w:rPr>
                <w:rFonts w:hint="eastAsia" w:ascii="宋体" w:hAnsi="宋体"/>
                <w:color w:val="auto"/>
                <w:szCs w:val="21"/>
              </w:rPr>
              <w:t>1.1</w:t>
            </w:r>
          </w:p>
        </w:tc>
        <w:tc>
          <w:tcPr>
            <w:tcW w:w="2337" w:type="dxa"/>
            <w:vAlign w:val="center"/>
          </w:tcPr>
          <w:p>
            <w:pPr>
              <w:widowControl/>
              <w:rPr>
                <w:rFonts w:ascii="宋体" w:hAnsi="宋体" w:cs="宋体"/>
                <w:color w:val="auto"/>
                <w:kern w:val="0"/>
                <w:szCs w:val="21"/>
              </w:rPr>
            </w:pPr>
            <w:r>
              <w:rPr>
                <w:rFonts w:hint="eastAsia" w:ascii="宋体" w:hAnsi="宋体" w:cs="宋体"/>
                <w:color w:val="auto"/>
                <w:kern w:val="0"/>
                <w:szCs w:val="21"/>
              </w:rPr>
              <w:t>项目负责人（项目经理）注册证号</w:t>
            </w:r>
          </w:p>
        </w:tc>
        <w:tc>
          <w:tcPr>
            <w:tcW w:w="2161" w:type="dxa"/>
            <w:vAlign w:val="center"/>
          </w:tcPr>
          <w:p>
            <w:pPr>
              <w:widowControl/>
              <w:rPr>
                <w:rFonts w:ascii="宋体" w:hAnsi="宋体" w:cs="宋体"/>
                <w:color w:val="auto"/>
                <w:kern w:val="0"/>
                <w:szCs w:val="21"/>
              </w:rPr>
            </w:pPr>
            <w:r>
              <w:rPr>
                <w:rFonts w:hint="eastAsia" w:ascii="宋体" w:hAnsi="宋体" w:cs="宋体"/>
                <w:color w:val="auto"/>
                <w:kern w:val="0"/>
                <w:szCs w:val="21"/>
              </w:rPr>
              <w:t>\</w:t>
            </w:r>
          </w:p>
        </w:tc>
        <w:tc>
          <w:tcPr>
            <w:tcW w:w="2702"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1213" w:type="dxa"/>
            <w:vAlign w:val="center"/>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ascii="宋体" w:hAnsi="宋体"/>
                <w:color w:val="auto"/>
                <w:szCs w:val="21"/>
              </w:rPr>
            </w:pPr>
            <w:r>
              <w:rPr>
                <w:rFonts w:hint="eastAsia" w:ascii="宋体" w:hAnsi="宋体"/>
                <w:color w:val="auto"/>
                <w:szCs w:val="21"/>
              </w:rPr>
              <w:t>1.2</w:t>
            </w:r>
          </w:p>
        </w:tc>
        <w:tc>
          <w:tcPr>
            <w:tcW w:w="2337" w:type="dxa"/>
            <w:vAlign w:val="center"/>
          </w:tcPr>
          <w:p>
            <w:pPr>
              <w:widowControl/>
              <w:rPr>
                <w:rFonts w:ascii="宋体" w:hAnsi="宋体" w:cs="宋体"/>
                <w:color w:val="auto"/>
                <w:kern w:val="0"/>
                <w:szCs w:val="21"/>
              </w:rPr>
            </w:pPr>
            <w:r>
              <w:rPr>
                <w:rFonts w:hint="eastAsia" w:ascii="宋体" w:hAnsi="宋体" w:cs="宋体"/>
                <w:color w:val="auto"/>
                <w:kern w:val="0"/>
                <w:szCs w:val="21"/>
              </w:rPr>
              <w:t>项目负责人（项目经理）身份证号码</w:t>
            </w:r>
          </w:p>
        </w:tc>
        <w:tc>
          <w:tcPr>
            <w:tcW w:w="2161" w:type="dxa"/>
            <w:vAlign w:val="center"/>
          </w:tcPr>
          <w:p>
            <w:pPr>
              <w:widowControl/>
              <w:rPr>
                <w:rFonts w:ascii="宋体" w:hAnsi="宋体" w:cs="宋体"/>
                <w:color w:val="auto"/>
                <w:kern w:val="0"/>
                <w:szCs w:val="21"/>
              </w:rPr>
            </w:pPr>
            <w:r>
              <w:rPr>
                <w:rFonts w:hint="eastAsia" w:ascii="宋体" w:hAnsi="宋体" w:cs="宋体"/>
                <w:color w:val="auto"/>
                <w:kern w:val="0"/>
                <w:szCs w:val="21"/>
              </w:rPr>
              <w:t>\</w:t>
            </w:r>
          </w:p>
        </w:tc>
        <w:tc>
          <w:tcPr>
            <w:tcW w:w="2702"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1213" w:type="dxa"/>
            <w:vAlign w:val="center"/>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ascii="宋体" w:hAnsi="宋体"/>
                <w:color w:val="auto"/>
                <w:szCs w:val="21"/>
              </w:rPr>
            </w:pPr>
            <w:r>
              <w:rPr>
                <w:rFonts w:hint="eastAsia" w:ascii="宋体" w:hAnsi="宋体"/>
                <w:color w:val="auto"/>
                <w:szCs w:val="21"/>
              </w:rPr>
              <w:t>2</w:t>
            </w:r>
          </w:p>
        </w:tc>
        <w:tc>
          <w:tcPr>
            <w:tcW w:w="2337" w:type="dxa"/>
            <w:vAlign w:val="center"/>
          </w:tcPr>
          <w:p>
            <w:pPr>
              <w:widowControl/>
              <w:rPr>
                <w:rFonts w:ascii="宋体" w:hAnsi="宋体" w:cs="宋体"/>
                <w:color w:val="auto"/>
                <w:kern w:val="0"/>
                <w:szCs w:val="21"/>
              </w:rPr>
            </w:pPr>
            <w:r>
              <w:rPr>
                <w:rFonts w:hint="eastAsia" w:ascii="宋体" w:hAnsi="宋体" w:cs="宋体"/>
                <w:color w:val="auto"/>
                <w:kern w:val="0"/>
                <w:szCs w:val="21"/>
              </w:rPr>
              <w:t>工期</w:t>
            </w:r>
          </w:p>
        </w:tc>
        <w:tc>
          <w:tcPr>
            <w:tcW w:w="2161" w:type="dxa"/>
            <w:vAlign w:val="center"/>
          </w:tcPr>
          <w:p>
            <w:pPr>
              <w:widowControl/>
              <w:rPr>
                <w:rFonts w:ascii="宋体" w:hAnsi="宋体" w:cs="宋体"/>
                <w:color w:val="auto"/>
                <w:kern w:val="0"/>
                <w:szCs w:val="21"/>
              </w:rPr>
            </w:pPr>
            <w:r>
              <w:rPr>
                <w:rFonts w:hint="eastAsia" w:ascii="宋体" w:hAnsi="宋体" w:cs="宋体"/>
                <w:color w:val="auto"/>
                <w:kern w:val="0"/>
                <w:szCs w:val="21"/>
              </w:rPr>
              <w:t>1.1.4.3</w:t>
            </w:r>
          </w:p>
        </w:tc>
        <w:tc>
          <w:tcPr>
            <w:tcW w:w="2702" w:type="dxa"/>
            <w:vAlign w:val="center"/>
          </w:tcPr>
          <w:p>
            <w:pPr>
              <w:widowControl/>
              <w:rPr>
                <w:rFonts w:ascii="宋体" w:hAnsi="宋体" w:cs="宋体"/>
                <w:color w:val="auto"/>
                <w:kern w:val="0"/>
                <w:szCs w:val="21"/>
              </w:rPr>
            </w:pPr>
            <w:r>
              <w:rPr>
                <w:rFonts w:hint="eastAsia" w:ascii="宋体" w:hAnsi="宋体" w:cs="宋体"/>
                <w:color w:val="auto"/>
                <w:kern w:val="0"/>
                <w:szCs w:val="21"/>
              </w:rPr>
              <w:t>日历天</w:t>
            </w:r>
          </w:p>
        </w:tc>
        <w:tc>
          <w:tcPr>
            <w:tcW w:w="1213" w:type="dxa"/>
            <w:vAlign w:val="center"/>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ascii="宋体" w:hAnsi="宋体"/>
                <w:color w:val="auto"/>
                <w:szCs w:val="21"/>
              </w:rPr>
            </w:pPr>
            <w:r>
              <w:rPr>
                <w:rFonts w:hint="eastAsia" w:ascii="宋体" w:hAnsi="宋体"/>
                <w:color w:val="auto"/>
                <w:szCs w:val="21"/>
              </w:rPr>
              <w:t>3</w:t>
            </w:r>
          </w:p>
        </w:tc>
        <w:tc>
          <w:tcPr>
            <w:tcW w:w="2337" w:type="dxa"/>
            <w:vAlign w:val="center"/>
          </w:tcPr>
          <w:p>
            <w:pPr>
              <w:widowControl/>
              <w:rPr>
                <w:rFonts w:ascii="宋体" w:hAnsi="宋体" w:cs="宋体"/>
                <w:color w:val="auto"/>
                <w:kern w:val="0"/>
                <w:szCs w:val="21"/>
              </w:rPr>
            </w:pPr>
            <w:r>
              <w:rPr>
                <w:rFonts w:hint="eastAsia" w:ascii="宋体" w:hAnsi="宋体" w:cs="宋体"/>
                <w:color w:val="auto"/>
                <w:kern w:val="0"/>
                <w:szCs w:val="21"/>
              </w:rPr>
              <w:t>质量标准</w:t>
            </w:r>
          </w:p>
        </w:tc>
        <w:tc>
          <w:tcPr>
            <w:tcW w:w="2161" w:type="dxa"/>
            <w:vAlign w:val="center"/>
          </w:tcPr>
          <w:p>
            <w:pPr>
              <w:widowControl/>
              <w:rPr>
                <w:rFonts w:ascii="宋体" w:hAnsi="宋体" w:cs="宋体"/>
                <w:color w:val="auto"/>
                <w:kern w:val="0"/>
                <w:szCs w:val="21"/>
              </w:rPr>
            </w:pPr>
            <w:r>
              <w:rPr>
                <w:rFonts w:hint="eastAsia" w:ascii="宋体" w:hAnsi="宋体" w:cs="宋体"/>
                <w:color w:val="auto"/>
                <w:kern w:val="0"/>
                <w:szCs w:val="21"/>
              </w:rPr>
              <w:t>13.1</w:t>
            </w:r>
          </w:p>
        </w:tc>
        <w:tc>
          <w:tcPr>
            <w:tcW w:w="2702"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1213" w:type="dxa"/>
            <w:vAlign w:val="center"/>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ascii="宋体" w:hAnsi="宋体"/>
                <w:color w:val="auto"/>
                <w:szCs w:val="21"/>
              </w:rPr>
            </w:pPr>
            <w:r>
              <w:rPr>
                <w:rFonts w:hint="eastAsia" w:ascii="宋体" w:hAnsi="宋体"/>
                <w:color w:val="auto"/>
                <w:szCs w:val="21"/>
              </w:rPr>
              <w:t>4</w:t>
            </w:r>
          </w:p>
        </w:tc>
        <w:tc>
          <w:tcPr>
            <w:tcW w:w="2337" w:type="dxa"/>
            <w:vAlign w:val="center"/>
          </w:tcPr>
          <w:p>
            <w:pPr>
              <w:widowControl/>
              <w:rPr>
                <w:rFonts w:ascii="宋体" w:hAnsi="宋体" w:cs="宋体"/>
                <w:color w:val="auto"/>
                <w:kern w:val="0"/>
                <w:szCs w:val="21"/>
              </w:rPr>
            </w:pPr>
            <w:r>
              <w:rPr>
                <w:rFonts w:hint="eastAsia" w:ascii="宋体" w:hAnsi="宋体" w:cs="宋体"/>
                <w:color w:val="auto"/>
                <w:kern w:val="0"/>
                <w:szCs w:val="21"/>
              </w:rPr>
              <w:t>投标有效期</w:t>
            </w:r>
          </w:p>
        </w:tc>
        <w:tc>
          <w:tcPr>
            <w:tcW w:w="2161" w:type="dxa"/>
            <w:vAlign w:val="center"/>
          </w:tcPr>
          <w:p>
            <w:pPr>
              <w:widowControl/>
              <w:rPr>
                <w:rFonts w:ascii="宋体" w:hAnsi="宋体" w:cs="宋体"/>
                <w:color w:val="auto"/>
                <w:kern w:val="0"/>
                <w:szCs w:val="21"/>
              </w:rPr>
            </w:pPr>
            <w:r>
              <w:rPr>
                <w:rFonts w:hint="eastAsia" w:ascii="宋体" w:hAnsi="宋体" w:cs="宋体"/>
                <w:color w:val="auto"/>
                <w:kern w:val="0"/>
                <w:szCs w:val="21"/>
              </w:rPr>
              <w:t>\</w:t>
            </w:r>
          </w:p>
        </w:tc>
        <w:tc>
          <w:tcPr>
            <w:tcW w:w="2702" w:type="dxa"/>
            <w:vAlign w:val="center"/>
          </w:tcPr>
          <w:p>
            <w:pPr>
              <w:widowControl/>
              <w:rPr>
                <w:rFonts w:ascii="宋体" w:hAnsi="宋体" w:cs="宋体"/>
                <w:color w:val="auto"/>
                <w:kern w:val="0"/>
                <w:szCs w:val="21"/>
              </w:rPr>
            </w:pPr>
            <w:r>
              <w:rPr>
                <w:rFonts w:hint="eastAsia" w:ascii="宋体" w:hAnsi="宋体" w:cs="宋体"/>
                <w:color w:val="auto"/>
                <w:kern w:val="0"/>
                <w:szCs w:val="21"/>
              </w:rPr>
              <w:t>自投标截止日起日</w:t>
            </w:r>
          </w:p>
        </w:tc>
        <w:tc>
          <w:tcPr>
            <w:tcW w:w="1213" w:type="dxa"/>
            <w:vAlign w:val="center"/>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ascii="宋体" w:hAnsi="宋体"/>
                <w:color w:val="auto"/>
                <w:szCs w:val="21"/>
              </w:rPr>
            </w:pPr>
            <w:r>
              <w:rPr>
                <w:rFonts w:ascii="宋体" w:hAnsi="宋体"/>
                <w:color w:val="auto"/>
                <w:szCs w:val="21"/>
              </w:rPr>
              <w:t>……</w:t>
            </w:r>
          </w:p>
        </w:tc>
        <w:tc>
          <w:tcPr>
            <w:tcW w:w="2337" w:type="dxa"/>
            <w:vAlign w:val="center"/>
          </w:tcPr>
          <w:p>
            <w:pPr>
              <w:spacing w:line="440" w:lineRule="exact"/>
              <w:jc w:val="center"/>
              <w:rPr>
                <w:rFonts w:ascii="宋体" w:hAnsi="宋体"/>
                <w:color w:val="auto"/>
                <w:szCs w:val="21"/>
              </w:rPr>
            </w:pPr>
            <w:r>
              <w:rPr>
                <w:rFonts w:ascii="宋体" w:hAnsi="宋体"/>
                <w:color w:val="auto"/>
                <w:szCs w:val="21"/>
              </w:rPr>
              <w:t>……</w:t>
            </w:r>
          </w:p>
        </w:tc>
        <w:tc>
          <w:tcPr>
            <w:tcW w:w="2161" w:type="dxa"/>
            <w:vAlign w:val="center"/>
          </w:tcPr>
          <w:p>
            <w:pPr>
              <w:spacing w:line="440" w:lineRule="exact"/>
              <w:jc w:val="center"/>
              <w:rPr>
                <w:rFonts w:ascii="宋体" w:hAnsi="宋体"/>
                <w:color w:val="auto"/>
                <w:szCs w:val="21"/>
              </w:rPr>
            </w:pPr>
            <w:r>
              <w:rPr>
                <w:rFonts w:ascii="宋体" w:hAnsi="宋体"/>
                <w:color w:val="auto"/>
                <w:szCs w:val="21"/>
              </w:rPr>
              <w:t>……</w:t>
            </w:r>
          </w:p>
        </w:tc>
        <w:tc>
          <w:tcPr>
            <w:tcW w:w="2702" w:type="dxa"/>
            <w:vAlign w:val="center"/>
          </w:tcPr>
          <w:p>
            <w:pPr>
              <w:spacing w:line="440" w:lineRule="exact"/>
              <w:jc w:val="center"/>
              <w:rPr>
                <w:rFonts w:ascii="宋体" w:hAnsi="宋体"/>
                <w:color w:val="auto"/>
                <w:szCs w:val="21"/>
              </w:rPr>
            </w:pPr>
            <w:r>
              <w:rPr>
                <w:rFonts w:ascii="宋体" w:hAnsi="宋体"/>
                <w:color w:val="auto"/>
                <w:szCs w:val="21"/>
              </w:rPr>
              <w:t>……</w:t>
            </w:r>
          </w:p>
        </w:tc>
        <w:tc>
          <w:tcPr>
            <w:tcW w:w="1213" w:type="dxa"/>
            <w:vAlign w:val="center"/>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ascii="宋体" w:hAnsi="宋体"/>
                <w:color w:val="auto"/>
                <w:szCs w:val="21"/>
              </w:rPr>
            </w:pPr>
            <w:r>
              <w:rPr>
                <w:rFonts w:ascii="宋体" w:hAnsi="宋体"/>
                <w:color w:val="auto"/>
                <w:szCs w:val="21"/>
              </w:rPr>
              <w:t>……</w:t>
            </w:r>
          </w:p>
        </w:tc>
        <w:tc>
          <w:tcPr>
            <w:tcW w:w="2337" w:type="dxa"/>
            <w:vAlign w:val="center"/>
          </w:tcPr>
          <w:p>
            <w:pPr>
              <w:spacing w:line="440" w:lineRule="exact"/>
              <w:jc w:val="center"/>
              <w:rPr>
                <w:rFonts w:ascii="宋体" w:hAnsi="宋体"/>
                <w:color w:val="auto"/>
                <w:szCs w:val="21"/>
              </w:rPr>
            </w:pPr>
            <w:r>
              <w:rPr>
                <w:rFonts w:ascii="宋体" w:hAnsi="宋体"/>
                <w:color w:val="auto"/>
                <w:szCs w:val="21"/>
              </w:rPr>
              <w:t>……</w:t>
            </w:r>
          </w:p>
        </w:tc>
        <w:tc>
          <w:tcPr>
            <w:tcW w:w="2161" w:type="dxa"/>
            <w:vAlign w:val="center"/>
          </w:tcPr>
          <w:p>
            <w:pPr>
              <w:spacing w:line="440" w:lineRule="exact"/>
              <w:jc w:val="center"/>
              <w:rPr>
                <w:rFonts w:ascii="宋体" w:hAnsi="宋体"/>
                <w:color w:val="auto"/>
                <w:szCs w:val="21"/>
              </w:rPr>
            </w:pPr>
            <w:r>
              <w:rPr>
                <w:rFonts w:ascii="宋体" w:hAnsi="宋体"/>
                <w:color w:val="auto"/>
                <w:szCs w:val="21"/>
              </w:rPr>
              <w:t>……</w:t>
            </w:r>
          </w:p>
        </w:tc>
        <w:tc>
          <w:tcPr>
            <w:tcW w:w="2702" w:type="dxa"/>
            <w:vAlign w:val="center"/>
          </w:tcPr>
          <w:p>
            <w:pPr>
              <w:spacing w:line="440" w:lineRule="exact"/>
              <w:jc w:val="center"/>
              <w:rPr>
                <w:rFonts w:ascii="宋体" w:hAnsi="宋体"/>
                <w:color w:val="auto"/>
                <w:szCs w:val="21"/>
              </w:rPr>
            </w:pPr>
            <w:r>
              <w:rPr>
                <w:rFonts w:ascii="宋体" w:hAnsi="宋体"/>
                <w:color w:val="auto"/>
                <w:szCs w:val="21"/>
              </w:rPr>
              <w:t>……</w:t>
            </w:r>
          </w:p>
        </w:tc>
        <w:tc>
          <w:tcPr>
            <w:tcW w:w="1213" w:type="dxa"/>
            <w:vAlign w:val="center"/>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3" w:type="dxa"/>
            <w:gridSpan w:val="5"/>
            <w:vAlign w:val="center"/>
          </w:tcPr>
          <w:p>
            <w:pPr>
              <w:widowControl/>
              <w:jc w:val="left"/>
              <w:rPr>
                <w:color w:val="auto"/>
              </w:rPr>
            </w:pPr>
            <w:r>
              <w:rPr>
                <w:rFonts w:hint="eastAsia" w:ascii="宋体" w:hAnsi="宋体" w:cs="宋体"/>
                <w:color w:val="auto"/>
                <w:kern w:val="0"/>
                <w:szCs w:val="21"/>
              </w:rPr>
              <w:t xml:space="preserve">备注：投标人在响应招标文件中规定的实质性要求和条件的基础上，可做出其他有利于招标 </w:t>
            </w:r>
          </w:p>
          <w:p>
            <w:pPr>
              <w:widowControl/>
              <w:jc w:val="left"/>
              <w:rPr>
                <w:rFonts w:ascii="宋体" w:hAnsi="宋体"/>
                <w:color w:val="auto"/>
                <w:szCs w:val="21"/>
              </w:rPr>
            </w:pPr>
            <w:r>
              <w:rPr>
                <w:rFonts w:hint="eastAsia" w:ascii="宋体" w:hAnsi="宋体" w:cs="宋体"/>
                <w:color w:val="auto"/>
                <w:kern w:val="0"/>
                <w:szCs w:val="21"/>
              </w:rPr>
              <w:t>人的承诺。此类承诺可在本表中予以补充填写。</w:t>
            </w:r>
          </w:p>
        </w:tc>
      </w:tr>
    </w:tbl>
    <w:p>
      <w:pPr>
        <w:spacing w:line="440" w:lineRule="exact"/>
        <w:ind w:left="840" w:leftChars="400" w:firstLine="2200" w:firstLineChars="1100"/>
        <w:rPr>
          <w:rFonts w:ascii="宋体" w:hAnsi="宋体"/>
          <w:color w:val="auto"/>
          <w:sz w:val="20"/>
          <w:szCs w:val="20"/>
        </w:rPr>
      </w:pPr>
    </w:p>
    <w:p>
      <w:pPr>
        <w:spacing w:line="480" w:lineRule="exact"/>
        <w:ind w:firstLine="4200" w:firstLineChars="2000"/>
        <w:rPr>
          <w:rFonts w:ascii="宋体" w:hAnsi="宋体" w:cs="宋体"/>
          <w:color w:val="auto"/>
          <w:szCs w:val="21"/>
        </w:rPr>
      </w:pPr>
    </w:p>
    <w:p>
      <w:pPr>
        <w:spacing w:line="480" w:lineRule="exact"/>
        <w:ind w:firstLine="4200" w:firstLineChars="2000"/>
        <w:rPr>
          <w:rFonts w:ascii="宋体" w:hAnsi="宋体" w:cs="宋体"/>
          <w:color w:val="auto"/>
          <w:szCs w:val="21"/>
        </w:rPr>
      </w:pPr>
      <w:r>
        <w:rPr>
          <w:rFonts w:hint="eastAsia" w:ascii="宋体" w:hAnsi="宋体" w:cs="宋体"/>
          <w:color w:val="auto"/>
          <w:szCs w:val="21"/>
        </w:rPr>
        <w:t>供应商（盖章）：</w:t>
      </w:r>
    </w:p>
    <w:p>
      <w:pPr>
        <w:spacing w:line="480" w:lineRule="exact"/>
        <w:ind w:firstLine="4200" w:firstLineChars="2000"/>
        <w:rPr>
          <w:color w:val="auto"/>
        </w:rPr>
      </w:pPr>
      <w:r>
        <w:rPr>
          <w:rFonts w:hint="eastAsia"/>
          <w:color w:val="auto"/>
        </w:rPr>
        <w:t>法人代表或委托代理人（签字或盖章）：</w:t>
      </w:r>
    </w:p>
    <w:p>
      <w:pPr>
        <w:spacing w:line="480" w:lineRule="exact"/>
        <w:ind w:firstLine="4200" w:firstLineChars="2000"/>
        <w:rPr>
          <w:color w:val="auto"/>
        </w:rPr>
      </w:pPr>
      <w:r>
        <w:rPr>
          <w:rFonts w:hint="eastAsia"/>
          <w:color w:val="auto"/>
        </w:rPr>
        <w:t>日期： 年 月 日</w:t>
      </w:r>
    </w:p>
    <w:p>
      <w:pPr>
        <w:spacing w:line="440" w:lineRule="exact"/>
        <w:rPr>
          <w:rFonts w:ascii="宋体" w:hAnsi="宋体"/>
          <w:color w:val="auto"/>
          <w:sz w:val="20"/>
          <w:szCs w:val="20"/>
        </w:rPr>
      </w:pPr>
      <w:r>
        <w:rPr>
          <w:rFonts w:ascii="黑体" w:hAnsi="宋体" w:eastAsia="黑体"/>
          <w:color w:val="auto"/>
          <w:sz w:val="24"/>
        </w:rPr>
        <w:br w:type="page"/>
      </w:r>
    </w:p>
    <w:p>
      <w:pPr>
        <w:pStyle w:val="4"/>
        <w:spacing w:before="10" w:after="10" w:line="360" w:lineRule="auto"/>
        <w:jc w:val="center"/>
        <w:rPr>
          <w:rFonts w:ascii="黑体" w:hAnsi="黑体" w:cs="黑体"/>
          <w:color w:val="auto"/>
        </w:rPr>
      </w:pPr>
      <w:bookmarkStart w:id="517" w:name="_Toc144974860"/>
      <w:bookmarkStart w:id="518" w:name="_Toc152045791"/>
      <w:bookmarkStart w:id="519" w:name="_Toc247085877"/>
      <w:bookmarkStart w:id="520" w:name="_Toc179632811"/>
      <w:bookmarkStart w:id="521" w:name="_Toc394565360"/>
      <w:bookmarkStart w:id="522" w:name="_Toc425177188"/>
      <w:bookmarkStart w:id="523" w:name="_Toc246996359"/>
      <w:bookmarkStart w:id="524" w:name="_Toc6189"/>
      <w:bookmarkStart w:id="525" w:name="_Toc246997102"/>
      <w:bookmarkStart w:id="526" w:name="_Toc152042580"/>
      <w:r>
        <w:rPr>
          <w:rFonts w:hint="eastAsia" w:ascii="黑体" w:hAnsi="黑体" w:cs="黑体"/>
          <w:color w:val="auto"/>
        </w:rPr>
        <w:t>二、法定代表人身份证明</w:t>
      </w:r>
      <w:bookmarkEnd w:id="517"/>
      <w:bookmarkEnd w:id="518"/>
      <w:bookmarkEnd w:id="519"/>
      <w:bookmarkEnd w:id="520"/>
      <w:bookmarkEnd w:id="521"/>
      <w:bookmarkEnd w:id="522"/>
      <w:bookmarkEnd w:id="523"/>
      <w:bookmarkEnd w:id="524"/>
      <w:bookmarkEnd w:id="525"/>
      <w:bookmarkEnd w:id="526"/>
    </w:p>
    <w:p>
      <w:pPr>
        <w:spacing w:line="440" w:lineRule="exact"/>
        <w:rPr>
          <w:rFonts w:ascii="宋体" w:hAnsi="宋体"/>
          <w:color w:val="auto"/>
          <w:szCs w:val="21"/>
        </w:rPr>
      </w:pPr>
    </w:p>
    <w:p>
      <w:pPr>
        <w:spacing w:line="440" w:lineRule="exact"/>
        <w:rPr>
          <w:rFonts w:ascii="宋体" w:hAnsi="宋体"/>
          <w:color w:val="auto"/>
          <w:szCs w:val="21"/>
        </w:rPr>
      </w:pPr>
      <w:r>
        <w:rPr>
          <w:rFonts w:hint="eastAsia" w:ascii="宋体" w:hAnsi="宋体"/>
          <w:color w:val="auto"/>
          <w:szCs w:val="21"/>
        </w:rPr>
        <w:t>供应商</w:t>
      </w:r>
      <w:r>
        <w:rPr>
          <w:rFonts w:ascii="宋体" w:hAnsi="宋体"/>
          <w:color w:val="auto"/>
          <w:szCs w:val="21"/>
        </w:rPr>
        <w:t>名称：</w:t>
      </w:r>
    </w:p>
    <w:p>
      <w:pPr>
        <w:spacing w:line="440" w:lineRule="exact"/>
        <w:rPr>
          <w:rFonts w:ascii="宋体" w:hAnsi="宋体"/>
          <w:color w:val="auto"/>
          <w:szCs w:val="21"/>
        </w:rPr>
      </w:pPr>
      <w:r>
        <w:rPr>
          <w:rFonts w:ascii="宋体" w:hAnsi="宋体"/>
          <w:color w:val="auto"/>
          <w:szCs w:val="21"/>
        </w:rPr>
        <w:t>单位性质：</w:t>
      </w:r>
    </w:p>
    <w:p>
      <w:pPr>
        <w:spacing w:line="440" w:lineRule="exact"/>
        <w:rPr>
          <w:rFonts w:ascii="宋体" w:hAnsi="宋体"/>
          <w:color w:val="auto"/>
          <w:szCs w:val="21"/>
        </w:rPr>
      </w:pPr>
      <w:r>
        <w:rPr>
          <w:rFonts w:ascii="宋体" w:hAnsi="宋体"/>
          <w:color w:val="auto"/>
          <w:szCs w:val="21"/>
        </w:rPr>
        <w:t>地址：</w:t>
      </w:r>
    </w:p>
    <w:p>
      <w:pPr>
        <w:spacing w:line="440" w:lineRule="exact"/>
        <w:rPr>
          <w:rFonts w:ascii="宋体" w:hAnsi="宋体"/>
          <w:color w:val="auto"/>
          <w:szCs w:val="21"/>
        </w:rPr>
      </w:pPr>
      <w:r>
        <w:rPr>
          <w:rFonts w:ascii="宋体" w:hAnsi="宋体"/>
          <w:color w:val="auto"/>
          <w:szCs w:val="21"/>
        </w:rPr>
        <w:t>成立时间：年月日</w:t>
      </w:r>
    </w:p>
    <w:p>
      <w:pPr>
        <w:spacing w:line="440" w:lineRule="exact"/>
        <w:rPr>
          <w:rFonts w:ascii="宋体" w:hAnsi="宋体"/>
          <w:color w:val="auto"/>
          <w:szCs w:val="21"/>
        </w:rPr>
      </w:pPr>
      <w:r>
        <w:rPr>
          <w:rFonts w:ascii="宋体" w:hAnsi="宋体"/>
          <w:color w:val="auto"/>
          <w:szCs w:val="21"/>
        </w:rPr>
        <w:t>经营期限：</w:t>
      </w:r>
    </w:p>
    <w:p>
      <w:pPr>
        <w:spacing w:line="440" w:lineRule="exact"/>
        <w:rPr>
          <w:rFonts w:ascii="宋体" w:hAnsi="宋体"/>
          <w:color w:val="auto"/>
          <w:szCs w:val="21"/>
        </w:rPr>
      </w:pPr>
      <w:r>
        <w:rPr>
          <w:rFonts w:ascii="宋体" w:hAnsi="宋体"/>
          <w:color w:val="auto"/>
          <w:szCs w:val="21"/>
        </w:rPr>
        <w:t>姓名：          性别：</w:t>
      </w:r>
    </w:p>
    <w:p>
      <w:pPr>
        <w:spacing w:line="440" w:lineRule="exact"/>
        <w:rPr>
          <w:rFonts w:ascii="宋体" w:hAnsi="宋体"/>
          <w:color w:val="auto"/>
          <w:szCs w:val="21"/>
        </w:rPr>
      </w:pPr>
      <w:r>
        <w:rPr>
          <w:rFonts w:ascii="宋体" w:hAnsi="宋体"/>
          <w:color w:val="auto"/>
          <w:szCs w:val="21"/>
        </w:rPr>
        <w:t>年龄：</w:t>
      </w:r>
      <w:r>
        <w:rPr>
          <w:rFonts w:hint="eastAsia" w:ascii="宋体" w:hAnsi="宋体"/>
          <w:color w:val="auto"/>
          <w:szCs w:val="21"/>
        </w:rPr>
        <w:t xml:space="preserve"> </w:t>
      </w:r>
      <w:r>
        <w:rPr>
          <w:rFonts w:ascii="宋体" w:hAnsi="宋体"/>
          <w:color w:val="auto"/>
          <w:szCs w:val="21"/>
        </w:rPr>
        <w:t xml:space="preserve">         职务：</w:t>
      </w:r>
    </w:p>
    <w:p>
      <w:pPr>
        <w:spacing w:line="440" w:lineRule="exact"/>
        <w:ind w:firstLine="420" w:firstLineChars="200"/>
        <w:rPr>
          <w:rFonts w:ascii="宋体" w:hAnsi="宋体"/>
          <w:color w:val="auto"/>
          <w:szCs w:val="21"/>
        </w:rPr>
      </w:pPr>
      <w:r>
        <w:rPr>
          <w:rFonts w:ascii="宋体" w:hAnsi="宋体"/>
          <w:color w:val="auto"/>
          <w:szCs w:val="21"/>
        </w:rPr>
        <w:t>系</w:t>
      </w:r>
      <w:r>
        <w:rPr>
          <w:rFonts w:hint="eastAsia" w:ascii="宋体" w:hAnsi="宋体"/>
          <w:color w:val="auto"/>
          <w:szCs w:val="21"/>
        </w:rPr>
        <w:t>（供应商</w:t>
      </w:r>
      <w:r>
        <w:rPr>
          <w:rFonts w:ascii="宋体" w:hAnsi="宋体"/>
          <w:color w:val="auto"/>
          <w:szCs w:val="21"/>
        </w:rPr>
        <w:t>名称</w:t>
      </w:r>
      <w:r>
        <w:rPr>
          <w:rFonts w:hint="eastAsia" w:ascii="宋体" w:hAnsi="宋体"/>
          <w:color w:val="auto"/>
          <w:szCs w:val="21"/>
        </w:rPr>
        <w:t>）</w:t>
      </w:r>
      <w:r>
        <w:rPr>
          <w:rFonts w:ascii="宋体" w:hAnsi="宋体"/>
          <w:color w:val="auto"/>
          <w:szCs w:val="21"/>
        </w:rPr>
        <w:t>的法定代表人。</w:t>
      </w:r>
    </w:p>
    <w:p>
      <w:pPr>
        <w:spacing w:line="440" w:lineRule="exact"/>
        <w:ind w:firstLine="420" w:firstLineChars="200"/>
        <w:rPr>
          <w:rFonts w:ascii="宋体" w:hAnsi="宋体"/>
          <w:color w:val="auto"/>
          <w:szCs w:val="21"/>
        </w:rPr>
      </w:pPr>
      <w:r>
        <w:rPr>
          <w:rFonts w:ascii="宋体" w:hAnsi="宋体"/>
          <w:color w:val="auto"/>
          <w:szCs w:val="21"/>
        </w:rPr>
        <w:t>特此证明。</w:t>
      </w:r>
    </w:p>
    <w:p>
      <w:pPr>
        <w:pStyle w:val="11"/>
        <w:spacing w:before="10"/>
        <w:rPr>
          <w:rFonts w:ascii="宋体" w:hAnsi="宋体" w:cs="宋体"/>
          <w:color w:val="auto"/>
          <w:szCs w:val="21"/>
        </w:rPr>
      </w:pPr>
    </w:p>
    <w:p>
      <w:pPr>
        <w:pStyle w:val="11"/>
        <w:ind w:left="520"/>
        <w:rPr>
          <w:rFonts w:ascii="宋体" w:hAnsi="宋体" w:cs="宋体"/>
          <w:color w:val="auto"/>
          <w:szCs w:val="21"/>
        </w:rPr>
      </w:pPr>
      <w:r>
        <w:rPr>
          <w:rFonts w:hint="eastAsia" w:ascii="宋体" w:hAnsi="宋体" w:cs="宋体"/>
          <w:color w:val="auto"/>
          <w:szCs w:val="21"/>
        </w:rPr>
        <w:t>附：法定代表人身份证复印件。</w:t>
      </w:r>
    </w:p>
    <w:p>
      <w:pPr>
        <w:pStyle w:val="11"/>
        <w:ind w:left="520"/>
        <w:rPr>
          <w:rFonts w:ascii="宋体" w:hAnsi="宋体" w:cs="宋体"/>
          <w:color w:val="auto"/>
          <w:szCs w:val="21"/>
        </w:rPr>
      </w:pPr>
      <w:r>
        <w:rPr>
          <w:rFonts w:hint="eastAsia" w:ascii="宋体" w:hAnsi="宋体" w:cs="宋体"/>
          <w:color w:val="auto"/>
          <w:szCs w:val="21"/>
        </w:rPr>
        <w:t>注：本身份证明需由投标人加盖单位公章。</w:t>
      </w:r>
    </w:p>
    <w:p>
      <w:pPr>
        <w:spacing w:line="440" w:lineRule="exact"/>
        <w:rPr>
          <w:rFonts w:ascii="宋体" w:hAnsi="宋体"/>
          <w:color w:val="auto"/>
          <w:szCs w:val="21"/>
        </w:rPr>
      </w:pPr>
    </w:p>
    <w:p>
      <w:pPr>
        <w:spacing w:line="440" w:lineRule="exact"/>
        <w:rPr>
          <w:rFonts w:ascii="宋体" w:hAnsi="宋体"/>
          <w:color w:val="auto"/>
          <w:szCs w:val="21"/>
        </w:rPr>
      </w:pPr>
    </w:p>
    <w:p>
      <w:pPr>
        <w:spacing w:line="440" w:lineRule="exact"/>
        <w:rPr>
          <w:rFonts w:ascii="宋体" w:hAnsi="宋体"/>
          <w:color w:val="auto"/>
          <w:szCs w:val="21"/>
        </w:rPr>
      </w:pPr>
      <w:r>
        <w:rPr>
          <w:rFonts w:hint="eastAsia" w:ascii="宋体" w:hAnsi="宋体"/>
          <w:color w:val="auto"/>
          <w:szCs w:val="21"/>
        </w:rPr>
        <w:t>供应商</w:t>
      </w:r>
      <w:r>
        <w:rPr>
          <w:rFonts w:ascii="宋体" w:hAnsi="宋体"/>
          <w:color w:val="auto"/>
          <w:szCs w:val="21"/>
        </w:rPr>
        <w:t>：（盖单位章）</w:t>
      </w:r>
    </w:p>
    <w:p>
      <w:pPr>
        <w:spacing w:line="440" w:lineRule="exact"/>
        <w:rPr>
          <w:rFonts w:ascii="宋体" w:hAnsi="宋体"/>
          <w:color w:val="auto"/>
          <w:szCs w:val="21"/>
        </w:rPr>
      </w:pPr>
      <w:r>
        <w:rPr>
          <w:rFonts w:ascii="宋体" w:hAnsi="宋体"/>
          <w:color w:val="auto"/>
          <w:szCs w:val="21"/>
        </w:rPr>
        <w:t xml:space="preserve">年月日           </w:t>
      </w:r>
    </w:p>
    <w:p>
      <w:pPr>
        <w:spacing w:line="440" w:lineRule="exact"/>
        <w:rPr>
          <w:rFonts w:ascii="宋体" w:hAnsi="宋体"/>
          <w:color w:val="auto"/>
          <w:sz w:val="20"/>
          <w:szCs w:val="20"/>
        </w:rPr>
      </w:pPr>
    </w:p>
    <w:p>
      <w:pPr>
        <w:spacing w:line="440" w:lineRule="exact"/>
        <w:rPr>
          <w:rFonts w:ascii="宋体" w:hAnsi="宋体"/>
          <w:color w:val="auto"/>
          <w:sz w:val="20"/>
          <w:szCs w:val="20"/>
        </w:rPr>
      </w:pPr>
    </w:p>
    <w:p>
      <w:pPr>
        <w:spacing w:line="440" w:lineRule="exact"/>
        <w:rPr>
          <w:rFonts w:ascii="宋体" w:hAnsi="宋体"/>
          <w:color w:val="auto"/>
          <w:sz w:val="20"/>
          <w:szCs w:val="20"/>
        </w:rPr>
      </w:pPr>
    </w:p>
    <w:p>
      <w:pPr>
        <w:spacing w:line="440" w:lineRule="exact"/>
        <w:rPr>
          <w:rFonts w:ascii="宋体" w:hAnsi="宋体"/>
          <w:color w:val="auto"/>
          <w:sz w:val="20"/>
          <w:szCs w:val="20"/>
        </w:rPr>
      </w:pPr>
    </w:p>
    <w:p>
      <w:pPr>
        <w:spacing w:line="480" w:lineRule="exact"/>
        <w:ind w:firstLine="5670" w:firstLineChars="2700"/>
        <w:rPr>
          <w:rFonts w:ascii="宋体" w:hAnsi="宋体" w:cs="宋体"/>
          <w:color w:val="auto"/>
          <w:szCs w:val="21"/>
        </w:rPr>
      </w:pPr>
    </w:p>
    <w:p>
      <w:pPr>
        <w:spacing w:line="440" w:lineRule="exact"/>
        <w:rPr>
          <w:rFonts w:ascii="宋体" w:hAnsi="宋体"/>
          <w:color w:val="auto"/>
          <w:sz w:val="20"/>
          <w:szCs w:val="20"/>
        </w:rPr>
      </w:pPr>
      <w:r>
        <w:rPr>
          <w:rFonts w:ascii="黑体" w:hAnsi="宋体" w:eastAsia="黑体"/>
          <w:color w:val="auto"/>
          <w:sz w:val="24"/>
        </w:rPr>
        <w:br w:type="page"/>
      </w:r>
    </w:p>
    <w:p>
      <w:pPr>
        <w:pStyle w:val="4"/>
        <w:spacing w:before="10" w:after="10" w:line="360" w:lineRule="auto"/>
        <w:jc w:val="center"/>
        <w:rPr>
          <w:rFonts w:ascii="黑体" w:hAnsi="黑体" w:cs="黑体"/>
          <w:color w:val="auto"/>
        </w:rPr>
      </w:pPr>
      <w:bookmarkStart w:id="527" w:name="_Toc246996360"/>
      <w:bookmarkStart w:id="528" w:name="_Toc246997103"/>
      <w:bookmarkStart w:id="529" w:name="_Toc179632812"/>
      <w:bookmarkStart w:id="530" w:name="_Toc425177189"/>
      <w:bookmarkStart w:id="531" w:name="_Toc5022"/>
      <w:bookmarkStart w:id="532" w:name="_Toc394565361"/>
      <w:bookmarkStart w:id="533" w:name="_Toc247085878"/>
      <w:r>
        <w:rPr>
          <w:rFonts w:hint="eastAsia" w:ascii="黑体" w:hAnsi="黑体" w:cs="黑体"/>
          <w:color w:val="auto"/>
        </w:rPr>
        <w:t>三、授权委托书</w:t>
      </w:r>
      <w:bookmarkEnd w:id="527"/>
      <w:bookmarkEnd w:id="528"/>
      <w:bookmarkEnd w:id="529"/>
      <w:bookmarkEnd w:id="530"/>
      <w:bookmarkEnd w:id="531"/>
      <w:bookmarkEnd w:id="532"/>
      <w:bookmarkEnd w:id="533"/>
    </w:p>
    <w:p>
      <w:pPr>
        <w:spacing w:line="440" w:lineRule="exact"/>
        <w:rPr>
          <w:rFonts w:ascii="宋体" w:hAnsi="宋体"/>
          <w:color w:val="auto"/>
          <w:szCs w:val="21"/>
        </w:rPr>
      </w:pPr>
    </w:p>
    <w:p>
      <w:pPr>
        <w:topLinePunct/>
        <w:spacing w:line="440" w:lineRule="exact"/>
        <w:ind w:firstLine="420" w:firstLineChars="200"/>
        <w:rPr>
          <w:rFonts w:ascii="宋体" w:hAnsi="宋体"/>
          <w:color w:val="auto"/>
          <w:szCs w:val="21"/>
        </w:rPr>
      </w:pPr>
      <w:r>
        <w:rPr>
          <w:rFonts w:ascii="宋体" w:hAnsi="宋体"/>
          <w:color w:val="auto"/>
          <w:szCs w:val="21"/>
        </w:rPr>
        <w:t>本人</w:t>
      </w:r>
      <w:r>
        <w:rPr>
          <w:rFonts w:ascii="宋体" w:hAnsi="宋体"/>
          <w:color w:val="auto"/>
          <w:szCs w:val="21"/>
          <w:u w:val="single"/>
        </w:rPr>
        <w:t>（姓名）</w:t>
      </w:r>
      <w:r>
        <w:rPr>
          <w:rFonts w:ascii="宋体" w:hAnsi="宋体"/>
          <w:color w:val="auto"/>
          <w:szCs w:val="21"/>
        </w:rPr>
        <w:t>系</w:t>
      </w:r>
      <w:r>
        <w:rPr>
          <w:rFonts w:ascii="宋体" w:hAnsi="宋体"/>
          <w:color w:val="auto"/>
          <w:szCs w:val="21"/>
          <w:u w:val="single"/>
        </w:rPr>
        <w:t>（</w:t>
      </w:r>
      <w:r>
        <w:rPr>
          <w:rFonts w:hint="eastAsia" w:ascii="宋体" w:hAnsi="宋体"/>
          <w:color w:val="auto"/>
          <w:szCs w:val="21"/>
          <w:u w:val="single"/>
        </w:rPr>
        <w:t>供应商</w:t>
      </w:r>
      <w:r>
        <w:rPr>
          <w:rFonts w:ascii="宋体" w:hAnsi="宋体"/>
          <w:color w:val="auto"/>
          <w:szCs w:val="21"/>
          <w:u w:val="single"/>
        </w:rPr>
        <w:t>名称）</w:t>
      </w:r>
      <w:r>
        <w:rPr>
          <w:rFonts w:ascii="宋体" w:hAnsi="宋体"/>
          <w:color w:val="auto"/>
          <w:szCs w:val="21"/>
        </w:rPr>
        <w:t>的法定代表人，现委托</w:t>
      </w:r>
      <w:r>
        <w:rPr>
          <w:rFonts w:ascii="宋体" w:hAnsi="宋体"/>
          <w:color w:val="auto"/>
          <w:szCs w:val="21"/>
          <w:u w:val="single"/>
        </w:rPr>
        <w:t>（姓名）</w:t>
      </w:r>
      <w:r>
        <w:rPr>
          <w:rFonts w:ascii="宋体" w:hAnsi="宋体"/>
          <w:color w:val="auto"/>
          <w:szCs w:val="21"/>
        </w:rPr>
        <w:t>为我方代理人。代理人根据授权，以我方名义签署、澄清</w:t>
      </w:r>
      <w:r>
        <w:rPr>
          <w:rFonts w:hint="eastAsia" w:ascii="宋体" w:hAnsi="宋体"/>
          <w:color w:val="auto"/>
          <w:szCs w:val="21"/>
        </w:rPr>
        <w:t>、说明、补正</w:t>
      </w:r>
      <w:r>
        <w:rPr>
          <w:rFonts w:ascii="宋体" w:hAnsi="宋体"/>
          <w:color w:val="auto"/>
          <w:szCs w:val="21"/>
        </w:rPr>
        <w:t>、递交、撤回、修改</w:t>
      </w:r>
      <w:r>
        <w:rPr>
          <w:rFonts w:ascii="宋体" w:hAnsi="宋体"/>
          <w:color w:val="auto"/>
          <w:szCs w:val="21"/>
          <w:u w:val="single"/>
        </w:rPr>
        <w:t>（项目名称）</w:t>
      </w:r>
      <w:r>
        <w:rPr>
          <w:rFonts w:hint="eastAsia" w:ascii="宋体" w:hAnsi="宋体"/>
          <w:color w:val="auto"/>
          <w:szCs w:val="21"/>
        </w:rPr>
        <w:t>磋商响应文件</w:t>
      </w:r>
      <w:r>
        <w:rPr>
          <w:rFonts w:ascii="宋体" w:hAnsi="宋体"/>
          <w:color w:val="auto"/>
          <w:szCs w:val="21"/>
        </w:rPr>
        <w:t>、签订合同和处理有关事宜，其法律后果由我方承担。</w:t>
      </w:r>
    </w:p>
    <w:p>
      <w:pPr>
        <w:spacing w:line="440" w:lineRule="exact"/>
        <w:rPr>
          <w:rFonts w:ascii="宋体" w:hAnsi="宋体"/>
          <w:color w:val="auto"/>
          <w:szCs w:val="21"/>
        </w:rPr>
      </w:pPr>
      <w:r>
        <w:rPr>
          <w:rFonts w:ascii="宋体" w:hAnsi="宋体"/>
          <w:color w:val="auto"/>
          <w:szCs w:val="21"/>
        </w:rPr>
        <w:t xml:space="preserve">    委托期限：</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w:t>
      </w:r>
    </w:p>
    <w:p>
      <w:pPr>
        <w:spacing w:line="440" w:lineRule="exact"/>
        <w:ind w:firstLine="420" w:firstLineChars="200"/>
        <w:rPr>
          <w:rFonts w:ascii="宋体" w:hAnsi="宋体"/>
          <w:color w:val="auto"/>
          <w:szCs w:val="21"/>
        </w:rPr>
      </w:pPr>
      <w:r>
        <w:rPr>
          <w:rFonts w:ascii="宋体" w:hAnsi="宋体"/>
          <w:color w:val="auto"/>
          <w:szCs w:val="21"/>
        </w:rPr>
        <w:t>代理人无转委托权。</w:t>
      </w:r>
    </w:p>
    <w:p>
      <w:pPr>
        <w:spacing w:after="500" w:afterLines="100" w:line="500" w:lineRule="exact"/>
        <w:ind w:firstLine="420" w:firstLineChars="200"/>
        <w:rPr>
          <w:rFonts w:ascii="宋体" w:hAnsi="宋体"/>
          <w:color w:val="auto"/>
          <w:szCs w:val="21"/>
        </w:rPr>
      </w:pPr>
    </w:p>
    <w:p>
      <w:pPr>
        <w:spacing w:after="500" w:afterLines="100" w:line="500" w:lineRule="exact"/>
        <w:ind w:firstLine="630" w:firstLineChars="300"/>
        <w:rPr>
          <w:rFonts w:ascii="宋体" w:hAnsi="宋体"/>
          <w:color w:val="auto"/>
          <w:szCs w:val="21"/>
        </w:rPr>
      </w:pPr>
      <w:r>
        <w:rPr>
          <w:rFonts w:hint="eastAsia" w:ascii="宋体" w:hAnsi="宋体"/>
          <w:color w:val="auto"/>
          <w:szCs w:val="21"/>
        </w:rPr>
        <w:t>附：法定代表人身份证复印件及委托代理人身份证复印件</w:t>
      </w:r>
    </w:p>
    <w:p>
      <w:pPr>
        <w:spacing w:after="500" w:afterLines="100" w:line="500" w:lineRule="exact"/>
        <w:ind w:firstLine="420" w:firstLineChars="200"/>
        <w:rPr>
          <w:rFonts w:ascii="宋体" w:hAnsi="宋体"/>
          <w:color w:val="auto"/>
          <w:szCs w:val="21"/>
        </w:rPr>
      </w:pPr>
      <w:r>
        <w:rPr>
          <w:rFonts w:hint="eastAsia" w:ascii="宋体" w:hAnsi="宋体"/>
          <w:color w:val="auto"/>
          <w:szCs w:val="21"/>
        </w:rPr>
        <w:t>注：本授权委托书需由投标人加盖单位公章并由其法定代表人和委托代理人签字。</w:t>
      </w:r>
    </w:p>
    <w:p>
      <w:pPr>
        <w:spacing w:line="440" w:lineRule="exact"/>
        <w:rPr>
          <w:rFonts w:ascii="宋体" w:hAnsi="宋体"/>
          <w:color w:val="auto"/>
          <w:szCs w:val="21"/>
        </w:rPr>
      </w:pPr>
    </w:p>
    <w:p>
      <w:pPr>
        <w:spacing w:line="440" w:lineRule="exact"/>
        <w:rPr>
          <w:rFonts w:ascii="宋体" w:hAnsi="宋体"/>
          <w:color w:val="auto"/>
          <w:szCs w:val="21"/>
        </w:rPr>
      </w:pPr>
    </w:p>
    <w:p>
      <w:pPr>
        <w:spacing w:line="440" w:lineRule="exact"/>
        <w:rPr>
          <w:rFonts w:ascii="宋体" w:hAnsi="宋体"/>
          <w:color w:val="auto"/>
          <w:szCs w:val="21"/>
        </w:rPr>
      </w:pPr>
      <w:r>
        <w:rPr>
          <w:rFonts w:hint="eastAsia" w:ascii="宋体" w:hAnsi="宋体"/>
          <w:color w:val="auto"/>
          <w:szCs w:val="21"/>
        </w:rPr>
        <w:t>供应商</w:t>
      </w:r>
      <w:r>
        <w:rPr>
          <w:rFonts w:ascii="宋体" w:hAnsi="宋体"/>
          <w:color w:val="auto"/>
          <w:szCs w:val="21"/>
        </w:rPr>
        <w:t>：（盖单位章）</w:t>
      </w:r>
    </w:p>
    <w:p>
      <w:pPr>
        <w:spacing w:line="440" w:lineRule="exact"/>
        <w:rPr>
          <w:rFonts w:ascii="宋体" w:hAnsi="宋体"/>
          <w:color w:val="auto"/>
          <w:szCs w:val="21"/>
        </w:rPr>
      </w:pPr>
    </w:p>
    <w:p>
      <w:pPr>
        <w:spacing w:line="440" w:lineRule="exact"/>
        <w:rPr>
          <w:rFonts w:ascii="宋体" w:hAnsi="宋体"/>
          <w:color w:val="auto"/>
          <w:szCs w:val="21"/>
        </w:rPr>
      </w:pPr>
      <w:r>
        <w:rPr>
          <w:rFonts w:ascii="宋体" w:hAnsi="宋体"/>
          <w:color w:val="auto"/>
          <w:szCs w:val="21"/>
        </w:rPr>
        <w:t>法定代表人：（签字）</w:t>
      </w:r>
    </w:p>
    <w:p>
      <w:pPr>
        <w:spacing w:line="440" w:lineRule="exact"/>
        <w:rPr>
          <w:rFonts w:ascii="宋体" w:hAnsi="宋体"/>
          <w:color w:val="auto"/>
          <w:szCs w:val="21"/>
        </w:rPr>
      </w:pPr>
    </w:p>
    <w:p>
      <w:pPr>
        <w:spacing w:line="440" w:lineRule="exact"/>
        <w:rPr>
          <w:rFonts w:ascii="宋体" w:hAnsi="宋体"/>
          <w:color w:val="auto"/>
          <w:szCs w:val="21"/>
        </w:rPr>
      </w:pPr>
      <w:r>
        <w:rPr>
          <w:rFonts w:ascii="宋体" w:hAnsi="宋体"/>
          <w:color w:val="auto"/>
          <w:szCs w:val="21"/>
        </w:rPr>
        <w:t>身份证号码：</w:t>
      </w:r>
    </w:p>
    <w:p>
      <w:pPr>
        <w:spacing w:line="440" w:lineRule="exact"/>
        <w:rPr>
          <w:rFonts w:ascii="宋体" w:hAnsi="宋体"/>
          <w:color w:val="auto"/>
          <w:szCs w:val="21"/>
        </w:rPr>
      </w:pPr>
    </w:p>
    <w:p>
      <w:pPr>
        <w:spacing w:line="440" w:lineRule="exact"/>
        <w:rPr>
          <w:rFonts w:ascii="宋体" w:hAnsi="宋体"/>
          <w:color w:val="auto"/>
          <w:szCs w:val="21"/>
        </w:rPr>
      </w:pPr>
      <w:r>
        <w:rPr>
          <w:rFonts w:ascii="宋体" w:hAnsi="宋体"/>
          <w:color w:val="auto"/>
          <w:szCs w:val="21"/>
        </w:rPr>
        <w:t xml:space="preserve">委托代理人：（签字） </w:t>
      </w:r>
    </w:p>
    <w:p>
      <w:pPr>
        <w:spacing w:line="440" w:lineRule="exact"/>
        <w:rPr>
          <w:rFonts w:ascii="宋体" w:hAnsi="宋体"/>
          <w:color w:val="auto"/>
          <w:szCs w:val="21"/>
        </w:rPr>
      </w:pPr>
    </w:p>
    <w:p>
      <w:pPr>
        <w:spacing w:line="440" w:lineRule="exact"/>
        <w:rPr>
          <w:rFonts w:ascii="宋体" w:hAnsi="宋体"/>
          <w:color w:val="auto"/>
          <w:szCs w:val="21"/>
        </w:rPr>
      </w:pPr>
      <w:r>
        <w:rPr>
          <w:rFonts w:ascii="宋体" w:hAnsi="宋体"/>
          <w:color w:val="auto"/>
          <w:szCs w:val="21"/>
        </w:rPr>
        <w:t>身份证号码：</w:t>
      </w:r>
    </w:p>
    <w:p>
      <w:pPr>
        <w:spacing w:line="440" w:lineRule="exact"/>
        <w:rPr>
          <w:rFonts w:ascii="宋体" w:hAnsi="宋体"/>
          <w:color w:val="auto"/>
          <w:szCs w:val="21"/>
        </w:rPr>
      </w:pPr>
    </w:p>
    <w:p>
      <w:pPr>
        <w:spacing w:line="440" w:lineRule="exact"/>
        <w:ind w:firstLine="2310" w:firstLineChars="1100"/>
        <w:rPr>
          <w:rFonts w:ascii="宋体" w:hAnsi="宋体"/>
          <w:color w:val="auto"/>
          <w:szCs w:val="21"/>
        </w:rPr>
      </w:pPr>
      <w:r>
        <w:rPr>
          <w:rFonts w:ascii="宋体" w:hAnsi="宋体"/>
          <w:color w:val="auto"/>
          <w:szCs w:val="21"/>
        </w:rPr>
        <w:t>年月日</w:t>
      </w:r>
    </w:p>
    <w:p>
      <w:pPr>
        <w:spacing w:line="400" w:lineRule="exact"/>
        <w:rPr>
          <w:rFonts w:ascii="宋体" w:hAnsi="宋体"/>
          <w:color w:val="auto"/>
          <w:sz w:val="27"/>
          <w:szCs w:val="27"/>
        </w:rPr>
      </w:pPr>
    </w:p>
    <w:p>
      <w:pPr>
        <w:spacing w:line="480" w:lineRule="exact"/>
        <w:ind w:firstLine="5670" w:firstLineChars="2700"/>
        <w:rPr>
          <w:rFonts w:ascii="宋体" w:hAnsi="宋体" w:cs="宋体"/>
          <w:color w:val="auto"/>
          <w:szCs w:val="21"/>
        </w:rPr>
      </w:pPr>
    </w:p>
    <w:p>
      <w:pPr>
        <w:spacing w:line="440" w:lineRule="exact"/>
        <w:rPr>
          <w:rFonts w:ascii="宋体" w:hAnsi="宋体"/>
          <w:color w:val="auto"/>
          <w:sz w:val="20"/>
          <w:szCs w:val="20"/>
        </w:rPr>
      </w:pPr>
      <w:r>
        <w:rPr>
          <w:rFonts w:ascii="黑体" w:hAnsi="宋体" w:eastAsia="黑体"/>
          <w:color w:val="auto"/>
          <w:sz w:val="24"/>
        </w:rPr>
        <w:br w:type="page"/>
      </w:r>
    </w:p>
    <w:p>
      <w:pPr>
        <w:pStyle w:val="4"/>
        <w:spacing w:before="10" w:after="10" w:line="360" w:lineRule="auto"/>
        <w:jc w:val="center"/>
        <w:rPr>
          <w:rFonts w:ascii="黑体" w:hAnsi="黑体" w:cs="黑体"/>
          <w:color w:val="auto"/>
        </w:rPr>
      </w:pPr>
      <w:bookmarkStart w:id="534" w:name="_Toc11741"/>
      <w:bookmarkStart w:id="535" w:name="_Toc152045796"/>
      <w:bookmarkStart w:id="536" w:name="_Toc246996364"/>
      <w:bookmarkStart w:id="537" w:name="_Toc144974864"/>
      <w:bookmarkStart w:id="538" w:name="_Toc425177192"/>
      <w:bookmarkStart w:id="539" w:name="_Toc394565364"/>
      <w:bookmarkStart w:id="540" w:name="_Toc247085882"/>
      <w:bookmarkStart w:id="541" w:name="_Toc246997107"/>
      <w:bookmarkStart w:id="542" w:name="_Toc152042585"/>
      <w:bookmarkStart w:id="543" w:name="_Toc179632816"/>
      <w:r>
        <w:rPr>
          <w:rFonts w:hint="eastAsia" w:ascii="黑体" w:hAnsi="黑体" w:cs="黑体"/>
          <w:color w:val="auto"/>
        </w:rPr>
        <w:t>四、</w:t>
      </w:r>
      <w:bookmarkEnd w:id="534"/>
      <w:r>
        <w:rPr>
          <w:rFonts w:hint="eastAsia" w:ascii="黑体" w:hAnsi="黑体" w:cs="黑体"/>
          <w:color w:val="auto"/>
        </w:rPr>
        <w:t>磋商响应保证金</w:t>
      </w:r>
    </w:p>
    <w:p>
      <w:pPr>
        <w:spacing w:line="440" w:lineRule="exact"/>
        <w:rPr>
          <w:rFonts w:ascii="宋体" w:hAnsi="宋体"/>
          <w:color w:val="auto"/>
          <w:sz w:val="20"/>
          <w:szCs w:val="20"/>
        </w:rPr>
      </w:pPr>
      <w:r>
        <w:rPr>
          <w:rFonts w:ascii="黑体" w:hAnsi="宋体" w:eastAsia="黑体"/>
          <w:color w:val="auto"/>
          <w:sz w:val="24"/>
        </w:rPr>
        <w:br w:type="page"/>
      </w:r>
    </w:p>
    <w:p>
      <w:pPr>
        <w:pStyle w:val="4"/>
        <w:spacing w:before="10" w:after="10" w:line="360" w:lineRule="auto"/>
        <w:jc w:val="center"/>
        <w:rPr>
          <w:rFonts w:ascii="黑体" w:hAnsi="黑体" w:cs="黑体"/>
          <w:color w:val="auto"/>
        </w:rPr>
      </w:pPr>
      <w:r>
        <w:rPr>
          <w:rFonts w:hint="eastAsia" w:ascii="黑体" w:hAnsi="黑体" w:cs="黑体"/>
          <w:color w:val="auto"/>
        </w:rPr>
        <w:t>五、已标价工程量清单</w:t>
      </w:r>
    </w:p>
    <w:p>
      <w:pPr>
        <w:rPr>
          <w:color w:val="auto"/>
        </w:rPr>
      </w:pPr>
      <w:r>
        <w:rPr>
          <w:rFonts w:hint="eastAsia"/>
          <w:color w:val="auto"/>
        </w:rPr>
        <w:t>说明：已标价工程量清单按第五章“工程量清单”中的相关清单表格式填写。构成合同文件的已标价工程量清单包括第五章“工程量清单”有关工程量清单、投标报价以及其他说明的内容。</w:t>
      </w:r>
    </w:p>
    <w:p>
      <w:pPr>
        <w:rPr>
          <w:color w:val="auto"/>
        </w:rPr>
      </w:pPr>
    </w:p>
    <w:p>
      <w:pPr>
        <w:rPr>
          <w:color w:val="auto"/>
        </w:rPr>
      </w:pPr>
    </w:p>
    <w:p>
      <w:pPr>
        <w:rPr>
          <w:color w:val="auto"/>
        </w:rPr>
      </w:pPr>
    </w:p>
    <w:p>
      <w:pPr>
        <w:rPr>
          <w:color w:val="auto"/>
        </w:rPr>
      </w:pPr>
    </w:p>
    <w:p>
      <w:pPr>
        <w:rPr>
          <w:color w:val="auto"/>
        </w:rPr>
      </w:pPr>
    </w:p>
    <w:p>
      <w:pPr>
        <w:pStyle w:val="4"/>
        <w:spacing w:before="250" w:beforeLines="50" w:after="250" w:afterLines="50" w:line="360" w:lineRule="auto"/>
        <w:jc w:val="center"/>
        <w:rPr>
          <w:rFonts w:ascii="宋体" w:hAnsi="宋体" w:eastAsia="宋体"/>
          <w:color w:val="auto"/>
        </w:rPr>
      </w:pPr>
      <w:r>
        <w:rPr>
          <w:rFonts w:ascii="宋体" w:hAnsi="宋体" w:eastAsia="宋体"/>
          <w:color w:val="auto"/>
        </w:rPr>
        <w:br w:type="page"/>
      </w:r>
      <w:bookmarkStart w:id="544" w:name="_Toc11039"/>
      <w:r>
        <w:rPr>
          <w:rFonts w:hint="eastAsia" w:ascii="黑体" w:hAnsi="黑体" w:cs="黑体"/>
          <w:color w:val="auto"/>
        </w:rPr>
        <w:t>六、施工组织设计</w:t>
      </w:r>
      <w:bookmarkEnd w:id="535"/>
      <w:bookmarkEnd w:id="536"/>
      <w:bookmarkEnd w:id="537"/>
      <w:bookmarkEnd w:id="538"/>
      <w:bookmarkEnd w:id="539"/>
      <w:bookmarkEnd w:id="540"/>
      <w:bookmarkEnd w:id="541"/>
      <w:bookmarkEnd w:id="542"/>
      <w:bookmarkEnd w:id="543"/>
      <w:bookmarkEnd w:id="544"/>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宋体" w:hAnsi="宋体" w:cs="宋体"/>
          <w:color w:val="auto"/>
          <w:szCs w:val="21"/>
        </w:rPr>
      </w:pPr>
      <w:r>
        <w:rPr>
          <w:rFonts w:hint="eastAsia" w:ascii="宋体" w:hAnsi="宋体" w:cs="宋体"/>
          <w:color w:val="auto"/>
          <w:szCs w:val="21"/>
        </w:rPr>
        <w:t>投标人应根据招标文件和对现场的勘察情况，采用文字并结合图表形式，参考施工组织设计评审和评分细则编制。</w:t>
      </w:r>
    </w:p>
    <w:p>
      <w:pPr>
        <w:spacing w:line="440" w:lineRule="exact"/>
        <w:rPr>
          <w:rFonts w:ascii="宋体" w:hAnsi="宋体"/>
          <w:color w:val="auto"/>
          <w:sz w:val="20"/>
          <w:szCs w:val="20"/>
        </w:rPr>
      </w:pPr>
      <w:r>
        <w:rPr>
          <w:rFonts w:ascii="黑体" w:hAnsi="宋体" w:eastAsia="黑体"/>
          <w:color w:val="auto"/>
          <w:sz w:val="24"/>
        </w:rPr>
        <w:br w:type="page"/>
      </w:r>
    </w:p>
    <w:p>
      <w:pPr>
        <w:pStyle w:val="4"/>
        <w:spacing w:before="250" w:beforeLines="50" w:after="250" w:afterLines="50" w:line="360" w:lineRule="auto"/>
        <w:jc w:val="center"/>
        <w:rPr>
          <w:rFonts w:ascii="黑体" w:hAnsi="黑体" w:cs="黑体"/>
          <w:color w:val="auto"/>
        </w:rPr>
      </w:pPr>
      <w:bookmarkStart w:id="545" w:name="_Toc425177197"/>
      <w:bookmarkStart w:id="546" w:name="_Toc14926"/>
      <w:bookmarkStart w:id="547" w:name="_Toc144974871"/>
      <w:bookmarkStart w:id="548" w:name="_Toc246997112"/>
      <w:bookmarkStart w:id="549" w:name="_Toc152042592"/>
      <w:bookmarkStart w:id="550" w:name="_Toc152045803"/>
      <w:bookmarkStart w:id="551" w:name="_Toc247085887"/>
      <w:bookmarkStart w:id="552" w:name="_Toc246996369"/>
      <w:bookmarkStart w:id="553" w:name="_Toc394565369"/>
      <w:bookmarkStart w:id="554" w:name="_Toc179632823"/>
      <w:r>
        <w:rPr>
          <w:rFonts w:hint="eastAsia" w:ascii="黑体" w:hAnsi="黑体" w:cs="黑体"/>
          <w:color w:val="auto"/>
        </w:rPr>
        <w:t>七、项目管理机构</w:t>
      </w:r>
      <w:bookmarkEnd w:id="545"/>
      <w:bookmarkEnd w:id="546"/>
      <w:bookmarkEnd w:id="547"/>
      <w:bookmarkEnd w:id="548"/>
      <w:bookmarkEnd w:id="549"/>
      <w:bookmarkEnd w:id="550"/>
      <w:bookmarkEnd w:id="551"/>
      <w:bookmarkEnd w:id="552"/>
      <w:bookmarkEnd w:id="553"/>
      <w:bookmarkEnd w:id="554"/>
    </w:p>
    <w:p>
      <w:pPr>
        <w:pStyle w:val="2"/>
        <w:spacing w:before="0" w:after="0" w:line="360" w:lineRule="auto"/>
        <w:rPr>
          <w:rFonts w:ascii="黑体" w:hAnsi="黑体" w:eastAsia="黑体" w:cs="黑体"/>
          <w:color w:val="auto"/>
        </w:rPr>
      </w:pPr>
      <w:bookmarkStart w:id="555" w:name="_Toc246996370"/>
      <w:bookmarkStart w:id="556" w:name="_Toc425177198"/>
      <w:bookmarkStart w:id="557" w:name="_Toc179632824"/>
      <w:bookmarkStart w:id="558" w:name="_Toc152045804"/>
      <w:bookmarkStart w:id="559" w:name="_Toc247085888"/>
      <w:bookmarkStart w:id="560" w:name="_Toc152042593"/>
      <w:bookmarkStart w:id="561" w:name="_Toc246997113"/>
      <w:bookmarkStart w:id="562" w:name="_Toc30478"/>
      <w:bookmarkStart w:id="563" w:name="_Toc394565370"/>
      <w:bookmarkStart w:id="564" w:name="_Toc144974872"/>
      <w:r>
        <w:rPr>
          <w:rFonts w:hint="eastAsia" w:ascii="黑体" w:hAnsi="黑体" w:eastAsia="黑体" w:cs="黑体"/>
          <w:color w:val="auto"/>
        </w:rPr>
        <w:t>（一）项目管理机构主要人员配备数量表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2"/>
        <w:gridCol w:w="1032"/>
        <w:gridCol w:w="1032"/>
        <w:gridCol w:w="1032"/>
        <w:gridCol w:w="1032"/>
        <w:gridCol w:w="1032"/>
        <w:gridCol w:w="1032"/>
        <w:gridCol w:w="1032"/>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2" w:type="dxa"/>
            <w:vMerge w:val="restart"/>
          </w:tcPr>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主要</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管理</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岗位</w:t>
            </w:r>
          </w:p>
        </w:tc>
        <w:tc>
          <w:tcPr>
            <w:tcW w:w="8256" w:type="dxa"/>
            <w:gridSpan w:val="8"/>
          </w:tcPr>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主 要 管 理 岗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Merge w:val="continue"/>
          </w:tcPr>
          <w:p>
            <w:pPr>
              <w:pStyle w:val="2"/>
              <w:spacing w:before="0" w:after="0" w:line="240" w:lineRule="auto"/>
              <w:jc w:val="center"/>
              <w:rPr>
                <w:rFonts w:cs="黑体" w:asciiTheme="majorEastAsia" w:hAnsiTheme="majorEastAsia" w:eastAsiaTheme="majorEastAsia"/>
                <w:b w:val="0"/>
                <w:color w:val="auto"/>
                <w:sz w:val="21"/>
                <w:szCs w:val="21"/>
              </w:rPr>
            </w:pPr>
          </w:p>
        </w:tc>
        <w:tc>
          <w:tcPr>
            <w:tcW w:w="1032" w:type="dxa"/>
          </w:tcPr>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项</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目</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负</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责</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人</w:t>
            </w:r>
          </w:p>
        </w:tc>
        <w:tc>
          <w:tcPr>
            <w:tcW w:w="1032" w:type="dxa"/>
          </w:tcPr>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技</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术</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负</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责</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人</w:t>
            </w:r>
          </w:p>
        </w:tc>
        <w:tc>
          <w:tcPr>
            <w:tcW w:w="1032" w:type="dxa"/>
          </w:tcPr>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施</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工</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员</w:t>
            </w:r>
          </w:p>
        </w:tc>
        <w:tc>
          <w:tcPr>
            <w:tcW w:w="1032" w:type="dxa"/>
          </w:tcPr>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安</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全</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员</w:t>
            </w:r>
          </w:p>
        </w:tc>
        <w:tc>
          <w:tcPr>
            <w:tcW w:w="1032" w:type="dxa"/>
          </w:tcPr>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质</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量</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员</w:t>
            </w:r>
          </w:p>
        </w:tc>
        <w:tc>
          <w:tcPr>
            <w:tcW w:w="1032" w:type="dxa"/>
          </w:tcPr>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资</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料</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员</w:t>
            </w:r>
          </w:p>
        </w:tc>
        <w:tc>
          <w:tcPr>
            <w:tcW w:w="1032" w:type="dxa"/>
          </w:tcPr>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机</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械</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管</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理</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人</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员</w:t>
            </w:r>
          </w:p>
        </w:tc>
        <w:tc>
          <w:tcPr>
            <w:tcW w:w="1032" w:type="dxa"/>
          </w:tcPr>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小</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tcPr>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配备</w:t>
            </w:r>
          </w:p>
          <w:p>
            <w:pPr>
              <w:pStyle w:val="2"/>
              <w:spacing w:before="0" w:after="0" w:line="24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数量</w:t>
            </w:r>
          </w:p>
        </w:tc>
        <w:tc>
          <w:tcPr>
            <w:tcW w:w="1032" w:type="dxa"/>
          </w:tcPr>
          <w:p>
            <w:pPr>
              <w:pStyle w:val="2"/>
              <w:spacing w:before="0" w:after="0" w:line="240" w:lineRule="auto"/>
              <w:jc w:val="center"/>
              <w:rPr>
                <w:rFonts w:cs="黑体" w:asciiTheme="majorEastAsia" w:hAnsiTheme="majorEastAsia" w:eastAsiaTheme="majorEastAsia"/>
                <w:b w:val="0"/>
                <w:color w:val="auto"/>
                <w:sz w:val="21"/>
                <w:szCs w:val="21"/>
              </w:rPr>
            </w:pPr>
          </w:p>
        </w:tc>
        <w:tc>
          <w:tcPr>
            <w:tcW w:w="1032" w:type="dxa"/>
          </w:tcPr>
          <w:p>
            <w:pPr>
              <w:pStyle w:val="2"/>
              <w:spacing w:before="0" w:after="0" w:line="240" w:lineRule="auto"/>
              <w:jc w:val="center"/>
              <w:rPr>
                <w:rFonts w:cs="黑体" w:asciiTheme="majorEastAsia" w:hAnsiTheme="majorEastAsia" w:eastAsiaTheme="majorEastAsia"/>
                <w:b w:val="0"/>
                <w:color w:val="auto"/>
                <w:sz w:val="21"/>
                <w:szCs w:val="21"/>
              </w:rPr>
            </w:pPr>
          </w:p>
        </w:tc>
        <w:tc>
          <w:tcPr>
            <w:tcW w:w="1032" w:type="dxa"/>
          </w:tcPr>
          <w:p>
            <w:pPr>
              <w:pStyle w:val="2"/>
              <w:spacing w:before="0" w:after="0" w:line="240" w:lineRule="auto"/>
              <w:jc w:val="center"/>
              <w:rPr>
                <w:rFonts w:cs="黑体" w:asciiTheme="majorEastAsia" w:hAnsiTheme="majorEastAsia" w:eastAsiaTheme="majorEastAsia"/>
                <w:b w:val="0"/>
                <w:color w:val="auto"/>
                <w:sz w:val="21"/>
                <w:szCs w:val="21"/>
              </w:rPr>
            </w:pPr>
          </w:p>
        </w:tc>
        <w:tc>
          <w:tcPr>
            <w:tcW w:w="1032" w:type="dxa"/>
          </w:tcPr>
          <w:p>
            <w:pPr>
              <w:pStyle w:val="2"/>
              <w:spacing w:before="0" w:after="0" w:line="240" w:lineRule="auto"/>
              <w:jc w:val="center"/>
              <w:rPr>
                <w:rFonts w:cs="黑体" w:asciiTheme="majorEastAsia" w:hAnsiTheme="majorEastAsia" w:eastAsiaTheme="majorEastAsia"/>
                <w:b w:val="0"/>
                <w:color w:val="auto"/>
                <w:sz w:val="21"/>
                <w:szCs w:val="21"/>
              </w:rPr>
            </w:pPr>
          </w:p>
        </w:tc>
        <w:tc>
          <w:tcPr>
            <w:tcW w:w="1032" w:type="dxa"/>
          </w:tcPr>
          <w:p>
            <w:pPr>
              <w:pStyle w:val="2"/>
              <w:spacing w:before="0" w:after="0" w:line="240" w:lineRule="auto"/>
              <w:jc w:val="center"/>
              <w:rPr>
                <w:rFonts w:cs="黑体" w:asciiTheme="majorEastAsia" w:hAnsiTheme="majorEastAsia" w:eastAsiaTheme="majorEastAsia"/>
                <w:b w:val="0"/>
                <w:color w:val="auto"/>
                <w:sz w:val="21"/>
                <w:szCs w:val="21"/>
              </w:rPr>
            </w:pPr>
          </w:p>
        </w:tc>
        <w:tc>
          <w:tcPr>
            <w:tcW w:w="1032" w:type="dxa"/>
          </w:tcPr>
          <w:p>
            <w:pPr>
              <w:pStyle w:val="2"/>
              <w:spacing w:before="0" w:after="0" w:line="240" w:lineRule="auto"/>
              <w:jc w:val="center"/>
              <w:rPr>
                <w:rFonts w:cs="黑体" w:asciiTheme="majorEastAsia" w:hAnsiTheme="majorEastAsia" w:eastAsiaTheme="majorEastAsia"/>
                <w:b w:val="0"/>
                <w:color w:val="auto"/>
                <w:sz w:val="21"/>
                <w:szCs w:val="21"/>
              </w:rPr>
            </w:pPr>
          </w:p>
        </w:tc>
        <w:tc>
          <w:tcPr>
            <w:tcW w:w="1032" w:type="dxa"/>
          </w:tcPr>
          <w:p>
            <w:pPr>
              <w:pStyle w:val="2"/>
              <w:spacing w:before="0" w:after="0" w:line="240" w:lineRule="auto"/>
              <w:jc w:val="center"/>
              <w:rPr>
                <w:rFonts w:cs="黑体" w:asciiTheme="majorEastAsia" w:hAnsiTheme="majorEastAsia" w:eastAsiaTheme="majorEastAsia"/>
                <w:b w:val="0"/>
                <w:color w:val="auto"/>
                <w:sz w:val="21"/>
                <w:szCs w:val="21"/>
              </w:rPr>
            </w:pPr>
          </w:p>
        </w:tc>
        <w:tc>
          <w:tcPr>
            <w:tcW w:w="1032" w:type="dxa"/>
          </w:tcPr>
          <w:p>
            <w:pPr>
              <w:pStyle w:val="2"/>
              <w:spacing w:before="0" w:after="0" w:line="240" w:lineRule="auto"/>
              <w:jc w:val="center"/>
              <w:rPr>
                <w:rFonts w:cs="黑体" w:asciiTheme="majorEastAsia" w:hAnsiTheme="majorEastAsia" w:eastAsiaTheme="majorEastAsia"/>
                <w:b w:val="0"/>
                <w:color w:val="auto"/>
                <w:sz w:val="21"/>
                <w:szCs w:val="21"/>
              </w:rPr>
            </w:pPr>
          </w:p>
        </w:tc>
      </w:tr>
    </w:tbl>
    <w:p>
      <w:pPr>
        <w:pStyle w:val="2"/>
        <w:spacing w:before="0" w:after="0" w:line="360" w:lineRule="auto"/>
        <w:rPr>
          <w:rFonts w:ascii="黑体" w:hAnsi="黑体" w:eastAsia="黑体" w:cs="黑体"/>
          <w:color w:val="auto"/>
        </w:rPr>
      </w:pPr>
    </w:p>
    <w:p>
      <w:pPr>
        <w:topLinePunct/>
        <w:spacing w:line="440" w:lineRule="exact"/>
        <w:jc w:val="center"/>
        <w:rPr>
          <w:rFonts w:ascii="宋体" w:hAnsi="宋体"/>
          <w:color w:val="auto"/>
          <w:sz w:val="20"/>
        </w:rPr>
      </w:pPr>
      <w:r>
        <w:rPr>
          <w:rFonts w:ascii="宋体" w:hAnsi="宋体"/>
          <w:color w:val="auto"/>
          <w:sz w:val="20"/>
        </w:rPr>
        <w:br w:type="page"/>
      </w:r>
    </w:p>
    <w:p>
      <w:pPr>
        <w:pStyle w:val="2"/>
        <w:spacing w:before="0" w:after="0" w:line="360" w:lineRule="auto"/>
        <w:rPr>
          <w:rFonts w:ascii="黑体" w:hAnsi="黑体" w:eastAsia="黑体" w:cs="黑体"/>
          <w:color w:val="auto"/>
        </w:rPr>
      </w:pPr>
      <w:r>
        <w:rPr>
          <w:rFonts w:hint="eastAsia" w:ascii="黑体" w:hAnsi="黑体" w:eastAsia="黑体" w:cs="黑体"/>
          <w:color w:val="auto"/>
        </w:rPr>
        <w:t>（二）项目部关键岗位人员配备</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701"/>
        <w:gridCol w:w="3543"/>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8" w:type="dxa"/>
            <w:gridSpan w:val="4"/>
          </w:tcPr>
          <w:p>
            <w:pPr>
              <w:pStyle w:val="2"/>
              <w:spacing w:before="0" w:after="0" w:line="360" w:lineRule="auto"/>
              <w:jc w:val="center"/>
              <w:rPr>
                <w:rFonts w:cs="黑体" w:asciiTheme="majorEastAsia" w:hAnsiTheme="majorEastAsia" w:eastAsiaTheme="majorEastAsia"/>
                <w:color w:val="auto"/>
                <w:sz w:val="21"/>
                <w:szCs w:val="21"/>
              </w:rPr>
            </w:pPr>
            <w:r>
              <w:rPr>
                <w:rFonts w:hint="eastAsia" w:cs="黑体" w:asciiTheme="majorEastAsia" w:hAnsiTheme="majorEastAsia" w:eastAsiaTheme="majorEastAsia"/>
                <w:color w:val="auto"/>
                <w:sz w:val="21"/>
                <w:szCs w:val="21"/>
              </w:rPr>
              <w:t>项目部关键岗位人员配备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pStyle w:val="2"/>
              <w:spacing w:before="0" w:after="0" w:line="36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姓名</w:t>
            </w:r>
          </w:p>
        </w:tc>
        <w:tc>
          <w:tcPr>
            <w:tcW w:w="1701" w:type="dxa"/>
          </w:tcPr>
          <w:p>
            <w:pPr>
              <w:pStyle w:val="2"/>
              <w:spacing w:before="0" w:after="0" w:line="36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项目部职务</w:t>
            </w:r>
          </w:p>
        </w:tc>
        <w:tc>
          <w:tcPr>
            <w:tcW w:w="3543" w:type="dxa"/>
          </w:tcPr>
          <w:p>
            <w:pPr>
              <w:pStyle w:val="2"/>
              <w:spacing w:before="0" w:after="0" w:line="36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资格/岗位证书证号</w:t>
            </w:r>
          </w:p>
        </w:tc>
        <w:tc>
          <w:tcPr>
            <w:tcW w:w="2943" w:type="dxa"/>
          </w:tcPr>
          <w:p>
            <w:pPr>
              <w:pStyle w:val="2"/>
              <w:spacing w:before="0" w:after="0" w:line="360" w:lineRule="auto"/>
              <w:jc w:val="center"/>
              <w:rPr>
                <w:rFonts w:cs="黑体" w:asciiTheme="majorEastAsia" w:hAnsiTheme="majorEastAsia" w:eastAsiaTheme="majorEastAsia"/>
                <w:b w:val="0"/>
                <w:color w:val="auto"/>
                <w:sz w:val="21"/>
                <w:szCs w:val="21"/>
              </w:rPr>
            </w:pPr>
            <w:r>
              <w:rPr>
                <w:rFonts w:hint="eastAsia" w:cs="黑体" w:asciiTheme="majorEastAsia" w:hAnsiTheme="majorEastAsia" w:eastAsiaTheme="majorEastAsia"/>
                <w:b w:val="0"/>
                <w:color w:val="auto"/>
                <w:sz w:val="21"/>
                <w:szCs w:val="21"/>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pStyle w:val="2"/>
              <w:spacing w:before="0" w:after="0" w:line="360" w:lineRule="auto"/>
              <w:rPr>
                <w:rFonts w:cs="黑体" w:asciiTheme="majorEastAsia" w:hAnsiTheme="majorEastAsia" w:eastAsiaTheme="majorEastAsia"/>
                <w:b w:val="0"/>
                <w:color w:val="auto"/>
                <w:sz w:val="21"/>
                <w:szCs w:val="21"/>
              </w:rPr>
            </w:pPr>
          </w:p>
        </w:tc>
        <w:tc>
          <w:tcPr>
            <w:tcW w:w="1701" w:type="dxa"/>
          </w:tcPr>
          <w:p>
            <w:pPr>
              <w:pStyle w:val="2"/>
              <w:spacing w:before="0" w:after="0" w:line="360" w:lineRule="auto"/>
              <w:rPr>
                <w:rFonts w:cs="黑体" w:asciiTheme="majorEastAsia" w:hAnsiTheme="majorEastAsia" w:eastAsiaTheme="majorEastAsia"/>
                <w:b w:val="0"/>
                <w:color w:val="auto"/>
                <w:sz w:val="21"/>
                <w:szCs w:val="21"/>
              </w:rPr>
            </w:pPr>
          </w:p>
        </w:tc>
        <w:tc>
          <w:tcPr>
            <w:tcW w:w="3543" w:type="dxa"/>
          </w:tcPr>
          <w:p>
            <w:pPr>
              <w:pStyle w:val="2"/>
              <w:spacing w:before="0" w:after="0" w:line="360" w:lineRule="auto"/>
              <w:rPr>
                <w:rFonts w:cs="黑体" w:asciiTheme="majorEastAsia" w:hAnsiTheme="majorEastAsia" w:eastAsiaTheme="majorEastAsia"/>
                <w:b w:val="0"/>
                <w:color w:val="auto"/>
                <w:sz w:val="21"/>
                <w:szCs w:val="21"/>
              </w:rPr>
            </w:pPr>
          </w:p>
        </w:tc>
        <w:tc>
          <w:tcPr>
            <w:tcW w:w="2943" w:type="dxa"/>
          </w:tcPr>
          <w:p>
            <w:pPr>
              <w:pStyle w:val="2"/>
              <w:spacing w:before="0" w:after="0" w:line="360" w:lineRule="auto"/>
              <w:rPr>
                <w:rFonts w:cs="黑体" w:asciiTheme="majorEastAsia" w:hAnsiTheme="majorEastAsia" w:eastAsiaTheme="majorEastAsia"/>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pStyle w:val="2"/>
              <w:spacing w:before="0" w:after="0" w:line="360" w:lineRule="auto"/>
              <w:rPr>
                <w:rFonts w:cs="黑体" w:asciiTheme="majorEastAsia" w:hAnsiTheme="majorEastAsia" w:eastAsiaTheme="majorEastAsia"/>
                <w:b w:val="0"/>
                <w:color w:val="auto"/>
                <w:sz w:val="21"/>
                <w:szCs w:val="21"/>
              </w:rPr>
            </w:pPr>
          </w:p>
        </w:tc>
        <w:tc>
          <w:tcPr>
            <w:tcW w:w="1701" w:type="dxa"/>
          </w:tcPr>
          <w:p>
            <w:pPr>
              <w:pStyle w:val="2"/>
              <w:spacing w:before="0" w:after="0" w:line="360" w:lineRule="auto"/>
              <w:rPr>
                <w:rFonts w:cs="黑体" w:asciiTheme="majorEastAsia" w:hAnsiTheme="majorEastAsia" w:eastAsiaTheme="majorEastAsia"/>
                <w:b w:val="0"/>
                <w:color w:val="auto"/>
                <w:sz w:val="21"/>
                <w:szCs w:val="21"/>
              </w:rPr>
            </w:pPr>
          </w:p>
        </w:tc>
        <w:tc>
          <w:tcPr>
            <w:tcW w:w="3543" w:type="dxa"/>
          </w:tcPr>
          <w:p>
            <w:pPr>
              <w:pStyle w:val="2"/>
              <w:spacing w:before="0" w:after="0" w:line="360" w:lineRule="auto"/>
              <w:rPr>
                <w:rFonts w:cs="黑体" w:asciiTheme="majorEastAsia" w:hAnsiTheme="majorEastAsia" w:eastAsiaTheme="majorEastAsia"/>
                <w:b w:val="0"/>
                <w:color w:val="auto"/>
                <w:sz w:val="21"/>
                <w:szCs w:val="21"/>
              </w:rPr>
            </w:pPr>
          </w:p>
        </w:tc>
        <w:tc>
          <w:tcPr>
            <w:tcW w:w="2943" w:type="dxa"/>
          </w:tcPr>
          <w:p>
            <w:pPr>
              <w:pStyle w:val="2"/>
              <w:spacing w:before="0" w:after="0" w:line="360" w:lineRule="auto"/>
              <w:rPr>
                <w:rFonts w:cs="黑体" w:asciiTheme="majorEastAsia" w:hAnsiTheme="majorEastAsia" w:eastAsiaTheme="majorEastAsia"/>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pStyle w:val="2"/>
              <w:spacing w:before="0" w:after="0" w:line="360" w:lineRule="auto"/>
              <w:rPr>
                <w:rFonts w:cs="黑体" w:asciiTheme="majorEastAsia" w:hAnsiTheme="majorEastAsia" w:eastAsiaTheme="majorEastAsia"/>
                <w:b w:val="0"/>
                <w:color w:val="auto"/>
                <w:sz w:val="21"/>
                <w:szCs w:val="21"/>
              </w:rPr>
            </w:pPr>
          </w:p>
        </w:tc>
        <w:tc>
          <w:tcPr>
            <w:tcW w:w="1701" w:type="dxa"/>
          </w:tcPr>
          <w:p>
            <w:pPr>
              <w:pStyle w:val="2"/>
              <w:spacing w:before="0" w:after="0" w:line="360" w:lineRule="auto"/>
              <w:rPr>
                <w:rFonts w:cs="黑体" w:asciiTheme="majorEastAsia" w:hAnsiTheme="majorEastAsia" w:eastAsiaTheme="majorEastAsia"/>
                <w:b w:val="0"/>
                <w:color w:val="auto"/>
                <w:sz w:val="21"/>
                <w:szCs w:val="21"/>
              </w:rPr>
            </w:pPr>
          </w:p>
        </w:tc>
        <w:tc>
          <w:tcPr>
            <w:tcW w:w="3543" w:type="dxa"/>
          </w:tcPr>
          <w:p>
            <w:pPr>
              <w:pStyle w:val="2"/>
              <w:spacing w:before="0" w:after="0" w:line="360" w:lineRule="auto"/>
              <w:rPr>
                <w:rFonts w:cs="黑体" w:asciiTheme="majorEastAsia" w:hAnsiTheme="majorEastAsia" w:eastAsiaTheme="majorEastAsia"/>
                <w:b w:val="0"/>
                <w:color w:val="auto"/>
                <w:sz w:val="21"/>
                <w:szCs w:val="21"/>
              </w:rPr>
            </w:pPr>
          </w:p>
        </w:tc>
        <w:tc>
          <w:tcPr>
            <w:tcW w:w="2943" w:type="dxa"/>
          </w:tcPr>
          <w:p>
            <w:pPr>
              <w:pStyle w:val="2"/>
              <w:spacing w:before="0" w:after="0" w:line="360" w:lineRule="auto"/>
              <w:rPr>
                <w:rFonts w:cs="黑体" w:asciiTheme="majorEastAsia" w:hAnsiTheme="majorEastAsia" w:eastAsiaTheme="majorEastAsia"/>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pStyle w:val="2"/>
              <w:spacing w:before="0" w:after="0" w:line="360" w:lineRule="auto"/>
              <w:rPr>
                <w:rFonts w:cs="黑体" w:asciiTheme="majorEastAsia" w:hAnsiTheme="majorEastAsia" w:eastAsiaTheme="majorEastAsia"/>
                <w:b w:val="0"/>
                <w:color w:val="auto"/>
                <w:sz w:val="21"/>
                <w:szCs w:val="21"/>
              </w:rPr>
            </w:pPr>
          </w:p>
        </w:tc>
        <w:tc>
          <w:tcPr>
            <w:tcW w:w="1701" w:type="dxa"/>
          </w:tcPr>
          <w:p>
            <w:pPr>
              <w:pStyle w:val="2"/>
              <w:spacing w:before="0" w:after="0" w:line="360" w:lineRule="auto"/>
              <w:rPr>
                <w:rFonts w:cs="黑体" w:asciiTheme="majorEastAsia" w:hAnsiTheme="majorEastAsia" w:eastAsiaTheme="majorEastAsia"/>
                <w:b w:val="0"/>
                <w:color w:val="auto"/>
                <w:sz w:val="21"/>
                <w:szCs w:val="21"/>
              </w:rPr>
            </w:pPr>
          </w:p>
        </w:tc>
        <w:tc>
          <w:tcPr>
            <w:tcW w:w="3543" w:type="dxa"/>
          </w:tcPr>
          <w:p>
            <w:pPr>
              <w:pStyle w:val="2"/>
              <w:spacing w:before="0" w:after="0" w:line="360" w:lineRule="auto"/>
              <w:rPr>
                <w:rFonts w:cs="黑体" w:asciiTheme="majorEastAsia" w:hAnsiTheme="majorEastAsia" w:eastAsiaTheme="majorEastAsia"/>
                <w:b w:val="0"/>
                <w:color w:val="auto"/>
                <w:sz w:val="21"/>
                <w:szCs w:val="21"/>
              </w:rPr>
            </w:pPr>
          </w:p>
        </w:tc>
        <w:tc>
          <w:tcPr>
            <w:tcW w:w="2943" w:type="dxa"/>
          </w:tcPr>
          <w:p>
            <w:pPr>
              <w:pStyle w:val="2"/>
              <w:spacing w:before="0" w:after="0" w:line="360" w:lineRule="auto"/>
              <w:rPr>
                <w:rFonts w:cs="黑体" w:asciiTheme="majorEastAsia" w:hAnsiTheme="majorEastAsia" w:eastAsiaTheme="majorEastAsia"/>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pStyle w:val="2"/>
              <w:spacing w:before="0" w:after="0" w:line="360" w:lineRule="auto"/>
              <w:rPr>
                <w:rFonts w:cs="黑体" w:asciiTheme="majorEastAsia" w:hAnsiTheme="majorEastAsia" w:eastAsiaTheme="majorEastAsia"/>
                <w:b w:val="0"/>
                <w:color w:val="auto"/>
                <w:sz w:val="21"/>
                <w:szCs w:val="21"/>
              </w:rPr>
            </w:pPr>
          </w:p>
        </w:tc>
        <w:tc>
          <w:tcPr>
            <w:tcW w:w="1701" w:type="dxa"/>
          </w:tcPr>
          <w:p>
            <w:pPr>
              <w:pStyle w:val="2"/>
              <w:spacing w:before="0" w:after="0" w:line="360" w:lineRule="auto"/>
              <w:rPr>
                <w:rFonts w:cs="黑体" w:asciiTheme="majorEastAsia" w:hAnsiTheme="majorEastAsia" w:eastAsiaTheme="majorEastAsia"/>
                <w:b w:val="0"/>
                <w:color w:val="auto"/>
                <w:sz w:val="21"/>
                <w:szCs w:val="21"/>
              </w:rPr>
            </w:pPr>
          </w:p>
        </w:tc>
        <w:tc>
          <w:tcPr>
            <w:tcW w:w="3543" w:type="dxa"/>
          </w:tcPr>
          <w:p>
            <w:pPr>
              <w:pStyle w:val="2"/>
              <w:spacing w:before="0" w:after="0" w:line="360" w:lineRule="auto"/>
              <w:rPr>
                <w:rFonts w:cs="黑体" w:asciiTheme="majorEastAsia" w:hAnsiTheme="majorEastAsia" w:eastAsiaTheme="majorEastAsia"/>
                <w:b w:val="0"/>
                <w:color w:val="auto"/>
                <w:sz w:val="21"/>
                <w:szCs w:val="21"/>
              </w:rPr>
            </w:pPr>
          </w:p>
        </w:tc>
        <w:tc>
          <w:tcPr>
            <w:tcW w:w="2943" w:type="dxa"/>
          </w:tcPr>
          <w:p>
            <w:pPr>
              <w:pStyle w:val="2"/>
              <w:spacing w:before="0" w:after="0" w:line="360" w:lineRule="auto"/>
              <w:rPr>
                <w:rFonts w:cs="黑体" w:asciiTheme="majorEastAsia" w:hAnsiTheme="majorEastAsia" w:eastAsiaTheme="majorEastAsia"/>
                <w:b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pStyle w:val="2"/>
              <w:spacing w:before="0" w:after="0" w:line="360" w:lineRule="auto"/>
              <w:rPr>
                <w:rFonts w:cs="黑体" w:asciiTheme="majorEastAsia" w:hAnsiTheme="majorEastAsia" w:eastAsiaTheme="majorEastAsia"/>
                <w:b w:val="0"/>
                <w:color w:val="auto"/>
                <w:sz w:val="21"/>
                <w:szCs w:val="21"/>
              </w:rPr>
            </w:pPr>
          </w:p>
        </w:tc>
        <w:tc>
          <w:tcPr>
            <w:tcW w:w="1701" w:type="dxa"/>
          </w:tcPr>
          <w:p>
            <w:pPr>
              <w:pStyle w:val="2"/>
              <w:spacing w:before="0" w:after="0" w:line="360" w:lineRule="auto"/>
              <w:rPr>
                <w:rFonts w:cs="黑体" w:asciiTheme="majorEastAsia" w:hAnsiTheme="majorEastAsia" w:eastAsiaTheme="majorEastAsia"/>
                <w:b w:val="0"/>
                <w:color w:val="auto"/>
                <w:sz w:val="21"/>
                <w:szCs w:val="21"/>
              </w:rPr>
            </w:pPr>
          </w:p>
        </w:tc>
        <w:tc>
          <w:tcPr>
            <w:tcW w:w="3543" w:type="dxa"/>
          </w:tcPr>
          <w:p>
            <w:pPr>
              <w:pStyle w:val="2"/>
              <w:spacing w:before="0" w:after="0" w:line="360" w:lineRule="auto"/>
              <w:rPr>
                <w:rFonts w:cs="黑体" w:asciiTheme="majorEastAsia" w:hAnsiTheme="majorEastAsia" w:eastAsiaTheme="majorEastAsia"/>
                <w:b w:val="0"/>
                <w:color w:val="auto"/>
                <w:sz w:val="21"/>
                <w:szCs w:val="21"/>
              </w:rPr>
            </w:pPr>
          </w:p>
        </w:tc>
        <w:tc>
          <w:tcPr>
            <w:tcW w:w="2943" w:type="dxa"/>
          </w:tcPr>
          <w:p>
            <w:pPr>
              <w:pStyle w:val="2"/>
              <w:spacing w:before="0" w:after="0" w:line="360" w:lineRule="auto"/>
              <w:rPr>
                <w:rFonts w:cs="黑体" w:asciiTheme="majorEastAsia" w:hAnsiTheme="majorEastAsia" w:eastAsiaTheme="majorEastAsia"/>
                <w:b w:val="0"/>
                <w:color w:val="auto"/>
                <w:sz w:val="21"/>
                <w:szCs w:val="21"/>
              </w:rPr>
            </w:pPr>
          </w:p>
        </w:tc>
      </w:tr>
    </w:tbl>
    <w:p>
      <w:pPr>
        <w:pStyle w:val="2"/>
        <w:spacing w:before="0" w:after="0" w:line="360" w:lineRule="auto"/>
        <w:rPr>
          <w:rFonts w:ascii="黑体" w:hAnsi="黑体" w:eastAsia="黑体" w:cs="黑体"/>
          <w:color w:val="auto"/>
        </w:rPr>
      </w:pPr>
    </w:p>
    <w:p>
      <w:pPr>
        <w:topLinePunct/>
        <w:spacing w:line="440" w:lineRule="exact"/>
        <w:jc w:val="center"/>
        <w:rPr>
          <w:rFonts w:ascii="宋体" w:hAnsi="宋体"/>
          <w:color w:val="auto"/>
          <w:sz w:val="20"/>
        </w:rPr>
      </w:pPr>
      <w:r>
        <w:rPr>
          <w:rFonts w:ascii="宋体" w:hAnsi="宋体"/>
          <w:color w:val="auto"/>
          <w:sz w:val="20"/>
        </w:rPr>
        <w:br w:type="page"/>
      </w:r>
    </w:p>
    <w:p>
      <w:pPr>
        <w:pStyle w:val="2"/>
        <w:spacing w:before="0" w:after="0" w:line="360" w:lineRule="auto"/>
        <w:rPr>
          <w:rFonts w:ascii="黑体" w:hAnsi="黑体" w:eastAsia="黑体" w:cs="黑体"/>
          <w:color w:val="auto"/>
        </w:rPr>
      </w:pPr>
      <w:r>
        <w:rPr>
          <w:rFonts w:hint="eastAsia" w:ascii="黑体" w:hAnsi="黑体" w:eastAsia="黑体" w:cs="黑体"/>
          <w:color w:val="auto"/>
        </w:rPr>
        <w:t>（一）项目管理机构组成表</w:t>
      </w:r>
      <w:bookmarkEnd w:id="555"/>
      <w:bookmarkEnd w:id="556"/>
      <w:bookmarkEnd w:id="557"/>
      <w:bookmarkEnd w:id="558"/>
      <w:bookmarkEnd w:id="559"/>
      <w:bookmarkEnd w:id="560"/>
      <w:bookmarkEnd w:id="561"/>
      <w:bookmarkEnd w:id="562"/>
      <w:bookmarkEnd w:id="563"/>
      <w:bookmarkEnd w:id="564"/>
    </w:p>
    <w:tbl>
      <w:tblPr>
        <w:tblStyle w:val="22"/>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750"/>
        <w:gridCol w:w="740"/>
        <w:gridCol w:w="1090"/>
        <w:gridCol w:w="1150"/>
        <w:gridCol w:w="1240"/>
        <w:gridCol w:w="1240"/>
        <w:gridCol w:w="1330"/>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0" w:type="dxa"/>
            <w:vMerge w:val="restart"/>
            <w:vAlign w:val="center"/>
          </w:tcPr>
          <w:p>
            <w:pPr>
              <w:spacing w:line="440" w:lineRule="exact"/>
              <w:jc w:val="center"/>
              <w:rPr>
                <w:rFonts w:ascii="宋体" w:hAnsi="宋体"/>
                <w:color w:val="auto"/>
                <w:szCs w:val="21"/>
              </w:rPr>
            </w:pPr>
            <w:r>
              <w:rPr>
                <w:rFonts w:ascii="宋体" w:hAnsi="宋体"/>
                <w:color w:val="auto"/>
                <w:szCs w:val="21"/>
              </w:rPr>
              <w:t>职务</w:t>
            </w:r>
          </w:p>
        </w:tc>
        <w:tc>
          <w:tcPr>
            <w:tcW w:w="750" w:type="dxa"/>
            <w:vMerge w:val="restart"/>
            <w:vAlign w:val="center"/>
          </w:tcPr>
          <w:p>
            <w:pPr>
              <w:spacing w:line="440" w:lineRule="exact"/>
              <w:jc w:val="center"/>
              <w:rPr>
                <w:rFonts w:ascii="宋体" w:hAnsi="宋体"/>
                <w:color w:val="auto"/>
                <w:szCs w:val="21"/>
              </w:rPr>
            </w:pPr>
            <w:r>
              <w:rPr>
                <w:rFonts w:ascii="宋体" w:hAnsi="宋体"/>
                <w:color w:val="auto"/>
                <w:szCs w:val="21"/>
              </w:rPr>
              <w:t>姓名</w:t>
            </w:r>
          </w:p>
        </w:tc>
        <w:tc>
          <w:tcPr>
            <w:tcW w:w="740" w:type="dxa"/>
            <w:vMerge w:val="restart"/>
            <w:vAlign w:val="center"/>
          </w:tcPr>
          <w:p>
            <w:pPr>
              <w:spacing w:line="440" w:lineRule="exact"/>
              <w:jc w:val="center"/>
              <w:rPr>
                <w:rFonts w:ascii="宋体" w:hAnsi="宋体"/>
                <w:color w:val="auto"/>
                <w:szCs w:val="21"/>
              </w:rPr>
            </w:pPr>
            <w:r>
              <w:rPr>
                <w:rFonts w:ascii="宋体" w:hAnsi="宋体"/>
                <w:color w:val="auto"/>
                <w:szCs w:val="21"/>
              </w:rPr>
              <w:t>职称</w:t>
            </w:r>
          </w:p>
        </w:tc>
        <w:tc>
          <w:tcPr>
            <w:tcW w:w="6050" w:type="dxa"/>
            <w:gridSpan w:val="5"/>
            <w:vAlign w:val="center"/>
          </w:tcPr>
          <w:p>
            <w:pPr>
              <w:spacing w:line="440" w:lineRule="exact"/>
              <w:jc w:val="center"/>
              <w:rPr>
                <w:rFonts w:ascii="宋体" w:hAnsi="宋体"/>
                <w:color w:val="auto"/>
                <w:szCs w:val="21"/>
              </w:rPr>
            </w:pPr>
            <w:r>
              <w:rPr>
                <w:rFonts w:ascii="宋体" w:hAnsi="宋体"/>
                <w:color w:val="auto"/>
                <w:szCs w:val="21"/>
              </w:rPr>
              <w:t>执业或职业资格证明</w:t>
            </w:r>
          </w:p>
        </w:tc>
        <w:tc>
          <w:tcPr>
            <w:tcW w:w="910" w:type="dxa"/>
            <w:vAlign w:val="center"/>
          </w:tcPr>
          <w:p>
            <w:pPr>
              <w:spacing w:line="440" w:lineRule="exact"/>
              <w:jc w:val="center"/>
              <w:rPr>
                <w:rFonts w:ascii="宋体" w:hAnsi="宋体"/>
                <w:color w:val="auto"/>
                <w:szCs w:val="21"/>
              </w:rPr>
            </w:pPr>
            <w:r>
              <w:rPr>
                <w:rFonts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0" w:type="dxa"/>
            <w:vMerge w:val="continue"/>
            <w:vAlign w:val="center"/>
          </w:tcPr>
          <w:p>
            <w:pPr>
              <w:spacing w:line="440" w:lineRule="exact"/>
              <w:jc w:val="center"/>
              <w:rPr>
                <w:rFonts w:ascii="宋体" w:hAnsi="宋体"/>
                <w:color w:val="auto"/>
                <w:szCs w:val="21"/>
              </w:rPr>
            </w:pPr>
          </w:p>
        </w:tc>
        <w:tc>
          <w:tcPr>
            <w:tcW w:w="750" w:type="dxa"/>
            <w:vMerge w:val="continue"/>
            <w:vAlign w:val="center"/>
          </w:tcPr>
          <w:p>
            <w:pPr>
              <w:spacing w:line="440" w:lineRule="exact"/>
              <w:jc w:val="center"/>
              <w:rPr>
                <w:rFonts w:ascii="宋体" w:hAnsi="宋体"/>
                <w:color w:val="auto"/>
                <w:szCs w:val="21"/>
              </w:rPr>
            </w:pPr>
          </w:p>
        </w:tc>
        <w:tc>
          <w:tcPr>
            <w:tcW w:w="740" w:type="dxa"/>
            <w:vMerge w:val="continue"/>
            <w:vAlign w:val="center"/>
          </w:tcPr>
          <w:p>
            <w:pPr>
              <w:spacing w:line="440" w:lineRule="exact"/>
              <w:jc w:val="center"/>
              <w:rPr>
                <w:rFonts w:ascii="宋体" w:hAnsi="宋体"/>
                <w:color w:val="auto"/>
                <w:szCs w:val="21"/>
              </w:rPr>
            </w:pPr>
          </w:p>
        </w:tc>
        <w:tc>
          <w:tcPr>
            <w:tcW w:w="1090" w:type="dxa"/>
            <w:vAlign w:val="center"/>
          </w:tcPr>
          <w:p>
            <w:pPr>
              <w:spacing w:line="440" w:lineRule="exact"/>
              <w:jc w:val="center"/>
              <w:rPr>
                <w:rFonts w:ascii="宋体" w:hAnsi="宋体"/>
                <w:color w:val="auto"/>
                <w:szCs w:val="21"/>
              </w:rPr>
            </w:pPr>
            <w:r>
              <w:rPr>
                <w:rFonts w:ascii="宋体" w:hAnsi="宋体"/>
                <w:color w:val="auto"/>
                <w:szCs w:val="21"/>
              </w:rPr>
              <w:t>证书名称</w:t>
            </w:r>
          </w:p>
        </w:tc>
        <w:tc>
          <w:tcPr>
            <w:tcW w:w="1150" w:type="dxa"/>
            <w:vAlign w:val="center"/>
          </w:tcPr>
          <w:p>
            <w:pPr>
              <w:spacing w:line="440" w:lineRule="exact"/>
              <w:jc w:val="center"/>
              <w:rPr>
                <w:rFonts w:ascii="宋体" w:hAnsi="宋体"/>
                <w:color w:val="auto"/>
                <w:szCs w:val="21"/>
              </w:rPr>
            </w:pPr>
            <w:r>
              <w:rPr>
                <w:rFonts w:ascii="宋体" w:hAnsi="宋体"/>
                <w:color w:val="auto"/>
                <w:szCs w:val="21"/>
              </w:rPr>
              <w:t>级别</w:t>
            </w:r>
          </w:p>
        </w:tc>
        <w:tc>
          <w:tcPr>
            <w:tcW w:w="1240" w:type="dxa"/>
            <w:vAlign w:val="center"/>
          </w:tcPr>
          <w:p>
            <w:pPr>
              <w:spacing w:line="440" w:lineRule="exact"/>
              <w:jc w:val="center"/>
              <w:rPr>
                <w:rFonts w:ascii="宋体" w:hAnsi="宋体"/>
                <w:color w:val="auto"/>
                <w:szCs w:val="21"/>
              </w:rPr>
            </w:pPr>
            <w:r>
              <w:rPr>
                <w:rFonts w:ascii="宋体" w:hAnsi="宋体"/>
                <w:color w:val="auto"/>
                <w:szCs w:val="21"/>
              </w:rPr>
              <w:t>证号</w:t>
            </w:r>
          </w:p>
        </w:tc>
        <w:tc>
          <w:tcPr>
            <w:tcW w:w="1240" w:type="dxa"/>
            <w:vAlign w:val="center"/>
          </w:tcPr>
          <w:p>
            <w:pPr>
              <w:spacing w:line="440" w:lineRule="exact"/>
              <w:jc w:val="center"/>
              <w:rPr>
                <w:rFonts w:ascii="宋体" w:hAnsi="宋体"/>
                <w:color w:val="auto"/>
                <w:szCs w:val="21"/>
              </w:rPr>
            </w:pPr>
            <w:r>
              <w:rPr>
                <w:rFonts w:ascii="宋体" w:hAnsi="宋体"/>
                <w:color w:val="auto"/>
                <w:szCs w:val="21"/>
              </w:rPr>
              <w:t>专业</w:t>
            </w:r>
          </w:p>
        </w:tc>
        <w:tc>
          <w:tcPr>
            <w:tcW w:w="1330" w:type="dxa"/>
            <w:vAlign w:val="center"/>
          </w:tcPr>
          <w:p>
            <w:pPr>
              <w:spacing w:line="440" w:lineRule="exact"/>
              <w:jc w:val="center"/>
              <w:rPr>
                <w:rFonts w:ascii="宋体" w:hAnsi="宋体"/>
                <w:color w:val="auto"/>
                <w:szCs w:val="21"/>
              </w:rPr>
            </w:pPr>
            <w:r>
              <w:rPr>
                <w:rFonts w:hint="eastAsia" w:ascii="宋体" w:hAnsi="宋体"/>
                <w:color w:val="auto"/>
                <w:szCs w:val="21"/>
              </w:rPr>
              <w:t>养老保险</w:t>
            </w:r>
          </w:p>
        </w:tc>
        <w:tc>
          <w:tcPr>
            <w:tcW w:w="910" w:type="dxa"/>
            <w:vAlign w:val="center"/>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spacing w:line="440" w:lineRule="exact"/>
              <w:jc w:val="center"/>
              <w:rPr>
                <w:rFonts w:ascii="宋体" w:hAnsi="宋体"/>
                <w:color w:val="auto"/>
                <w:szCs w:val="21"/>
              </w:rPr>
            </w:pPr>
          </w:p>
        </w:tc>
        <w:tc>
          <w:tcPr>
            <w:tcW w:w="750" w:type="dxa"/>
            <w:vAlign w:val="center"/>
          </w:tcPr>
          <w:p>
            <w:pPr>
              <w:spacing w:line="440" w:lineRule="exact"/>
              <w:jc w:val="center"/>
              <w:rPr>
                <w:rFonts w:ascii="宋体" w:hAnsi="宋体"/>
                <w:color w:val="auto"/>
                <w:szCs w:val="21"/>
              </w:rPr>
            </w:pPr>
          </w:p>
        </w:tc>
        <w:tc>
          <w:tcPr>
            <w:tcW w:w="740" w:type="dxa"/>
            <w:vAlign w:val="center"/>
          </w:tcPr>
          <w:p>
            <w:pPr>
              <w:spacing w:line="440" w:lineRule="exact"/>
              <w:jc w:val="center"/>
              <w:rPr>
                <w:rFonts w:ascii="宋体" w:hAnsi="宋体"/>
                <w:color w:val="auto"/>
                <w:szCs w:val="21"/>
              </w:rPr>
            </w:pPr>
          </w:p>
        </w:tc>
        <w:tc>
          <w:tcPr>
            <w:tcW w:w="1090" w:type="dxa"/>
            <w:vAlign w:val="center"/>
          </w:tcPr>
          <w:p>
            <w:pPr>
              <w:spacing w:line="440" w:lineRule="exact"/>
              <w:jc w:val="center"/>
              <w:rPr>
                <w:rFonts w:ascii="宋体" w:hAnsi="宋体"/>
                <w:color w:val="auto"/>
                <w:szCs w:val="21"/>
              </w:rPr>
            </w:pPr>
          </w:p>
        </w:tc>
        <w:tc>
          <w:tcPr>
            <w:tcW w:w="1150" w:type="dxa"/>
            <w:vAlign w:val="center"/>
          </w:tcPr>
          <w:p>
            <w:pPr>
              <w:spacing w:line="440" w:lineRule="exact"/>
              <w:jc w:val="center"/>
              <w:rPr>
                <w:rFonts w:ascii="宋体" w:hAnsi="宋体"/>
                <w:color w:val="auto"/>
                <w:szCs w:val="21"/>
              </w:rPr>
            </w:pPr>
          </w:p>
        </w:tc>
        <w:tc>
          <w:tcPr>
            <w:tcW w:w="1240" w:type="dxa"/>
            <w:vAlign w:val="center"/>
          </w:tcPr>
          <w:p>
            <w:pPr>
              <w:spacing w:line="440" w:lineRule="exact"/>
              <w:jc w:val="center"/>
              <w:rPr>
                <w:rFonts w:ascii="宋体" w:hAnsi="宋体"/>
                <w:color w:val="auto"/>
                <w:szCs w:val="21"/>
              </w:rPr>
            </w:pPr>
          </w:p>
        </w:tc>
        <w:tc>
          <w:tcPr>
            <w:tcW w:w="1240" w:type="dxa"/>
            <w:vAlign w:val="center"/>
          </w:tcPr>
          <w:p>
            <w:pPr>
              <w:spacing w:line="440" w:lineRule="exact"/>
              <w:jc w:val="center"/>
              <w:rPr>
                <w:rFonts w:ascii="宋体" w:hAnsi="宋体"/>
                <w:color w:val="auto"/>
                <w:szCs w:val="21"/>
              </w:rPr>
            </w:pPr>
          </w:p>
        </w:tc>
        <w:tc>
          <w:tcPr>
            <w:tcW w:w="1330" w:type="dxa"/>
            <w:vAlign w:val="center"/>
          </w:tcPr>
          <w:p>
            <w:pPr>
              <w:spacing w:line="440" w:lineRule="exact"/>
              <w:jc w:val="center"/>
              <w:rPr>
                <w:rFonts w:ascii="宋体" w:hAnsi="宋体"/>
                <w:color w:val="auto"/>
                <w:szCs w:val="21"/>
              </w:rPr>
            </w:pPr>
          </w:p>
        </w:tc>
        <w:tc>
          <w:tcPr>
            <w:tcW w:w="910" w:type="dxa"/>
            <w:vAlign w:val="center"/>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spacing w:line="440" w:lineRule="exact"/>
              <w:jc w:val="center"/>
              <w:rPr>
                <w:rFonts w:ascii="宋体" w:hAnsi="宋体"/>
                <w:color w:val="auto"/>
                <w:szCs w:val="21"/>
              </w:rPr>
            </w:pPr>
          </w:p>
        </w:tc>
        <w:tc>
          <w:tcPr>
            <w:tcW w:w="750" w:type="dxa"/>
          </w:tcPr>
          <w:p>
            <w:pPr>
              <w:spacing w:line="440" w:lineRule="exact"/>
              <w:jc w:val="center"/>
              <w:rPr>
                <w:rFonts w:ascii="宋体" w:hAnsi="宋体"/>
                <w:color w:val="auto"/>
                <w:szCs w:val="21"/>
              </w:rPr>
            </w:pPr>
          </w:p>
        </w:tc>
        <w:tc>
          <w:tcPr>
            <w:tcW w:w="740" w:type="dxa"/>
          </w:tcPr>
          <w:p>
            <w:pPr>
              <w:spacing w:line="440" w:lineRule="exact"/>
              <w:jc w:val="center"/>
              <w:rPr>
                <w:rFonts w:ascii="宋体" w:hAnsi="宋体"/>
                <w:color w:val="auto"/>
                <w:szCs w:val="21"/>
              </w:rPr>
            </w:pPr>
          </w:p>
        </w:tc>
        <w:tc>
          <w:tcPr>
            <w:tcW w:w="1090" w:type="dxa"/>
          </w:tcPr>
          <w:p>
            <w:pPr>
              <w:spacing w:line="440" w:lineRule="exact"/>
              <w:jc w:val="center"/>
              <w:rPr>
                <w:rFonts w:ascii="宋体" w:hAnsi="宋体"/>
                <w:color w:val="auto"/>
                <w:szCs w:val="21"/>
              </w:rPr>
            </w:pPr>
          </w:p>
        </w:tc>
        <w:tc>
          <w:tcPr>
            <w:tcW w:w="115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330" w:type="dxa"/>
          </w:tcPr>
          <w:p>
            <w:pPr>
              <w:spacing w:line="440" w:lineRule="exact"/>
              <w:jc w:val="center"/>
              <w:rPr>
                <w:rFonts w:ascii="宋体" w:hAnsi="宋体"/>
                <w:color w:val="auto"/>
                <w:szCs w:val="21"/>
              </w:rPr>
            </w:pPr>
          </w:p>
        </w:tc>
        <w:tc>
          <w:tcPr>
            <w:tcW w:w="910" w:type="dxa"/>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spacing w:line="440" w:lineRule="exact"/>
              <w:jc w:val="center"/>
              <w:rPr>
                <w:rFonts w:ascii="宋体" w:hAnsi="宋体"/>
                <w:color w:val="auto"/>
                <w:szCs w:val="21"/>
              </w:rPr>
            </w:pPr>
          </w:p>
        </w:tc>
        <w:tc>
          <w:tcPr>
            <w:tcW w:w="750" w:type="dxa"/>
          </w:tcPr>
          <w:p>
            <w:pPr>
              <w:spacing w:line="440" w:lineRule="exact"/>
              <w:jc w:val="center"/>
              <w:rPr>
                <w:rFonts w:ascii="宋体" w:hAnsi="宋体"/>
                <w:color w:val="auto"/>
                <w:szCs w:val="21"/>
              </w:rPr>
            </w:pPr>
          </w:p>
        </w:tc>
        <w:tc>
          <w:tcPr>
            <w:tcW w:w="740" w:type="dxa"/>
          </w:tcPr>
          <w:p>
            <w:pPr>
              <w:spacing w:line="440" w:lineRule="exact"/>
              <w:jc w:val="center"/>
              <w:rPr>
                <w:rFonts w:ascii="宋体" w:hAnsi="宋体"/>
                <w:color w:val="auto"/>
                <w:szCs w:val="21"/>
              </w:rPr>
            </w:pPr>
          </w:p>
        </w:tc>
        <w:tc>
          <w:tcPr>
            <w:tcW w:w="1090" w:type="dxa"/>
          </w:tcPr>
          <w:p>
            <w:pPr>
              <w:spacing w:line="440" w:lineRule="exact"/>
              <w:jc w:val="center"/>
              <w:rPr>
                <w:rFonts w:ascii="宋体" w:hAnsi="宋体"/>
                <w:color w:val="auto"/>
                <w:szCs w:val="21"/>
              </w:rPr>
            </w:pPr>
          </w:p>
        </w:tc>
        <w:tc>
          <w:tcPr>
            <w:tcW w:w="115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330" w:type="dxa"/>
          </w:tcPr>
          <w:p>
            <w:pPr>
              <w:spacing w:line="440" w:lineRule="exact"/>
              <w:jc w:val="center"/>
              <w:rPr>
                <w:rFonts w:ascii="宋体" w:hAnsi="宋体"/>
                <w:color w:val="auto"/>
                <w:szCs w:val="21"/>
              </w:rPr>
            </w:pPr>
          </w:p>
        </w:tc>
        <w:tc>
          <w:tcPr>
            <w:tcW w:w="910" w:type="dxa"/>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spacing w:line="440" w:lineRule="exact"/>
              <w:jc w:val="center"/>
              <w:rPr>
                <w:rFonts w:ascii="宋体" w:hAnsi="宋体"/>
                <w:color w:val="auto"/>
                <w:szCs w:val="21"/>
              </w:rPr>
            </w:pPr>
          </w:p>
        </w:tc>
        <w:tc>
          <w:tcPr>
            <w:tcW w:w="750" w:type="dxa"/>
          </w:tcPr>
          <w:p>
            <w:pPr>
              <w:spacing w:line="440" w:lineRule="exact"/>
              <w:jc w:val="center"/>
              <w:rPr>
                <w:rFonts w:ascii="宋体" w:hAnsi="宋体"/>
                <w:color w:val="auto"/>
                <w:szCs w:val="21"/>
              </w:rPr>
            </w:pPr>
          </w:p>
        </w:tc>
        <w:tc>
          <w:tcPr>
            <w:tcW w:w="740" w:type="dxa"/>
          </w:tcPr>
          <w:p>
            <w:pPr>
              <w:spacing w:line="440" w:lineRule="exact"/>
              <w:jc w:val="center"/>
              <w:rPr>
                <w:rFonts w:ascii="宋体" w:hAnsi="宋体"/>
                <w:color w:val="auto"/>
                <w:szCs w:val="21"/>
              </w:rPr>
            </w:pPr>
          </w:p>
        </w:tc>
        <w:tc>
          <w:tcPr>
            <w:tcW w:w="1090" w:type="dxa"/>
          </w:tcPr>
          <w:p>
            <w:pPr>
              <w:spacing w:line="440" w:lineRule="exact"/>
              <w:jc w:val="center"/>
              <w:rPr>
                <w:rFonts w:ascii="宋体" w:hAnsi="宋体"/>
                <w:color w:val="auto"/>
                <w:szCs w:val="21"/>
              </w:rPr>
            </w:pPr>
          </w:p>
        </w:tc>
        <w:tc>
          <w:tcPr>
            <w:tcW w:w="115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330" w:type="dxa"/>
          </w:tcPr>
          <w:p>
            <w:pPr>
              <w:spacing w:line="440" w:lineRule="exact"/>
              <w:jc w:val="center"/>
              <w:rPr>
                <w:rFonts w:ascii="宋体" w:hAnsi="宋体"/>
                <w:color w:val="auto"/>
                <w:szCs w:val="21"/>
              </w:rPr>
            </w:pPr>
          </w:p>
        </w:tc>
        <w:tc>
          <w:tcPr>
            <w:tcW w:w="910" w:type="dxa"/>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spacing w:line="440" w:lineRule="exact"/>
              <w:jc w:val="center"/>
              <w:rPr>
                <w:rFonts w:ascii="宋体" w:hAnsi="宋体"/>
                <w:color w:val="auto"/>
                <w:szCs w:val="21"/>
              </w:rPr>
            </w:pPr>
          </w:p>
        </w:tc>
        <w:tc>
          <w:tcPr>
            <w:tcW w:w="750" w:type="dxa"/>
          </w:tcPr>
          <w:p>
            <w:pPr>
              <w:spacing w:line="440" w:lineRule="exact"/>
              <w:jc w:val="center"/>
              <w:rPr>
                <w:rFonts w:ascii="宋体" w:hAnsi="宋体"/>
                <w:color w:val="auto"/>
                <w:szCs w:val="21"/>
              </w:rPr>
            </w:pPr>
          </w:p>
        </w:tc>
        <w:tc>
          <w:tcPr>
            <w:tcW w:w="740" w:type="dxa"/>
          </w:tcPr>
          <w:p>
            <w:pPr>
              <w:spacing w:line="440" w:lineRule="exact"/>
              <w:jc w:val="center"/>
              <w:rPr>
                <w:rFonts w:ascii="宋体" w:hAnsi="宋体"/>
                <w:color w:val="auto"/>
                <w:szCs w:val="21"/>
              </w:rPr>
            </w:pPr>
          </w:p>
        </w:tc>
        <w:tc>
          <w:tcPr>
            <w:tcW w:w="1090" w:type="dxa"/>
          </w:tcPr>
          <w:p>
            <w:pPr>
              <w:spacing w:line="440" w:lineRule="exact"/>
              <w:jc w:val="center"/>
              <w:rPr>
                <w:rFonts w:ascii="宋体" w:hAnsi="宋体"/>
                <w:color w:val="auto"/>
                <w:szCs w:val="21"/>
              </w:rPr>
            </w:pPr>
          </w:p>
        </w:tc>
        <w:tc>
          <w:tcPr>
            <w:tcW w:w="115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330" w:type="dxa"/>
          </w:tcPr>
          <w:p>
            <w:pPr>
              <w:spacing w:line="440" w:lineRule="exact"/>
              <w:jc w:val="center"/>
              <w:rPr>
                <w:rFonts w:ascii="宋体" w:hAnsi="宋体"/>
                <w:color w:val="auto"/>
                <w:szCs w:val="21"/>
              </w:rPr>
            </w:pPr>
          </w:p>
        </w:tc>
        <w:tc>
          <w:tcPr>
            <w:tcW w:w="910" w:type="dxa"/>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spacing w:line="440" w:lineRule="exact"/>
              <w:jc w:val="center"/>
              <w:rPr>
                <w:rFonts w:ascii="宋体" w:hAnsi="宋体"/>
                <w:color w:val="auto"/>
                <w:szCs w:val="21"/>
              </w:rPr>
            </w:pPr>
          </w:p>
        </w:tc>
        <w:tc>
          <w:tcPr>
            <w:tcW w:w="750" w:type="dxa"/>
          </w:tcPr>
          <w:p>
            <w:pPr>
              <w:spacing w:line="440" w:lineRule="exact"/>
              <w:jc w:val="center"/>
              <w:rPr>
                <w:rFonts w:ascii="宋体" w:hAnsi="宋体"/>
                <w:color w:val="auto"/>
                <w:szCs w:val="21"/>
              </w:rPr>
            </w:pPr>
          </w:p>
        </w:tc>
        <w:tc>
          <w:tcPr>
            <w:tcW w:w="740" w:type="dxa"/>
          </w:tcPr>
          <w:p>
            <w:pPr>
              <w:spacing w:line="440" w:lineRule="exact"/>
              <w:jc w:val="center"/>
              <w:rPr>
                <w:rFonts w:ascii="宋体" w:hAnsi="宋体"/>
                <w:color w:val="auto"/>
                <w:szCs w:val="21"/>
              </w:rPr>
            </w:pPr>
          </w:p>
        </w:tc>
        <w:tc>
          <w:tcPr>
            <w:tcW w:w="1090" w:type="dxa"/>
          </w:tcPr>
          <w:p>
            <w:pPr>
              <w:spacing w:line="440" w:lineRule="exact"/>
              <w:jc w:val="center"/>
              <w:rPr>
                <w:rFonts w:ascii="宋体" w:hAnsi="宋体"/>
                <w:color w:val="auto"/>
                <w:szCs w:val="21"/>
              </w:rPr>
            </w:pPr>
          </w:p>
        </w:tc>
        <w:tc>
          <w:tcPr>
            <w:tcW w:w="115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330" w:type="dxa"/>
          </w:tcPr>
          <w:p>
            <w:pPr>
              <w:spacing w:line="440" w:lineRule="exact"/>
              <w:jc w:val="center"/>
              <w:rPr>
                <w:rFonts w:ascii="宋体" w:hAnsi="宋体"/>
                <w:color w:val="auto"/>
                <w:szCs w:val="21"/>
              </w:rPr>
            </w:pPr>
          </w:p>
        </w:tc>
        <w:tc>
          <w:tcPr>
            <w:tcW w:w="910" w:type="dxa"/>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spacing w:line="440" w:lineRule="exact"/>
              <w:jc w:val="center"/>
              <w:rPr>
                <w:rFonts w:ascii="宋体" w:hAnsi="宋体"/>
                <w:color w:val="auto"/>
                <w:szCs w:val="21"/>
              </w:rPr>
            </w:pPr>
          </w:p>
        </w:tc>
        <w:tc>
          <w:tcPr>
            <w:tcW w:w="750" w:type="dxa"/>
          </w:tcPr>
          <w:p>
            <w:pPr>
              <w:spacing w:line="440" w:lineRule="exact"/>
              <w:jc w:val="center"/>
              <w:rPr>
                <w:rFonts w:ascii="宋体" w:hAnsi="宋体"/>
                <w:color w:val="auto"/>
                <w:szCs w:val="21"/>
              </w:rPr>
            </w:pPr>
          </w:p>
        </w:tc>
        <w:tc>
          <w:tcPr>
            <w:tcW w:w="740" w:type="dxa"/>
          </w:tcPr>
          <w:p>
            <w:pPr>
              <w:spacing w:line="440" w:lineRule="exact"/>
              <w:jc w:val="center"/>
              <w:rPr>
                <w:rFonts w:ascii="宋体" w:hAnsi="宋体"/>
                <w:color w:val="auto"/>
                <w:szCs w:val="21"/>
              </w:rPr>
            </w:pPr>
          </w:p>
        </w:tc>
        <w:tc>
          <w:tcPr>
            <w:tcW w:w="1090" w:type="dxa"/>
          </w:tcPr>
          <w:p>
            <w:pPr>
              <w:spacing w:line="440" w:lineRule="exact"/>
              <w:jc w:val="center"/>
              <w:rPr>
                <w:rFonts w:ascii="宋体" w:hAnsi="宋体"/>
                <w:color w:val="auto"/>
                <w:szCs w:val="21"/>
              </w:rPr>
            </w:pPr>
          </w:p>
        </w:tc>
        <w:tc>
          <w:tcPr>
            <w:tcW w:w="115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330" w:type="dxa"/>
          </w:tcPr>
          <w:p>
            <w:pPr>
              <w:spacing w:line="440" w:lineRule="exact"/>
              <w:jc w:val="center"/>
              <w:rPr>
                <w:rFonts w:ascii="宋体" w:hAnsi="宋体"/>
                <w:color w:val="auto"/>
                <w:szCs w:val="21"/>
              </w:rPr>
            </w:pPr>
          </w:p>
        </w:tc>
        <w:tc>
          <w:tcPr>
            <w:tcW w:w="910" w:type="dxa"/>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spacing w:line="440" w:lineRule="exact"/>
              <w:jc w:val="center"/>
              <w:rPr>
                <w:rFonts w:ascii="宋体" w:hAnsi="宋体"/>
                <w:color w:val="auto"/>
                <w:szCs w:val="21"/>
              </w:rPr>
            </w:pPr>
          </w:p>
        </w:tc>
        <w:tc>
          <w:tcPr>
            <w:tcW w:w="750" w:type="dxa"/>
          </w:tcPr>
          <w:p>
            <w:pPr>
              <w:spacing w:line="440" w:lineRule="exact"/>
              <w:jc w:val="center"/>
              <w:rPr>
                <w:rFonts w:ascii="宋体" w:hAnsi="宋体"/>
                <w:color w:val="auto"/>
                <w:szCs w:val="21"/>
              </w:rPr>
            </w:pPr>
          </w:p>
        </w:tc>
        <w:tc>
          <w:tcPr>
            <w:tcW w:w="740" w:type="dxa"/>
          </w:tcPr>
          <w:p>
            <w:pPr>
              <w:spacing w:line="440" w:lineRule="exact"/>
              <w:jc w:val="center"/>
              <w:rPr>
                <w:rFonts w:ascii="宋体" w:hAnsi="宋体"/>
                <w:color w:val="auto"/>
                <w:szCs w:val="21"/>
              </w:rPr>
            </w:pPr>
          </w:p>
        </w:tc>
        <w:tc>
          <w:tcPr>
            <w:tcW w:w="1090" w:type="dxa"/>
          </w:tcPr>
          <w:p>
            <w:pPr>
              <w:spacing w:line="440" w:lineRule="exact"/>
              <w:jc w:val="center"/>
              <w:rPr>
                <w:rFonts w:ascii="宋体" w:hAnsi="宋体"/>
                <w:color w:val="auto"/>
                <w:szCs w:val="21"/>
              </w:rPr>
            </w:pPr>
          </w:p>
        </w:tc>
        <w:tc>
          <w:tcPr>
            <w:tcW w:w="115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330" w:type="dxa"/>
          </w:tcPr>
          <w:p>
            <w:pPr>
              <w:spacing w:line="440" w:lineRule="exact"/>
              <w:jc w:val="center"/>
              <w:rPr>
                <w:rFonts w:ascii="宋体" w:hAnsi="宋体"/>
                <w:color w:val="auto"/>
                <w:szCs w:val="21"/>
              </w:rPr>
            </w:pPr>
          </w:p>
        </w:tc>
        <w:tc>
          <w:tcPr>
            <w:tcW w:w="910" w:type="dxa"/>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spacing w:line="440" w:lineRule="exact"/>
              <w:jc w:val="center"/>
              <w:rPr>
                <w:rFonts w:ascii="宋体" w:hAnsi="宋体"/>
                <w:color w:val="auto"/>
                <w:szCs w:val="21"/>
              </w:rPr>
            </w:pPr>
          </w:p>
        </w:tc>
        <w:tc>
          <w:tcPr>
            <w:tcW w:w="750" w:type="dxa"/>
          </w:tcPr>
          <w:p>
            <w:pPr>
              <w:spacing w:line="440" w:lineRule="exact"/>
              <w:jc w:val="center"/>
              <w:rPr>
                <w:rFonts w:ascii="宋体" w:hAnsi="宋体"/>
                <w:color w:val="auto"/>
                <w:szCs w:val="21"/>
              </w:rPr>
            </w:pPr>
          </w:p>
        </w:tc>
        <w:tc>
          <w:tcPr>
            <w:tcW w:w="740" w:type="dxa"/>
          </w:tcPr>
          <w:p>
            <w:pPr>
              <w:spacing w:line="440" w:lineRule="exact"/>
              <w:jc w:val="center"/>
              <w:rPr>
                <w:rFonts w:ascii="宋体" w:hAnsi="宋体"/>
                <w:color w:val="auto"/>
                <w:szCs w:val="21"/>
              </w:rPr>
            </w:pPr>
          </w:p>
        </w:tc>
        <w:tc>
          <w:tcPr>
            <w:tcW w:w="1090" w:type="dxa"/>
          </w:tcPr>
          <w:p>
            <w:pPr>
              <w:spacing w:line="440" w:lineRule="exact"/>
              <w:jc w:val="center"/>
              <w:rPr>
                <w:rFonts w:ascii="宋体" w:hAnsi="宋体"/>
                <w:color w:val="auto"/>
                <w:szCs w:val="21"/>
              </w:rPr>
            </w:pPr>
          </w:p>
        </w:tc>
        <w:tc>
          <w:tcPr>
            <w:tcW w:w="115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330" w:type="dxa"/>
          </w:tcPr>
          <w:p>
            <w:pPr>
              <w:spacing w:line="440" w:lineRule="exact"/>
              <w:jc w:val="center"/>
              <w:rPr>
                <w:rFonts w:ascii="宋体" w:hAnsi="宋体"/>
                <w:color w:val="auto"/>
                <w:szCs w:val="21"/>
              </w:rPr>
            </w:pPr>
          </w:p>
        </w:tc>
        <w:tc>
          <w:tcPr>
            <w:tcW w:w="910" w:type="dxa"/>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75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74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109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1150" w:type="dxa"/>
            <w:tcBorders>
              <w:top w:val="single" w:color="auto" w:sz="4" w:space="0"/>
              <w:left w:val="single" w:color="auto" w:sz="4" w:space="0"/>
              <w:bottom w:val="single" w:color="auto" w:sz="4" w:space="0"/>
            </w:tcBorders>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330" w:type="dxa"/>
            <w:tcBorders>
              <w:top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91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75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74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109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1150" w:type="dxa"/>
            <w:tcBorders>
              <w:top w:val="single" w:color="auto" w:sz="4" w:space="0"/>
              <w:left w:val="single" w:color="auto" w:sz="4" w:space="0"/>
              <w:bottom w:val="single" w:color="auto" w:sz="4" w:space="0"/>
            </w:tcBorders>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330" w:type="dxa"/>
            <w:tcBorders>
              <w:top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91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75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74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109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1150" w:type="dxa"/>
            <w:tcBorders>
              <w:top w:val="single" w:color="auto" w:sz="4" w:space="0"/>
              <w:left w:val="single" w:color="auto" w:sz="4" w:space="0"/>
              <w:bottom w:val="single" w:color="auto" w:sz="4" w:space="0"/>
            </w:tcBorders>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330" w:type="dxa"/>
            <w:tcBorders>
              <w:top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91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75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74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109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1150" w:type="dxa"/>
            <w:tcBorders>
              <w:top w:val="single" w:color="auto" w:sz="4" w:space="0"/>
              <w:left w:val="single" w:color="auto" w:sz="4" w:space="0"/>
              <w:bottom w:val="single" w:color="auto" w:sz="4" w:space="0"/>
            </w:tcBorders>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330" w:type="dxa"/>
            <w:tcBorders>
              <w:top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91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75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74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109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1150" w:type="dxa"/>
            <w:tcBorders>
              <w:top w:val="single" w:color="auto" w:sz="4" w:space="0"/>
              <w:left w:val="single" w:color="auto" w:sz="4" w:space="0"/>
              <w:bottom w:val="single" w:color="auto" w:sz="4" w:space="0"/>
            </w:tcBorders>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330" w:type="dxa"/>
            <w:tcBorders>
              <w:top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91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75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74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109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1150" w:type="dxa"/>
            <w:tcBorders>
              <w:top w:val="single" w:color="auto" w:sz="4" w:space="0"/>
              <w:left w:val="single" w:color="auto" w:sz="4" w:space="0"/>
              <w:bottom w:val="single" w:color="auto" w:sz="4" w:space="0"/>
            </w:tcBorders>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330" w:type="dxa"/>
            <w:tcBorders>
              <w:top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91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75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74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109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1150" w:type="dxa"/>
            <w:tcBorders>
              <w:top w:val="single" w:color="auto" w:sz="4" w:space="0"/>
              <w:left w:val="single" w:color="auto" w:sz="4" w:space="0"/>
              <w:bottom w:val="single" w:color="auto" w:sz="4" w:space="0"/>
            </w:tcBorders>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330" w:type="dxa"/>
            <w:tcBorders>
              <w:top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91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75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74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109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1150" w:type="dxa"/>
            <w:tcBorders>
              <w:top w:val="single" w:color="auto" w:sz="4" w:space="0"/>
              <w:left w:val="single" w:color="auto" w:sz="4" w:space="0"/>
              <w:bottom w:val="single" w:color="auto" w:sz="4" w:space="0"/>
            </w:tcBorders>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330" w:type="dxa"/>
            <w:tcBorders>
              <w:top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91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75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74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109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1150" w:type="dxa"/>
            <w:tcBorders>
              <w:top w:val="single" w:color="auto" w:sz="4" w:space="0"/>
              <w:left w:val="single" w:color="auto" w:sz="4" w:space="0"/>
              <w:bottom w:val="single" w:color="auto" w:sz="4" w:space="0"/>
            </w:tcBorders>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240" w:type="dxa"/>
          </w:tcPr>
          <w:p>
            <w:pPr>
              <w:spacing w:line="440" w:lineRule="exact"/>
              <w:jc w:val="center"/>
              <w:rPr>
                <w:rFonts w:ascii="宋体" w:hAnsi="宋体"/>
                <w:color w:val="auto"/>
                <w:szCs w:val="21"/>
              </w:rPr>
            </w:pPr>
          </w:p>
        </w:tc>
        <w:tc>
          <w:tcPr>
            <w:tcW w:w="1330" w:type="dxa"/>
            <w:tcBorders>
              <w:top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91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75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74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109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1150" w:type="dxa"/>
            <w:tcBorders>
              <w:top w:val="single" w:color="auto" w:sz="4" w:space="0"/>
              <w:left w:val="single" w:color="auto" w:sz="4" w:space="0"/>
              <w:bottom w:val="single" w:color="auto" w:sz="4" w:space="0"/>
            </w:tcBorders>
          </w:tcPr>
          <w:p>
            <w:pPr>
              <w:spacing w:line="440" w:lineRule="exact"/>
              <w:jc w:val="center"/>
              <w:rPr>
                <w:rFonts w:ascii="宋体" w:hAnsi="宋体"/>
                <w:color w:val="auto"/>
                <w:szCs w:val="21"/>
              </w:rPr>
            </w:pPr>
          </w:p>
        </w:tc>
        <w:tc>
          <w:tcPr>
            <w:tcW w:w="1240" w:type="dxa"/>
            <w:tcBorders>
              <w:bottom w:val="single" w:color="auto" w:sz="4" w:space="0"/>
            </w:tcBorders>
          </w:tcPr>
          <w:p>
            <w:pPr>
              <w:spacing w:line="440" w:lineRule="exact"/>
              <w:jc w:val="center"/>
              <w:rPr>
                <w:rFonts w:ascii="宋体" w:hAnsi="宋体"/>
                <w:color w:val="auto"/>
                <w:szCs w:val="21"/>
              </w:rPr>
            </w:pPr>
          </w:p>
        </w:tc>
        <w:tc>
          <w:tcPr>
            <w:tcW w:w="1240" w:type="dxa"/>
            <w:tcBorders>
              <w:bottom w:val="single" w:color="auto" w:sz="4" w:space="0"/>
            </w:tcBorders>
          </w:tcPr>
          <w:p>
            <w:pPr>
              <w:spacing w:line="440" w:lineRule="exact"/>
              <w:jc w:val="center"/>
              <w:rPr>
                <w:rFonts w:ascii="宋体" w:hAnsi="宋体"/>
                <w:color w:val="auto"/>
                <w:szCs w:val="21"/>
              </w:rPr>
            </w:pPr>
          </w:p>
        </w:tc>
        <w:tc>
          <w:tcPr>
            <w:tcW w:w="1330" w:type="dxa"/>
            <w:tcBorders>
              <w:top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c>
          <w:tcPr>
            <w:tcW w:w="91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Cs w:val="21"/>
              </w:rPr>
            </w:pPr>
          </w:p>
        </w:tc>
      </w:tr>
    </w:tbl>
    <w:p>
      <w:pPr>
        <w:topLinePunct/>
        <w:spacing w:line="440" w:lineRule="exact"/>
        <w:jc w:val="center"/>
        <w:rPr>
          <w:rFonts w:ascii="宋体" w:hAnsi="宋体"/>
          <w:color w:val="auto"/>
          <w:sz w:val="20"/>
        </w:rPr>
      </w:pPr>
    </w:p>
    <w:p>
      <w:pPr>
        <w:topLinePunct/>
        <w:spacing w:line="440" w:lineRule="exact"/>
        <w:jc w:val="center"/>
        <w:rPr>
          <w:rFonts w:ascii="宋体" w:hAnsi="宋体"/>
          <w:color w:val="auto"/>
          <w:sz w:val="20"/>
        </w:rPr>
      </w:pPr>
      <w:r>
        <w:rPr>
          <w:rFonts w:ascii="宋体" w:hAnsi="宋体"/>
          <w:color w:val="auto"/>
          <w:sz w:val="20"/>
        </w:rPr>
        <w:br w:type="page"/>
      </w:r>
    </w:p>
    <w:p>
      <w:pPr>
        <w:pStyle w:val="2"/>
        <w:spacing w:before="0" w:after="0" w:line="360" w:lineRule="auto"/>
        <w:rPr>
          <w:rFonts w:ascii="黑体" w:hAnsi="黑体" w:eastAsia="黑体" w:cs="黑体"/>
          <w:color w:val="auto"/>
        </w:rPr>
      </w:pPr>
      <w:bookmarkStart w:id="565" w:name="_Toc246997114"/>
      <w:bookmarkStart w:id="566" w:name="_Toc394565371"/>
      <w:bookmarkStart w:id="567" w:name="_Toc144974873"/>
      <w:bookmarkStart w:id="568" w:name="_Toc247085889"/>
      <w:bookmarkStart w:id="569" w:name="_Toc152045805"/>
      <w:bookmarkStart w:id="570" w:name="_Toc179632825"/>
      <w:bookmarkStart w:id="571" w:name="_Toc152042594"/>
      <w:bookmarkStart w:id="572" w:name="_Toc246996371"/>
      <w:bookmarkStart w:id="573" w:name="_Toc17491"/>
      <w:bookmarkStart w:id="574" w:name="_Toc425177199"/>
      <w:r>
        <w:rPr>
          <w:rFonts w:hint="eastAsia" w:ascii="黑体" w:hAnsi="黑体" w:eastAsia="黑体" w:cs="黑体"/>
          <w:color w:val="auto"/>
        </w:rPr>
        <w:t>（二）</w:t>
      </w:r>
      <w:bookmarkEnd w:id="565"/>
      <w:bookmarkEnd w:id="566"/>
      <w:bookmarkEnd w:id="567"/>
      <w:bookmarkEnd w:id="568"/>
      <w:bookmarkEnd w:id="569"/>
      <w:bookmarkEnd w:id="570"/>
      <w:bookmarkEnd w:id="571"/>
      <w:bookmarkEnd w:id="572"/>
      <w:r>
        <w:rPr>
          <w:rFonts w:hint="eastAsia" w:ascii="黑体" w:hAnsi="黑体" w:eastAsia="黑体" w:cs="黑体"/>
          <w:color w:val="auto"/>
        </w:rPr>
        <w:t>主要人员简历表</w:t>
      </w:r>
      <w:bookmarkEnd w:id="573"/>
      <w:bookmarkEnd w:id="574"/>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rPr>
      </w:pPr>
      <w:r>
        <w:rPr>
          <w:rFonts w:hint="eastAsia" w:ascii="宋体" w:hAnsi="宋体"/>
          <w:color w:val="auto"/>
        </w:rPr>
        <w:t>“主要人员简历表”中的项目负责人（项目经理）应附建造师执业资格证书、注册证书、身份证、养老保险、未担任其他在施建设工程项目项目经理的承诺书；</w:t>
      </w:r>
      <w:r>
        <w:rPr>
          <w:rFonts w:hint="eastAsia" w:ascii="宋体" w:hAnsi="宋体"/>
          <w:color w:val="auto"/>
          <w:lang w:val="en-US" w:eastAsia="zh-CN"/>
        </w:rPr>
        <w:t>技术负责人应附职称证、身份证、养老保险；</w:t>
      </w:r>
      <w:r>
        <w:rPr>
          <w:rFonts w:hint="eastAsia" w:ascii="宋体" w:hAnsi="宋体"/>
          <w:color w:val="auto"/>
        </w:rPr>
        <w:t>其他主要人员应附岗位证、身份证、养老保险。</w:t>
      </w:r>
    </w:p>
    <w:p>
      <w:pPr>
        <w:pStyle w:val="7"/>
        <w:rPr>
          <w:rFonts w:hint="eastAsia"/>
          <w:color w:val="auto"/>
        </w:rPr>
      </w:pPr>
    </w:p>
    <w:tbl>
      <w:tblPr>
        <w:tblStyle w:val="22"/>
        <w:tblW w:w="0" w:type="auto"/>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079"/>
        <w:gridCol w:w="1443"/>
        <w:gridCol w:w="342"/>
        <w:gridCol w:w="751"/>
        <w:gridCol w:w="1247"/>
        <w:gridCol w:w="717"/>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546" w:type="dxa"/>
            <w:vAlign w:val="center"/>
          </w:tcPr>
          <w:p>
            <w:pPr>
              <w:jc w:val="center"/>
              <w:rPr>
                <w:rFonts w:ascii="宋体"/>
                <w:color w:val="auto"/>
              </w:rPr>
            </w:pPr>
            <w:r>
              <w:rPr>
                <w:rFonts w:hint="eastAsia" w:ascii="宋体"/>
                <w:color w:val="auto"/>
              </w:rPr>
              <w:t>姓  名</w:t>
            </w:r>
          </w:p>
        </w:tc>
        <w:tc>
          <w:tcPr>
            <w:tcW w:w="1079" w:type="dxa"/>
            <w:vAlign w:val="center"/>
          </w:tcPr>
          <w:p>
            <w:pPr>
              <w:jc w:val="center"/>
              <w:rPr>
                <w:rFonts w:ascii="宋体"/>
                <w:color w:val="auto"/>
              </w:rPr>
            </w:pPr>
          </w:p>
        </w:tc>
        <w:tc>
          <w:tcPr>
            <w:tcW w:w="1443" w:type="dxa"/>
            <w:vAlign w:val="center"/>
          </w:tcPr>
          <w:p>
            <w:pPr>
              <w:ind w:left="117"/>
              <w:jc w:val="center"/>
              <w:rPr>
                <w:rFonts w:ascii="宋体"/>
                <w:color w:val="auto"/>
              </w:rPr>
            </w:pPr>
            <w:r>
              <w:rPr>
                <w:rFonts w:hint="eastAsia" w:ascii="宋体"/>
                <w:color w:val="auto"/>
              </w:rPr>
              <w:t>年龄</w:t>
            </w:r>
          </w:p>
        </w:tc>
        <w:tc>
          <w:tcPr>
            <w:tcW w:w="1093" w:type="dxa"/>
            <w:gridSpan w:val="2"/>
            <w:vAlign w:val="center"/>
          </w:tcPr>
          <w:p>
            <w:pPr>
              <w:jc w:val="center"/>
              <w:rPr>
                <w:rFonts w:ascii="宋体"/>
                <w:color w:val="auto"/>
              </w:rPr>
            </w:pPr>
          </w:p>
        </w:tc>
        <w:tc>
          <w:tcPr>
            <w:tcW w:w="1964" w:type="dxa"/>
            <w:gridSpan w:val="2"/>
            <w:vAlign w:val="center"/>
          </w:tcPr>
          <w:p>
            <w:pPr>
              <w:jc w:val="center"/>
              <w:rPr>
                <w:rFonts w:ascii="宋体"/>
                <w:color w:val="auto"/>
              </w:rPr>
            </w:pPr>
            <w:r>
              <w:rPr>
                <w:rFonts w:hint="eastAsia" w:ascii="宋体"/>
                <w:color w:val="auto"/>
              </w:rPr>
              <w:t>学历</w:t>
            </w:r>
          </w:p>
        </w:tc>
        <w:tc>
          <w:tcPr>
            <w:tcW w:w="1924" w:type="dxa"/>
            <w:vAlign w:val="center"/>
          </w:tcPr>
          <w:p>
            <w:pPr>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546" w:type="dxa"/>
            <w:tcBorders>
              <w:bottom w:val="single" w:color="auto" w:sz="4" w:space="0"/>
            </w:tcBorders>
            <w:vAlign w:val="center"/>
          </w:tcPr>
          <w:p>
            <w:pPr>
              <w:jc w:val="center"/>
              <w:rPr>
                <w:rFonts w:ascii="宋体"/>
                <w:color w:val="auto"/>
              </w:rPr>
            </w:pPr>
            <w:r>
              <w:rPr>
                <w:rFonts w:hint="eastAsia" w:ascii="宋体"/>
                <w:color w:val="auto"/>
              </w:rPr>
              <w:t>职   称</w:t>
            </w:r>
          </w:p>
        </w:tc>
        <w:tc>
          <w:tcPr>
            <w:tcW w:w="1079" w:type="dxa"/>
            <w:tcBorders>
              <w:bottom w:val="single" w:color="auto" w:sz="4" w:space="0"/>
            </w:tcBorders>
            <w:vAlign w:val="center"/>
          </w:tcPr>
          <w:p>
            <w:pPr>
              <w:jc w:val="center"/>
              <w:rPr>
                <w:rFonts w:ascii="宋体"/>
                <w:color w:val="auto"/>
              </w:rPr>
            </w:pPr>
          </w:p>
        </w:tc>
        <w:tc>
          <w:tcPr>
            <w:tcW w:w="1443" w:type="dxa"/>
            <w:tcBorders>
              <w:bottom w:val="single" w:color="auto" w:sz="4" w:space="0"/>
            </w:tcBorders>
            <w:vAlign w:val="center"/>
          </w:tcPr>
          <w:p>
            <w:pPr>
              <w:ind w:left="222"/>
              <w:jc w:val="center"/>
              <w:rPr>
                <w:rFonts w:ascii="宋体"/>
                <w:color w:val="auto"/>
              </w:rPr>
            </w:pPr>
            <w:r>
              <w:rPr>
                <w:rFonts w:hint="eastAsia" w:ascii="宋体"/>
                <w:color w:val="auto"/>
              </w:rPr>
              <w:t>职务</w:t>
            </w:r>
          </w:p>
        </w:tc>
        <w:tc>
          <w:tcPr>
            <w:tcW w:w="1093" w:type="dxa"/>
            <w:gridSpan w:val="2"/>
            <w:tcBorders>
              <w:bottom w:val="single" w:color="auto" w:sz="4" w:space="0"/>
            </w:tcBorders>
            <w:vAlign w:val="center"/>
          </w:tcPr>
          <w:p>
            <w:pPr>
              <w:jc w:val="center"/>
              <w:rPr>
                <w:rFonts w:ascii="宋体"/>
                <w:color w:val="auto"/>
              </w:rPr>
            </w:pPr>
          </w:p>
        </w:tc>
        <w:tc>
          <w:tcPr>
            <w:tcW w:w="1964" w:type="dxa"/>
            <w:gridSpan w:val="2"/>
            <w:tcBorders>
              <w:bottom w:val="single" w:color="auto" w:sz="4" w:space="0"/>
            </w:tcBorders>
            <w:vAlign w:val="center"/>
          </w:tcPr>
          <w:p>
            <w:pPr>
              <w:rPr>
                <w:color w:val="auto"/>
              </w:rPr>
            </w:pPr>
            <w:r>
              <w:rPr>
                <w:rFonts w:hint="eastAsia" w:ascii="宋体"/>
                <w:color w:val="auto"/>
              </w:rPr>
              <w:t>拟在本合同任职</w:t>
            </w:r>
          </w:p>
        </w:tc>
        <w:tc>
          <w:tcPr>
            <w:tcW w:w="1924" w:type="dxa"/>
            <w:tcBorders>
              <w:bottom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546" w:type="dxa"/>
            <w:tcBorders>
              <w:bottom w:val="single" w:color="auto" w:sz="4" w:space="0"/>
            </w:tcBorders>
            <w:vAlign w:val="center"/>
          </w:tcPr>
          <w:p>
            <w:pPr>
              <w:jc w:val="center"/>
              <w:rPr>
                <w:rFonts w:ascii="宋体"/>
                <w:color w:val="auto"/>
              </w:rPr>
            </w:pPr>
            <w:r>
              <w:rPr>
                <w:rFonts w:hint="eastAsia" w:ascii="宋体"/>
                <w:color w:val="auto"/>
              </w:rPr>
              <w:t>毕业学校</w:t>
            </w:r>
          </w:p>
        </w:tc>
        <w:tc>
          <w:tcPr>
            <w:tcW w:w="7503" w:type="dxa"/>
            <w:gridSpan w:val="7"/>
            <w:tcBorders>
              <w:bottom w:val="single" w:color="auto" w:sz="4" w:space="0"/>
            </w:tcBorders>
            <w:vAlign w:val="center"/>
          </w:tcPr>
          <w:p>
            <w:pPr>
              <w:jc w:val="center"/>
              <w:rPr>
                <w:rFonts w:ascii="宋体"/>
                <w:color w:val="auto"/>
              </w:rPr>
            </w:pPr>
            <w:r>
              <w:rPr>
                <w:rFonts w:hint="eastAsia" w:ascii="宋体"/>
                <w:color w:val="auto"/>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9049"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rPr>
            </w:pPr>
            <w:r>
              <w:rPr>
                <w:rFonts w:hint="eastAsia" w:ascii="宋体"/>
                <w:color w:val="auto"/>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6" w:type="dxa"/>
            <w:tcBorders>
              <w:top w:val="single" w:color="auto" w:sz="4" w:space="0"/>
            </w:tcBorders>
            <w:vAlign w:val="center"/>
          </w:tcPr>
          <w:p>
            <w:pPr>
              <w:jc w:val="center"/>
              <w:rPr>
                <w:rFonts w:ascii="宋体"/>
                <w:color w:val="auto"/>
              </w:rPr>
            </w:pPr>
            <w:r>
              <w:rPr>
                <w:rFonts w:hint="eastAsia" w:ascii="宋体"/>
                <w:color w:val="auto"/>
              </w:rPr>
              <w:t xml:space="preserve">  时间</w:t>
            </w:r>
          </w:p>
        </w:tc>
        <w:tc>
          <w:tcPr>
            <w:tcW w:w="2864" w:type="dxa"/>
            <w:gridSpan w:val="3"/>
            <w:tcBorders>
              <w:top w:val="single" w:color="auto" w:sz="4" w:space="0"/>
            </w:tcBorders>
            <w:vAlign w:val="center"/>
          </w:tcPr>
          <w:p>
            <w:pPr>
              <w:jc w:val="center"/>
              <w:rPr>
                <w:rFonts w:ascii="宋体"/>
                <w:color w:val="auto"/>
              </w:rPr>
            </w:pPr>
            <w:r>
              <w:rPr>
                <w:rFonts w:hint="eastAsia" w:ascii="宋体"/>
                <w:color w:val="auto"/>
              </w:rPr>
              <w:t>参加过的类似项目</w:t>
            </w:r>
          </w:p>
        </w:tc>
        <w:tc>
          <w:tcPr>
            <w:tcW w:w="1998" w:type="dxa"/>
            <w:gridSpan w:val="2"/>
            <w:tcBorders>
              <w:top w:val="single" w:color="auto" w:sz="4" w:space="0"/>
            </w:tcBorders>
            <w:vAlign w:val="center"/>
          </w:tcPr>
          <w:p>
            <w:pPr>
              <w:jc w:val="center"/>
              <w:rPr>
                <w:rFonts w:ascii="宋体"/>
                <w:color w:val="auto"/>
              </w:rPr>
            </w:pPr>
            <w:r>
              <w:rPr>
                <w:rFonts w:hint="eastAsia" w:ascii="宋体"/>
                <w:color w:val="auto"/>
              </w:rPr>
              <w:t>担任职务</w:t>
            </w:r>
          </w:p>
        </w:tc>
        <w:tc>
          <w:tcPr>
            <w:tcW w:w="2641" w:type="dxa"/>
            <w:gridSpan w:val="2"/>
            <w:tcBorders>
              <w:top w:val="single" w:color="auto" w:sz="4" w:space="0"/>
            </w:tcBorders>
            <w:vAlign w:val="center"/>
          </w:tcPr>
          <w:p>
            <w:pPr>
              <w:jc w:val="center"/>
              <w:rPr>
                <w:rFonts w:ascii="宋体"/>
                <w:color w:val="auto"/>
              </w:rPr>
            </w:pPr>
            <w:r>
              <w:rPr>
                <w:rFonts w:hint="eastAsia" w:ascii="宋体"/>
                <w:color w:val="auto"/>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6" w:type="dxa"/>
            <w:vAlign w:val="center"/>
          </w:tcPr>
          <w:p>
            <w:pPr>
              <w:jc w:val="center"/>
              <w:rPr>
                <w:rFonts w:ascii="宋体"/>
                <w:color w:val="auto"/>
              </w:rPr>
            </w:pPr>
          </w:p>
        </w:tc>
        <w:tc>
          <w:tcPr>
            <w:tcW w:w="2864" w:type="dxa"/>
            <w:gridSpan w:val="3"/>
            <w:vAlign w:val="center"/>
          </w:tcPr>
          <w:p>
            <w:pPr>
              <w:jc w:val="center"/>
              <w:rPr>
                <w:rFonts w:ascii="宋体"/>
                <w:color w:val="auto"/>
              </w:rPr>
            </w:pPr>
          </w:p>
        </w:tc>
        <w:tc>
          <w:tcPr>
            <w:tcW w:w="1998" w:type="dxa"/>
            <w:gridSpan w:val="2"/>
            <w:vAlign w:val="center"/>
          </w:tcPr>
          <w:p>
            <w:pPr>
              <w:jc w:val="center"/>
              <w:rPr>
                <w:rFonts w:ascii="宋体"/>
                <w:color w:val="auto"/>
              </w:rPr>
            </w:pPr>
          </w:p>
        </w:tc>
        <w:tc>
          <w:tcPr>
            <w:tcW w:w="2641" w:type="dxa"/>
            <w:gridSpan w:val="2"/>
            <w:vAlign w:val="center"/>
          </w:tcPr>
          <w:p>
            <w:pPr>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546" w:type="dxa"/>
            <w:vAlign w:val="center"/>
          </w:tcPr>
          <w:p>
            <w:pPr>
              <w:jc w:val="center"/>
              <w:rPr>
                <w:rFonts w:ascii="宋体"/>
                <w:color w:val="auto"/>
              </w:rPr>
            </w:pPr>
          </w:p>
        </w:tc>
        <w:tc>
          <w:tcPr>
            <w:tcW w:w="2864" w:type="dxa"/>
            <w:gridSpan w:val="3"/>
            <w:vAlign w:val="center"/>
          </w:tcPr>
          <w:p>
            <w:pPr>
              <w:jc w:val="center"/>
              <w:rPr>
                <w:rFonts w:ascii="宋体"/>
                <w:color w:val="auto"/>
              </w:rPr>
            </w:pPr>
          </w:p>
        </w:tc>
        <w:tc>
          <w:tcPr>
            <w:tcW w:w="1998" w:type="dxa"/>
            <w:gridSpan w:val="2"/>
            <w:vAlign w:val="center"/>
          </w:tcPr>
          <w:p>
            <w:pPr>
              <w:jc w:val="center"/>
              <w:rPr>
                <w:rFonts w:ascii="宋体"/>
                <w:color w:val="auto"/>
              </w:rPr>
            </w:pPr>
          </w:p>
        </w:tc>
        <w:tc>
          <w:tcPr>
            <w:tcW w:w="2641" w:type="dxa"/>
            <w:gridSpan w:val="2"/>
            <w:vAlign w:val="center"/>
          </w:tcPr>
          <w:p>
            <w:pPr>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546" w:type="dxa"/>
            <w:vAlign w:val="center"/>
          </w:tcPr>
          <w:p>
            <w:pPr>
              <w:jc w:val="center"/>
              <w:rPr>
                <w:rFonts w:ascii="宋体"/>
                <w:color w:val="auto"/>
              </w:rPr>
            </w:pPr>
          </w:p>
        </w:tc>
        <w:tc>
          <w:tcPr>
            <w:tcW w:w="2864" w:type="dxa"/>
            <w:gridSpan w:val="3"/>
            <w:vAlign w:val="center"/>
          </w:tcPr>
          <w:p>
            <w:pPr>
              <w:jc w:val="center"/>
              <w:rPr>
                <w:rFonts w:ascii="宋体"/>
                <w:color w:val="auto"/>
              </w:rPr>
            </w:pPr>
          </w:p>
        </w:tc>
        <w:tc>
          <w:tcPr>
            <w:tcW w:w="1998" w:type="dxa"/>
            <w:gridSpan w:val="2"/>
            <w:vAlign w:val="center"/>
          </w:tcPr>
          <w:p>
            <w:pPr>
              <w:jc w:val="center"/>
              <w:rPr>
                <w:rFonts w:ascii="宋体"/>
                <w:color w:val="auto"/>
              </w:rPr>
            </w:pPr>
          </w:p>
        </w:tc>
        <w:tc>
          <w:tcPr>
            <w:tcW w:w="2641" w:type="dxa"/>
            <w:gridSpan w:val="2"/>
            <w:vAlign w:val="center"/>
          </w:tcPr>
          <w:p>
            <w:pPr>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6" w:type="dxa"/>
            <w:vAlign w:val="center"/>
          </w:tcPr>
          <w:p>
            <w:pPr>
              <w:jc w:val="center"/>
              <w:rPr>
                <w:rFonts w:ascii="宋体"/>
                <w:color w:val="auto"/>
              </w:rPr>
            </w:pPr>
          </w:p>
        </w:tc>
        <w:tc>
          <w:tcPr>
            <w:tcW w:w="2864" w:type="dxa"/>
            <w:gridSpan w:val="3"/>
            <w:vAlign w:val="center"/>
          </w:tcPr>
          <w:p>
            <w:pPr>
              <w:jc w:val="center"/>
              <w:rPr>
                <w:rFonts w:ascii="宋体"/>
                <w:color w:val="auto"/>
              </w:rPr>
            </w:pPr>
          </w:p>
        </w:tc>
        <w:tc>
          <w:tcPr>
            <w:tcW w:w="1998" w:type="dxa"/>
            <w:gridSpan w:val="2"/>
            <w:vAlign w:val="center"/>
          </w:tcPr>
          <w:p>
            <w:pPr>
              <w:jc w:val="center"/>
              <w:rPr>
                <w:rFonts w:ascii="宋体"/>
                <w:color w:val="auto"/>
              </w:rPr>
            </w:pPr>
          </w:p>
        </w:tc>
        <w:tc>
          <w:tcPr>
            <w:tcW w:w="2641" w:type="dxa"/>
            <w:gridSpan w:val="2"/>
            <w:vAlign w:val="center"/>
          </w:tcPr>
          <w:p>
            <w:pPr>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6" w:type="dxa"/>
            <w:vAlign w:val="center"/>
          </w:tcPr>
          <w:p>
            <w:pPr>
              <w:jc w:val="center"/>
              <w:rPr>
                <w:rFonts w:ascii="宋体"/>
                <w:color w:val="auto"/>
              </w:rPr>
            </w:pPr>
          </w:p>
        </w:tc>
        <w:tc>
          <w:tcPr>
            <w:tcW w:w="2864" w:type="dxa"/>
            <w:gridSpan w:val="3"/>
            <w:vAlign w:val="center"/>
          </w:tcPr>
          <w:p>
            <w:pPr>
              <w:jc w:val="center"/>
              <w:rPr>
                <w:rFonts w:ascii="宋体"/>
                <w:color w:val="auto"/>
              </w:rPr>
            </w:pPr>
          </w:p>
        </w:tc>
        <w:tc>
          <w:tcPr>
            <w:tcW w:w="1998" w:type="dxa"/>
            <w:gridSpan w:val="2"/>
            <w:vAlign w:val="center"/>
          </w:tcPr>
          <w:p>
            <w:pPr>
              <w:jc w:val="center"/>
              <w:rPr>
                <w:rFonts w:ascii="宋体"/>
                <w:color w:val="auto"/>
              </w:rPr>
            </w:pPr>
          </w:p>
        </w:tc>
        <w:tc>
          <w:tcPr>
            <w:tcW w:w="2641" w:type="dxa"/>
            <w:gridSpan w:val="2"/>
            <w:vAlign w:val="center"/>
          </w:tcPr>
          <w:p>
            <w:pPr>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6" w:type="dxa"/>
            <w:vAlign w:val="center"/>
          </w:tcPr>
          <w:p>
            <w:pPr>
              <w:jc w:val="center"/>
              <w:rPr>
                <w:rFonts w:ascii="宋体"/>
                <w:color w:val="auto"/>
              </w:rPr>
            </w:pPr>
          </w:p>
        </w:tc>
        <w:tc>
          <w:tcPr>
            <w:tcW w:w="2864" w:type="dxa"/>
            <w:gridSpan w:val="3"/>
            <w:vAlign w:val="center"/>
          </w:tcPr>
          <w:p>
            <w:pPr>
              <w:jc w:val="center"/>
              <w:rPr>
                <w:rFonts w:ascii="宋体"/>
                <w:color w:val="auto"/>
              </w:rPr>
            </w:pPr>
          </w:p>
        </w:tc>
        <w:tc>
          <w:tcPr>
            <w:tcW w:w="1998" w:type="dxa"/>
            <w:gridSpan w:val="2"/>
            <w:vAlign w:val="center"/>
          </w:tcPr>
          <w:p>
            <w:pPr>
              <w:jc w:val="center"/>
              <w:rPr>
                <w:rFonts w:ascii="宋体"/>
                <w:color w:val="auto"/>
              </w:rPr>
            </w:pPr>
          </w:p>
        </w:tc>
        <w:tc>
          <w:tcPr>
            <w:tcW w:w="2641" w:type="dxa"/>
            <w:gridSpan w:val="2"/>
            <w:vAlign w:val="center"/>
          </w:tcPr>
          <w:p>
            <w:pPr>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6" w:type="dxa"/>
            <w:vAlign w:val="center"/>
          </w:tcPr>
          <w:p>
            <w:pPr>
              <w:rPr>
                <w:rFonts w:ascii="宋体"/>
                <w:color w:val="auto"/>
              </w:rPr>
            </w:pPr>
          </w:p>
        </w:tc>
        <w:tc>
          <w:tcPr>
            <w:tcW w:w="2864" w:type="dxa"/>
            <w:gridSpan w:val="3"/>
            <w:vAlign w:val="center"/>
          </w:tcPr>
          <w:p>
            <w:pPr>
              <w:jc w:val="center"/>
              <w:rPr>
                <w:rFonts w:ascii="宋体"/>
                <w:color w:val="auto"/>
              </w:rPr>
            </w:pPr>
          </w:p>
        </w:tc>
        <w:tc>
          <w:tcPr>
            <w:tcW w:w="1998" w:type="dxa"/>
            <w:gridSpan w:val="2"/>
            <w:vAlign w:val="center"/>
          </w:tcPr>
          <w:p>
            <w:pPr>
              <w:jc w:val="center"/>
              <w:rPr>
                <w:rFonts w:ascii="宋体"/>
                <w:color w:val="auto"/>
              </w:rPr>
            </w:pPr>
          </w:p>
        </w:tc>
        <w:tc>
          <w:tcPr>
            <w:tcW w:w="2641" w:type="dxa"/>
            <w:gridSpan w:val="2"/>
            <w:vAlign w:val="center"/>
          </w:tcPr>
          <w:p>
            <w:pPr>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6" w:type="dxa"/>
            <w:vAlign w:val="center"/>
          </w:tcPr>
          <w:p>
            <w:pPr>
              <w:rPr>
                <w:rFonts w:ascii="宋体"/>
                <w:color w:val="auto"/>
              </w:rPr>
            </w:pPr>
          </w:p>
        </w:tc>
        <w:tc>
          <w:tcPr>
            <w:tcW w:w="2864" w:type="dxa"/>
            <w:gridSpan w:val="3"/>
            <w:vAlign w:val="center"/>
          </w:tcPr>
          <w:p>
            <w:pPr>
              <w:jc w:val="center"/>
              <w:rPr>
                <w:rFonts w:ascii="宋体"/>
                <w:color w:val="auto"/>
              </w:rPr>
            </w:pPr>
          </w:p>
        </w:tc>
        <w:tc>
          <w:tcPr>
            <w:tcW w:w="1998" w:type="dxa"/>
            <w:gridSpan w:val="2"/>
            <w:vAlign w:val="center"/>
          </w:tcPr>
          <w:p>
            <w:pPr>
              <w:jc w:val="center"/>
              <w:rPr>
                <w:rFonts w:ascii="宋体"/>
                <w:color w:val="auto"/>
              </w:rPr>
            </w:pPr>
          </w:p>
        </w:tc>
        <w:tc>
          <w:tcPr>
            <w:tcW w:w="2641" w:type="dxa"/>
            <w:gridSpan w:val="2"/>
            <w:vAlign w:val="center"/>
          </w:tcPr>
          <w:p>
            <w:pPr>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6" w:type="dxa"/>
            <w:tcBorders>
              <w:bottom w:val="single" w:color="auto" w:sz="4" w:space="0"/>
            </w:tcBorders>
            <w:vAlign w:val="center"/>
          </w:tcPr>
          <w:p>
            <w:pPr>
              <w:rPr>
                <w:rFonts w:ascii="宋体"/>
                <w:color w:val="auto"/>
              </w:rPr>
            </w:pPr>
          </w:p>
        </w:tc>
        <w:tc>
          <w:tcPr>
            <w:tcW w:w="2864" w:type="dxa"/>
            <w:gridSpan w:val="3"/>
            <w:vAlign w:val="center"/>
          </w:tcPr>
          <w:p>
            <w:pPr>
              <w:jc w:val="center"/>
              <w:rPr>
                <w:rFonts w:ascii="宋体"/>
                <w:color w:val="auto"/>
              </w:rPr>
            </w:pPr>
          </w:p>
        </w:tc>
        <w:tc>
          <w:tcPr>
            <w:tcW w:w="1998" w:type="dxa"/>
            <w:gridSpan w:val="2"/>
            <w:vAlign w:val="center"/>
          </w:tcPr>
          <w:p>
            <w:pPr>
              <w:jc w:val="center"/>
              <w:rPr>
                <w:rFonts w:ascii="宋体"/>
                <w:color w:val="auto"/>
              </w:rPr>
            </w:pPr>
          </w:p>
        </w:tc>
        <w:tc>
          <w:tcPr>
            <w:tcW w:w="2641" w:type="dxa"/>
            <w:gridSpan w:val="2"/>
            <w:vAlign w:val="center"/>
          </w:tcPr>
          <w:p>
            <w:pPr>
              <w:jc w:val="center"/>
              <w:rPr>
                <w:rFonts w:ascii="宋体"/>
                <w:color w:val="auto"/>
              </w:rPr>
            </w:pPr>
          </w:p>
        </w:tc>
      </w:tr>
    </w:tbl>
    <w:p>
      <w:pPr>
        <w:topLinePunct/>
        <w:spacing w:line="440" w:lineRule="exact"/>
        <w:jc w:val="center"/>
        <w:rPr>
          <w:rFonts w:ascii="宋体" w:hAnsi="宋体"/>
          <w:color w:val="auto"/>
          <w:sz w:val="20"/>
        </w:rPr>
      </w:pPr>
      <w:r>
        <w:rPr>
          <w:rFonts w:ascii="宋体" w:hAnsi="宋体"/>
          <w:color w:val="auto"/>
          <w:sz w:val="20"/>
        </w:rPr>
        <w:br w:type="page"/>
      </w:r>
    </w:p>
    <w:p>
      <w:pPr>
        <w:pStyle w:val="4"/>
        <w:spacing w:before="250" w:beforeLines="50" w:after="250" w:afterLines="50" w:line="360" w:lineRule="auto"/>
        <w:jc w:val="center"/>
        <w:rPr>
          <w:rFonts w:ascii="黑体" w:hAnsi="黑体" w:cs="黑体"/>
          <w:color w:val="auto"/>
        </w:rPr>
      </w:pPr>
      <w:bookmarkStart w:id="575" w:name="_Toc246997115"/>
      <w:bookmarkStart w:id="576" w:name="_Toc152045807"/>
      <w:bookmarkStart w:id="577" w:name="_Toc246996372"/>
      <w:bookmarkStart w:id="578" w:name="_Toc247085890"/>
      <w:bookmarkStart w:id="579" w:name="_Toc394565372"/>
      <w:bookmarkStart w:id="580" w:name="_Toc152042596"/>
      <w:bookmarkStart w:id="581" w:name="_Toc144974875"/>
      <w:bookmarkStart w:id="582" w:name="_Toc17234"/>
      <w:bookmarkStart w:id="583" w:name="_Toc425177200"/>
      <w:bookmarkStart w:id="584" w:name="_Toc179632827"/>
      <w:r>
        <w:rPr>
          <w:rFonts w:hint="eastAsia" w:ascii="黑体" w:hAnsi="黑体" w:cs="黑体"/>
          <w:color w:val="auto"/>
        </w:rPr>
        <w:t>八、资格审查资料</w:t>
      </w:r>
      <w:bookmarkEnd w:id="575"/>
      <w:bookmarkEnd w:id="576"/>
      <w:bookmarkEnd w:id="577"/>
      <w:bookmarkEnd w:id="578"/>
      <w:bookmarkEnd w:id="579"/>
      <w:bookmarkEnd w:id="580"/>
      <w:bookmarkEnd w:id="581"/>
      <w:bookmarkEnd w:id="582"/>
      <w:bookmarkEnd w:id="583"/>
      <w:bookmarkEnd w:id="584"/>
    </w:p>
    <w:p>
      <w:pPr>
        <w:pStyle w:val="2"/>
        <w:spacing w:before="0" w:after="0" w:line="360" w:lineRule="auto"/>
        <w:rPr>
          <w:rFonts w:ascii="黑体" w:hAnsi="黑体" w:eastAsia="黑体" w:cs="黑体"/>
          <w:color w:val="auto"/>
        </w:rPr>
      </w:pPr>
      <w:bookmarkStart w:id="585" w:name="_Toc29858"/>
      <w:bookmarkStart w:id="586" w:name="_Toc425177201"/>
      <w:bookmarkStart w:id="587" w:name="_Toc394565373"/>
      <w:bookmarkStart w:id="588" w:name="_Toc246996373"/>
      <w:bookmarkStart w:id="589" w:name="_Toc144974876"/>
      <w:bookmarkStart w:id="590" w:name="_Toc179632828"/>
      <w:bookmarkStart w:id="591" w:name="_Toc152045808"/>
      <w:bookmarkStart w:id="592" w:name="_Toc247085891"/>
      <w:bookmarkStart w:id="593" w:name="_Toc246997116"/>
      <w:bookmarkStart w:id="594" w:name="_Toc152042597"/>
      <w:r>
        <w:rPr>
          <w:rFonts w:hint="eastAsia" w:ascii="黑体" w:hAnsi="黑体" w:eastAsia="黑体" w:cs="黑体"/>
          <w:color w:val="auto"/>
        </w:rPr>
        <w:t>（一）供应商基本情况表</w:t>
      </w:r>
      <w:bookmarkEnd w:id="585"/>
      <w:bookmarkEnd w:id="586"/>
      <w:bookmarkEnd w:id="587"/>
      <w:bookmarkEnd w:id="588"/>
      <w:bookmarkEnd w:id="589"/>
      <w:bookmarkEnd w:id="590"/>
      <w:bookmarkEnd w:id="591"/>
      <w:bookmarkEnd w:id="592"/>
      <w:bookmarkEnd w:id="593"/>
      <w:bookmarkEnd w:id="594"/>
    </w:p>
    <w:tbl>
      <w:tblPr>
        <w:tblStyle w:val="2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16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hint="eastAsia" w:ascii="宋体" w:hAnsi="宋体"/>
                <w:color w:val="auto"/>
                <w:szCs w:val="21"/>
              </w:rPr>
              <w:t>供应商</w:t>
            </w:r>
            <w:r>
              <w:rPr>
                <w:rFonts w:ascii="宋体" w:hAnsi="宋体"/>
                <w:color w:val="auto"/>
                <w:szCs w:val="21"/>
              </w:rPr>
              <w:t>名称</w:t>
            </w:r>
          </w:p>
        </w:tc>
        <w:tc>
          <w:tcPr>
            <w:tcW w:w="7451"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邮政编码</w:t>
            </w:r>
          </w:p>
        </w:tc>
        <w:tc>
          <w:tcPr>
            <w:tcW w:w="2953"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电 话</w:t>
            </w:r>
          </w:p>
        </w:tc>
        <w:tc>
          <w:tcPr>
            <w:tcW w:w="2953"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网 址</w:t>
            </w:r>
          </w:p>
        </w:tc>
        <w:tc>
          <w:tcPr>
            <w:tcW w:w="2953"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组织结构</w:t>
            </w:r>
          </w:p>
        </w:tc>
        <w:tc>
          <w:tcPr>
            <w:tcW w:w="7451"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电话</w:t>
            </w:r>
          </w:p>
        </w:tc>
        <w:tc>
          <w:tcPr>
            <w:tcW w:w="160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电话</w:t>
            </w:r>
          </w:p>
        </w:tc>
        <w:tc>
          <w:tcPr>
            <w:tcW w:w="160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c>
          <w:tcPr>
            <w:tcW w:w="5602"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rFonts w:ascii="宋体" w:hAnsi="宋体"/>
                <w:color w:val="auto"/>
                <w:szCs w:val="21"/>
              </w:rPr>
            </w:pPr>
            <w:r>
              <w:rPr>
                <w:rFonts w:ascii="宋体" w:hAnsi="宋体"/>
                <w:color w:val="auto"/>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项目经理</w:t>
            </w:r>
          </w:p>
        </w:tc>
        <w:tc>
          <w:tcPr>
            <w:tcW w:w="246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高级职称人员</w:t>
            </w:r>
          </w:p>
        </w:tc>
        <w:tc>
          <w:tcPr>
            <w:tcW w:w="246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中级职称人员</w:t>
            </w:r>
          </w:p>
        </w:tc>
        <w:tc>
          <w:tcPr>
            <w:tcW w:w="246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初级职称人员</w:t>
            </w:r>
          </w:p>
        </w:tc>
        <w:tc>
          <w:tcPr>
            <w:tcW w:w="246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rPr>
            </w:pPr>
            <w:r>
              <w:rPr>
                <w:rFonts w:ascii="宋体" w:hAnsi="宋体"/>
                <w:color w:val="auto"/>
                <w:szCs w:val="21"/>
              </w:rPr>
              <w:t>技工</w:t>
            </w:r>
          </w:p>
        </w:tc>
        <w:tc>
          <w:tcPr>
            <w:tcW w:w="246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1728" w:type="dxa"/>
            <w:tcBorders>
              <w:top w:val="single" w:color="auto" w:sz="4" w:space="0"/>
              <w:left w:val="single" w:color="auto" w:sz="4" w:space="0"/>
              <w:right w:val="single" w:color="auto" w:sz="4" w:space="0"/>
            </w:tcBorders>
            <w:vAlign w:val="center"/>
          </w:tcPr>
          <w:p>
            <w:pPr>
              <w:topLinePunct/>
              <w:spacing w:line="440" w:lineRule="exact"/>
              <w:ind w:firstLine="210" w:firstLineChars="100"/>
              <w:jc w:val="center"/>
              <w:rPr>
                <w:rFonts w:ascii="宋体" w:hAnsi="宋体"/>
                <w:color w:val="auto"/>
                <w:szCs w:val="21"/>
              </w:rPr>
            </w:pPr>
            <w:r>
              <w:rPr>
                <w:rFonts w:ascii="宋体" w:hAnsi="宋体"/>
                <w:color w:val="auto"/>
                <w:szCs w:val="21"/>
              </w:rPr>
              <w:t>经营范围</w:t>
            </w:r>
          </w:p>
        </w:tc>
        <w:tc>
          <w:tcPr>
            <w:tcW w:w="7451" w:type="dxa"/>
            <w:gridSpan w:val="9"/>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olor w:val="auto"/>
                <w:szCs w:val="21"/>
              </w:rPr>
            </w:pPr>
          </w:p>
          <w:p>
            <w:pPr>
              <w:topLinePunct/>
              <w:spacing w:line="440" w:lineRule="exact"/>
              <w:jc w:val="center"/>
              <w:rPr>
                <w:rFonts w:ascii="宋体" w:hAnsi="宋体"/>
                <w:color w:val="auto"/>
                <w:szCs w:val="21"/>
              </w:rPr>
            </w:pPr>
          </w:p>
          <w:p>
            <w:pPr>
              <w:topLinePunct/>
              <w:spacing w:line="440" w:lineRule="exact"/>
              <w:jc w:val="center"/>
              <w:rPr>
                <w:rFonts w:ascii="宋体" w:hAnsi="宋体"/>
                <w:color w:val="auto"/>
                <w:szCs w:val="21"/>
              </w:rPr>
            </w:pPr>
          </w:p>
          <w:p>
            <w:pPr>
              <w:topLinePunct/>
              <w:spacing w:line="440" w:lineRule="exact"/>
              <w:jc w:val="center"/>
              <w:rPr>
                <w:rFonts w:ascii="宋体" w:hAnsi="宋体"/>
                <w:color w:val="auto"/>
                <w:szCs w:val="21"/>
              </w:rPr>
            </w:pPr>
          </w:p>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r>
              <w:rPr>
                <w:rFonts w:ascii="宋体" w:hAnsi="宋体"/>
                <w:color w:val="auto"/>
                <w:szCs w:val="21"/>
              </w:rPr>
              <w:t>备注</w:t>
            </w:r>
          </w:p>
        </w:tc>
        <w:tc>
          <w:tcPr>
            <w:tcW w:w="7451"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Cs w:val="21"/>
              </w:rPr>
            </w:pPr>
          </w:p>
        </w:tc>
      </w:tr>
    </w:tbl>
    <w:p>
      <w:pPr>
        <w:topLinePunct/>
        <w:spacing w:line="440" w:lineRule="exact"/>
        <w:rPr>
          <w:rFonts w:ascii="宋体" w:hAnsi="宋体" w:cs="宋体"/>
          <w:color w:val="auto"/>
        </w:rPr>
      </w:pPr>
      <w:r>
        <w:rPr>
          <w:rFonts w:hint="eastAsia" w:ascii="宋体" w:hAnsi="宋体" w:cs="宋体"/>
          <w:b/>
          <w:color w:val="auto"/>
        </w:rPr>
        <w:t>注：</w:t>
      </w:r>
      <w:r>
        <w:rPr>
          <w:rFonts w:hint="eastAsia" w:ascii="宋体" w:hAnsi="宋体" w:cs="宋体"/>
          <w:color w:val="auto"/>
        </w:rPr>
        <w:t>本表后应附企业法人营业执照副本、资质证书副本、安全生产许可证等材料的盖章复印件。</w:t>
      </w:r>
    </w:p>
    <w:p>
      <w:pPr>
        <w:spacing w:line="440" w:lineRule="exact"/>
        <w:rPr>
          <w:rFonts w:ascii="宋体" w:hAnsi="宋体"/>
          <w:color w:val="auto"/>
          <w:sz w:val="23"/>
          <w:szCs w:val="23"/>
        </w:rPr>
      </w:pPr>
      <w:r>
        <w:rPr>
          <w:rFonts w:ascii="宋体" w:hAnsi="宋体"/>
          <w:color w:val="auto"/>
          <w:sz w:val="20"/>
          <w:szCs w:val="20"/>
        </w:rPr>
        <w:br w:type="page"/>
      </w:r>
      <w:bookmarkStart w:id="595" w:name="_Toc152045813"/>
      <w:bookmarkStart w:id="596" w:name="_Toc152042602"/>
      <w:bookmarkStart w:id="597" w:name="_Toc179632833"/>
      <w:bookmarkStart w:id="598" w:name="_Toc144974881"/>
    </w:p>
    <w:p>
      <w:pPr>
        <w:pStyle w:val="2"/>
        <w:spacing w:before="0" w:after="0" w:line="360" w:lineRule="auto"/>
        <w:rPr>
          <w:rFonts w:ascii="黑体" w:hAnsi="黑体" w:eastAsia="黑体" w:cs="黑体"/>
          <w:color w:val="auto"/>
        </w:rPr>
      </w:pPr>
      <w:bookmarkStart w:id="599" w:name="_Toc394565375"/>
      <w:bookmarkStart w:id="600" w:name="_Toc152045810"/>
      <w:bookmarkStart w:id="601" w:name="_Toc144974878"/>
      <w:bookmarkStart w:id="602" w:name="_Toc5114"/>
      <w:bookmarkStart w:id="603" w:name="_Toc247527850"/>
      <w:bookmarkStart w:id="604" w:name="_Toc265953296"/>
      <w:bookmarkStart w:id="605" w:name="_Toc425177203"/>
      <w:bookmarkStart w:id="606" w:name="_Toc247514302"/>
      <w:bookmarkStart w:id="607" w:name="_Toc152042599"/>
      <w:r>
        <w:rPr>
          <w:rFonts w:hint="eastAsia" w:ascii="黑体" w:hAnsi="黑体" w:eastAsia="黑体" w:cs="黑体"/>
          <w:color w:val="auto"/>
        </w:rPr>
        <w:t>（二）近年完成的类似项目情况表</w:t>
      </w:r>
      <w:bookmarkEnd w:id="599"/>
      <w:bookmarkEnd w:id="600"/>
      <w:bookmarkEnd w:id="601"/>
      <w:bookmarkEnd w:id="602"/>
      <w:bookmarkEnd w:id="603"/>
      <w:bookmarkEnd w:id="604"/>
      <w:bookmarkEnd w:id="605"/>
      <w:bookmarkEnd w:id="606"/>
      <w:bookmarkEnd w:id="607"/>
    </w:p>
    <w:p>
      <w:pPr>
        <w:spacing w:line="440" w:lineRule="exact"/>
        <w:jc w:val="center"/>
        <w:rPr>
          <w:rFonts w:ascii="宋体" w:hAnsi="宋体"/>
          <w:color w:val="auto"/>
          <w:sz w:val="23"/>
          <w:szCs w:val="23"/>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69" w:type="dxa"/>
            <w:vAlign w:val="center"/>
          </w:tcPr>
          <w:p>
            <w:pPr>
              <w:topLinePunct/>
              <w:spacing w:line="440" w:lineRule="exact"/>
              <w:jc w:val="center"/>
              <w:rPr>
                <w:rFonts w:ascii="宋体" w:hAnsi="宋体"/>
                <w:color w:val="auto"/>
                <w:szCs w:val="21"/>
              </w:rPr>
            </w:pPr>
            <w:r>
              <w:rPr>
                <w:rFonts w:ascii="宋体" w:hAnsi="宋体"/>
                <w:color w:val="auto"/>
                <w:szCs w:val="21"/>
              </w:rPr>
              <w:t>项目名称</w:t>
            </w:r>
          </w:p>
        </w:tc>
        <w:tc>
          <w:tcPr>
            <w:tcW w:w="6920" w:type="dxa"/>
          </w:tcPr>
          <w:p>
            <w:pPr>
              <w:topLinePunct/>
              <w:spacing w:line="440" w:lineRule="exact"/>
              <w:rPr>
                <w:rFonts w:ascii="宋体" w:hAnsi="宋体"/>
                <w:color w:val="auto"/>
                <w:szCs w:val="21"/>
                <w:highlight w:val="blac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69" w:type="dxa"/>
            <w:vAlign w:val="center"/>
          </w:tcPr>
          <w:p>
            <w:pPr>
              <w:topLinePunct/>
              <w:spacing w:line="440" w:lineRule="exact"/>
              <w:jc w:val="center"/>
              <w:rPr>
                <w:rFonts w:ascii="宋体" w:hAnsi="宋体"/>
                <w:color w:val="auto"/>
                <w:szCs w:val="21"/>
              </w:rPr>
            </w:pPr>
            <w:r>
              <w:rPr>
                <w:rFonts w:ascii="宋体" w:hAnsi="宋体"/>
                <w:color w:val="auto"/>
                <w:szCs w:val="21"/>
              </w:rPr>
              <w:t>项目所在地</w:t>
            </w:r>
          </w:p>
        </w:tc>
        <w:tc>
          <w:tcPr>
            <w:tcW w:w="6920" w:type="dxa"/>
          </w:tcPr>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69" w:type="dxa"/>
            <w:vAlign w:val="center"/>
          </w:tcPr>
          <w:p>
            <w:pPr>
              <w:topLinePunct/>
              <w:spacing w:line="440" w:lineRule="exact"/>
              <w:jc w:val="center"/>
              <w:rPr>
                <w:rFonts w:ascii="宋体" w:hAnsi="宋体"/>
                <w:color w:val="auto"/>
                <w:szCs w:val="21"/>
              </w:rPr>
            </w:pPr>
            <w:r>
              <w:rPr>
                <w:rFonts w:ascii="宋体" w:hAnsi="宋体"/>
                <w:color w:val="auto"/>
                <w:szCs w:val="21"/>
              </w:rPr>
              <w:t>发包人名称</w:t>
            </w:r>
          </w:p>
        </w:tc>
        <w:tc>
          <w:tcPr>
            <w:tcW w:w="6920" w:type="dxa"/>
          </w:tcPr>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69" w:type="dxa"/>
            <w:vAlign w:val="center"/>
          </w:tcPr>
          <w:p>
            <w:pPr>
              <w:topLinePunct/>
              <w:spacing w:line="440" w:lineRule="exact"/>
              <w:jc w:val="center"/>
              <w:rPr>
                <w:rFonts w:ascii="宋体" w:hAnsi="宋体"/>
                <w:color w:val="auto"/>
                <w:szCs w:val="21"/>
              </w:rPr>
            </w:pPr>
            <w:r>
              <w:rPr>
                <w:rFonts w:ascii="宋体" w:hAnsi="宋体"/>
                <w:color w:val="auto"/>
                <w:szCs w:val="21"/>
              </w:rPr>
              <w:t>发包人地址</w:t>
            </w:r>
          </w:p>
        </w:tc>
        <w:tc>
          <w:tcPr>
            <w:tcW w:w="6920" w:type="dxa"/>
          </w:tcPr>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69" w:type="dxa"/>
            <w:vAlign w:val="center"/>
          </w:tcPr>
          <w:p>
            <w:pPr>
              <w:topLinePunct/>
              <w:spacing w:line="440" w:lineRule="exact"/>
              <w:jc w:val="center"/>
              <w:rPr>
                <w:rFonts w:ascii="宋体" w:hAnsi="宋体"/>
                <w:color w:val="auto"/>
                <w:szCs w:val="21"/>
              </w:rPr>
            </w:pPr>
            <w:r>
              <w:rPr>
                <w:rFonts w:ascii="宋体" w:hAnsi="宋体"/>
                <w:color w:val="auto"/>
                <w:szCs w:val="21"/>
              </w:rPr>
              <w:t>发包人电话</w:t>
            </w:r>
          </w:p>
        </w:tc>
        <w:tc>
          <w:tcPr>
            <w:tcW w:w="6920" w:type="dxa"/>
          </w:tcPr>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69" w:type="dxa"/>
            <w:vAlign w:val="center"/>
          </w:tcPr>
          <w:p>
            <w:pPr>
              <w:topLinePunct/>
              <w:spacing w:line="440" w:lineRule="exact"/>
              <w:jc w:val="center"/>
              <w:rPr>
                <w:rFonts w:ascii="宋体" w:hAnsi="宋体"/>
                <w:color w:val="auto"/>
                <w:szCs w:val="21"/>
              </w:rPr>
            </w:pPr>
            <w:r>
              <w:rPr>
                <w:rFonts w:ascii="宋体" w:hAnsi="宋体"/>
                <w:color w:val="auto"/>
                <w:szCs w:val="21"/>
              </w:rPr>
              <w:t>合同价格</w:t>
            </w:r>
          </w:p>
        </w:tc>
        <w:tc>
          <w:tcPr>
            <w:tcW w:w="6920" w:type="dxa"/>
          </w:tcPr>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vAlign w:val="center"/>
          </w:tcPr>
          <w:p>
            <w:pPr>
              <w:topLinePunct/>
              <w:spacing w:line="440" w:lineRule="exact"/>
              <w:jc w:val="center"/>
              <w:rPr>
                <w:rFonts w:ascii="宋体" w:hAnsi="宋体"/>
                <w:color w:val="auto"/>
                <w:szCs w:val="21"/>
              </w:rPr>
            </w:pPr>
            <w:r>
              <w:rPr>
                <w:rFonts w:ascii="宋体" w:hAnsi="宋体"/>
                <w:color w:val="auto"/>
                <w:szCs w:val="21"/>
              </w:rPr>
              <w:t>开工日期</w:t>
            </w:r>
          </w:p>
        </w:tc>
        <w:tc>
          <w:tcPr>
            <w:tcW w:w="6920" w:type="dxa"/>
          </w:tcPr>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69" w:type="dxa"/>
            <w:vAlign w:val="center"/>
          </w:tcPr>
          <w:p>
            <w:pPr>
              <w:topLinePunct/>
              <w:spacing w:line="440" w:lineRule="exact"/>
              <w:jc w:val="center"/>
              <w:rPr>
                <w:rFonts w:ascii="宋体" w:hAnsi="宋体"/>
                <w:color w:val="auto"/>
                <w:szCs w:val="21"/>
              </w:rPr>
            </w:pPr>
            <w:r>
              <w:rPr>
                <w:rFonts w:hint="eastAsia" w:ascii="宋体" w:hAnsi="宋体"/>
                <w:color w:val="auto"/>
              </w:rPr>
              <w:t>竣工</w:t>
            </w:r>
            <w:r>
              <w:rPr>
                <w:rFonts w:ascii="宋体" w:hAnsi="宋体"/>
                <w:color w:val="auto"/>
                <w:szCs w:val="21"/>
              </w:rPr>
              <w:t>日期</w:t>
            </w:r>
          </w:p>
        </w:tc>
        <w:tc>
          <w:tcPr>
            <w:tcW w:w="6920" w:type="dxa"/>
          </w:tcPr>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69" w:type="dxa"/>
            <w:vAlign w:val="center"/>
          </w:tcPr>
          <w:p>
            <w:pPr>
              <w:topLinePunct/>
              <w:spacing w:line="440" w:lineRule="exact"/>
              <w:jc w:val="center"/>
              <w:rPr>
                <w:rFonts w:ascii="宋体" w:hAnsi="宋体"/>
                <w:color w:val="auto"/>
                <w:szCs w:val="21"/>
              </w:rPr>
            </w:pPr>
            <w:r>
              <w:rPr>
                <w:rFonts w:ascii="宋体" w:hAnsi="宋体"/>
                <w:color w:val="auto"/>
                <w:szCs w:val="21"/>
              </w:rPr>
              <w:t>承担的工作</w:t>
            </w:r>
          </w:p>
        </w:tc>
        <w:tc>
          <w:tcPr>
            <w:tcW w:w="6920" w:type="dxa"/>
          </w:tcPr>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69" w:type="dxa"/>
            <w:vAlign w:val="center"/>
          </w:tcPr>
          <w:p>
            <w:pPr>
              <w:topLinePunct/>
              <w:spacing w:line="440" w:lineRule="exact"/>
              <w:jc w:val="center"/>
              <w:rPr>
                <w:rFonts w:ascii="宋体" w:hAnsi="宋体"/>
                <w:color w:val="auto"/>
                <w:szCs w:val="21"/>
              </w:rPr>
            </w:pPr>
            <w:r>
              <w:rPr>
                <w:rFonts w:ascii="宋体" w:hAnsi="宋体"/>
                <w:color w:val="auto"/>
                <w:szCs w:val="21"/>
              </w:rPr>
              <w:t>工程质量</w:t>
            </w:r>
          </w:p>
        </w:tc>
        <w:tc>
          <w:tcPr>
            <w:tcW w:w="6920" w:type="dxa"/>
          </w:tcPr>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69" w:type="dxa"/>
            <w:vAlign w:val="center"/>
          </w:tcPr>
          <w:p>
            <w:pPr>
              <w:topLinePunct/>
              <w:spacing w:line="440" w:lineRule="exact"/>
              <w:jc w:val="center"/>
              <w:rPr>
                <w:rFonts w:ascii="宋体" w:hAnsi="宋体"/>
                <w:color w:val="auto"/>
                <w:szCs w:val="21"/>
              </w:rPr>
            </w:pPr>
            <w:r>
              <w:rPr>
                <w:rFonts w:ascii="宋体" w:hAnsi="宋体"/>
                <w:color w:val="auto"/>
                <w:szCs w:val="21"/>
              </w:rPr>
              <w:t>项目经理</w:t>
            </w:r>
          </w:p>
        </w:tc>
        <w:tc>
          <w:tcPr>
            <w:tcW w:w="6920" w:type="dxa"/>
          </w:tcPr>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269" w:type="dxa"/>
            <w:vAlign w:val="center"/>
          </w:tcPr>
          <w:p>
            <w:pPr>
              <w:topLinePunct/>
              <w:spacing w:line="440" w:lineRule="exact"/>
              <w:jc w:val="center"/>
              <w:rPr>
                <w:rFonts w:ascii="宋体" w:hAnsi="宋体"/>
                <w:color w:val="auto"/>
                <w:szCs w:val="21"/>
              </w:rPr>
            </w:pPr>
            <w:r>
              <w:rPr>
                <w:rFonts w:ascii="宋体" w:hAnsi="宋体"/>
                <w:color w:val="auto"/>
                <w:szCs w:val="21"/>
              </w:rPr>
              <w:t>技术负责人</w:t>
            </w:r>
          </w:p>
        </w:tc>
        <w:tc>
          <w:tcPr>
            <w:tcW w:w="6920" w:type="dxa"/>
          </w:tcPr>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vAlign w:val="center"/>
          </w:tcPr>
          <w:p>
            <w:pPr>
              <w:topLinePunct/>
              <w:spacing w:line="440" w:lineRule="exact"/>
              <w:jc w:val="center"/>
              <w:rPr>
                <w:rFonts w:ascii="宋体" w:hAnsi="宋体"/>
                <w:color w:val="auto"/>
                <w:szCs w:val="21"/>
              </w:rPr>
            </w:pPr>
            <w:r>
              <w:rPr>
                <w:rFonts w:ascii="宋体" w:hAnsi="宋体"/>
                <w:color w:val="auto"/>
                <w:szCs w:val="21"/>
              </w:rPr>
              <w:t>项目描述</w:t>
            </w:r>
          </w:p>
        </w:tc>
        <w:tc>
          <w:tcPr>
            <w:tcW w:w="6920" w:type="dxa"/>
          </w:tcPr>
          <w:p>
            <w:pPr>
              <w:topLinePunct/>
              <w:spacing w:line="440" w:lineRule="exact"/>
              <w:rPr>
                <w:rFonts w:ascii="宋体" w:hAnsi="宋体"/>
                <w:color w:val="auto"/>
                <w:szCs w:val="21"/>
              </w:rPr>
            </w:pPr>
          </w:p>
          <w:p>
            <w:pPr>
              <w:topLinePunct/>
              <w:spacing w:line="440" w:lineRule="exact"/>
              <w:rPr>
                <w:rFonts w:ascii="宋体" w:hAnsi="宋体"/>
                <w:color w:val="auto"/>
                <w:szCs w:val="21"/>
              </w:rPr>
            </w:pPr>
          </w:p>
          <w:p>
            <w:pPr>
              <w:topLinePunct/>
              <w:spacing w:line="440" w:lineRule="exact"/>
              <w:rPr>
                <w:rFonts w:ascii="宋体" w:hAnsi="宋体"/>
                <w:color w:val="auto"/>
                <w:szCs w:val="21"/>
              </w:rPr>
            </w:pPr>
          </w:p>
          <w:p>
            <w:pPr>
              <w:topLinePunct/>
              <w:spacing w:line="440" w:lineRule="exact"/>
              <w:rPr>
                <w:rFonts w:ascii="宋体" w:hAnsi="宋体"/>
                <w:color w:val="auto"/>
                <w:szCs w:val="21"/>
              </w:rPr>
            </w:pPr>
          </w:p>
          <w:p>
            <w:pPr>
              <w:topLinePunct/>
              <w:spacing w:line="440" w:lineRule="exact"/>
              <w:rPr>
                <w:rFonts w:ascii="宋体" w:hAnsi="宋体"/>
                <w:color w:val="auto"/>
                <w:szCs w:val="21"/>
              </w:rPr>
            </w:pPr>
          </w:p>
          <w:p>
            <w:pPr>
              <w:topLinePunct/>
              <w:spacing w:line="440" w:lineRule="exact"/>
              <w:rPr>
                <w:rFonts w:ascii="宋体" w:hAnsi="宋体"/>
                <w:color w:val="auto"/>
                <w:szCs w:val="21"/>
              </w:rPr>
            </w:pPr>
          </w:p>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vAlign w:val="center"/>
          </w:tcPr>
          <w:p>
            <w:pPr>
              <w:topLinePunct/>
              <w:spacing w:line="440" w:lineRule="exact"/>
              <w:jc w:val="center"/>
              <w:rPr>
                <w:rFonts w:ascii="宋体" w:hAnsi="宋体"/>
                <w:color w:val="auto"/>
                <w:szCs w:val="21"/>
              </w:rPr>
            </w:pPr>
            <w:r>
              <w:rPr>
                <w:rFonts w:ascii="宋体" w:hAnsi="宋体"/>
                <w:color w:val="auto"/>
                <w:szCs w:val="21"/>
              </w:rPr>
              <w:t>备注</w:t>
            </w:r>
          </w:p>
        </w:tc>
        <w:tc>
          <w:tcPr>
            <w:tcW w:w="6920" w:type="dxa"/>
          </w:tcPr>
          <w:p>
            <w:pPr>
              <w:topLinePunct/>
              <w:spacing w:line="440" w:lineRule="exact"/>
              <w:rPr>
                <w:rFonts w:ascii="宋体" w:hAnsi="宋体"/>
                <w:color w:val="auto"/>
                <w:szCs w:val="21"/>
              </w:rPr>
            </w:pPr>
          </w:p>
        </w:tc>
      </w:tr>
    </w:tbl>
    <w:p>
      <w:pPr>
        <w:spacing w:line="440" w:lineRule="exact"/>
        <w:rPr>
          <w:rFonts w:ascii="宋体" w:hAnsi="宋体"/>
          <w:b/>
          <w:bCs/>
          <w:color w:val="auto"/>
          <w:szCs w:val="21"/>
        </w:rPr>
      </w:pPr>
      <w:r>
        <w:rPr>
          <w:rFonts w:hint="eastAsia" w:ascii="宋体" w:hAnsi="宋体"/>
          <w:b/>
          <w:bCs/>
          <w:color w:val="auto"/>
          <w:szCs w:val="21"/>
        </w:rPr>
        <w:t>附：合同复印件</w:t>
      </w:r>
    </w:p>
    <w:p>
      <w:pPr>
        <w:spacing w:line="440" w:lineRule="exact"/>
        <w:rPr>
          <w:rFonts w:ascii="宋体" w:hAnsi="宋体"/>
          <w:color w:val="auto"/>
          <w:sz w:val="23"/>
          <w:szCs w:val="23"/>
        </w:rPr>
      </w:pPr>
    </w:p>
    <w:p>
      <w:pPr>
        <w:pStyle w:val="2"/>
        <w:spacing w:before="0" w:after="0" w:line="360" w:lineRule="auto"/>
        <w:rPr>
          <w:rFonts w:ascii="黑体" w:hAnsi="黑体" w:eastAsia="黑体" w:cs="黑体"/>
          <w:color w:val="auto"/>
        </w:rPr>
      </w:pPr>
      <w:bookmarkStart w:id="608" w:name="_Toc144974879"/>
      <w:bookmarkStart w:id="609" w:name="_Toc152045811"/>
      <w:bookmarkStart w:id="610" w:name="_Toc19401"/>
      <w:bookmarkStart w:id="611" w:name="_Toc247527851"/>
      <w:bookmarkStart w:id="612" w:name="_Toc247514303"/>
      <w:bookmarkStart w:id="613" w:name="_Toc152042600"/>
      <w:bookmarkStart w:id="614" w:name="_Toc394565376"/>
      <w:bookmarkStart w:id="615" w:name="_Toc425177204"/>
      <w:bookmarkStart w:id="616" w:name="_Toc265953297"/>
      <w:r>
        <w:rPr>
          <w:rFonts w:hint="eastAsia" w:ascii="黑体" w:hAnsi="黑体" w:eastAsia="黑体" w:cs="黑体"/>
          <w:color w:val="auto"/>
        </w:rPr>
        <w:t>（三）正在实施的和新承接的项目情况表</w:t>
      </w:r>
      <w:bookmarkEnd w:id="608"/>
      <w:bookmarkEnd w:id="609"/>
      <w:bookmarkEnd w:id="610"/>
      <w:bookmarkEnd w:id="611"/>
      <w:bookmarkEnd w:id="612"/>
      <w:bookmarkEnd w:id="613"/>
      <w:bookmarkEnd w:id="614"/>
      <w:bookmarkEnd w:id="615"/>
      <w:bookmarkEnd w:id="616"/>
    </w:p>
    <w:p>
      <w:pPr>
        <w:spacing w:line="440" w:lineRule="exact"/>
        <w:rPr>
          <w:rFonts w:ascii="宋体" w:hAnsi="宋体"/>
          <w:color w:val="auto"/>
          <w:sz w:val="20"/>
          <w:szCs w:val="20"/>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7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119" w:type="dxa"/>
            <w:vAlign w:val="center"/>
          </w:tcPr>
          <w:p>
            <w:pPr>
              <w:topLinePunct/>
              <w:spacing w:line="440" w:lineRule="exact"/>
              <w:jc w:val="center"/>
              <w:rPr>
                <w:rFonts w:ascii="宋体" w:hAnsi="宋体"/>
                <w:color w:val="auto"/>
                <w:szCs w:val="21"/>
              </w:rPr>
            </w:pPr>
            <w:r>
              <w:rPr>
                <w:rFonts w:ascii="宋体" w:hAnsi="宋体"/>
                <w:color w:val="auto"/>
                <w:szCs w:val="21"/>
              </w:rPr>
              <w:t>项目名称</w:t>
            </w:r>
          </w:p>
        </w:tc>
        <w:tc>
          <w:tcPr>
            <w:tcW w:w="7060" w:type="dxa"/>
          </w:tcPr>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119" w:type="dxa"/>
            <w:vAlign w:val="center"/>
          </w:tcPr>
          <w:p>
            <w:pPr>
              <w:topLinePunct/>
              <w:spacing w:line="440" w:lineRule="exact"/>
              <w:jc w:val="center"/>
              <w:rPr>
                <w:rFonts w:ascii="宋体" w:hAnsi="宋体"/>
                <w:color w:val="auto"/>
                <w:szCs w:val="21"/>
              </w:rPr>
            </w:pPr>
            <w:r>
              <w:rPr>
                <w:rFonts w:ascii="宋体" w:hAnsi="宋体"/>
                <w:color w:val="auto"/>
                <w:szCs w:val="21"/>
              </w:rPr>
              <w:t>项目所在地</w:t>
            </w:r>
          </w:p>
        </w:tc>
        <w:tc>
          <w:tcPr>
            <w:tcW w:w="7060" w:type="dxa"/>
          </w:tcPr>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119" w:type="dxa"/>
            <w:vAlign w:val="center"/>
          </w:tcPr>
          <w:p>
            <w:pPr>
              <w:topLinePunct/>
              <w:spacing w:line="440" w:lineRule="exact"/>
              <w:jc w:val="center"/>
              <w:rPr>
                <w:rFonts w:ascii="宋体" w:hAnsi="宋体"/>
                <w:color w:val="auto"/>
                <w:szCs w:val="21"/>
              </w:rPr>
            </w:pPr>
            <w:r>
              <w:rPr>
                <w:rFonts w:ascii="宋体" w:hAnsi="宋体"/>
                <w:color w:val="auto"/>
                <w:szCs w:val="21"/>
              </w:rPr>
              <w:t>发包人名称</w:t>
            </w:r>
          </w:p>
        </w:tc>
        <w:tc>
          <w:tcPr>
            <w:tcW w:w="7060" w:type="dxa"/>
          </w:tcPr>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119" w:type="dxa"/>
            <w:vAlign w:val="center"/>
          </w:tcPr>
          <w:p>
            <w:pPr>
              <w:topLinePunct/>
              <w:spacing w:line="440" w:lineRule="exact"/>
              <w:jc w:val="center"/>
              <w:rPr>
                <w:rFonts w:ascii="宋体" w:hAnsi="宋体"/>
                <w:color w:val="auto"/>
                <w:szCs w:val="21"/>
              </w:rPr>
            </w:pPr>
            <w:r>
              <w:rPr>
                <w:rFonts w:ascii="宋体" w:hAnsi="宋体"/>
                <w:color w:val="auto"/>
                <w:szCs w:val="21"/>
              </w:rPr>
              <w:t>发包人地址</w:t>
            </w:r>
          </w:p>
        </w:tc>
        <w:tc>
          <w:tcPr>
            <w:tcW w:w="7060" w:type="dxa"/>
          </w:tcPr>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19" w:type="dxa"/>
            <w:vAlign w:val="center"/>
          </w:tcPr>
          <w:p>
            <w:pPr>
              <w:topLinePunct/>
              <w:spacing w:line="440" w:lineRule="exact"/>
              <w:jc w:val="center"/>
              <w:rPr>
                <w:rFonts w:ascii="宋体" w:hAnsi="宋体"/>
                <w:color w:val="auto"/>
                <w:szCs w:val="21"/>
              </w:rPr>
            </w:pPr>
            <w:r>
              <w:rPr>
                <w:rFonts w:ascii="宋体" w:hAnsi="宋体"/>
                <w:color w:val="auto"/>
                <w:szCs w:val="21"/>
              </w:rPr>
              <w:t>发包人电话</w:t>
            </w:r>
          </w:p>
        </w:tc>
        <w:tc>
          <w:tcPr>
            <w:tcW w:w="7060" w:type="dxa"/>
          </w:tcPr>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119" w:type="dxa"/>
            <w:vAlign w:val="center"/>
          </w:tcPr>
          <w:p>
            <w:pPr>
              <w:topLinePunct/>
              <w:spacing w:line="440" w:lineRule="exact"/>
              <w:jc w:val="center"/>
              <w:rPr>
                <w:rFonts w:ascii="宋体" w:hAnsi="宋体"/>
                <w:color w:val="auto"/>
                <w:szCs w:val="21"/>
              </w:rPr>
            </w:pPr>
            <w:r>
              <w:rPr>
                <w:rFonts w:ascii="宋体" w:hAnsi="宋体"/>
                <w:color w:val="auto"/>
                <w:szCs w:val="21"/>
              </w:rPr>
              <w:t>签约合同价</w:t>
            </w:r>
          </w:p>
        </w:tc>
        <w:tc>
          <w:tcPr>
            <w:tcW w:w="7060" w:type="dxa"/>
          </w:tcPr>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19" w:type="dxa"/>
            <w:vAlign w:val="center"/>
          </w:tcPr>
          <w:p>
            <w:pPr>
              <w:topLinePunct/>
              <w:spacing w:line="440" w:lineRule="exact"/>
              <w:jc w:val="center"/>
              <w:rPr>
                <w:rFonts w:ascii="宋体" w:hAnsi="宋体"/>
                <w:color w:val="auto"/>
                <w:szCs w:val="21"/>
              </w:rPr>
            </w:pPr>
            <w:r>
              <w:rPr>
                <w:rFonts w:ascii="宋体" w:hAnsi="宋体"/>
                <w:color w:val="auto"/>
                <w:szCs w:val="21"/>
              </w:rPr>
              <w:t>开工日期</w:t>
            </w:r>
          </w:p>
        </w:tc>
        <w:tc>
          <w:tcPr>
            <w:tcW w:w="7060" w:type="dxa"/>
          </w:tcPr>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119" w:type="dxa"/>
            <w:vAlign w:val="center"/>
          </w:tcPr>
          <w:p>
            <w:pPr>
              <w:topLinePunct/>
              <w:spacing w:line="440" w:lineRule="exact"/>
              <w:jc w:val="center"/>
              <w:rPr>
                <w:rFonts w:ascii="宋体" w:hAnsi="宋体"/>
                <w:color w:val="auto"/>
                <w:szCs w:val="21"/>
              </w:rPr>
            </w:pPr>
            <w:r>
              <w:rPr>
                <w:rFonts w:ascii="宋体" w:hAnsi="宋体"/>
                <w:color w:val="auto"/>
                <w:szCs w:val="21"/>
              </w:rPr>
              <w:t>计划</w:t>
            </w:r>
            <w:r>
              <w:rPr>
                <w:rFonts w:hint="eastAsia" w:ascii="宋体" w:hAnsi="宋体"/>
                <w:color w:val="auto"/>
              </w:rPr>
              <w:t>竣工</w:t>
            </w:r>
            <w:r>
              <w:rPr>
                <w:rFonts w:ascii="宋体" w:hAnsi="宋体"/>
                <w:color w:val="auto"/>
                <w:szCs w:val="21"/>
              </w:rPr>
              <w:t>日期</w:t>
            </w:r>
          </w:p>
        </w:tc>
        <w:tc>
          <w:tcPr>
            <w:tcW w:w="7060" w:type="dxa"/>
          </w:tcPr>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119" w:type="dxa"/>
            <w:vAlign w:val="center"/>
          </w:tcPr>
          <w:p>
            <w:pPr>
              <w:topLinePunct/>
              <w:spacing w:line="440" w:lineRule="exact"/>
              <w:jc w:val="center"/>
              <w:rPr>
                <w:rFonts w:ascii="宋体" w:hAnsi="宋体"/>
                <w:color w:val="auto"/>
                <w:szCs w:val="21"/>
              </w:rPr>
            </w:pPr>
            <w:r>
              <w:rPr>
                <w:rFonts w:ascii="宋体" w:hAnsi="宋体"/>
                <w:color w:val="auto"/>
                <w:szCs w:val="21"/>
              </w:rPr>
              <w:t>承担的工作</w:t>
            </w:r>
          </w:p>
        </w:tc>
        <w:tc>
          <w:tcPr>
            <w:tcW w:w="7060" w:type="dxa"/>
          </w:tcPr>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119" w:type="dxa"/>
            <w:vAlign w:val="center"/>
          </w:tcPr>
          <w:p>
            <w:pPr>
              <w:topLinePunct/>
              <w:spacing w:line="440" w:lineRule="exact"/>
              <w:jc w:val="center"/>
              <w:rPr>
                <w:rFonts w:ascii="宋体" w:hAnsi="宋体"/>
                <w:color w:val="auto"/>
                <w:szCs w:val="21"/>
              </w:rPr>
            </w:pPr>
            <w:r>
              <w:rPr>
                <w:rFonts w:ascii="宋体" w:hAnsi="宋体"/>
                <w:color w:val="auto"/>
                <w:szCs w:val="21"/>
              </w:rPr>
              <w:t>工程质量</w:t>
            </w:r>
          </w:p>
        </w:tc>
        <w:tc>
          <w:tcPr>
            <w:tcW w:w="7060" w:type="dxa"/>
          </w:tcPr>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19" w:type="dxa"/>
            <w:vAlign w:val="center"/>
          </w:tcPr>
          <w:p>
            <w:pPr>
              <w:topLinePunct/>
              <w:spacing w:line="440" w:lineRule="exact"/>
              <w:jc w:val="center"/>
              <w:rPr>
                <w:rFonts w:ascii="宋体" w:hAnsi="宋体"/>
                <w:color w:val="auto"/>
                <w:szCs w:val="21"/>
              </w:rPr>
            </w:pPr>
            <w:r>
              <w:rPr>
                <w:rFonts w:ascii="宋体" w:hAnsi="宋体"/>
                <w:color w:val="auto"/>
                <w:szCs w:val="21"/>
              </w:rPr>
              <w:t>项目经理</w:t>
            </w:r>
          </w:p>
        </w:tc>
        <w:tc>
          <w:tcPr>
            <w:tcW w:w="7060" w:type="dxa"/>
          </w:tcPr>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119" w:type="dxa"/>
            <w:vAlign w:val="center"/>
          </w:tcPr>
          <w:p>
            <w:pPr>
              <w:topLinePunct/>
              <w:spacing w:line="440" w:lineRule="exact"/>
              <w:jc w:val="center"/>
              <w:rPr>
                <w:rFonts w:ascii="宋体" w:hAnsi="宋体"/>
                <w:color w:val="auto"/>
                <w:szCs w:val="21"/>
              </w:rPr>
            </w:pPr>
            <w:r>
              <w:rPr>
                <w:rFonts w:ascii="宋体" w:hAnsi="宋体"/>
                <w:color w:val="auto"/>
                <w:szCs w:val="21"/>
              </w:rPr>
              <w:t>技术负责人</w:t>
            </w:r>
          </w:p>
        </w:tc>
        <w:tc>
          <w:tcPr>
            <w:tcW w:w="7060" w:type="dxa"/>
          </w:tcPr>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119" w:type="dxa"/>
            <w:vAlign w:val="center"/>
          </w:tcPr>
          <w:p>
            <w:pPr>
              <w:topLinePunct/>
              <w:spacing w:line="440" w:lineRule="exact"/>
              <w:jc w:val="center"/>
              <w:rPr>
                <w:rFonts w:ascii="宋体" w:hAnsi="宋体"/>
                <w:color w:val="auto"/>
                <w:szCs w:val="21"/>
              </w:rPr>
            </w:pPr>
            <w:r>
              <w:rPr>
                <w:rFonts w:ascii="宋体" w:hAnsi="宋体"/>
                <w:color w:val="auto"/>
                <w:szCs w:val="21"/>
              </w:rPr>
              <w:t>项目描述</w:t>
            </w:r>
          </w:p>
        </w:tc>
        <w:tc>
          <w:tcPr>
            <w:tcW w:w="7060" w:type="dxa"/>
          </w:tcPr>
          <w:p>
            <w:pPr>
              <w:topLinePunct/>
              <w:spacing w:line="440" w:lineRule="exact"/>
              <w:rPr>
                <w:rFonts w:ascii="宋体" w:hAnsi="宋体"/>
                <w:color w:val="auto"/>
                <w:szCs w:val="21"/>
              </w:rPr>
            </w:pPr>
          </w:p>
          <w:p>
            <w:pPr>
              <w:topLinePunct/>
              <w:spacing w:line="440" w:lineRule="exact"/>
              <w:rPr>
                <w:rFonts w:ascii="宋体" w:hAnsi="宋体"/>
                <w:color w:val="auto"/>
                <w:szCs w:val="21"/>
              </w:rPr>
            </w:pPr>
          </w:p>
          <w:p>
            <w:pPr>
              <w:topLinePunct/>
              <w:spacing w:line="440" w:lineRule="exact"/>
              <w:rPr>
                <w:rFonts w:ascii="宋体" w:hAnsi="宋体"/>
                <w:color w:val="auto"/>
                <w:szCs w:val="21"/>
              </w:rPr>
            </w:pPr>
          </w:p>
          <w:p>
            <w:pPr>
              <w:topLinePunct/>
              <w:spacing w:line="440" w:lineRule="exact"/>
              <w:rPr>
                <w:rFonts w:ascii="宋体" w:hAnsi="宋体"/>
                <w:color w:val="auto"/>
                <w:szCs w:val="21"/>
              </w:rPr>
            </w:pPr>
          </w:p>
          <w:p>
            <w:pPr>
              <w:topLinePunct/>
              <w:spacing w:line="440" w:lineRule="exact"/>
              <w:rPr>
                <w:rFonts w:ascii="宋体" w:hAnsi="宋体"/>
                <w:color w:val="auto"/>
                <w:szCs w:val="21"/>
              </w:rPr>
            </w:pPr>
          </w:p>
          <w:p>
            <w:pPr>
              <w:topLinePunct/>
              <w:spacing w:line="440" w:lineRule="exact"/>
              <w:rPr>
                <w:rFonts w:ascii="宋体" w:hAnsi="宋体"/>
                <w:color w:val="auto"/>
                <w:szCs w:val="21"/>
              </w:rPr>
            </w:pPr>
          </w:p>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119" w:type="dxa"/>
            <w:vAlign w:val="center"/>
          </w:tcPr>
          <w:p>
            <w:pPr>
              <w:topLinePunct/>
              <w:spacing w:line="440" w:lineRule="exact"/>
              <w:jc w:val="center"/>
              <w:rPr>
                <w:rFonts w:ascii="宋体" w:hAnsi="宋体"/>
                <w:color w:val="auto"/>
                <w:szCs w:val="21"/>
              </w:rPr>
            </w:pPr>
            <w:r>
              <w:rPr>
                <w:rFonts w:ascii="宋体" w:hAnsi="宋体"/>
                <w:color w:val="auto"/>
                <w:szCs w:val="21"/>
              </w:rPr>
              <w:t>备注</w:t>
            </w:r>
          </w:p>
        </w:tc>
        <w:tc>
          <w:tcPr>
            <w:tcW w:w="7060" w:type="dxa"/>
          </w:tcPr>
          <w:p>
            <w:pPr>
              <w:topLinePunct/>
              <w:spacing w:line="440" w:lineRule="exact"/>
              <w:rPr>
                <w:rFonts w:ascii="宋体" w:hAnsi="宋体"/>
                <w:color w:val="auto"/>
                <w:szCs w:val="21"/>
              </w:rPr>
            </w:pPr>
          </w:p>
        </w:tc>
      </w:tr>
    </w:tbl>
    <w:p>
      <w:pPr>
        <w:spacing w:line="440" w:lineRule="exact"/>
        <w:rPr>
          <w:rFonts w:ascii="宋体" w:hAnsi="宋体"/>
          <w:b/>
          <w:bCs/>
          <w:color w:val="auto"/>
          <w:szCs w:val="21"/>
        </w:rPr>
      </w:pPr>
      <w:r>
        <w:rPr>
          <w:rFonts w:hint="eastAsia" w:ascii="宋体" w:hAnsi="宋体"/>
          <w:b/>
          <w:bCs/>
          <w:color w:val="auto"/>
          <w:szCs w:val="21"/>
        </w:rPr>
        <w:t>附：合同复印件</w:t>
      </w:r>
    </w:p>
    <w:p>
      <w:pPr>
        <w:spacing w:line="440" w:lineRule="exact"/>
        <w:ind w:firstLine="500" w:firstLineChars="250"/>
        <w:jc w:val="center"/>
        <w:rPr>
          <w:rFonts w:ascii="宋体" w:hAnsi="宋体"/>
          <w:color w:val="auto"/>
          <w:sz w:val="20"/>
          <w:szCs w:val="20"/>
        </w:rPr>
      </w:pPr>
    </w:p>
    <w:bookmarkEnd w:id="595"/>
    <w:bookmarkEnd w:id="596"/>
    <w:bookmarkEnd w:id="597"/>
    <w:bookmarkEnd w:id="598"/>
    <w:p>
      <w:pPr>
        <w:topLinePunct/>
        <w:spacing w:line="440" w:lineRule="exact"/>
        <w:jc w:val="center"/>
        <w:rPr>
          <w:color w:val="auto"/>
          <w:sz w:val="20"/>
          <w:szCs w:val="20"/>
        </w:rPr>
      </w:pPr>
    </w:p>
    <w:p>
      <w:pPr>
        <w:jc w:val="center"/>
        <w:rPr>
          <w:rFonts w:ascii="宋体" w:hAnsi="宋体"/>
          <w:b/>
          <w:bCs/>
          <w:color w:val="auto"/>
          <w:sz w:val="32"/>
          <w:szCs w:val="32"/>
        </w:rPr>
      </w:pPr>
      <w:r>
        <w:rPr>
          <w:rFonts w:ascii="宋体" w:hAnsi="宋体"/>
          <w:b/>
          <w:bCs/>
          <w:color w:val="auto"/>
          <w:sz w:val="32"/>
          <w:szCs w:val="32"/>
        </w:rPr>
        <w:br w:type="page"/>
      </w:r>
      <w:r>
        <w:rPr>
          <w:rFonts w:hint="eastAsia" w:ascii="黑体" w:hAnsi="黑体" w:eastAsia="黑体" w:cs="黑体"/>
          <w:b/>
          <w:bCs/>
          <w:color w:val="auto"/>
          <w:sz w:val="32"/>
          <w:szCs w:val="32"/>
        </w:rPr>
        <w:t>九、其他材料</w:t>
      </w:r>
    </w:p>
    <w:p>
      <w:pPr>
        <w:rPr>
          <w:rFonts w:hint="eastAsia"/>
          <w:b w:val="0"/>
          <w:iCs/>
          <w:color w:val="auto"/>
          <w:sz w:val="21"/>
          <w:szCs w:val="21"/>
        </w:rPr>
      </w:pPr>
      <w:bookmarkStart w:id="617" w:name="_Toc12282792"/>
      <w:bookmarkStart w:id="618" w:name="_Toc19745"/>
      <w:bookmarkStart w:id="619" w:name="_Toc11364"/>
    </w:p>
    <w:p>
      <w:pPr>
        <w:rPr>
          <w:color w:val="auto"/>
          <w:lang w:val="en-GB"/>
        </w:rPr>
      </w:pPr>
      <w:r>
        <w:rPr>
          <w:rFonts w:hint="eastAsia"/>
          <w:b w:val="0"/>
          <w:iCs/>
          <w:color w:val="auto"/>
          <w:sz w:val="21"/>
          <w:szCs w:val="21"/>
        </w:rPr>
        <w:t>（本竞争性磋商文件规定的其他材料或供应商认为有助于本次投标的其他材料）</w:t>
      </w:r>
      <w:bookmarkEnd w:id="496"/>
      <w:bookmarkEnd w:id="617"/>
      <w:bookmarkEnd w:id="618"/>
      <w:bookmarkEnd w:id="619"/>
      <w:r>
        <w:rPr>
          <w:rFonts w:hint="eastAsia"/>
          <w:color w:val="auto"/>
          <w:lang w:val="en-GB"/>
        </w:rPr>
        <w:br w:type="page"/>
      </w:r>
    </w:p>
    <w:p>
      <w:pPr>
        <w:jc w:val="center"/>
        <w:rPr>
          <w:rFonts w:hint="eastAsia" w:ascii="黑体" w:hAnsi="黑体" w:eastAsia="黑体" w:cs="黑体"/>
          <w:b/>
          <w:bCs/>
          <w:color w:val="auto"/>
          <w:sz w:val="28"/>
          <w:szCs w:val="28"/>
          <w:lang w:val="zh-CN"/>
        </w:rPr>
      </w:pPr>
      <w:bookmarkStart w:id="620" w:name="_Toc7031_WPSOffice_Level1"/>
      <w:r>
        <w:rPr>
          <w:rFonts w:hint="eastAsia" w:ascii="黑体" w:hAnsi="黑体" w:eastAsia="黑体" w:cs="黑体"/>
          <w:b/>
          <w:bCs/>
          <w:color w:val="auto"/>
          <w:sz w:val="28"/>
          <w:szCs w:val="28"/>
          <w:lang w:val="en-US" w:eastAsia="zh-CN"/>
        </w:rPr>
        <w:t>附件：</w:t>
      </w:r>
      <w:r>
        <w:rPr>
          <w:rFonts w:hint="eastAsia" w:ascii="黑体" w:hAnsi="黑体" w:eastAsia="黑体" w:cs="黑体"/>
          <w:b/>
          <w:bCs/>
          <w:color w:val="auto"/>
          <w:sz w:val="28"/>
          <w:szCs w:val="28"/>
        </w:rPr>
        <w:t>中</w:t>
      </w:r>
      <w:r>
        <w:rPr>
          <w:rFonts w:hint="eastAsia" w:ascii="黑体" w:hAnsi="黑体" w:eastAsia="黑体" w:cs="黑体"/>
          <w:b/>
          <w:bCs/>
          <w:color w:val="auto"/>
          <w:sz w:val="28"/>
          <w:szCs w:val="28"/>
          <w:lang w:val="zh-CN"/>
        </w:rPr>
        <w:t>小企业声明、监狱企业、残疾人福利单位的声明函或证明材料</w:t>
      </w:r>
      <w:bookmarkEnd w:id="620"/>
    </w:p>
    <w:p>
      <w:pPr>
        <w:autoSpaceDE w:val="0"/>
        <w:autoSpaceDN w:val="0"/>
        <w:spacing w:line="360" w:lineRule="auto"/>
        <w:jc w:val="center"/>
        <w:rPr>
          <w:rFonts w:hint="eastAsia" w:ascii="宋体" w:hAnsi="宋体" w:cs="宋体"/>
          <w:b/>
          <w:bCs/>
          <w:color w:val="auto"/>
          <w:sz w:val="28"/>
          <w:szCs w:val="28"/>
        </w:rPr>
      </w:pPr>
      <w:bookmarkStart w:id="621" w:name="_Toc18073"/>
      <w:bookmarkStart w:id="622" w:name="_Toc13843"/>
      <w:bookmarkStart w:id="623" w:name="_Toc21598"/>
      <w:bookmarkStart w:id="624" w:name="_Toc23793_WPSOffice_Level2"/>
      <w:bookmarkStart w:id="625" w:name="_Toc7031_WPSOffice_Level2"/>
    </w:p>
    <w:p>
      <w:pPr>
        <w:autoSpaceDE w:val="0"/>
        <w:autoSpaceDN w:val="0"/>
        <w:spacing w:line="360" w:lineRule="auto"/>
        <w:jc w:val="center"/>
        <w:rPr>
          <w:rFonts w:ascii="宋体" w:hAnsi="宋体" w:cs="宋体"/>
          <w:b/>
          <w:bCs/>
          <w:color w:val="auto"/>
          <w:sz w:val="28"/>
          <w:szCs w:val="28"/>
        </w:rPr>
      </w:pPr>
      <w:r>
        <w:rPr>
          <w:rFonts w:hint="eastAsia" w:ascii="宋体" w:hAnsi="宋体" w:cs="宋体"/>
          <w:b/>
          <w:bCs/>
          <w:color w:val="auto"/>
          <w:sz w:val="28"/>
          <w:szCs w:val="28"/>
        </w:rPr>
        <w:t>（一）</w:t>
      </w:r>
      <w:bookmarkEnd w:id="621"/>
      <w:bookmarkEnd w:id="622"/>
      <w:bookmarkEnd w:id="623"/>
      <w:r>
        <w:rPr>
          <w:rFonts w:hint="eastAsia" w:ascii="宋体" w:hAnsi="宋体" w:cs="宋体"/>
          <w:b/>
          <w:bCs/>
          <w:color w:val="auto"/>
          <w:sz w:val="28"/>
          <w:szCs w:val="28"/>
        </w:rPr>
        <w:t>中小企业声明函（工程、服务）</w:t>
      </w:r>
      <w:bookmarkEnd w:id="624"/>
      <w:bookmarkEnd w:id="625"/>
    </w:p>
    <w:p>
      <w:pPr>
        <w:kinsoku w:val="0"/>
        <w:overflowPunct w:val="0"/>
        <w:autoSpaceDE w:val="0"/>
        <w:autoSpaceDN w:val="0"/>
        <w:adjustRightInd w:val="0"/>
        <w:snapToGrid w:val="0"/>
        <w:spacing w:line="440" w:lineRule="exact"/>
        <w:ind w:firstLine="482" w:firstLineChars="200"/>
        <w:jc w:val="center"/>
        <w:rPr>
          <w:rFonts w:ascii="宋体" w:hAnsi="宋体" w:cs="宋体"/>
          <w:color w:val="auto"/>
          <w:sz w:val="24"/>
        </w:rPr>
      </w:pPr>
      <w:bookmarkStart w:id="626" w:name="_Toc14188_WPSOffice_Level2"/>
      <w:bookmarkStart w:id="627" w:name="_Toc10652_WPSOffice_Level2"/>
      <w:r>
        <w:rPr>
          <w:rFonts w:hint="eastAsia" w:ascii="宋体" w:hAnsi="宋体" w:cs="宋体"/>
          <w:b/>
          <w:bCs/>
          <w:color w:val="auto"/>
          <w:sz w:val="24"/>
        </w:rPr>
        <w:t>（注：符合中小企业划型标准的企业请提供本函，不符合的不提供本函）</w:t>
      </w:r>
      <w:bookmarkEnd w:id="626"/>
      <w:bookmarkEnd w:id="627"/>
    </w:p>
    <w:p>
      <w:pPr>
        <w:kinsoku w:val="0"/>
        <w:overflowPunct w:val="0"/>
        <w:autoSpaceDE w:val="0"/>
        <w:autoSpaceDN w:val="0"/>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 xml:space="preserve"> 本公司（联合体）郑重声明，根据《政府采购促进中小企业发展管理办法》（财库﹝2020﹞46 号）的规定，本公司（联合体）参加</w:t>
      </w:r>
      <w:r>
        <w:rPr>
          <w:rFonts w:hint="eastAsia" w:ascii="宋体" w:hAnsi="宋体" w:cs="宋体"/>
          <w:color w:val="auto"/>
          <w:sz w:val="24"/>
          <w:u w:val="single"/>
        </w:rPr>
        <w:t>（单位名称）</w:t>
      </w:r>
      <w:r>
        <w:rPr>
          <w:rFonts w:hint="eastAsia" w:ascii="宋体" w:hAnsi="宋体" w:cs="宋体"/>
          <w:color w:val="auto"/>
          <w:sz w:val="24"/>
        </w:rPr>
        <w:t>的</w:t>
      </w:r>
      <w:r>
        <w:rPr>
          <w:rFonts w:hint="eastAsia" w:ascii="宋体" w:hAnsi="宋体" w:cs="宋体"/>
          <w:color w:val="auto"/>
          <w:sz w:val="24"/>
          <w:u w:val="single"/>
        </w:rPr>
        <w:t>（项目名称）</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kinsoku w:val="0"/>
        <w:overflowPunct w:val="0"/>
        <w:autoSpaceDE w:val="0"/>
        <w:autoSpaceDN w:val="0"/>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1.（标的名称），属于</w:t>
      </w:r>
      <w:r>
        <w:rPr>
          <w:rFonts w:hint="eastAsia" w:ascii="宋体" w:hAnsi="宋体" w:cs="宋体"/>
          <w:color w:val="auto"/>
          <w:sz w:val="24"/>
          <w:u w:val="single"/>
        </w:rPr>
        <w:t>（采购文件中明确的所属行业）</w:t>
      </w:r>
      <w:r>
        <w:rPr>
          <w:rFonts w:hint="eastAsia" w:ascii="宋体" w:hAnsi="宋体" w:cs="宋体"/>
          <w:color w:val="auto"/>
          <w:sz w:val="24"/>
        </w:rPr>
        <w:t>；承建（承接）企业为</w:t>
      </w:r>
      <w:r>
        <w:rPr>
          <w:rFonts w:hint="eastAsia" w:ascii="宋体" w:hAnsi="宋体" w:cs="宋体"/>
          <w:color w:val="auto"/>
          <w:sz w:val="24"/>
          <w:u w:val="single"/>
        </w:rPr>
        <w:t>（企业名称）</w:t>
      </w:r>
      <w:r>
        <w:rPr>
          <w:rFonts w:hint="eastAsia" w:ascii="宋体" w:hAnsi="宋体" w:cs="宋体"/>
          <w:color w:val="auto"/>
          <w:sz w:val="24"/>
        </w:rPr>
        <w:t xml:space="preserve">，从业人员人，营业收入为万元，资产总额为万元，属于（中型企业、小型企业、微型企业）； </w:t>
      </w:r>
    </w:p>
    <w:p>
      <w:pPr>
        <w:kinsoku w:val="0"/>
        <w:overflowPunct w:val="0"/>
        <w:autoSpaceDE w:val="0"/>
        <w:autoSpaceDN w:val="0"/>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2.（标的名称），属于</w:t>
      </w:r>
      <w:r>
        <w:rPr>
          <w:rFonts w:hint="eastAsia" w:ascii="宋体" w:hAnsi="宋体" w:cs="宋体"/>
          <w:color w:val="auto"/>
          <w:sz w:val="24"/>
          <w:u w:val="single"/>
        </w:rPr>
        <w:t>（采购文件中明确的所属行业）</w:t>
      </w:r>
      <w:r>
        <w:rPr>
          <w:rFonts w:hint="eastAsia" w:ascii="宋体" w:hAnsi="宋体" w:cs="宋体"/>
          <w:color w:val="auto"/>
          <w:sz w:val="24"/>
        </w:rPr>
        <w:t>；承建（承接）企业为</w:t>
      </w:r>
      <w:r>
        <w:rPr>
          <w:rFonts w:hint="eastAsia" w:ascii="宋体" w:hAnsi="宋体" w:cs="宋体"/>
          <w:color w:val="auto"/>
          <w:sz w:val="24"/>
          <w:u w:val="single"/>
        </w:rPr>
        <w:t>（企业名称）</w:t>
      </w:r>
      <w:r>
        <w:rPr>
          <w:rFonts w:hint="eastAsia" w:ascii="宋体" w:hAnsi="宋体" w:cs="宋体"/>
          <w:color w:val="auto"/>
          <w:sz w:val="24"/>
        </w:rPr>
        <w:t>，从业人员人，营业 收入为万元，资产总额为万元，属于</w:t>
      </w:r>
      <w:r>
        <w:rPr>
          <w:rFonts w:hint="eastAsia" w:ascii="宋体" w:hAnsi="宋体" w:cs="宋体"/>
          <w:color w:val="auto"/>
          <w:sz w:val="24"/>
          <w:u w:val="single"/>
        </w:rPr>
        <w:t>（中型企业、小型企业、微型企业）</w:t>
      </w:r>
      <w:r>
        <w:rPr>
          <w:rFonts w:hint="eastAsia" w:ascii="宋体" w:hAnsi="宋体" w:cs="宋体"/>
          <w:color w:val="auto"/>
          <w:sz w:val="24"/>
        </w:rPr>
        <w:t>；</w:t>
      </w:r>
    </w:p>
    <w:p>
      <w:pPr>
        <w:kinsoku w:val="0"/>
        <w:overflowPunct w:val="0"/>
        <w:autoSpaceDE w:val="0"/>
        <w:autoSpaceDN w:val="0"/>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w:t>
      </w:r>
    </w:p>
    <w:p>
      <w:pPr>
        <w:kinsoku w:val="0"/>
        <w:overflowPunct w:val="0"/>
        <w:autoSpaceDE w:val="0"/>
        <w:autoSpaceDN w:val="0"/>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kinsoku w:val="0"/>
        <w:overflowPunct w:val="0"/>
        <w:autoSpaceDE w:val="0"/>
        <w:autoSpaceDN w:val="0"/>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 xml:space="preserve">本企业对上述声明内容的真实性负责。如有虚假，将依法承担相应责任。 </w:t>
      </w:r>
    </w:p>
    <w:p>
      <w:pPr>
        <w:kinsoku w:val="0"/>
        <w:overflowPunct w:val="0"/>
        <w:autoSpaceDE w:val="0"/>
        <w:autoSpaceDN w:val="0"/>
        <w:adjustRightInd w:val="0"/>
        <w:snapToGrid w:val="0"/>
        <w:spacing w:line="440" w:lineRule="exact"/>
        <w:ind w:firstLine="480" w:firstLineChars="200"/>
        <w:rPr>
          <w:rFonts w:ascii="宋体" w:hAnsi="宋体" w:cs="宋体"/>
          <w:color w:val="auto"/>
          <w:sz w:val="24"/>
        </w:rPr>
      </w:pPr>
    </w:p>
    <w:p>
      <w:pPr>
        <w:kinsoku w:val="0"/>
        <w:overflowPunct w:val="0"/>
        <w:autoSpaceDE w:val="0"/>
        <w:autoSpaceDN w:val="0"/>
        <w:adjustRightInd w:val="0"/>
        <w:snapToGrid w:val="0"/>
        <w:spacing w:line="440" w:lineRule="exact"/>
        <w:ind w:firstLine="480" w:firstLineChars="200"/>
        <w:rPr>
          <w:rFonts w:ascii="宋体" w:hAnsi="宋体" w:cs="宋体"/>
          <w:color w:val="auto"/>
          <w:sz w:val="24"/>
        </w:rPr>
      </w:pPr>
    </w:p>
    <w:p>
      <w:pPr>
        <w:kinsoku w:val="0"/>
        <w:overflowPunct w:val="0"/>
        <w:autoSpaceDE w:val="0"/>
        <w:autoSpaceDN w:val="0"/>
        <w:adjustRightInd w:val="0"/>
        <w:snapToGrid w:val="0"/>
        <w:spacing w:line="440" w:lineRule="exact"/>
        <w:ind w:firstLine="480" w:firstLineChars="200"/>
        <w:rPr>
          <w:rFonts w:ascii="宋体" w:hAnsi="宋体" w:cs="宋体"/>
          <w:color w:val="auto"/>
          <w:sz w:val="24"/>
        </w:rPr>
      </w:pPr>
    </w:p>
    <w:p>
      <w:pPr>
        <w:kinsoku w:val="0"/>
        <w:overflowPunct w:val="0"/>
        <w:autoSpaceDE w:val="0"/>
        <w:autoSpaceDN w:val="0"/>
        <w:adjustRightInd w:val="0"/>
        <w:snapToGrid w:val="0"/>
        <w:spacing w:line="480" w:lineRule="auto"/>
        <w:ind w:firstLine="4080" w:firstLineChars="1700"/>
        <w:rPr>
          <w:rFonts w:ascii="宋体" w:hAnsi="宋体" w:cs="宋体"/>
          <w:color w:val="auto"/>
          <w:sz w:val="24"/>
        </w:rPr>
      </w:pPr>
      <w:r>
        <w:rPr>
          <w:rFonts w:hint="eastAsia" w:ascii="宋体" w:hAnsi="宋体" w:cs="宋体"/>
          <w:color w:val="auto"/>
          <w:sz w:val="24"/>
        </w:rPr>
        <w:t>供应商名称：</w:t>
      </w:r>
      <w:r>
        <w:rPr>
          <w:rFonts w:hint="eastAsia" w:ascii="宋体" w:hAnsi="宋体" w:cs="宋体"/>
          <w:color w:val="auto"/>
          <w:sz w:val="24"/>
          <w:u w:val="single"/>
        </w:rPr>
        <w:t xml:space="preserve">                      （公章）</w:t>
      </w:r>
    </w:p>
    <w:p>
      <w:pPr>
        <w:pStyle w:val="31"/>
        <w:spacing w:line="480" w:lineRule="auto"/>
        <w:ind w:firstLine="4080" w:firstLineChars="1700"/>
        <w:jc w:val="both"/>
        <w:rPr>
          <w:rFonts w:ascii="宋体" w:hAnsi="宋体" w:cs="宋体"/>
          <w:color w:val="auto"/>
        </w:rPr>
      </w:pPr>
      <w:r>
        <w:rPr>
          <w:rFonts w:asciiTheme="minorEastAsia" w:hAnsiTheme="minorEastAsia" w:cstheme="minorEastAsia"/>
          <w:bCs w:val="0"/>
          <w:color w:val="auto"/>
          <w:spacing w:val="0"/>
          <w:kern w:val="2"/>
          <w:szCs w:val="24"/>
        </w:rPr>
        <w:t>法定</w:t>
      </w:r>
      <w:r>
        <w:rPr>
          <w:rFonts w:hint="eastAsia" w:asciiTheme="minorEastAsia" w:hAnsiTheme="minorEastAsia" w:cstheme="minorEastAsia"/>
          <w:bCs w:val="0"/>
          <w:color w:val="auto"/>
          <w:spacing w:val="0"/>
          <w:kern w:val="2"/>
          <w:szCs w:val="24"/>
        </w:rPr>
        <w:t>（</w:t>
      </w:r>
      <w:r>
        <w:rPr>
          <w:rFonts w:asciiTheme="minorEastAsia" w:hAnsiTheme="minorEastAsia" w:cstheme="minorEastAsia"/>
          <w:bCs w:val="0"/>
          <w:color w:val="auto"/>
          <w:spacing w:val="0"/>
          <w:kern w:val="2"/>
          <w:szCs w:val="24"/>
        </w:rPr>
        <w:t>或被授权</w:t>
      </w:r>
      <w:r>
        <w:rPr>
          <w:rFonts w:hint="eastAsia" w:asciiTheme="minorEastAsia" w:hAnsiTheme="minorEastAsia" w:cstheme="minorEastAsia"/>
          <w:bCs w:val="0"/>
          <w:color w:val="auto"/>
          <w:spacing w:val="0"/>
          <w:kern w:val="2"/>
          <w:szCs w:val="24"/>
        </w:rPr>
        <w:t>）代表</w:t>
      </w:r>
      <w:r>
        <w:rPr>
          <w:rFonts w:asciiTheme="minorEastAsia" w:hAnsiTheme="minorEastAsia" w:cstheme="minorEastAsia"/>
          <w:bCs w:val="0"/>
          <w:color w:val="auto"/>
          <w:spacing w:val="0"/>
          <w:kern w:val="2"/>
          <w:szCs w:val="24"/>
        </w:rPr>
        <w:t>人</w:t>
      </w:r>
      <w:r>
        <w:rPr>
          <w:rFonts w:asciiTheme="minorEastAsia" w:hAnsiTheme="minorEastAsia" w:cstheme="minorEastAsia"/>
          <w:bCs w:val="0"/>
          <w:color w:val="auto"/>
          <w:spacing w:val="0"/>
          <w:kern w:val="2"/>
          <w:szCs w:val="24"/>
          <w:u w:val="none"/>
        </w:rPr>
        <w:t>：</w:t>
      </w:r>
      <w:r>
        <w:rPr>
          <w:rFonts w:asciiTheme="minorEastAsia" w:hAnsiTheme="minorEastAsia" w:cstheme="minorEastAsia"/>
          <w:bCs w:val="0"/>
          <w:color w:val="auto"/>
          <w:spacing w:val="0"/>
          <w:kern w:val="2"/>
          <w:szCs w:val="24"/>
          <w:u w:val="single"/>
        </w:rPr>
        <w:t xml:space="preserve">        （亲笔签名）</w:t>
      </w:r>
    </w:p>
    <w:p>
      <w:pPr>
        <w:kinsoku w:val="0"/>
        <w:overflowPunct w:val="0"/>
        <w:autoSpaceDE w:val="0"/>
        <w:autoSpaceDN w:val="0"/>
        <w:adjustRightInd w:val="0"/>
        <w:snapToGrid w:val="0"/>
        <w:spacing w:line="480" w:lineRule="auto"/>
        <w:ind w:firstLine="4080" w:firstLineChars="1700"/>
        <w:rPr>
          <w:rFonts w:ascii="宋体" w:hAnsi="宋体" w:cs="宋体"/>
          <w:b/>
          <w:bCs/>
          <w:color w:val="auto"/>
          <w:sz w:val="28"/>
          <w:szCs w:val="28"/>
        </w:rPr>
      </w:pPr>
      <w:r>
        <w:rPr>
          <w:rFonts w:hint="eastAsia" w:ascii="宋体" w:hAnsi="宋体" w:cs="宋体"/>
          <w:color w:val="auto"/>
          <w:sz w:val="24"/>
        </w:rPr>
        <w:t>声明日期： 年月日</w:t>
      </w:r>
      <w:bookmarkStart w:id="628" w:name="_Toc13395"/>
      <w:bookmarkStart w:id="629" w:name="_Toc23135"/>
      <w:bookmarkStart w:id="630" w:name="_Toc3780"/>
    </w:p>
    <w:p>
      <w:pPr>
        <w:autoSpaceDE w:val="0"/>
        <w:autoSpaceDN w:val="0"/>
        <w:spacing w:line="360" w:lineRule="auto"/>
        <w:jc w:val="center"/>
        <w:rPr>
          <w:rFonts w:hint="eastAsia" w:ascii="宋体" w:hAnsi="宋体" w:cs="宋体"/>
          <w:b/>
          <w:bCs/>
          <w:color w:val="auto"/>
          <w:sz w:val="28"/>
          <w:szCs w:val="28"/>
        </w:rPr>
      </w:pPr>
      <w:bookmarkStart w:id="631" w:name="_Toc950_WPSOffice_Level2"/>
      <w:bookmarkStart w:id="632" w:name="_Toc32349_WPSOffice_Level2"/>
    </w:p>
    <w:p>
      <w:pPr>
        <w:autoSpaceDE w:val="0"/>
        <w:autoSpaceDN w:val="0"/>
        <w:spacing w:line="360" w:lineRule="auto"/>
        <w:jc w:val="center"/>
        <w:rPr>
          <w:rFonts w:ascii="宋体" w:hAnsi="宋体" w:cs="宋体"/>
          <w:b/>
          <w:bCs/>
          <w:color w:val="auto"/>
          <w:sz w:val="28"/>
          <w:szCs w:val="28"/>
        </w:rPr>
      </w:pPr>
      <w:r>
        <w:rPr>
          <w:rFonts w:hint="eastAsia" w:ascii="宋体" w:hAnsi="宋体" w:cs="宋体"/>
          <w:b/>
          <w:bCs/>
          <w:color w:val="auto"/>
          <w:sz w:val="28"/>
          <w:szCs w:val="28"/>
        </w:rPr>
        <w:t>（二）监狱企业证明</w:t>
      </w:r>
      <w:bookmarkEnd w:id="628"/>
      <w:bookmarkEnd w:id="629"/>
      <w:bookmarkEnd w:id="630"/>
      <w:bookmarkEnd w:id="631"/>
      <w:bookmarkEnd w:id="632"/>
    </w:p>
    <w:p>
      <w:pPr>
        <w:autoSpaceDE w:val="0"/>
        <w:autoSpaceDN w:val="0"/>
        <w:spacing w:line="360" w:lineRule="auto"/>
        <w:jc w:val="center"/>
        <w:rPr>
          <w:rFonts w:ascii="宋体" w:hAnsi="宋体" w:cs="宋体"/>
          <w:color w:val="auto"/>
          <w:sz w:val="24"/>
        </w:rPr>
      </w:pPr>
      <w:r>
        <w:rPr>
          <w:rFonts w:hint="eastAsia" w:ascii="宋体" w:hAnsi="宋体" w:cs="宋体"/>
          <w:color w:val="auto"/>
          <w:sz w:val="24"/>
        </w:rPr>
        <w:t>（注：符合条件的监狱企业请提供本函，不符合的不提供本函）</w:t>
      </w:r>
    </w:p>
    <w:p>
      <w:pPr>
        <w:autoSpaceDE w:val="0"/>
        <w:autoSpaceDN w:val="0"/>
        <w:spacing w:line="360" w:lineRule="auto"/>
        <w:ind w:firstLine="360" w:firstLineChars="150"/>
        <w:rPr>
          <w:rFonts w:ascii="宋体" w:hAnsi="宋体" w:cs="宋体"/>
          <w:color w:val="auto"/>
          <w:sz w:val="24"/>
        </w:rPr>
      </w:pPr>
    </w:p>
    <w:p>
      <w:pPr>
        <w:autoSpaceDE w:val="0"/>
        <w:autoSpaceDN w:val="0"/>
        <w:spacing w:line="440" w:lineRule="exact"/>
        <w:ind w:firstLine="480" w:firstLineChars="200"/>
        <w:rPr>
          <w:rFonts w:ascii="宋体" w:hAnsi="宋体" w:cs="宋体"/>
          <w:color w:val="auto"/>
          <w:sz w:val="24"/>
        </w:rPr>
      </w:pPr>
      <w:r>
        <w:rPr>
          <w:rFonts w:hint="eastAsia" w:ascii="宋体" w:hAnsi="宋体" w:cs="宋体"/>
          <w:color w:val="auto"/>
          <w:sz w:val="24"/>
        </w:rPr>
        <w:t>省级以上监狱管理局、戒毒管理局（含新疆生产建设兵团）出具的属于监狱企业的证明文件。</w:t>
      </w:r>
    </w:p>
    <w:p>
      <w:pPr>
        <w:spacing w:beforeLines="150" w:line="440" w:lineRule="exact"/>
        <w:ind w:firstLine="480" w:firstLineChars="200"/>
        <w:rPr>
          <w:rFonts w:ascii="宋体" w:hAnsi="宋体" w:cs="宋体"/>
          <w:color w:val="auto"/>
          <w:sz w:val="24"/>
          <w:lang w:val="en-GB"/>
        </w:rPr>
      </w:pPr>
    </w:p>
    <w:p>
      <w:pPr>
        <w:adjustRightInd w:val="0"/>
        <w:snapToGrid w:val="0"/>
        <w:spacing w:beforeLines="100" w:line="440" w:lineRule="exact"/>
        <w:ind w:firstLine="3120" w:firstLineChars="1300"/>
        <w:rPr>
          <w:rFonts w:ascii="宋体" w:hAnsi="宋体" w:cs="宋体"/>
          <w:color w:val="auto"/>
          <w:sz w:val="24"/>
          <w:u w:val="single"/>
        </w:rPr>
      </w:pPr>
      <w:r>
        <w:rPr>
          <w:rFonts w:hint="eastAsia" w:ascii="宋体" w:hAnsi="宋体" w:cs="宋体"/>
          <w:color w:val="auto"/>
          <w:sz w:val="24"/>
        </w:rPr>
        <w:t>供应商名称：</w:t>
      </w:r>
      <w:r>
        <w:rPr>
          <w:rFonts w:hint="eastAsia" w:ascii="宋体" w:hAnsi="宋体" w:cs="宋体"/>
          <w:color w:val="auto"/>
          <w:sz w:val="24"/>
          <w:u w:val="single"/>
        </w:rPr>
        <w:t xml:space="preserve">                        （公章）</w:t>
      </w:r>
    </w:p>
    <w:p>
      <w:pPr>
        <w:adjustRightInd w:val="0"/>
        <w:snapToGrid w:val="0"/>
        <w:spacing w:beforeLines="100" w:line="440" w:lineRule="exact"/>
        <w:ind w:firstLine="3120" w:firstLineChars="1300"/>
        <w:rPr>
          <w:rFonts w:ascii="宋体" w:hAnsi="宋体" w:cs="宋体"/>
          <w:color w:val="auto"/>
          <w:sz w:val="24"/>
        </w:rPr>
      </w:pPr>
      <w:r>
        <w:rPr>
          <w:rFonts w:asciiTheme="minorEastAsia" w:hAnsiTheme="minorEastAsia" w:cstheme="minorEastAsia"/>
          <w:color w:val="auto"/>
          <w:sz w:val="24"/>
        </w:rPr>
        <w:t>法定</w:t>
      </w:r>
      <w:r>
        <w:rPr>
          <w:rFonts w:hint="eastAsia" w:asciiTheme="minorEastAsia" w:hAnsiTheme="minorEastAsia" w:cstheme="minorEastAsia"/>
          <w:color w:val="auto"/>
          <w:sz w:val="24"/>
        </w:rPr>
        <w:t>（</w:t>
      </w:r>
      <w:r>
        <w:rPr>
          <w:rFonts w:asciiTheme="minorEastAsia" w:hAnsiTheme="minorEastAsia" w:cstheme="minorEastAsia"/>
          <w:color w:val="auto"/>
          <w:sz w:val="24"/>
        </w:rPr>
        <w:t>或被授权</w:t>
      </w:r>
      <w:r>
        <w:rPr>
          <w:rFonts w:hint="eastAsia" w:asciiTheme="minorEastAsia" w:hAnsiTheme="minorEastAsia" w:cstheme="minorEastAsia"/>
          <w:color w:val="auto"/>
          <w:sz w:val="24"/>
        </w:rPr>
        <w:t>）代表</w:t>
      </w:r>
      <w:r>
        <w:rPr>
          <w:rFonts w:asciiTheme="minorEastAsia" w:hAnsiTheme="minorEastAsia" w:cstheme="minorEastAsia"/>
          <w:color w:val="auto"/>
          <w:sz w:val="24"/>
        </w:rPr>
        <w:t>人</w:t>
      </w:r>
      <w:r>
        <w:rPr>
          <w:rFonts w:asciiTheme="minorEastAsia" w:hAnsiTheme="minorEastAsia" w:cstheme="minorEastAsia"/>
          <w:color w:val="auto"/>
          <w:sz w:val="24"/>
          <w:u w:val="none"/>
        </w:rPr>
        <w:t>：</w:t>
      </w:r>
      <w:r>
        <w:rPr>
          <w:rFonts w:asciiTheme="minorEastAsia" w:hAnsiTheme="minorEastAsia" w:cstheme="minorEastAsia"/>
          <w:color w:val="auto"/>
          <w:sz w:val="24"/>
          <w:u w:val="single"/>
        </w:rPr>
        <w:t xml:space="preserve">          （亲笔签名）</w:t>
      </w:r>
    </w:p>
    <w:p>
      <w:pPr>
        <w:adjustRightInd w:val="0"/>
        <w:snapToGrid w:val="0"/>
        <w:spacing w:beforeLines="100" w:line="440" w:lineRule="exact"/>
        <w:ind w:firstLine="3120" w:firstLineChars="1300"/>
        <w:rPr>
          <w:rFonts w:ascii="宋体" w:hAnsi="宋体" w:cs="宋体"/>
          <w:bCs/>
          <w:color w:val="auto"/>
          <w:kern w:val="0"/>
          <w:sz w:val="24"/>
          <w:lang w:val="en-GB"/>
        </w:rPr>
      </w:pPr>
      <w:r>
        <w:rPr>
          <w:rFonts w:hint="eastAsia" w:ascii="宋体" w:hAnsi="宋体" w:cs="宋体"/>
          <w:color w:val="auto"/>
          <w:sz w:val="24"/>
        </w:rPr>
        <w:t>声明日期：</w:t>
      </w:r>
      <w:r>
        <w:rPr>
          <w:rFonts w:hint="eastAsia" w:ascii="宋体" w:hAnsi="宋体" w:cs="宋体"/>
          <w:color w:val="auto"/>
          <w:sz w:val="24"/>
          <w:lang w:val="en-GB"/>
        </w:rPr>
        <w:t>年月日</w:t>
      </w:r>
    </w:p>
    <w:p>
      <w:pPr>
        <w:autoSpaceDE w:val="0"/>
        <w:autoSpaceDN w:val="0"/>
        <w:spacing w:line="360" w:lineRule="auto"/>
        <w:rPr>
          <w:rFonts w:ascii="宋体" w:hAnsi="宋体" w:cs="宋体"/>
          <w:color w:val="auto"/>
          <w:sz w:val="24"/>
        </w:rPr>
      </w:pPr>
      <w:bookmarkStart w:id="633" w:name="_Toc25672"/>
      <w:bookmarkStart w:id="634" w:name="_Toc6200"/>
      <w:bookmarkStart w:id="635" w:name="_Toc10862"/>
    </w:p>
    <w:p>
      <w:pPr>
        <w:pStyle w:val="3"/>
        <w:rPr>
          <w:rFonts w:ascii="宋体" w:hAnsi="宋体" w:cs="宋体"/>
          <w:color w:val="auto"/>
          <w:sz w:val="24"/>
        </w:rPr>
      </w:pPr>
    </w:p>
    <w:p>
      <w:pPr>
        <w:rPr>
          <w:color w:val="auto"/>
        </w:rPr>
      </w:pPr>
      <w:r>
        <w:rPr>
          <w:rFonts w:hint="eastAsia"/>
          <w:color w:val="auto"/>
        </w:rPr>
        <w:br w:type="page"/>
      </w:r>
    </w:p>
    <w:p>
      <w:pPr>
        <w:autoSpaceDE w:val="0"/>
        <w:autoSpaceDN w:val="0"/>
        <w:spacing w:line="360" w:lineRule="auto"/>
        <w:ind w:firstLine="422" w:firstLineChars="150"/>
        <w:jc w:val="center"/>
        <w:rPr>
          <w:rFonts w:ascii="宋体" w:hAnsi="宋体" w:cs="宋体"/>
          <w:color w:val="auto"/>
          <w:sz w:val="24"/>
        </w:rPr>
      </w:pPr>
      <w:bookmarkStart w:id="636" w:name="_Toc21511_WPSOffice_Level2"/>
      <w:bookmarkStart w:id="637" w:name="_Toc30478_WPSOffice_Level2"/>
      <w:r>
        <w:rPr>
          <w:rFonts w:hint="eastAsia" w:ascii="宋体" w:hAnsi="宋体" w:cs="宋体"/>
          <w:b/>
          <w:bCs/>
          <w:color w:val="auto"/>
          <w:sz w:val="28"/>
          <w:szCs w:val="28"/>
        </w:rPr>
        <w:t>（三）残疾人福利性单位声明函</w:t>
      </w:r>
      <w:bookmarkEnd w:id="633"/>
      <w:bookmarkEnd w:id="634"/>
      <w:bookmarkEnd w:id="635"/>
      <w:bookmarkEnd w:id="636"/>
      <w:bookmarkEnd w:id="637"/>
    </w:p>
    <w:p>
      <w:pPr>
        <w:autoSpaceDE w:val="0"/>
        <w:autoSpaceDN w:val="0"/>
        <w:spacing w:line="360" w:lineRule="auto"/>
        <w:jc w:val="center"/>
        <w:rPr>
          <w:rFonts w:ascii="宋体" w:hAnsi="宋体" w:cs="宋体"/>
          <w:color w:val="auto"/>
          <w:sz w:val="24"/>
        </w:rPr>
      </w:pPr>
      <w:r>
        <w:rPr>
          <w:rFonts w:hint="eastAsia" w:ascii="宋体" w:hAnsi="宋体" w:cs="宋体"/>
          <w:color w:val="auto"/>
          <w:sz w:val="24"/>
        </w:rPr>
        <w:t>（注：符合条件的残疾人福利性单位请提供本函，不符合的不提供本函）</w:t>
      </w:r>
    </w:p>
    <w:p>
      <w:pPr>
        <w:autoSpaceDE w:val="0"/>
        <w:autoSpaceDN w:val="0"/>
        <w:spacing w:line="360" w:lineRule="auto"/>
        <w:ind w:firstLine="360" w:firstLineChars="150"/>
        <w:rPr>
          <w:rFonts w:ascii="宋体" w:hAnsi="宋体" w:cs="宋体"/>
          <w:color w:val="auto"/>
          <w:sz w:val="24"/>
        </w:rPr>
      </w:pPr>
    </w:p>
    <w:p>
      <w:pPr>
        <w:autoSpaceDE w:val="0"/>
        <w:autoSpaceDN w:val="0"/>
        <w:spacing w:line="440" w:lineRule="exact"/>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autoSpaceDE w:val="0"/>
        <w:autoSpaceDN w:val="0"/>
        <w:spacing w:line="48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beforeLines="150" w:line="440" w:lineRule="exact"/>
        <w:ind w:firstLine="480" w:firstLineChars="200"/>
        <w:rPr>
          <w:rFonts w:ascii="宋体" w:hAnsi="宋体" w:cs="宋体"/>
          <w:color w:val="auto"/>
          <w:sz w:val="24"/>
          <w:lang w:val="en-GB"/>
        </w:rPr>
      </w:pPr>
    </w:p>
    <w:p>
      <w:pPr>
        <w:adjustRightInd w:val="0"/>
        <w:snapToGrid w:val="0"/>
        <w:spacing w:beforeLines="100" w:line="440" w:lineRule="exact"/>
        <w:ind w:firstLine="4080" w:firstLineChars="1700"/>
        <w:rPr>
          <w:rFonts w:ascii="宋体" w:hAnsi="宋体" w:cs="宋体"/>
          <w:color w:val="auto"/>
          <w:sz w:val="24"/>
          <w:u w:val="single"/>
        </w:rPr>
      </w:pPr>
      <w:r>
        <w:rPr>
          <w:rFonts w:hint="eastAsia" w:ascii="宋体" w:hAnsi="宋体" w:cs="宋体"/>
          <w:color w:val="auto"/>
          <w:sz w:val="24"/>
        </w:rPr>
        <w:t>供应商名称：</w:t>
      </w:r>
      <w:r>
        <w:rPr>
          <w:rFonts w:hint="eastAsia" w:ascii="宋体" w:hAnsi="宋体" w:cs="宋体"/>
          <w:color w:val="auto"/>
          <w:sz w:val="24"/>
          <w:u w:val="single"/>
        </w:rPr>
        <w:t xml:space="preserve">                      （公章）</w:t>
      </w:r>
    </w:p>
    <w:p>
      <w:pPr>
        <w:adjustRightInd w:val="0"/>
        <w:snapToGrid w:val="0"/>
        <w:spacing w:beforeLines="100" w:line="440" w:lineRule="exact"/>
        <w:ind w:firstLine="4080" w:firstLineChars="1700"/>
        <w:rPr>
          <w:rFonts w:ascii="宋体" w:hAnsi="宋体" w:cs="宋体"/>
          <w:color w:val="auto"/>
          <w:sz w:val="24"/>
        </w:rPr>
      </w:pPr>
      <w:r>
        <w:rPr>
          <w:rFonts w:asciiTheme="minorEastAsia" w:hAnsiTheme="minorEastAsia" w:cstheme="minorEastAsia"/>
          <w:color w:val="auto"/>
          <w:sz w:val="24"/>
        </w:rPr>
        <w:t>法定</w:t>
      </w:r>
      <w:r>
        <w:rPr>
          <w:rFonts w:hint="eastAsia" w:asciiTheme="minorEastAsia" w:hAnsiTheme="minorEastAsia" w:cstheme="minorEastAsia"/>
          <w:color w:val="auto"/>
          <w:sz w:val="24"/>
        </w:rPr>
        <w:t>（</w:t>
      </w:r>
      <w:r>
        <w:rPr>
          <w:rFonts w:asciiTheme="minorEastAsia" w:hAnsiTheme="minorEastAsia" w:cstheme="minorEastAsia"/>
          <w:color w:val="auto"/>
          <w:sz w:val="24"/>
        </w:rPr>
        <w:t>或被授权</w:t>
      </w:r>
      <w:r>
        <w:rPr>
          <w:rFonts w:hint="eastAsia" w:asciiTheme="minorEastAsia" w:hAnsiTheme="minorEastAsia" w:cstheme="minorEastAsia"/>
          <w:color w:val="auto"/>
          <w:sz w:val="24"/>
        </w:rPr>
        <w:t>）代表</w:t>
      </w:r>
      <w:r>
        <w:rPr>
          <w:rFonts w:asciiTheme="minorEastAsia" w:hAnsiTheme="minorEastAsia" w:cstheme="minorEastAsia"/>
          <w:color w:val="auto"/>
          <w:sz w:val="24"/>
        </w:rPr>
        <w:t>人</w:t>
      </w:r>
      <w:r>
        <w:rPr>
          <w:rFonts w:asciiTheme="minorEastAsia" w:hAnsiTheme="minorEastAsia" w:cstheme="minorEastAsia"/>
          <w:color w:val="auto"/>
          <w:sz w:val="24"/>
          <w:u w:val="none"/>
        </w:rPr>
        <w:t>：</w:t>
      </w:r>
      <w:r>
        <w:rPr>
          <w:rFonts w:asciiTheme="minorEastAsia" w:hAnsiTheme="minorEastAsia" w:cstheme="minorEastAsia"/>
          <w:color w:val="auto"/>
          <w:sz w:val="24"/>
          <w:u w:val="single"/>
        </w:rPr>
        <w:t xml:space="preserve">        （亲笔签名）</w:t>
      </w:r>
    </w:p>
    <w:p>
      <w:pPr>
        <w:adjustRightInd w:val="0"/>
        <w:snapToGrid w:val="0"/>
        <w:spacing w:beforeLines="100" w:line="440" w:lineRule="exact"/>
        <w:ind w:firstLine="4080" w:firstLineChars="1700"/>
        <w:rPr>
          <w:rFonts w:ascii="宋体" w:hAnsi="宋体" w:cs="宋体"/>
          <w:color w:val="auto"/>
          <w:sz w:val="24"/>
          <w:lang w:val="en-GB"/>
        </w:rPr>
      </w:pPr>
      <w:r>
        <w:rPr>
          <w:rFonts w:hint="eastAsia" w:ascii="宋体" w:hAnsi="宋体" w:cs="宋体"/>
          <w:color w:val="auto"/>
          <w:sz w:val="24"/>
        </w:rPr>
        <w:t>声明日期：</w:t>
      </w:r>
      <w:r>
        <w:rPr>
          <w:rFonts w:hint="eastAsia" w:ascii="宋体" w:hAnsi="宋体" w:cs="宋体"/>
          <w:color w:val="auto"/>
          <w:sz w:val="24"/>
          <w:lang w:val="en-GB"/>
        </w:rPr>
        <w:t>年月日</w:t>
      </w:r>
    </w:p>
    <w:p>
      <w:pPr>
        <w:pStyle w:val="2"/>
        <w:rPr>
          <w:rFonts w:ascii="宋体" w:hAnsi="宋体" w:cs="宋体"/>
          <w:color w:val="auto"/>
          <w:sz w:val="24"/>
          <w:lang w:val="en-GB"/>
        </w:rPr>
      </w:pPr>
    </w:p>
    <w:p>
      <w:pPr>
        <w:adjustRightInd w:val="0"/>
        <w:snapToGrid w:val="0"/>
        <w:spacing w:beforeLines="100" w:line="440" w:lineRule="exact"/>
        <w:ind w:firstLine="3120" w:firstLineChars="1300"/>
        <w:rPr>
          <w:rFonts w:ascii="宋体" w:hAnsi="宋体" w:cs="宋体"/>
          <w:bCs/>
          <w:color w:val="auto"/>
          <w:kern w:val="0"/>
          <w:sz w:val="24"/>
          <w:lang w:val="en-GB"/>
        </w:rPr>
      </w:pPr>
    </w:p>
    <w:p>
      <w:pPr>
        <w:pStyle w:val="3"/>
        <w:jc w:val="center"/>
        <w:rPr>
          <w:b w:val="0"/>
          <w:iCs/>
          <w:color w:val="auto"/>
          <w:sz w:val="21"/>
          <w:szCs w:val="21"/>
        </w:rPr>
      </w:pPr>
    </w:p>
    <w:sectPr>
      <w:footerReference r:id="rId9" w:type="default"/>
      <w:pgSz w:w="11906" w:h="16838"/>
      <w:pgMar w:top="1417" w:right="1417" w:bottom="1417" w:left="1417" w:header="851" w:footer="992" w:gutter="0"/>
      <w:cols w:space="0" w:num="1"/>
      <w:docGrid w:type="lines" w:linePitch="5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中宋">
    <w:altName w:val="宋体"/>
    <w:panose1 w:val="00000000000000000000"/>
    <w:charset w:val="86"/>
    <w:family w:val="auto"/>
    <w:pitch w:val="default"/>
    <w:sig w:usb0="00000000" w:usb1="00000000" w:usb2="00000000" w:usb3="00000000" w:csb0="0004009F" w:csb1="DFD70000"/>
  </w:font>
  <w:font w:name="Arial Narrow">
    <w:altName w:val="Arial"/>
    <w:panose1 w:val="00000000000000000000"/>
    <w:charset w:val="00"/>
    <w:family w:val="swiss"/>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idowControl/>
      <w:ind w:right="360"/>
      <w:textAlignment w:val="baseline"/>
      <w:rPr>
        <w:rStyle w:val="43"/>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margin" w:hAnchor="text" w:xAlign="center" w:y="1"/>
      <w:widowControl/>
      <w:textAlignment w:val="baseline"/>
      <w:rPr>
        <w:rStyle w:val="44"/>
        <w:szCs w:val="18"/>
      </w:rPr>
    </w:pPr>
  </w:p>
  <w:p>
    <w:pPr>
      <w:pStyle w:val="16"/>
      <w:widowControl/>
      <w:ind w:right="360"/>
      <w:textAlignment w:val="baseline"/>
      <w:rPr>
        <w:rStyle w:val="43"/>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文本框 11" o:spid="_x0000_s3073" o:spt="202" type="#_x0000_t202" style="position:absolute;left:0pt;margin-top:0pt;height:144pt;width:144pt;mso-position-horizontal:right;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GMYQ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B8TiVyKCIOQzCjqQPYT&#10;Fn+ZY0AlnESkmqdRPE3DjuPhkGq5LCAsnBfpwl17mV2XZvvlbcIMldHKpAxM7MjCypXh3D0Pead/&#10;/y+oh0ds8Q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LxBcYxhAgAADA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16"/>
                  <w:rPr>
                    <w:rFonts w:ascii="微软雅黑" w:hAnsi="微软雅黑" w:eastAsia="微软雅黑" w:cs="微软雅黑"/>
                  </w:rPr>
                </w:pPr>
                <w:r>
                  <w:rPr>
                    <w:rFonts w:hint="eastAsia" w:ascii="微软雅黑" w:hAnsi="微软雅黑" w:eastAsia="微软雅黑" w:cs="微软雅黑"/>
                  </w:rPr>
                  <w:t xml:space="preserve">第 </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  \* MERGEFORMAT </w:instrText>
                </w:r>
                <w:r>
                  <w:rPr>
                    <w:rFonts w:hint="eastAsia" w:ascii="微软雅黑" w:hAnsi="微软雅黑" w:eastAsia="微软雅黑" w:cs="微软雅黑"/>
                  </w:rPr>
                  <w:fldChar w:fldCharType="separate"/>
                </w:r>
                <w:r>
                  <w:rPr>
                    <w:rFonts w:ascii="微软雅黑" w:hAnsi="微软雅黑" w:eastAsia="微软雅黑" w:cs="微软雅黑"/>
                  </w:rPr>
                  <w:t>4</w:t>
                </w:r>
                <w:r>
                  <w:rPr>
                    <w:rFonts w:hint="eastAsia" w:ascii="微软雅黑" w:hAnsi="微软雅黑" w:eastAsia="微软雅黑" w:cs="微软雅黑"/>
                  </w:rPr>
                  <w:fldChar w:fldCharType="end"/>
                </w:r>
                <w:r>
                  <w:rPr>
                    <w:rFonts w:hint="eastAsia" w:ascii="微软雅黑" w:hAnsi="微软雅黑" w:eastAsia="微软雅黑" w:cs="微软雅黑"/>
                  </w:rP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文本框 3" o:spid="_x0000_s3074" o:spt="202" type="#_x0000_t202" style="position:absolute;left:0pt;margin-top:0pt;height:144pt;width:144pt;mso-position-horizontal:right;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v:path/>
          <v:fill on="f" focussize="0,0"/>
          <v:stroke on="f" weight="0.5pt" joinstyle="miter"/>
          <v:imagedata o:title=""/>
          <o:lock v:ext="edit"/>
          <v:textbox inset="0mm,0mm,0mm,0mm" style="mso-fit-shape-to-text:t;">
            <w:txbxContent>
              <w:p>
                <w:pPr>
                  <w:pStyle w:val="16"/>
                  <w:rPr>
                    <w:rFonts w:ascii="微软雅黑" w:hAnsi="微软雅黑" w:eastAsia="微软雅黑" w:cs="微软雅黑"/>
                  </w:rPr>
                </w:pPr>
                <w:r>
                  <w:rPr>
                    <w:rFonts w:hint="eastAsia" w:ascii="微软雅黑" w:hAnsi="微软雅黑" w:eastAsia="微软雅黑" w:cs="微软雅黑"/>
                  </w:rPr>
                  <w:t xml:space="preserve">第 </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  \* MERGEFORMAT </w:instrText>
                </w:r>
                <w:r>
                  <w:rPr>
                    <w:rFonts w:hint="eastAsia" w:ascii="微软雅黑" w:hAnsi="微软雅黑" w:eastAsia="微软雅黑" w:cs="微软雅黑"/>
                  </w:rPr>
                  <w:fldChar w:fldCharType="separate"/>
                </w:r>
                <w:r>
                  <w:rPr>
                    <w:rFonts w:ascii="微软雅黑" w:hAnsi="微软雅黑" w:eastAsia="微软雅黑" w:cs="微软雅黑"/>
                  </w:rPr>
                  <w:t>73</w:t>
                </w:r>
                <w:r>
                  <w:rPr>
                    <w:rFonts w:hint="eastAsia" w:ascii="微软雅黑" w:hAnsi="微软雅黑" w:eastAsia="微软雅黑" w:cs="微软雅黑"/>
                  </w:rPr>
                  <w:fldChar w:fldCharType="end"/>
                </w:r>
                <w:r>
                  <w:rPr>
                    <w:rFonts w:hint="eastAsia" w:ascii="微软雅黑" w:hAnsi="微软雅黑" w:eastAsia="微软雅黑" w:cs="微软雅黑"/>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widowControl/>
      <w:pBdr>
        <w:bottom w:val="none" w:color="auto" w:sz="0" w:space="0"/>
      </w:pBdr>
      <w:textAlignment w:val="baseline"/>
      <w:rPr>
        <w:rStyle w:val="43"/>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widowControl/>
      <w:pBdr>
        <w:bottom w:val="single" w:color="auto" w:sz="4" w:space="0"/>
      </w:pBdr>
      <w:textAlignment w:val="baseline"/>
      <w:rPr>
        <w:rStyle w:val="43"/>
        <w:rFonts w:hint="eastAsia" w:eastAsia="微软雅黑"/>
        <w:sz w:val="18"/>
        <w:szCs w:val="18"/>
        <w:lang w:eastAsia="zh-CN"/>
      </w:rPr>
    </w:pPr>
    <w:r>
      <w:rPr>
        <w:rFonts w:hint="eastAsia" w:ascii="微软雅黑" w:hAnsi="微软雅黑" w:eastAsia="微软雅黑" w:cs="微软雅黑"/>
        <w:lang w:eastAsia="zh-CN"/>
      </w:rPr>
      <w:t>海南政鑫招标代理有限公司</w:t>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 xml:space="preserve">                                   </w:t>
    </w:r>
    <w:r>
      <w:rPr>
        <w:rFonts w:hint="eastAsia" w:ascii="微软雅黑" w:hAnsi="微软雅黑" w:eastAsia="微软雅黑" w:cs="微软雅黑"/>
        <w:lang w:eastAsia="zh-CN"/>
      </w:rPr>
      <w:t>ZX2022-047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rPr>
        <w:rFonts w:hint="eastAsia" w:eastAsia="微软雅黑"/>
        <w:lang w:eastAsia="zh-CN"/>
      </w:rPr>
    </w:pPr>
    <w:r>
      <w:rPr>
        <w:rFonts w:hint="eastAsia" w:ascii="微软雅黑" w:hAnsi="微软雅黑" w:eastAsia="微软雅黑" w:cs="微软雅黑"/>
        <w:lang w:eastAsia="zh-CN"/>
      </w:rPr>
      <w:t>海南政鑫招标代理有限公司</w:t>
    </w:r>
    <w:r>
      <w:rPr>
        <w:rFonts w:hint="eastAsia" w:ascii="微软雅黑" w:hAnsi="微软雅黑" w:eastAsia="微软雅黑" w:cs="微软雅黑"/>
      </w:rPr>
      <w:t xml:space="preserve">                                                              </w:t>
    </w:r>
    <w:r>
      <w:rPr>
        <w:rFonts w:hint="eastAsia" w:ascii="微软雅黑" w:hAnsi="微软雅黑" w:eastAsia="微软雅黑" w:cs="微软雅黑"/>
        <w:lang w:eastAsia="zh-CN"/>
      </w:rPr>
      <w:t>ZX2022-047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2488D"/>
    <w:multiLevelType w:val="singleLevel"/>
    <w:tmpl w:val="8C82488D"/>
    <w:lvl w:ilvl="0" w:tentative="0">
      <w:start w:val="1"/>
      <w:numFmt w:val="decimal"/>
      <w:suff w:val="space"/>
      <w:lvlText w:val="%1."/>
      <w:lvlJc w:val="left"/>
    </w:lvl>
  </w:abstractNum>
  <w:abstractNum w:abstractNumId="1">
    <w:nsid w:val="59245BEC"/>
    <w:multiLevelType w:val="singleLevel"/>
    <w:tmpl w:val="59245BEC"/>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250"/>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U4ZGY3NGE0ZjU4MzM2N2Y2NWFjNTkxZGYwYjY3ZGIifQ=="/>
  </w:docVars>
  <w:rsids>
    <w:rsidRoot w:val="3C6E0CA9"/>
    <w:rsid w:val="000350D0"/>
    <w:rsid w:val="000B5C93"/>
    <w:rsid w:val="0016327E"/>
    <w:rsid w:val="001A49AE"/>
    <w:rsid w:val="00250BC6"/>
    <w:rsid w:val="00272098"/>
    <w:rsid w:val="002C2981"/>
    <w:rsid w:val="002E2690"/>
    <w:rsid w:val="002F44D1"/>
    <w:rsid w:val="00356806"/>
    <w:rsid w:val="004520B4"/>
    <w:rsid w:val="00475BA1"/>
    <w:rsid w:val="00482C05"/>
    <w:rsid w:val="004F1E7E"/>
    <w:rsid w:val="0053215C"/>
    <w:rsid w:val="00557DF9"/>
    <w:rsid w:val="00566D34"/>
    <w:rsid w:val="00580866"/>
    <w:rsid w:val="00582506"/>
    <w:rsid w:val="005B0C24"/>
    <w:rsid w:val="00646E55"/>
    <w:rsid w:val="006A1C8A"/>
    <w:rsid w:val="006E42A7"/>
    <w:rsid w:val="00711479"/>
    <w:rsid w:val="00740442"/>
    <w:rsid w:val="00762CD4"/>
    <w:rsid w:val="00780549"/>
    <w:rsid w:val="00781A21"/>
    <w:rsid w:val="0085687B"/>
    <w:rsid w:val="00917BA9"/>
    <w:rsid w:val="0096418C"/>
    <w:rsid w:val="00996AE1"/>
    <w:rsid w:val="009B27F8"/>
    <w:rsid w:val="00A5200C"/>
    <w:rsid w:val="00A92E4C"/>
    <w:rsid w:val="00AE6064"/>
    <w:rsid w:val="00AF4755"/>
    <w:rsid w:val="00B26E86"/>
    <w:rsid w:val="00B77C10"/>
    <w:rsid w:val="00B8239E"/>
    <w:rsid w:val="00C231D8"/>
    <w:rsid w:val="00C36626"/>
    <w:rsid w:val="00CA0F74"/>
    <w:rsid w:val="00CB55DD"/>
    <w:rsid w:val="00CE63E3"/>
    <w:rsid w:val="00CE6BBF"/>
    <w:rsid w:val="00CF2755"/>
    <w:rsid w:val="00D275DC"/>
    <w:rsid w:val="00D8680F"/>
    <w:rsid w:val="00DB08DD"/>
    <w:rsid w:val="00DE4F13"/>
    <w:rsid w:val="00E033C3"/>
    <w:rsid w:val="00E35886"/>
    <w:rsid w:val="00E45212"/>
    <w:rsid w:val="00F045F0"/>
    <w:rsid w:val="00F2133D"/>
    <w:rsid w:val="00F90564"/>
    <w:rsid w:val="0104795F"/>
    <w:rsid w:val="013900A4"/>
    <w:rsid w:val="017C2D47"/>
    <w:rsid w:val="01C43271"/>
    <w:rsid w:val="01D20870"/>
    <w:rsid w:val="02AD6577"/>
    <w:rsid w:val="02D06C2F"/>
    <w:rsid w:val="02EC2148"/>
    <w:rsid w:val="02F96A8E"/>
    <w:rsid w:val="03333EFA"/>
    <w:rsid w:val="039D331E"/>
    <w:rsid w:val="0406748D"/>
    <w:rsid w:val="04193E7C"/>
    <w:rsid w:val="045056C1"/>
    <w:rsid w:val="04753C6A"/>
    <w:rsid w:val="04771635"/>
    <w:rsid w:val="04795923"/>
    <w:rsid w:val="048D53CE"/>
    <w:rsid w:val="04B34F95"/>
    <w:rsid w:val="050F66F3"/>
    <w:rsid w:val="055A75D9"/>
    <w:rsid w:val="05BC0E3E"/>
    <w:rsid w:val="05BD4BFD"/>
    <w:rsid w:val="05C732E5"/>
    <w:rsid w:val="05D5253D"/>
    <w:rsid w:val="05EA2515"/>
    <w:rsid w:val="06155735"/>
    <w:rsid w:val="06520D91"/>
    <w:rsid w:val="066A52C9"/>
    <w:rsid w:val="069D505A"/>
    <w:rsid w:val="06CE0008"/>
    <w:rsid w:val="07497E44"/>
    <w:rsid w:val="077C07FF"/>
    <w:rsid w:val="078620FA"/>
    <w:rsid w:val="07934E3C"/>
    <w:rsid w:val="07C722BB"/>
    <w:rsid w:val="082D55BC"/>
    <w:rsid w:val="083103DB"/>
    <w:rsid w:val="088312C2"/>
    <w:rsid w:val="08FD018D"/>
    <w:rsid w:val="0913264A"/>
    <w:rsid w:val="092863DB"/>
    <w:rsid w:val="0A0E10C0"/>
    <w:rsid w:val="0A5C25EF"/>
    <w:rsid w:val="0A5D0B2E"/>
    <w:rsid w:val="0A773FE6"/>
    <w:rsid w:val="0ABD7990"/>
    <w:rsid w:val="0AE51E46"/>
    <w:rsid w:val="0AF05616"/>
    <w:rsid w:val="0AFA23AA"/>
    <w:rsid w:val="0B367D71"/>
    <w:rsid w:val="0B474AAC"/>
    <w:rsid w:val="0B4F1E22"/>
    <w:rsid w:val="0B62319D"/>
    <w:rsid w:val="0B6233E0"/>
    <w:rsid w:val="0B632057"/>
    <w:rsid w:val="0B677CA9"/>
    <w:rsid w:val="0B905A68"/>
    <w:rsid w:val="0CA7181A"/>
    <w:rsid w:val="0CC92E36"/>
    <w:rsid w:val="0D027738"/>
    <w:rsid w:val="0D135E45"/>
    <w:rsid w:val="0DB948A0"/>
    <w:rsid w:val="0DD20B23"/>
    <w:rsid w:val="0DE419CA"/>
    <w:rsid w:val="0E315A26"/>
    <w:rsid w:val="0EB131D8"/>
    <w:rsid w:val="0F540A08"/>
    <w:rsid w:val="0FB435A4"/>
    <w:rsid w:val="0FE54CF1"/>
    <w:rsid w:val="1019333E"/>
    <w:rsid w:val="1034788C"/>
    <w:rsid w:val="10601C8C"/>
    <w:rsid w:val="10984F85"/>
    <w:rsid w:val="109E5A22"/>
    <w:rsid w:val="11355325"/>
    <w:rsid w:val="11824C74"/>
    <w:rsid w:val="11D53503"/>
    <w:rsid w:val="12597395"/>
    <w:rsid w:val="126D6B34"/>
    <w:rsid w:val="133D1DC7"/>
    <w:rsid w:val="137101E2"/>
    <w:rsid w:val="13785584"/>
    <w:rsid w:val="14862F9F"/>
    <w:rsid w:val="14B847B9"/>
    <w:rsid w:val="14CB20CB"/>
    <w:rsid w:val="14D333B0"/>
    <w:rsid w:val="14F11625"/>
    <w:rsid w:val="150B5930"/>
    <w:rsid w:val="150D5692"/>
    <w:rsid w:val="15280F73"/>
    <w:rsid w:val="15664142"/>
    <w:rsid w:val="15885301"/>
    <w:rsid w:val="1599515E"/>
    <w:rsid w:val="15C34981"/>
    <w:rsid w:val="15DE0627"/>
    <w:rsid w:val="15FB7E97"/>
    <w:rsid w:val="161F3118"/>
    <w:rsid w:val="16213E95"/>
    <w:rsid w:val="16237197"/>
    <w:rsid w:val="163F667B"/>
    <w:rsid w:val="165D321C"/>
    <w:rsid w:val="1686353F"/>
    <w:rsid w:val="16CC1F0A"/>
    <w:rsid w:val="16F74373"/>
    <w:rsid w:val="17487796"/>
    <w:rsid w:val="17D1579D"/>
    <w:rsid w:val="1810079A"/>
    <w:rsid w:val="181549F4"/>
    <w:rsid w:val="18216641"/>
    <w:rsid w:val="19485C07"/>
    <w:rsid w:val="19AF2DC9"/>
    <w:rsid w:val="1A7B02D5"/>
    <w:rsid w:val="1A824FAB"/>
    <w:rsid w:val="1A997552"/>
    <w:rsid w:val="1AD27B75"/>
    <w:rsid w:val="1B026901"/>
    <w:rsid w:val="1B5E5080"/>
    <w:rsid w:val="1B7564F2"/>
    <w:rsid w:val="1B857A4D"/>
    <w:rsid w:val="1C016ED7"/>
    <w:rsid w:val="1C15439D"/>
    <w:rsid w:val="1C43150F"/>
    <w:rsid w:val="1CB22ABC"/>
    <w:rsid w:val="1CB85740"/>
    <w:rsid w:val="1CDA0B83"/>
    <w:rsid w:val="1CDE0261"/>
    <w:rsid w:val="1CE0672A"/>
    <w:rsid w:val="1CE34516"/>
    <w:rsid w:val="1D4053CC"/>
    <w:rsid w:val="1DAA6915"/>
    <w:rsid w:val="1DB279DA"/>
    <w:rsid w:val="1DED6505"/>
    <w:rsid w:val="1DF31D14"/>
    <w:rsid w:val="1E1A3DAF"/>
    <w:rsid w:val="1E5E0A21"/>
    <w:rsid w:val="1E811B24"/>
    <w:rsid w:val="1E882BD7"/>
    <w:rsid w:val="1EA343CA"/>
    <w:rsid w:val="1EA53CA6"/>
    <w:rsid w:val="1EE5511D"/>
    <w:rsid w:val="1F0A5D32"/>
    <w:rsid w:val="1F5D35FA"/>
    <w:rsid w:val="1F5E3C71"/>
    <w:rsid w:val="1F7347D7"/>
    <w:rsid w:val="1FBC7A8F"/>
    <w:rsid w:val="1FC64ACC"/>
    <w:rsid w:val="1FCA6A52"/>
    <w:rsid w:val="1FCE5F27"/>
    <w:rsid w:val="1FE30482"/>
    <w:rsid w:val="1FEC6C75"/>
    <w:rsid w:val="1FF41A94"/>
    <w:rsid w:val="1FF86440"/>
    <w:rsid w:val="1FF97C68"/>
    <w:rsid w:val="200F29BF"/>
    <w:rsid w:val="20AF6686"/>
    <w:rsid w:val="20C375D3"/>
    <w:rsid w:val="217E0879"/>
    <w:rsid w:val="21E415CA"/>
    <w:rsid w:val="21E566C3"/>
    <w:rsid w:val="21EB02F9"/>
    <w:rsid w:val="21F433F2"/>
    <w:rsid w:val="220F7E3F"/>
    <w:rsid w:val="224A0D8E"/>
    <w:rsid w:val="225C7B4A"/>
    <w:rsid w:val="229B0C71"/>
    <w:rsid w:val="22FF249D"/>
    <w:rsid w:val="23542C27"/>
    <w:rsid w:val="23631DE7"/>
    <w:rsid w:val="23911B0E"/>
    <w:rsid w:val="23FF1B11"/>
    <w:rsid w:val="242129D1"/>
    <w:rsid w:val="244009C2"/>
    <w:rsid w:val="24600FA0"/>
    <w:rsid w:val="246A3672"/>
    <w:rsid w:val="24942C81"/>
    <w:rsid w:val="24C36C59"/>
    <w:rsid w:val="250440FC"/>
    <w:rsid w:val="252D7218"/>
    <w:rsid w:val="254D6C53"/>
    <w:rsid w:val="255A5499"/>
    <w:rsid w:val="25691161"/>
    <w:rsid w:val="25883CA6"/>
    <w:rsid w:val="25E76FA5"/>
    <w:rsid w:val="266A5FF0"/>
    <w:rsid w:val="26D75EB3"/>
    <w:rsid w:val="27004A7D"/>
    <w:rsid w:val="272C6792"/>
    <w:rsid w:val="275E4FB6"/>
    <w:rsid w:val="27692B16"/>
    <w:rsid w:val="276D6F09"/>
    <w:rsid w:val="27A07AAB"/>
    <w:rsid w:val="28345B9E"/>
    <w:rsid w:val="29044DD4"/>
    <w:rsid w:val="29087C40"/>
    <w:rsid w:val="29451FF4"/>
    <w:rsid w:val="29797CD3"/>
    <w:rsid w:val="29C06E22"/>
    <w:rsid w:val="2A3503C8"/>
    <w:rsid w:val="2A3D4E7F"/>
    <w:rsid w:val="2A607655"/>
    <w:rsid w:val="2A950395"/>
    <w:rsid w:val="2AA8256F"/>
    <w:rsid w:val="2AF8108C"/>
    <w:rsid w:val="2AFA1380"/>
    <w:rsid w:val="2B194B81"/>
    <w:rsid w:val="2B1D58EC"/>
    <w:rsid w:val="2B243FC6"/>
    <w:rsid w:val="2B710D8D"/>
    <w:rsid w:val="2B881B9D"/>
    <w:rsid w:val="2B9461FC"/>
    <w:rsid w:val="2BBB7EE4"/>
    <w:rsid w:val="2BEE1114"/>
    <w:rsid w:val="2C297706"/>
    <w:rsid w:val="2C5A5145"/>
    <w:rsid w:val="2C5E2B47"/>
    <w:rsid w:val="2CA32912"/>
    <w:rsid w:val="2CC119D6"/>
    <w:rsid w:val="2CDE06F5"/>
    <w:rsid w:val="2DDF3727"/>
    <w:rsid w:val="2E233F1A"/>
    <w:rsid w:val="2E37107E"/>
    <w:rsid w:val="2E427324"/>
    <w:rsid w:val="2F182240"/>
    <w:rsid w:val="2F545B6D"/>
    <w:rsid w:val="2FA42A5E"/>
    <w:rsid w:val="2FC013B1"/>
    <w:rsid w:val="2FE90DEE"/>
    <w:rsid w:val="30433A4D"/>
    <w:rsid w:val="30453033"/>
    <w:rsid w:val="30744D53"/>
    <w:rsid w:val="30897F21"/>
    <w:rsid w:val="30921CEC"/>
    <w:rsid w:val="30BA0542"/>
    <w:rsid w:val="30CC3DE6"/>
    <w:rsid w:val="31072B63"/>
    <w:rsid w:val="31116854"/>
    <w:rsid w:val="316D4FDD"/>
    <w:rsid w:val="31FD3DE8"/>
    <w:rsid w:val="323B4A16"/>
    <w:rsid w:val="32453752"/>
    <w:rsid w:val="32B764E9"/>
    <w:rsid w:val="32EB53AE"/>
    <w:rsid w:val="33B21B34"/>
    <w:rsid w:val="33E83C17"/>
    <w:rsid w:val="34047F63"/>
    <w:rsid w:val="34A7664D"/>
    <w:rsid w:val="352F57AB"/>
    <w:rsid w:val="3557084B"/>
    <w:rsid w:val="35602FF6"/>
    <w:rsid w:val="366340B1"/>
    <w:rsid w:val="36674B55"/>
    <w:rsid w:val="36D7353C"/>
    <w:rsid w:val="36EE0545"/>
    <w:rsid w:val="372A2531"/>
    <w:rsid w:val="3788478C"/>
    <w:rsid w:val="37C12AA1"/>
    <w:rsid w:val="37EF2E90"/>
    <w:rsid w:val="380046AD"/>
    <w:rsid w:val="38211F84"/>
    <w:rsid w:val="384F6966"/>
    <w:rsid w:val="388B72CD"/>
    <w:rsid w:val="38AA2D05"/>
    <w:rsid w:val="38F43D53"/>
    <w:rsid w:val="392506FA"/>
    <w:rsid w:val="394F7386"/>
    <w:rsid w:val="39936319"/>
    <w:rsid w:val="39D57725"/>
    <w:rsid w:val="39E641BE"/>
    <w:rsid w:val="3A1D2E38"/>
    <w:rsid w:val="3A2166F5"/>
    <w:rsid w:val="3A3408A7"/>
    <w:rsid w:val="3A715122"/>
    <w:rsid w:val="3A8A3179"/>
    <w:rsid w:val="3A8B00A4"/>
    <w:rsid w:val="3AEC5D06"/>
    <w:rsid w:val="3B01340C"/>
    <w:rsid w:val="3B03796F"/>
    <w:rsid w:val="3B0745C3"/>
    <w:rsid w:val="3B535415"/>
    <w:rsid w:val="3B624143"/>
    <w:rsid w:val="3B7343F1"/>
    <w:rsid w:val="3BB17A42"/>
    <w:rsid w:val="3C6E0CA9"/>
    <w:rsid w:val="3CAB1958"/>
    <w:rsid w:val="3CF61C08"/>
    <w:rsid w:val="3D535604"/>
    <w:rsid w:val="3D5A61B8"/>
    <w:rsid w:val="3DD063C2"/>
    <w:rsid w:val="3DE919D8"/>
    <w:rsid w:val="3E001DD4"/>
    <w:rsid w:val="3E503B01"/>
    <w:rsid w:val="3EC054F1"/>
    <w:rsid w:val="3EE871B2"/>
    <w:rsid w:val="3F14232D"/>
    <w:rsid w:val="3F4B151A"/>
    <w:rsid w:val="3F591598"/>
    <w:rsid w:val="3FB12956"/>
    <w:rsid w:val="3FB66481"/>
    <w:rsid w:val="3FB92E71"/>
    <w:rsid w:val="3FEE276E"/>
    <w:rsid w:val="40176479"/>
    <w:rsid w:val="4042206B"/>
    <w:rsid w:val="405D6DDF"/>
    <w:rsid w:val="40BB7E30"/>
    <w:rsid w:val="40C308CE"/>
    <w:rsid w:val="40F3048C"/>
    <w:rsid w:val="40F73C55"/>
    <w:rsid w:val="41147D8E"/>
    <w:rsid w:val="416150D4"/>
    <w:rsid w:val="41B3723B"/>
    <w:rsid w:val="41B80723"/>
    <w:rsid w:val="41E055D5"/>
    <w:rsid w:val="41F61733"/>
    <w:rsid w:val="41FE2770"/>
    <w:rsid w:val="42AB5098"/>
    <w:rsid w:val="42C93983"/>
    <w:rsid w:val="4324632E"/>
    <w:rsid w:val="434359BA"/>
    <w:rsid w:val="43691F52"/>
    <w:rsid w:val="4369338D"/>
    <w:rsid w:val="436E1BE8"/>
    <w:rsid w:val="44181DE1"/>
    <w:rsid w:val="4473751E"/>
    <w:rsid w:val="447A7EF9"/>
    <w:rsid w:val="44BA765B"/>
    <w:rsid w:val="45215EBD"/>
    <w:rsid w:val="45561DD3"/>
    <w:rsid w:val="45853CEC"/>
    <w:rsid w:val="46314472"/>
    <w:rsid w:val="46A80EA7"/>
    <w:rsid w:val="46B17E58"/>
    <w:rsid w:val="474A7243"/>
    <w:rsid w:val="477C34C8"/>
    <w:rsid w:val="47A71385"/>
    <w:rsid w:val="47E70B6F"/>
    <w:rsid w:val="482F2110"/>
    <w:rsid w:val="48775AD2"/>
    <w:rsid w:val="496E22E1"/>
    <w:rsid w:val="49B46276"/>
    <w:rsid w:val="49C1661F"/>
    <w:rsid w:val="49DA459C"/>
    <w:rsid w:val="4A8934AA"/>
    <w:rsid w:val="4AA17F28"/>
    <w:rsid w:val="4AC62DD9"/>
    <w:rsid w:val="4B171B72"/>
    <w:rsid w:val="4B515953"/>
    <w:rsid w:val="4B761A5D"/>
    <w:rsid w:val="4BD84C7D"/>
    <w:rsid w:val="4C2C6795"/>
    <w:rsid w:val="4C6F62F4"/>
    <w:rsid w:val="4CA938D6"/>
    <w:rsid w:val="4CE9567C"/>
    <w:rsid w:val="4DE55DB5"/>
    <w:rsid w:val="4E641323"/>
    <w:rsid w:val="4E830A7F"/>
    <w:rsid w:val="4E8B4D8A"/>
    <w:rsid w:val="4E9348DB"/>
    <w:rsid w:val="4F282D0E"/>
    <w:rsid w:val="4F2B2BF6"/>
    <w:rsid w:val="4F981860"/>
    <w:rsid w:val="4F9B5860"/>
    <w:rsid w:val="4FA63767"/>
    <w:rsid w:val="4FB14F7E"/>
    <w:rsid w:val="4FC20E2B"/>
    <w:rsid w:val="50084ED9"/>
    <w:rsid w:val="502B50C3"/>
    <w:rsid w:val="503D1207"/>
    <w:rsid w:val="50840C18"/>
    <w:rsid w:val="50AE728E"/>
    <w:rsid w:val="51653152"/>
    <w:rsid w:val="5179434D"/>
    <w:rsid w:val="517A325A"/>
    <w:rsid w:val="518D73E4"/>
    <w:rsid w:val="51FB4CFE"/>
    <w:rsid w:val="520429D1"/>
    <w:rsid w:val="520E7D27"/>
    <w:rsid w:val="52A60CBB"/>
    <w:rsid w:val="52A86E96"/>
    <w:rsid w:val="52C525D7"/>
    <w:rsid w:val="52E7147B"/>
    <w:rsid w:val="53153D62"/>
    <w:rsid w:val="533E019D"/>
    <w:rsid w:val="53D4594D"/>
    <w:rsid w:val="544A0D27"/>
    <w:rsid w:val="544E1910"/>
    <w:rsid w:val="54773A81"/>
    <w:rsid w:val="548073E3"/>
    <w:rsid w:val="54844F6B"/>
    <w:rsid w:val="54DD7A57"/>
    <w:rsid w:val="54FE2DB6"/>
    <w:rsid w:val="55723254"/>
    <w:rsid w:val="55C352EE"/>
    <w:rsid w:val="56306A8D"/>
    <w:rsid w:val="565B4429"/>
    <w:rsid w:val="5673487B"/>
    <w:rsid w:val="56744C5C"/>
    <w:rsid w:val="56833604"/>
    <w:rsid w:val="568909D5"/>
    <w:rsid w:val="56896E56"/>
    <w:rsid w:val="56D70D86"/>
    <w:rsid w:val="56DF1443"/>
    <w:rsid w:val="56FC28C6"/>
    <w:rsid w:val="57651E0B"/>
    <w:rsid w:val="577D5D8E"/>
    <w:rsid w:val="57B5294D"/>
    <w:rsid w:val="57C2389C"/>
    <w:rsid w:val="57C410A5"/>
    <w:rsid w:val="57D77A13"/>
    <w:rsid w:val="57DF3ED7"/>
    <w:rsid w:val="57F07A8D"/>
    <w:rsid w:val="58161F78"/>
    <w:rsid w:val="58535396"/>
    <w:rsid w:val="586631C9"/>
    <w:rsid w:val="58AE691E"/>
    <w:rsid w:val="58DF1D46"/>
    <w:rsid w:val="590D3FCC"/>
    <w:rsid w:val="591705F2"/>
    <w:rsid w:val="595C7E0A"/>
    <w:rsid w:val="596E3914"/>
    <w:rsid w:val="5988764A"/>
    <w:rsid w:val="59FE4A24"/>
    <w:rsid w:val="5A4736E5"/>
    <w:rsid w:val="5A6657E2"/>
    <w:rsid w:val="5A81539E"/>
    <w:rsid w:val="5A9B4B8B"/>
    <w:rsid w:val="5AAA632E"/>
    <w:rsid w:val="5ABE76CC"/>
    <w:rsid w:val="5B3E5C8B"/>
    <w:rsid w:val="5BBC53D0"/>
    <w:rsid w:val="5BE17F0B"/>
    <w:rsid w:val="5BE90602"/>
    <w:rsid w:val="5BF54F89"/>
    <w:rsid w:val="5C304F4B"/>
    <w:rsid w:val="5CAF7131"/>
    <w:rsid w:val="5CEC51F7"/>
    <w:rsid w:val="5D0F1951"/>
    <w:rsid w:val="5D0F5CB4"/>
    <w:rsid w:val="5D43058E"/>
    <w:rsid w:val="5DAC4A88"/>
    <w:rsid w:val="5DBC388C"/>
    <w:rsid w:val="5DD551E6"/>
    <w:rsid w:val="5DE52CA3"/>
    <w:rsid w:val="5E416389"/>
    <w:rsid w:val="5ECC2D45"/>
    <w:rsid w:val="5EFB7B1C"/>
    <w:rsid w:val="5F08155A"/>
    <w:rsid w:val="5F1C34BB"/>
    <w:rsid w:val="5F7A1300"/>
    <w:rsid w:val="5FBB1A56"/>
    <w:rsid w:val="5FC03239"/>
    <w:rsid w:val="5FD05B6D"/>
    <w:rsid w:val="5FE85B1E"/>
    <w:rsid w:val="5FF17FA0"/>
    <w:rsid w:val="600C2766"/>
    <w:rsid w:val="60B17AEE"/>
    <w:rsid w:val="60DB3B70"/>
    <w:rsid w:val="60EA64DB"/>
    <w:rsid w:val="610C410C"/>
    <w:rsid w:val="61127BAA"/>
    <w:rsid w:val="61244F46"/>
    <w:rsid w:val="61367D74"/>
    <w:rsid w:val="61865FAD"/>
    <w:rsid w:val="61C27802"/>
    <w:rsid w:val="61EA0B37"/>
    <w:rsid w:val="61FA7561"/>
    <w:rsid w:val="624353E7"/>
    <w:rsid w:val="627C03BF"/>
    <w:rsid w:val="62954EA8"/>
    <w:rsid w:val="63560225"/>
    <w:rsid w:val="639F3400"/>
    <w:rsid w:val="63C35E35"/>
    <w:rsid w:val="644650F2"/>
    <w:rsid w:val="64BB37D4"/>
    <w:rsid w:val="64C54400"/>
    <w:rsid w:val="650F2D91"/>
    <w:rsid w:val="65905360"/>
    <w:rsid w:val="65B9090F"/>
    <w:rsid w:val="65F32EC6"/>
    <w:rsid w:val="663D79DA"/>
    <w:rsid w:val="66430320"/>
    <w:rsid w:val="66AF2FD7"/>
    <w:rsid w:val="66C00847"/>
    <w:rsid w:val="66E11FD0"/>
    <w:rsid w:val="66F50384"/>
    <w:rsid w:val="66F76665"/>
    <w:rsid w:val="675A04E5"/>
    <w:rsid w:val="67683F07"/>
    <w:rsid w:val="67FB4D01"/>
    <w:rsid w:val="683C48D6"/>
    <w:rsid w:val="6879339E"/>
    <w:rsid w:val="68B04BE5"/>
    <w:rsid w:val="690C60D9"/>
    <w:rsid w:val="690D5A5A"/>
    <w:rsid w:val="690F3B2F"/>
    <w:rsid w:val="6A441E4B"/>
    <w:rsid w:val="6A6B43D5"/>
    <w:rsid w:val="6A776E9F"/>
    <w:rsid w:val="6A9A341C"/>
    <w:rsid w:val="6AAE38A9"/>
    <w:rsid w:val="6AC65FC2"/>
    <w:rsid w:val="6B187F8E"/>
    <w:rsid w:val="6B4A7F63"/>
    <w:rsid w:val="6B54577A"/>
    <w:rsid w:val="6B5C50CA"/>
    <w:rsid w:val="6B7905E6"/>
    <w:rsid w:val="6B8F780E"/>
    <w:rsid w:val="6C3A5314"/>
    <w:rsid w:val="6C3B249A"/>
    <w:rsid w:val="6C4774E6"/>
    <w:rsid w:val="6C8D3A7C"/>
    <w:rsid w:val="6C9C7DCE"/>
    <w:rsid w:val="6CB34E8E"/>
    <w:rsid w:val="6D413DAD"/>
    <w:rsid w:val="6D440EE9"/>
    <w:rsid w:val="6D71486B"/>
    <w:rsid w:val="6D836A34"/>
    <w:rsid w:val="6DB95093"/>
    <w:rsid w:val="6DFD7379"/>
    <w:rsid w:val="6E081899"/>
    <w:rsid w:val="6E426ABB"/>
    <w:rsid w:val="6F7F0E6B"/>
    <w:rsid w:val="6F870B4A"/>
    <w:rsid w:val="6F991712"/>
    <w:rsid w:val="6FE944A3"/>
    <w:rsid w:val="703C6B4B"/>
    <w:rsid w:val="707F60AB"/>
    <w:rsid w:val="70F0756A"/>
    <w:rsid w:val="71397DAC"/>
    <w:rsid w:val="714D6564"/>
    <w:rsid w:val="715B3223"/>
    <w:rsid w:val="71EA02BB"/>
    <w:rsid w:val="72080E22"/>
    <w:rsid w:val="72397FB5"/>
    <w:rsid w:val="72535F5E"/>
    <w:rsid w:val="727E5FED"/>
    <w:rsid w:val="73075D58"/>
    <w:rsid w:val="739248C0"/>
    <w:rsid w:val="73A97516"/>
    <w:rsid w:val="74120AC5"/>
    <w:rsid w:val="743D7AB6"/>
    <w:rsid w:val="744428BA"/>
    <w:rsid w:val="746B3700"/>
    <w:rsid w:val="74B040F1"/>
    <w:rsid w:val="74DF6437"/>
    <w:rsid w:val="7511605C"/>
    <w:rsid w:val="751338F5"/>
    <w:rsid w:val="754D3DCD"/>
    <w:rsid w:val="756B354B"/>
    <w:rsid w:val="75923DF4"/>
    <w:rsid w:val="75A3014F"/>
    <w:rsid w:val="75AF09CD"/>
    <w:rsid w:val="75CC700D"/>
    <w:rsid w:val="75F140D9"/>
    <w:rsid w:val="76114447"/>
    <w:rsid w:val="76562E99"/>
    <w:rsid w:val="76C03BDF"/>
    <w:rsid w:val="76CD1F5B"/>
    <w:rsid w:val="77100C11"/>
    <w:rsid w:val="77BF6B33"/>
    <w:rsid w:val="77E26C00"/>
    <w:rsid w:val="7853338E"/>
    <w:rsid w:val="78744DAD"/>
    <w:rsid w:val="78833CAC"/>
    <w:rsid w:val="78B50591"/>
    <w:rsid w:val="78CD53DA"/>
    <w:rsid w:val="78E55CF1"/>
    <w:rsid w:val="78F85AC8"/>
    <w:rsid w:val="791C0E3E"/>
    <w:rsid w:val="79D8330B"/>
    <w:rsid w:val="79F14121"/>
    <w:rsid w:val="7A387E9F"/>
    <w:rsid w:val="7A592BA5"/>
    <w:rsid w:val="7AE9552A"/>
    <w:rsid w:val="7AF1186E"/>
    <w:rsid w:val="7B2924A4"/>
    <w:rsid w:val="7B4F0359"/>
    <w:rsid w:val="7B555AB3"/>
    <w:rsid w:val="7BB439A5"/>
    <w:rsid w:val="7C052E45"/>
    <w:rsid w:val="7C184483"/>
    <w:rsid w:val="7C2167D9"/>
    <w:rsid w:val="7C392978"/>
    <w:rsid w:val="7C5702EF"/>
    <w:rsid w:val="7C9833E9"/>
    <w:rsid w:val="7C9D0D37"/>
    <w:rsid w:val="7CC31408"/>
    <w:rsid w:val="7CD769A0"/>
    <w:rsid w:val="7CDB5843"/>
    <w:rsid w:val="7D132162"/>
    <w:rsid w:val="7D456926"/>
    <w:rsid w:val="7D4C0EBA"/>
    <w:rsid w:val="7D6172AB"/>
    <w:rsid w:val="7D963735"/>
    <w:rsid w:val="7DBF4FA6"/>
    <w:rsid w:val="7E121591"/>
    <w:rsid w:val="7E225AC2"/>
    <w:rsid w:val="7E23517E"/>
    <w:rsid w:val="7E7D45DE"/>
    <w:rsid w:val="7E9255B0"/>
    <w:rsid w:val="7EA41A3D"/>
    <w:rsid w:val="7F32561D"/>
    <w:rsid w:val="7F56713C"/>
    <w:rsid w:val="7F8C60CB"/>
    <w:rsid w:val="7FA20B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5"/>
    <w:qFormat/>
    <w:uiPriority w:val="0"/>
    <w:pPr>
      <w:keepNext/>
      <w:keepLines/>
      <w:spacing w:before="260" w:after="260" w:line="413" w:lineRule="auto"/>
      <w:outlineLvl w:val="1"/>
    </w:pPr>
    <w:rPr>
      <w:rFonts w:ascii="Arial" w:hAnsi="Arial" w:eastAsia="黑体"/>
      <w:b/>
      <w:bCs/>
      <w:sz w:val="32"/>
      <w:szCs w:val="32"/>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paragraph" w:styleId="5">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7"/>
    <w:basedOn w:val="1"/>
    <w:next w:val="1"/>
    <w:qFormat/>
    <w:uiPriority w:val="1"/>
    <w:pPr>
      <w:ind w:left="657"/>
      <w:outlineLvl w:val="6"/>
    </w:pPr>
    <w:rPr>
      <w:rFonts w:ascii="宋体" w:hAnsi="宋体" w:cs="宋体"/>
      <w:sz w:val="28"/>
      <w:szCs w:val="28"/>
      <w:lang w:val="zh-CN" w:bidi="zh-CN"/>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7">
    <w:name w:val="Normal Indent"/>
    <w:basedOn w:val="1"/>
    <w:next w:val="1"/>
    <w:qFormat/>
    <w:uiPriority w:val="0"/>
    <w:pPr>
      <w:spacing w:before="60"/>
      <w:ind w:firstLine="420" w:firstLineChars="200"/>
    </w:pPr>
  </w:style>
  <w:style w:type="paragraph" w:styleId="8">
    <w:name w:val="caption"/>
    <w:basedOn w:val="1"/>
    <w:next w:val="1"/>
    <w:qFormat/>
    <w:uiPriority w:val="0"/>
    <w:rPr>
      <w:rFonts w:ascii="Arial" w:hAnsi="Arial" w:eastAsia="黑体"/>
      <w:sz w:val="20"/>
    </w:rPr>
  </w:style>
  <w:style w:type="paragraph" w:styleId="9">
    <w:name w:val="annotation text"/>
    <w:basedOn w:val="1"/>
    <w:semiHidden/>
    <w:unhideWhenUsed/>
    <w:qFormat/>
    <w:uiPriority w:val="99"/>
    <w:pPr>
      <w:jc w:val="left"/>
    </w:pPr>
  </w:style>
  <w:style w:type="paragraph" w:styleId="10">
    <w:name w:val="Body Text 3"/>
    <w:basedOn w:val="1"/>
    <w:qFormat/>
    <w:uiPriority w:val="0"/>
    <w:rPr>
      <w:rFonts w:ascii="宋体"/>
      <w:sz w:val="24"/>
      <w:szCs w:val="20"/>
    </w:rPr>
  </w:style>
  <w:style w:type="paragraph" w:styleId="11">
    <w:name w:val="Body Text"/>
    <w:basedOn w:val="1"/>
    <w:qFormat/>
    <w:uiPriority w:val="0"/>
    <w:pPr>
      <w:spacing w:after="120"/>
    </w:pPr>
  </w:style>
  <w:style w:type="paragraph" w:styleId="12">
    <w:name w:val="Body Text Indent"/>
    <w:basedOn w:val="1"/>
    <w:next w:val="1"/>
    <w:qFormat/>
    <w:uiPriority w:val="99"/>
    <w:pPr>
      <w:autoSpaceDE w:val="0"/>
      <w:autoSpaceDN w:val="0"/>
      <w:spacing w:line="360" w:lineRule="auto"/>
      <w:ind w:left="181" w:firstLine="539"/>
    </w:pPr>
    <w:rPr>
      <w:kern w:val="0"/>
      <w:sz w:val="20"/>
      <w:szCs w:val="20"/>
    </w:rPr>
  </w:style>
  <w:style w:type="paragraph" w:styleId="13">
    <w:name w:val="Plain Text"/>
    <w:basedOn w:val="1"/>
    <w:qFormat/>
    <w:uiPriority w:val="0"/>
    <w:rPr>
      <w:rFonts w:ascii="宋体" w:hAnsi="Courier New"/>
    </w:rPr>
  </w:style>
  <w:style w:type="paragraph" w:styleId="14">
    <w:name w:val="Date"/>
    <w:basedOn w:val="1"/>
    <w:next w:val="1"/>
    <w:qFormat/>
    <w:uiPriority w:val="0"/>
    <w:rPr>
      <w:rFonts w:asciiTheme="minorHAnsi" w:hAnsiTheme="minorHAnsi" w:cstheme="minorBidi"/>
      <w:sz w:val="28"/>
      <w:szCs w:val="20"/>
    </w:rPr>
  </w:style>
  <w:style w:type="paragraph" w:styleId="15">
    <w:name w:val="Balloon Text"/>
    <w:basedOn w:val="1"/>
    <w:link w:val="46"/>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next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8">
    <w:name w:val="toc 1"/>
    <w:basedOn w:val="1"/>
    <w:next w:val="1"/>
    <w:qFormat/>
    <w:uiPriority w:val="39"/>
  </w:style>
  <w:style w:type="paragraph" w:styleId="19">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paragraph" w:styleId="20">
    <w:name w:val="annotation subject"/>
    <w:basedOn w:val="9"/>
    <w:next w:val="9"/>
    <w:semiHidden/>
    <w:qFormat/>
    <w:uiPriority w:val="0"/>
    <w:rPr>
      <w:rFonts w:ascii="宋体" w:hAnsi="华文中宋"/>
      <w:b/>
      <w:bCs/>
      <w:sz w:val="28"/>
      <w:szCs w:val="20"/>
    </w:rPr>
  </w:style>
  <w:style w:type="paragraph" w:styleId="21">
    <w:name w:val="Body Text First Indent 2"/>
    <w:basedOn w:val="12"/>
    <w:qFormat/>
    <w:uiPriority w:val="0"/>
    <w:pPr>
      <w:autoSpaceDE/>
      <w:autoSpaceDN/>
      <w:spacing w:after="120" w:line="240" w:lineRule="auto"/>
      <w:ind w:left="420" w:leftChars="200" w:firstLine="420" w:firstLineChars="200"/>
    </w:pPr>
    <w:rPr>
      <w:sz w:val="21"/>
      <w:szCs w:val="24"/>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22"/>
    <w:rPr>
      <w:b/>
      <w:bCs/>
    </w:rPr>
  </w:style>
  <w:style w:type="character" w:styleId="26">
    <w:name w:val="Hyperlink"/>
    <w:qFormat/>
    <w:uiPriority w:val="99"/>
    <w:rPr>
      <w:color w:val="0000FF"/>
      <w:u w:val="single"/>
    </w:rPr>
  </w:style>
  <w:style w:type="paragraph" w:customStyle="1" w:styleId="27">
    <w:name w:val="_Style 3"/>
    <w:basedOn w:val="3"/>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28">
    <w:name w:val="标题 1 Char"/>
    <w:qFormat/>
    <w:uiPriority w:val="0"/>
    <w:rPr>
      <w:rFonts w:hint="default" w:ascii="Arial" w:hAnsi="Arial" w:eastAsia="宋体" w:cs="Arial"/>
      <w:bCs/>
      <w:kern w:val="32"/>
      <w:sz w:val="32"/>
      <w:szCs w:val="32"/>
      <w:lang w:val="en-US" w:eastAsia="zh-CN" w:bidi="ar-SA"/>
    </w:rPr>
  </w:style>
  <w:style w:type="paragraph" w:customStyle="1" w:styleId="29">
    <w:name w:val="正文首行缩进两字符"/>
    <w:basedOn w:val="1"/>
    <w:qFormat/>
    <w:uiPriority w:val="0"/>
    <w:pPr>
      <w:spacing w:line="360" w:lineRule="auto"/>
      <w:ind w:firstLine="200" w:firstLineChars="200"/>
    </w:pPr>
  </w:style>
  <w:style w:type="paragraph" w:customStyle="1" w:styleId="30">
    <w:name w:val="newstyle16"/>
    <w:basedOn w:val="1"/>
    <w:qFormat/>
    <w:uiPriority w:val="0"/>
    <w:pPr>
      <w:widowControl/>
      <w:jc w:val="left"/>
    </w:pPr>
    <w:rPr>
      <w:rFonts w:ascii="宋体" w:hAnsi="宋体" w:cs="宋体"/>
      <w:kern w:val="0"/>
      <w:sz w:val="24"/>
    </w:rPr>
  </w:style>
  <w:style w:type="paragraph" w:customStyle="1" w:styleId="31">
    <w:name w:val="表格文字"/>
    <w:basedOn w:val="1"/>
    <w:qFormat/>
    <w:uiPriority w:val="0"/>
    <w:pPr>
      <w:spacing w:before="25" w:after="25"/>
      <w:jc w:val="left"/>
    </w:pPr>
    <w:rPr>
      <w:bCs/>
      <w:spacing w:val="10"/>
      <w:kern w:val="0"/>
      <w:sz w:val="24"/>
      <w:szCs w:val="20"/>
    </w:rPr>
  </w:style>
  <w:style w:type="paragraph" w:customStyle="1" w:styleId="32">
    <w:name w:val="p0"/>
    <w:basedOn w:val="1"/>
    <w:qFormat/>
    <w:uiPriority w:val="0"/>
    <w:pPr>
      <w:widowControl/>
    </w:pPr>
    <w:rPr>
      <w:kern w:val="0"/>
      <w:szCs w:val="21"/>
    </w:rPr>
  </w:style>
  <w:style w:type="paragraph" w:customStyle="1" w:styleId="33">
    <w:name w:val="正文缩进1"/>
    <w:basedOn w:val="1"/>
    <w:qFormat/>
    <w:uiPriority w:val="0"/>
    <w:pPr>
      <w:ind w:firstLine="420" w:firstLineChars="200"/>
    </w:pPr>
  </w:style>
  <w:style w:type="paragraph" w:styleId="34">
    <w:name w:val="List Paragraph"/>
    <w:basedOn w:val="1"/>
    <w:qFormat/>
    <w:uiPriority w:val="99"/>
    <w:pPr>
      <w:ind w:firstLine="420" w:firstLineChars="200"/>
    </w:pPr>
  </w:style>
  <w:style w:type="character" w:customStyle="1" w:styleId="35">
    <w:name w:val="标题 2 字符"/>
    <w:link w:val="4"/>
    <w:qFormat/>
    <w:uiPriority w:val="0"/>
    <w:rPr>
      <w:rFonts w:ascii="Arial" w:hAnsi="Arial" w:eastAsia="黑体"/>
      <w:b/>
      <w:bCs/>
      <w:sz w:val="32"/>
      <w:szCs w:val="32"/>
    </w:rPr>
  </w:style>
  <w:style w:type="paragraph" w:customStyle="1" w:styleId="36">
    <w:name w:val="标3"/>
    <w:basedOn w:val="1"/>
    <w:qFormat/>
    <w:uiPriority w:val="0"/>
    <w:pPr>
      <w:tabs>
        <w:tab w:val="left" w:pos="1740"/>
      </w:tabs>
      <w:adjustRightInd w:val="0"/>
      <w:snapToGrid w:val="0"/>
      <w:spacing w:before="50"/>
      <w:ind w:left="1740" w:hanging="420"/>
      <w:outlineLvl w:val="2"/>
    </w:pPr>
    <w:rPr>
      <w:rFonts w:ascii="Arial Narrow" w:hAnsi="Arial Narrow" w:eastAsia="仿宋_GB2312"/>
      <w:sz w:val="28"/>
      <w:szCs w:val="20"/>
    </w:rPr>
  </w:style>
  <w:style w:type="paragraph" w:customStyle="1" w:styleId="37">
    <w:name w:val="_正文"/>
    <w:basedOn w:val="1"/>
    <w:qFormat/>
    <w:uiPriority w:val="0"/>
    <w:pPr>
      <w:widowControl/>
      <w:snapToGrid w:val="0"/>
      <w:spacing w:before="120" w:after="120" w:line="360" w:lineRule="auto"/>
      <w:ind w:firstLine="485" w:firstLineChars="202"/>
    </w:pPr>
    <w:rPr>
      <w:color w:val="000000"/>
      <w:sz w:val="24"/>
    </w:rPr>
  </w:style>
  <w:style w:type="paragraph" w:customStyle="1" w:styleId="38">
    <w:name w:val="正文 New New"/>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39">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paragraph" w:customStyle="1" w:styleId="40">
    <w:name w:val="标题 81"/>
    <w:basedOn w:val="1"/>
    <w:qFormat/>
    <w:uiPriority w:val="1"/>
    <w:pPr>
      <w:autoSpaceDE w:val="0"/>
      <w:autoSpaceDN w:val="0"/>
      <w:ind w:left="584"/>
      <w:jc w:val="left"/>
      <w:outlineLvl w:val="8"/>
    </w:pPr>
    <w:rPr>
      <w:rFonts w:ascii="仿宋" w:hAnsi="仿宋" w:eastAsia="仿宋" w:cs="仿宋"/>
      <w:b/>
      <w:bCs/>
      <w:kern w:val="0"/>
      <w:sz w:val="24"/>
      <w:lang w:eastAsia="en-US"/>
    </w:rPr>
  </w:style>
  <w:style w:type="paragraph" w:customStyle="1" w:styleId="4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42">
    <w:name w:val="Table Paragraph"/>
    <w:basedOn w:val="1"/>
    <w:qFormat/>
    <w:uiPriority w:val="1"/>
    <w:rPr>
      <w:rFonts w:ascii="宋体" w:hAnsi="宋体" w:cs="宋体"/>
      <w:lang w:val="zh-CN" w:bidi="zh-CN"/>
    </w:rPr>
  </w:style>
  <w:style w:type="character" w:customStyle="1" w:styleId="43">
    <w:name w:val="NormalCharacter"/>
    <w:qFormat/>
    <w:uiPriority w:val="0"/>
    <w:rPr>
      <w:rFonts w:ascii="Calibri" w:hAnsi="Calibri" w:eastAsia="宋体" w:cs="Times New Roman"/>
      <w:kern w:val="2"/>
      <w:sz w:val="21"/>
      <w:szCs w:val="24"/>
      <w:lang w:val="en-US" w:eastAsia="zh-CN" w:bidi="ar-SA"/>
    </w:rPr>
  </w:style>
  <w:style w:type="character" w:customStyle="1" w:styleId="44">
    <w:name w:val="UserStyle_17"/>
    <w:qFormat/>
    <w:uiPriority w:val="0"/>
  </w:style>
  <w:style w:type="paragraph" w:customStyle="1" w:styleId="45">
    <w:name w:val="Heading1"/>
    <w:basedOn w:val="1"/>
    <w:next w:val="1"/>
    <w:qFormat/>
    <w:uiPriority w:val="0"/>
    <w:pPr>
      <w:keepNext/>
      <w:keepLines/>
      <w:spacing w:before="340" w:after="330" w:line="576" w:lineRule="auto"/>
      <w:textAlignment w:val="baseline"/>
    </w:pPr>
    <w:rPr>
      <w:b/>
      <w:bCs/>
      <w:kern w:val="44"/>
      <w:sz w:val="44"/>
      <w:szCs w:val="44"/>
    </w:rPr>
  </w:style>
  <w:style w:type="character" w:customStyle="1" w:styleId="46">
    <w:name w:val="批注框文本 字符"/>
    <w:basedOn w:val="24"/>
    <w:link w:val="1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customShpInfo spid="_x0000_s3074"/>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C5A2BB-7837-4492-B792-BFDCD824FDC8}">
  <ds:schemaRefs/>
</ds:datastoreItem>
</file>

<file path=docProps/app.xml><?xml version="1.0" encoding="utf-8"?>
<Properties xmlns="http://schemas.openxmlformats.org/officeDocument/2006/extended-properties" xmlns:vt="http://schemas.openxmlformats.org/officeDocument/2006/docPropsVTypes">
  <Template>Normal</Template>
  <Pages>74</Pages>
  <Words>35219</Words>
  <Characters>37503</Characters>
  <Lines>297</Lines>
  <Paragraphs>83</Paragraphs>
  <TotalTime>1</TotalTime>
  <ScaleCrop>false</ScaleCrop>
  <LinksUpToDate>false</LinksUpToDate>
  <CharactersWithSpaces>38568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2018-12-10T02:54:00Z</dcterms:created>
  <dc:creator>木易木又</dc:creator>
  <cp:lastModifiedBy>Administrator</cp:lastModifiedBy>
  <cp:lastPrinted>2021-07-02T07:42:00Z</cp:lastPrinted>
  <dcterms:modified xsi:type="dcterms:W3CDTF">2022-06-16T07:21:11Z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16D94DA33F0C4A4080B78DE2BC0B08B7</vt:lpwstr>
  </property>
</Properties>
</file>