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eastAsia="宋体"/>
          <w:b/>
          <w:color w:val="auto"/>
          <w:sz w:val="72"/>
          <w:szCs w:val="72"/>
          <w:highlight w:val="none"/>
          <w:lang w:val="en-US" w:eastAsia="zh-CN"/>
        </w:rPr>
      </w:pPr>
      <w:bookmarkStart w:id="20" w:name="_GoBack"/>
      <w:bookmarkEnd w:id="20"/>
    </w:p>
    <w:p>
      <w:pPr>
        <w:spacing w:line="360" w:lineRule="auto"/>
        <w:jc w:val="center"/>
        <w:rPr>
          <w:rFonts w:hint="eastAsia" w:ascii="宋体" w:hAnsi="宋体"/>
          <w:b/>
          <w:color w:val="auto"/>
          <w:sz w:val="72"/>
          <w:szCs w:val="72"/>
          <w:highlight w:val="none"/>
        </w:rPr>
      </w:pPr>
    </w:p>
    <w:p>
      <w:pPr>
        <w:jc w:val="center"/>
        <w:rPr>
          <w:color w:val="auto"/>
          <w:sz w:val="72"/>
          <w:szCs w:val="72"/>
          <w:highlight w:val="none"/>
        </w:rPr>
      </w:pPr>
      <w:r>
        <w:rPr>
          <w:rFonts w:hint="eastAsia" w:ascii="宋体" w:hAnsi="宋体"/>
          <w:b/>
          <w:color w:val="auto"/>
          <w:sz w:val="72"/>
          <w:szCs w:val="72"/>
          <w:highlight w:val="none"/>
        </w:rPr>
        <w:t>竞争性谈判文件</w:t>
      </w:r>
    </w:p>
    <w:p>
      <w:pPr>
        <w:rPr>
          <w:color w:val="auto"/>
          <w:highlight w:val="none"/>
        </w:rPr>
      </w:pPr>
      <w:r>
        <w:rPr>
          <w:color w:val="auto"/>
          <w:highlight w:val="none"/>
        </w:rPr>
        <w:t xml:space="preserve"> </w:t>
      </w:r>
    </w:p>
    <w:p>
      <w:pPr>
        <w:rPr>
          <w:color w:val="auto"/>
          <w:highlight w:val="none"/>
        </w:rPr>
      </w:pPr>
    </w:p>
    <w:p>
      <w:pPr>
        <w:rPr>
          <w:rFonts w:hint="eastAsia"/>
          <w:color w:val="auto"/>
          <w:highlight w:val="none"/>
        </w:rPr>
      </w:pPr>
    </w:p>
    <w:p>
      <w:pPr>
        <w:jc w:val="center"/>
        <w:rPr>
          <w:rFonts w:ascii="宋体" w:hAnsi="宋体"/>
          <w:b/>
          <w:color w:val="auto"/>
          <w:sz w:val="84"/>
          <w:szCs w:val="84"/>
          <w:highlight w:val="none"/>
        </w:rPr>
      </w:pPr>
    </w:p>
    <w:p>
      <w:pPr>
        <w:jc w:val="center"/>
        <w:rPr>
          <w:rFonts w:ascii="宋体" w:hAnsi="宋体"/>
          <w:b/>
          <w:color w:val="auto"/>
          <w:sz w:val="48"/>
          <w:szCs w:val="48"/>
          <w:highlight w:val="none"/>
        </w:rPr>
      </w:pPr>
    </w:p>
    <w:p>
      <w:pPr>
        <w:ind w:firstLine="1201" w:firstLineChars="400"/>
        <w:jc w:val="left"/>
        <w:rPr>
          <w:rFonts w:ascii="宋体" w:hAnsi="宋体"/>
          <w:b/>
          <w:color w:val="auto"/>
          <w:sz w:val="30"/>
          <w:szCs w:val="30"/>
          <w:highlight w:val="none"/>
        </w:rPr>
      </w:pPr>
      <w:r>
        <w:rPr>
          <w:rFonts w:hint="eastAsia" w:ascii="宋体" w:hAnsi="宋体"/>
          <w:b/>
          <w:color w:val="auto"/>
          <w:sz w:val="30"/>
          <w:szCs w:val="30"/>
          <w:highlight w:val="none"/>
        </w:rPr>
        <w:t>项目编号：HNJH2022-T003</w:t>
      </w:r>
    </w:p>
    <w:p>
      <w:pPr>
        <w:ind w:left="2698" w:leftChars="570" w:hanging="1501" w:hangingChars="500"/>
        <w:jc w:val="left"/>
        <w:rPr>
          <w:rFonts w:ascii="宋体" w:hAnsi="宋体"/>
          <w:b/>
          <w:color w:val="auto"/>
          <w:sz w:val="30"/>
          <w:szCs w:val="30"/>
          <w:highlight w:val="none"/>
        </w:rPr>
      </w:pPr>
      <w:r>
        <w:rPr>
          <w:rFonts w:hint="eastAsia" w:ascii="宋体" w:hAnsi="宋体"/>
          <w:b/>
          <w:color w:val="auto"/>
          <w:sz w:val="30"/>
          <w:szCs w:val="30"/>
          <w:highlight w:val="none"/>
        </w:rPr>
        <w:t>项目名称：2022年农村独立式公厕建设</w:t>
      </w:r>
    </w:p>
    <w:p>
      <w:pPr>
        <w:ind w:firstLine="1201" w:firstLineChars="400"/>
        <w:jc w:val="left"/>
        <w:rPr>
          <w:rFonts w:ascii="宋体" w:hAnsi="宋体"/>
          <w:b/>
          <w:color w:val="auto"/>
          <w:sz w:val="30"/>
          <w:szCs w:val="30"/>
          <w:highlight w:val="none"/>
        </w:rPr>
      </w:pPr>
      <w:r>
        <w:rPr>
          <w:rFonts w:hint="eastAsia" w:ascii="宋体" w:hAnsi="宋体"/>
          <w:b/>
          <w:color w:val="auto"/>
          <w:sz w:val="30"/>
          <w:szCs w:val="30"/>
          <w:highlight w:val="none"/>
        </w:rPr>
        <w:t>采购方式：竞争性谈判</w:t>
      </w:r>
    </w:p>
    <w:p>
      <w:pPr>
        <w:rPr>
          <w:rFonts w:ascii="宋体" w:hAnsi="宋体"/>
          <w:b/>
          <w:color w:val="auto"/>
          <w:sz w:val="30"/>
          <w:szCs w:val="30"/>
          <w:highlight w:val="none"/>
        </w:rPr>
      </w:pPr>
    </w:p>
    <w:p>
      <w:pPr>
        <w:rPr>
          <w:rFonts w:hint="eastAsia" w:ascii="宋体" w:hAnsi="宋体"/>
          <w:b/>
          <w:color w:val="auto"/>
          <w:sz w:val="30"/>
          <w:szCs w:val="30"/>
          <w:highlight w:val="none"/>
          <w:lang w:val="en-US" w:eastAsia="zh-CN"/>
        </w:rPr>
      </w:pPr>
    </w:p>
    <w:p>
      <w:pPr>
        <w:ind w:firstLine="1189" w:firstLineChars="396"/>
        <w:rPr>
          <w:rFonts w:hint="eastAsia" w:ascii="宋体" w:hAnsi="宋体"/>
          <w:b/>
          <w:color w:val="auto"/>
          <w:sz w:val="30"/>
          <w:szCs w:val="30"/>
          <w:highlight w:val="none"/>
        </w:rPr>
      </w:pPr>
      <w:r>
        <w:rPr>
          <w:rFonts w:hint="eastAsia" w:ascii="宋体" w:hAnsi="宋体"/>
          <w:b/>
          <w:color w:val="auto"/>
          <w:sz w:val="30"/>
          <w:szCs w:val="30"/>
          <w:highlight w:val="none"/>
        </w:rPr>
        <w:t>采   购   人：白沙黎族自治县农业农村局</w:t>
      </w:r>
    </w:p>
    <w:p>
      <w:pPr>
        <w:ind w:firstLine="1201" w:firstLineChars="400"/>
        <w:rPr>
          <w:rFonts w:hint="eastAsia" w:ascii="宋体" w:hAnsi="宋体"/>
          <w:b/>
          <w:color w:val="auto"/>
          <w:sz w:val="30"/>
          <w:szCs w:val="30"/>
          <w:highlight w:val="none"/>
        </w:rPr>
      </w:pPr>
    </w:p>
    <w:p>
      <w:pPr>
        <w:ind w:firstLine="1201" w:firstLineChars="400"/>
        <w:rPr>
          <w:rFonts w:ascii="宋体" w:hAnsi="宋体"/>
          <w:b/>
          <w:color w:val="auto"/>
          <w:sz w:val="30"/>
          <w:szCs w:val="30"/>
          <w:highlight w:val="none"/>
        </w:rPr>
      </w:pPr>
      <w:r>
        <w:rPr>
          <w:rFonts w:hint="eastAsia" w:ascii="宋体" w:hAnsi="宋体"/>
          <w:b/>
          <w:color w:val="auto"/>
          <w:sz w:val="30"/>
          <w:szCs w:val="30"/>
          <w:highlight w:val="none"/>
        </w:rPr>
        <w:t>采购代理机构：海南锦华招标代理有限公司</w:t>
      </w:r>
    </w:p>
    <w:p>
      <w:pPr>
        <w:rPr>
          <w:rFonts w:ascii="宋体" w:hAnsi="宋体"/>
          <w:b/>
          <w:color w:val="auto"/>
          <w:sz w:val="30"/>
          <w:szCs w:val="30"/>
          <w:highlight w:val="none"/>
        </w:rPr>
      </w:pPr>
    </w:p>
    <w:p>
      <w:pPr>
        <w:rPr>
          <w:rFonts w:ascii="宋体" w:hAnsi="宋体"/>
          <w:b/>
          <w:color w:val="auto"/>
          <w:sz w:val="30"/>
          <w:szCs w:val="30"/>
          <w:highlight w:val="none"/>
        </w:rPr>
      </w:pPr>
    </w:p>
    <w:p>
      <w:pPr>
        <w:jc w:val="center"/>
        <w:rPr>
          <w:rFonts w:hint="eastAsia"/>
          <w:color w:val="auto"/>
          <w:highlight w:val="none"/>
          <w:lang w:val="zh-CN"/>
        </w:rPr>
      </w:pPr>
      <w:r>
        <w:rPr>
          <w:rFonts w:hint="eastAsia" w:ascii="宋体" w:hAnsi="宋体"/>
          <w:b/>
          <w:color w:val="auto"/>
          <w:sz w:val="30"/>
          <w:szCs w:val="30"/>
          <w:highlight w:val="none"/>
        </w:rPr>
        <w:t>20</w:t>
      </w:r>
      <w:r>
        <w:rPr>
          <w:rFonts w:hint="eastAsia" w:ascii="宋体" w:hAnsi="宋体" w:eastAsia="宋体"/>
          <w:b/>
          <w:color w:val="auto"/>
          <w:sz w:val="30"/>
          <w:szCs w:val="30"/>
          <w:highlight w:val="none"/>
          <w:lang w:val="en-US" w:eastAsia="zh-CN"/>
        </w:rPr>
        <w:t>22</w:t>
      </w:r>
      <w:r>
        <w:rPr>
          <w:rFonts w:hint="eastAsia" w:ascii="宋体" w:hAnsi="宋体"/>
          <w:b/>
          <w:color w:val="auto"/>
          <w:sz w:val="30"/>
          <w:szCs w:val="30"/>
          <w:highlight w:val="none"/>
        </w:rPr>
        <w:t>年</w:t>
      </w:r>
      <w:r>
        <w:rPr>
          <w:rFonts w:hint="eastAsia" w:ascii="宋体" w:hAnsi="宋体" w:eastAsia="宋体"/>
          <w:b/>
          <w:color w:val="auto"/>
          <w:sz w:val="30"/>
          <w:szCs w:val="30"/>
          <w:highlight w:val="none"/>
          <w:lang w:val="en-US" w:eastAsia="zh-CN"/>
        </w:rPr>
        <w:t xml:space="preserve"> 5 </w:t>
      </w:r>
      <w:r>
        <w:rPr>
          <w:rFonts w:hint="eastAsia" w:ascii="宋体" w:hAnsi="宋体"/>
          <w:b/>
          <w:color w:val="auto"/>
          <w:sz w:val="30"/>
          <w:szCs w:val="30"/>
          <w:highlight w:val="none"/>
        </w:rPr>
        <w:t>月</w:t>
      </w:r>
    </w:p>
    <w:p>
      <w:pPr>
        <w:jc w:val="center"/>
        <w:rPr>
          <w:rFonts w:hint="eastAsia"/>
          <w:color w:val="auto"/>
          <w:highlight w:val="none"/>
          <w:lang w:val="zh-CN"/>
        </w:rPr>
        <w:sectPr>
          <w:footerReference r:id="rId5" w:type="first"/>
          <w:footerReference r:id="rId3" w:type="default"/>
          <w:footerReference r:id="rId4" w:type="even"/>
          <w:pgSz w:w="11906" w:h="16838"/>
          <w:pgMar w:top="1440" w:right="1077" w:bottom="1440" w:left="1077" w:header="851" w:footer="992" w:gutter="0"/>
          <w:pgNumType w:fmt="decimal" w:start="1"/>
          <w:cols w:space="708" w:num="1"/>
          <w:titlePg/>
          <w:docGrid w:type="lines" w:linePitch="312" w:charSpace="0"/>
        </w:sectPr>
      </w:pPr>
    </w:p>
    <w:p>
      <w:pPr>
        <w:pStyle w:val="5"/>
        <w:rPr>
          <w:rFonts w:hint="eastAsia"/>
          <w:color w:val="auto"/>
          <w:highlight w:val="none"/>
          <w:lang w:val="zh-CN"/>
        </w:rPr>
      </w:pP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zh-CN"/>
        </w:rPr>
        <w:t>目录</w:t>
      </w:r>
    </w:p>
    <w:p>
      <w:pPr>
        <w:pStyle w:val="24"/>
        <w:tabs>
          <w:tab w:val="right" w:leader="dot" w:pos="9752"/>
        </w:tabs>
        <w:rPr>
          <w:color w:val="auto"/>
          <w:sz w:val="28"/>
          <w:szCs w:val="32"/>
          <w:highlight w:val="none"/>
        </w:rPr>
      </w:pPr>
      <w:r>
        <w:rPr>
          <w:rFonts w:hint="eastAsia" w:ascii="宋体" w:hAnsi="宋体" w:eastAsia="宋体" w:cs="宋体"/>
          <w:color w:val="auto"/>
          <w:sz w:val="40"/>
          <w:szCs w:val="40"/>
          <w:highlight w:val="none"/>
        </w:rPr>
        <w:fldChar w:fldCharType="begin"/>
      </w:r>
      <w:r>
        <w:rPr>
          <w:rFonts w:hint="eastAsia" w:ascii="宋体" w:hAnsi="宋体" w:eastAsia="宋体" w:cs="宋体"/>
          <w:color w:val="auto"/>
          <w:sz w:val="40"/>
          <w:szCs w:val="40"/>
          <w:highlight w:val="none"/>
        </w:rPr>
        <w:instrText xml:space="preserve"> TOC \o "1-3" \h \z \u </w:instrText>
      </w:r>
      <w:r>
        <w:rPr>
          <w:rFonts w:hint="eastAsia" w:ascii="宋体" w:hAnsi="宋体" w:eastAsia="宋体" w:cs="宋体"/>
          <w:color w:val="auto"/>
          <w:sz w:val="40"/>
          <w:szCs w:val="40"/>
          <w:highlight w:val="none"/>
        </w:rPr>
        <w:fldChar w:fldCharType="separate"/>
      </w:r>
      <w:r>
        <w:fldChar w:fldCharType="begin"/>
      </w:r>
      <w:r>
        <w:instrText xml:space="preserve"> HYPERLINK \l "_Toc14312" </w:instrText>
      </w:r>
      <w:r>
        <w:fldChar w:fldCharType="separate"/>
      </w:r>
      <w:r>
        <w:rPr>
          <w:rFonts w:hint="eastAsia"/>
          <w:color w:val="auto"/>
          <w:sz w:val="28"/>
          <w:szCs w:val="36"/>
          <w:highlight w:val="none"/>
        </w:rPr>
        <w:t>第一章 谈判通知</w:t>
      </w:r>
      <w:r>
        <w:rPr>
          <w:color w:val="auto"/>
          <w:sz w:val="28"/>
          <w:szCs w:val="32"/>
          <w:highlight w:val="none"/>
        </w:rPr>
        <w:tab/>
      </w:r>
      <w:r>
        <w:rPr>
          <w:color w:val="auto"/>
          <w:sz w:val="28"/>
          <w:szCs w:val="32"/>
          <w:highlight w:val="none"/>
        </w:rPr>
        <w:fldChar w:fldCharType="begin"/>
      </w:r>
      <w:r>
        <w:rPr>
          <w:color w:val="auto"/>
          <w:sz w:val="28"/>
          <w:szCs w:val="32"/>
          <w:highlight w:val="none"/>
        </w:rPr>
        <w:instrText xml:space="preserve"> PAGEREF _Toc14312 </w:instrText>
      </w:r>
      <w:r>
        <w:rPr>
          <w:color w:val="auto"/>
          <w:sz w:val="28"/>
          <w:szCs w:val="32"/>
          <w:highlight w:val="none"/>
        </w:rPr>
        <w:fldChar w:fldCharType="separate"/>
      </w:r>
      <w:r>
        <w:rPr>
          <w:color w:val="auto"/>
          <w:sz w:val="28"/>
          <w:szCs w:val="32"/>
          <w:highlight w:val="none"/>
        </w:rPr>
        <w:t>1</w:t>
      </w:r>
      <w:r>
        <w:rPr>
          <w:color w:val="auto"/>
          <w:sz w:val="28"/>
          <w:szCs w:val="32"/>
          <w:highlight w:val="none"/>
        </w:rPr>
        <w:fldChar w:fldCharType="end"/>
      </w:r>
      <w:r>
        <w:rPr>
          <w:color w:val="auto"/>
          <w:sz w:val="28"/>
          <w:szCs w:val="32"/>
          <w:highlight w:val="none"/>
        </w:rPr>
        <w:fldChar w:fldCharType="end"/>
      </w:r>
    </w:p>
    <w:p>
      <w:pPr>
        <w:pStyle w:val="24"/>
        <w:tabs>
          <w:tab w:val="right" w:leader="dot" w:pos="9752"/>
        </w:tabs>
        <w:rPr>
          <w:color w:val="auto"/>
          <w:sz w:val="28"/>
          <w:szCs w:val="32"/>
          <w:highlight w:val="none"/>
        </w:rPr>
      </w:pPr>
      <w:r>
        <w:fldChar w:fldCharType="begin"/>
      </w:r>
      <w:r>
        <w:instrText xml:space="preserve"> HYPERLINK \l "_Toc2157" </w:instrText>
      </w:r>
      <w:r>
        <w:fldChar w:fldCharType="separate"/>
      </w:r>
      <w:r>
        <w:rPr>
          <w:rFonts w:hint="eastAsia"/>
          <w:color w:val="auto"/>
          <w:sz w:val="28"/>
          <w:szCs w:val="36"/>
          <w:highlight w:val="none"/>
        </w:rPr>
        <w:t>第二章 谈判须知</w:t>
      </w:r>
      <w:r>
        <w:rPr>
          <w:color w:val="auto"/>
          <w:sz w:val="28"/>
          <w:szCs w:val="32"/>
          <w:highlight w:val="none"/>
        </w:rPr>
        <w:tab/>
      </w:r>
      <w:r>
        <w:rPr>
          <w:color w:val="auto"/>
          <w:sz w:val="28"/>
          <w:szCs w:val="32"/>
          <w:highlight w:val="none"/>
        </w:rPr>
        <w:fldChar w:fldCharType="begin"/>
      </w:r>
      <w:r>
        <w:rPr>
          <w:color w:val="auto"/>
          <w:sz w:val="28"/>
          <w:szCs w:val="32"/>
          <w:highlight w:val="none"/>
        </w:rPr>
        <w:instrText xml:space="preserve"> PAGEREF _Toc2157 </w:instrText>
      </w:r>
      <w:r>
        <w:rPr>
          <w:color w:val="auto"/>
          <w:sz w:val="28"/>
          <w:szCs w:val="32"/>
          <w:highlight w:val="none"/>
        </w:rPr>
        <w:fldChar w:fldCharType="separate"/>
      </w:r>
      <w:r>
        <w:rPr>
          <w:color w:val="auto"/>
          <w:sz w:val="28"/>
          <w:szCs w:val="32"/>
          <w:highlight w:val="none"/>
        </w:rPr>
        <w:t>2</w:t>
      </w:r>
      <w:r>
        <w:rPr>
          <w:color w:val="auto"/>
          <w:sz w:val="28"/>
          <w:szCs w:val="32"/>
          <w:highlight w:val="none"/>
        </w:rPr>
        <w:fldChar w:fldCharType="end"/>
      </w:r>
      <w:r>
        <w:rPr>
          <w:color w:val="auto"/>
          <w:sz w:val="28"/>
          <w:szCs w:val="32"/>
          <w:highlight w:val="none"/>
        </w:rPr>
        <w:fldChar w:fldCharType="end"/>
      </w:r>
    </w:p>
    <w:p>
      <w:pPr>
        <w:pStyle w:val="27"/>
        <w:tabs>
          <w:tab w:val="right" w:leader="dot" w:pos="9752"/>
        </w:tabs>
        <w:rPr>
          <w:color w:val="auto"/>
          <w:sz w:val="28"/>
          <w:szCs w:val="32"/>
          <w:highlight w:val="none"/>
        </w:rPr>
      </w:pPr>
      <w:r>
        <w:fldChar w:fldCharType="begin"/>
      </w:r>
      <w:r>
        <w:instrText xml:space="preserve"> HYPERLINK \l "_Toc32693" </w:instrText>
      </w:r>
      <w:r>
        <w:fldChar w:fldCharType="separate"/>
      </w:r>
      <w:r>
        <w:rPr>
          <w:rFonts w:hint="eastAsia"/>
          <w:color w:val="auto"/>
          <w:sz w:val="28"/>
          <w:szCs w:val="36"/>
          <w:highlight w:val="none"/>
        </w:rPr>
        <w:t>谈判须知前附表</w:t>
      </w:r>
      <w:r>
        <w:rPr>
          <w:color w:val="auto"/>
          <w:sz w:val="28"/>
          <w:szCs w:val="32"/>
          <w:highlight w:val="none"/>
        </w:rPr>
        <w:tab/>
      </w:r>
      <w:r>
        <w:rPr>
          <w:color w:val="auto"/>
          <w:sz w:val="28"/>
          <w:szCs w:val="32"/>
          <w:highlight w:val="none"/>
        </w:rPr>
        <w:fldChar w:fldCharType="begin"/>
      </w:r>
      <w:r>
        <w:rPr>
          <w:color w:val="auto"/>
          <w:sz w:val="28"/>
          <w:szCs w:val="32"/>
          <w:highlight w:val="none"/>
        </w:rPr>
        <w:instrText xml:space="preserve"> PAGEREF _Toc32693 </w:instrText>
      </w:r>
      <w:r>
        <w:rPr>
          <w:color w:val="auto"/>
          <w:sz w:val="28"/>
          <w:szCs w:val="32"/>
          <w:highlight w:val="none"/>
        </w:rPr>
        <w:fldChar w:fldCharType="separate"/>
      </w:r>
      <w:r>
        <w:rPr>
          <w:color w:val="auto"/>
          <w:sz w:val="28"/>
          <w:szCs w:val="32"/>
          <w:highlight w:val="none"/>
        </w:rPr>
        <w:t>2</w:t>
      </w:r>
      <w:r>
        <w:rPr>
          <w:color w:val="auto"/>
          <w:sz w:val="28"/>
          <w:szCs w:val="32"/>
          <w:highlight w:val="none"/>
        </w:rPr>
        <w:fldChar w:fldCharType="end"/>
      </w:r>
      <w:r>
        <w:rPr>
          <w:color w:val="auto"/>
          <w:sz w:val="28"/>
          <w:szCs w:val="32"/>
          <w:highlight w:val="none"/>
        </w:rPr>
        <w:fldChar w:fldCharType="end"/>
      </w:r>
    </w:p>
    <w:p>
      <w:pPr>
        <w:pStyle w:val="27"/>
        <w:tabs>
          <w:tab w:val="right" w:leader="dot" w:pos="9752"/>
        </w:tabs>
        <w:rPr>
          <w:color w:val="auto"/>
          <w:sz w:val="28"/>
          <w:szCs w:val="32"/>
          <w:highlight w:val="none"/>
        </w:rPr>
      </w:pPr>
      <w:r>
        <w:fldChar w:fldCharType="begin"/>
      </w:r>
      <w:r>
        <w:instrText xml:space="preserve"> HYPERLINK \l "_Toc8197" </w:instrText>
      </w:r>
      <w:r>
        <w:fldChar w:fldCharType="separate"/>
      </w:r>
      <w:r>
        <w:rPr>
          <w:rFonts w:hint="eastAsia"/>
          <w:color w:val="auto"/>
          <w:sz w:val="28"/>
          <w:szCs w:val="36"/>
          <w:highlight w:val="none"/>
        </w:rPr>
        <w:t>谈判须知正文</w:t>
      </w:r>
      <w:r>
        <w:rPr>
          <w:color w:val="auto"/>
          <w:sz w:val="28"/>
          <w:szCs w:val="32"/>
          <w:highlight w:val="none"/>
        </w:rPr>
        <w:tab/>
      </w:r>
      <w:r>
        <w:rPr>
          <w:color w:val="auto"/>
          <w:sz w:val="28"/>
          <w:szCs w:val="32"/>
          <w:highlight w:val="none"/>
        </w:rPr>
        <w:fldChar w:fldCharType="begin"/>
      </w:r>
      <w:r>
        <w:rPr>
          <w:color w:val="auto"/>
          <w:sz w:val="28"/>
          <w:szCs w:val="32"/>
          <w:highlight w:val="none"/>
        </w:rPr>
        <w:instrText xml:space="preserve"> PAGEREF _Toc8197 </w:instrText>
      </w:r>
      <w:r>
        <w:rPr>
          <w:color w:val="auto"/>
          <w:sz w:val="28"/>
          <w:szCs w:val="32"/>
          <w:highlight w:val="none"/>
        </w:rPr>
        <w:fldChar w:fldCharType="separate"/>
      </w:r>
      <w:r>
        <w:rPr>
          <w:color w:val="auto"/>
          <w:sz w:val="28"/>
          <w:szCs w:val="32"/>
          <w:highlight w:val="none"/>
        </w:rPr>
        <w:t>11</w:t>
      </w:r>
      <w:r>
        <w:rPr>
          <w:color w:val="auto"/>
          <w:sz w:val="28"/>
          <w:szCs w:val="32"/>
          <w:highlight w:val="none"/>
        </w:rPr>
        <w:fldChar w:fldCharType="end"/>
      </w:r>
      <w:r>
        <w:rPr>
          <w:color w:val="auto"/>
          <w:sz w:val="28"/>
          <w:szCs w:val="32"/>
          <w:highlight w:val="none"/>
        </w:rPr>
        <w:fldChar w:fldCharType="end"/>
      </w:r>
    </w:p>
    <w:p>
      <w:pPr>
        <w:pStyle w:val="24"/>
        <w:tabs>
          <w:tab w:val="right" w:leader="dot" w:pos="9752"/>
        </w:tabs>
        <w:rPr>
          <w:color w:val="auto"/>
          <w:sz w:val="28"/>
          <w:szCs w:val="32"/>
          <w:highlight w:val="none"/>
        </w:rPr>
      </w:pPr>
      <w:r>
        <w:fldChar w:fldCharType="begin"/>
      </w:r>
      <w:r>
        <w:instrText xml:space="preserve"> HYPERLINK \l "_Toc10896" </w:instrText>
      </w:r>
      <w:r>
        <w:fldChar w:fldCharType="separate"/>
      </w:r>
      <w:r>
        <w:rPr>
          <w:rFonts w:hint="eastAsia" w:ascii="宋体" w:hAnsi="宋体"/>
          <w:color w:val="auto"/>
          <w:sz w:val="28"/>
          <w:szCs w:val="36"/>
          <w:highlight w:val="none"/>
        </w:rPr>
        <w:t>一、说明</w:t>
      </w:r>
      <w:r>
        <w:rPr>
          <w:color w:val="auto"/>
          <w:sz w:val="28"/>
          <w:szCs w:val="32"/>
          <w:highlight w:val="none"/>
        </w:rPr>
        <w:tab/>
      </w:r>
      <w:r>
        <w:rPr>
          <w:color w:val="auto"/>
          <w:sz w:val="28"/>
          <w:szCs w:val="32"/>
          <w:highlight w:val="none"/>
        </w:rPr>
        <w:fldChar w:fldCharType="begin"/>
      </w:r>
      <w:r>
        <w:rPr>
          <w:color w:val="auto"/>
          <w:sz w:val="28"/>
          <w:szCs w:val="32"/>
          <w:highlight w:val="none"/>
        </w:rPr>
        <w:instrText xml:space="preserve"> PAGEREF _Toc10896 </w:instrText>
      </w:r>
      <w:r>
        <w:rPr>
          <w:color w:val="auto"/>
          <w:sz w:val="28"/>
          <w:szCs w:val="32"/>
          <w:highlight w:val="none"/>
        </w:rPr>
        <w:fldChar w:fldCharType="separate"/>
      </w:r>
      <w:r>
        <w:rPr>
          <w:color w:val="auto"/>
          <w:sz w:val="28"/>
          <w:szCs w:val="32"/>
          <w:highlight w:val="none"/>
        </w:rPr>
        <w:t>11</w:t>
      </w:r>
      <w:r>
        <w:rPr>
          <w:color w:val="auto"/>
          <w:sz w:val="28"/>
          <w:szCs w:val="32"/>
          <w:highlight w:val="none"/>
        </w:rPr>
        <w:fldChar w:fldCharType="end"/>
      </w:r>
      <w:r>
        <w:rPr>
          <w:color w:val="auto"/>
          <w:sz w:val="28"/>
          <w:szCs w:val="32"/>
          <w:highlight w:val="none"/>
        </w:rPr>
        <w:fldChar w:fldCharType="end"/>
      </w:r>
    </w:p>
    <w:p>
      <w:pPr>
        <w:pStyle w:val="24"/>
        <w:tabs>
          <w:tab w:val="right" w:leader="dot" w:pos="9752"/>
        </w:tabs>
        <w:rPr>
          <w:color w:val="auto"/>
          <w:sz w:val="28"/>
          <w:szCs w:val="32"/>
          <w:highlight w:val="none"/>
        </w:rPr>
      </w:pPr>
      <w:r>
        <w:fldChar w:fldCharType="begin"/>
      </w:r>
      <w:r>
        <w:instrText xml:space="preserve"> HYPERLINK \l "_Toc3755" </w:instrText>
      </w:r>
      <w:r>
        <w:fldChar w:fldCharType="separate"/>
      </w:r>
      <w:r>
        <w:rPr>
          <w:rFonts w:hint="eastAsia" w:ascii="宋体" w:hAnsi="宋体"/>
          <w:color w:val="auto"/>
          <w:sz w:val="28"/>
          <w:szCs w:val="36"/>
          <w:highlight w:val="none"/>
        </w:rPr>
        <w:t>二、谈判文件</w:t>
      </w:r>
      <w:r>
        <w:rPr>
          <w:color w:val="auto"/>
          <w:sz w:val="28"/>
          <w:szCs w:val="32"/>
          <w:highlight w:val="none"/>
        </w:rPr>
        <w:tab/>
      </w:r>
      <w:r>
        <w:rPr>
          <w:color w:val="auto"/>
          <w:sz w:val="28"/>
          <w:szCs w:val="32"/>
          <w:highlight w:val="none"/>
        </w:rPr>
        <w:fldChar w:fldCharType="begin"/>
      </w:r>
      <w:r>
        <w:rPr>
          <w:color w:val="auto"/>
          <w:sz w:val="28"/>
          <w:szCs w:val="32"/>
          <w:highlight w:val="none"/>
        </w:rPr>
        <w:instrText xml:space="preserve"> PAGEREF _Toc3755 </w:instrText>
      </w:r>
      <w:r>
        <w:rPr>
          <w:color w:val="auto"/>
          <w:sz w:val="28"/>
          <w:szCs w:val="32"/>
          <w:highlight w:val="none"/>
        </w:rPr>
        <w:fldChar w:fldCharType="separate"/>
      </w:r>
      <w:r>
        <w:rPr>
          <w:color w:val="auto"/>
          <w:sz w:val="28"/>
          <w:szCs w:val="32"/>
          <w:highlight w:val="none"/>
        </w:rPr>
        <w:t>13</w:t>
      </w:r>
      <w:r>
        <w:rPr>
          <w:color w:val="auto"/>
          <w:sz w:val="28"/>
          <w:szCs w:val="32"/>
          <w:highlight w:val="none"/>
        </w:rPr>
        <w:fldChar w:fldCharType="end"/>
      </w:r>
      <w:r>
        <w:rPr>
          <w:color w:val="auto"/>
          <w:sz w:val="28"/>
          <w:szCs w:val="32"/>
          <w:highlight w:val="none"/>
        </w:rPr>
        <w:fldChar w:fldCharType="end"/>
      </w:r>
    </w:p>
    <w:p>
      <w:pPr>
        <w:pStyle w:val="24"/>
        <w:tabs>
          <w:tab w:val="right" w:leader="dot" w:pos="9752"/>
        </w:tabs>
        <w:rPr>
          <w:color w:val="auto"/>
          <w:sz w:val="28"/>
          <w:szCs w:val="32"/>
          <w:highlight w:val="none"/>
        </w:rPr>
      </w:pPr>
      <w:r>
        <w:fldChar w:fldCharType="begin"/>
      </w:r>
      <w:r>
        <w:instrText xml:space="preserve"> HYPERLINK \l "_Toc17556" </w:instrText>
      </w:r>
      <w:r>
        <w:fldChar w:fldCharType="separate"/>
      </w:r>
      <w:r>
        <w:rPr>
          <w:rFonts w:hint="eastAsia" w:ascii="宋体" w:hAnsi="宋体"/>
          <w:color w:val="auto"/>
          <w:sz w:val="28"/>
          <w:szCs w:val="36"/>
          <w:highlight w:val="none"/>
        </w:rPr>
        <w:t>三、响应文件</w:t>
      </w:r>
      <w:r>
        <w:rPr>
          <w:color w:val="auto"/>
          <w:sz w:val="28"/>
          <w:szCs w:val="32"/>
          <w:highlight w:val="none"/>
        </w:rPr>
        <w:tab/>
      </w:r>
      <w:r>
        <w:rPr>
          <w:color w:val="auto"/>
          <w:sz w:val="28"/>
          <w:szCs w:val="32"/>
          <w:highlight w:val="none"/>
        </w:rPr>
        <w:fldChar w:fldCharType="begin"/>
      </w:r>
      <w:r>
        <w:rPr>
          <w:color w:val="auto"/>
          <w:sz w:val="28"/>
          <w:szCs w:val="32"/>
          <w:highlight w:val="none"/>
        </w:rPr>
        <w:instrText xml:space="preserve"> PAGEREF _Toc17556 </w:instrText>
      </w:r>
      <w:r>
        <w:rPr>
          <w:color w:val="auto"/>
          <w:sz w:val="28"/>
          <w:szCs w:val="32"/>
          <w:highlight w:val="none"/>
        </w:rPr>
        <w:fldChar w:fldCharType="separate"/>
      </w:r>
      <w:r>
        <w:rPr>
          <w:color w:val="auto"/>
          <w:sz w:val="28"/>
          <w:szCs w:val="32"/>
          <w:highlight w:val="none"/>
        </w:rPr>
        <w:t>14</w:t>
      </w:r>
      <w:r>
        <w:rPr>
          <w:color w:val="auto"/>
          <w:sz w:val="28"/>
          <w:szCs w:val="32"/>
          <w:highlight w:val="none"/>
        </w:rPr>
        <w:fldChar w:fldCharType="end"/>
      </w:r>
      <w:r>
        <w:rPr>
          <w:color w:val="auto"/>
          <w:sz w:val="28"/>
          <w:szCs w:val="32"/>
          <w:highlight w:val="none"/>
        </w:rPr>
        <w:fldChar w:fldCharType="end"/>
      </w:r>
    </w:p>
    <w:p>
      <w:pPr>
        <w:pStyle w:val="24"/>
        <w:tabs>
          <w:tab w:val="right" w:leader="dot" w:pos="9752"/>
        </w:tabs>
        <w:rPr>
          <w:color w:val="auto"/>
          <w:sz w:val="28"/>
          <w:szCs w:val="32"/>
          <w:highlight w:val="none"/>
        </w:rPr>
      </w:pPr>
      <w:r>
        <w:fldChar w:fldCharType="begin"/>
      </w:r>
      <w:r>
        <w:instrText xml:space="preserve"> HYPERLINK \l "_Toc29659" </w:instrText>
      </w:r>
      <w:r>
        <w:fldChar w:fldCharType="separate"/>
      </w:r>
      <w:r>
        <w:rPr>
          <w:rFonts w:hint="eastAsia" w:ascii="宋体" w:hAnsi="宋体"/>
          <w:color w:val="auto"/>
          <w:sz w:val="28"/>
          <w:szCs w:val="36"/>
          <w:highlight w:val="none"/>
        </w:rPr>
        <w:t>四、响应文件的递交</w:t>
      </w:r>
      <w:r>
        <w:rPr>
          <w:color w:val="auto"/>
          <w:sz w:val="28"/>
          <w:szCs w:val="32"/>
          <w:highlight w:val="none"/>
        </w:rPr>
        <w:tab/>
      </w:r>
      <w:r>
        <w:rPr>
          <w:color w:val="auto"/>
          <w:sz w:val="28"/>
          <w:szCs w:val="32"/>
          <w:highlight w:val="none"/>
        </w:rPr>
        <w:fldChar w:fldCharType="begin"/>
      </w:r>
      <w:r>
        <w:rPr>
          <w:color w:val="auto"/>
          <w:sz w:val="28"/>
          <w:szCs w:val="32"/>
          <w:highlight w:val="none"/>
        </w:rPr>
        <w:instrText xml:space="preserve"> PAGEREF _Toc29659 </w:instrText>
      </w:r>
      <w:r>
        <w:rPr>
          <w:color w:val="auto"/>
          <w:sz w:val="28"/>
          <w:szCs w:val="32"/>
          <w:highlight w:val="none"/>
        </w:rPr>
        <w:fldChar w:fldCharType="separate"/>
      </w:r>
      <w:r>
        <w:rPr>
          <w:color w:val="auto"/>
          <w:sz w:val="28"/>
          <w:szCs w:val="32"/>
          <w:highlight w:val="none"/>
        </w:rPr>
        <w:t>17</w:t>
      </w:r>
      <w:r>
        <w:rPr>
          <w:color w:val="auto"/>
          <w:sz w:val="28"/>
          <w:szCs w:val="32"/>
          <w:highlight w:val="none"/>
        </w:rPr>
        <w:fldChar w:fldCharType="end"/>
      </w:r>
      <w:r>
        <w:rPr>
          <w:color w:val="auto"/>
          <w:sz w:val="28"/>
          <w:szCs w:val="32"/>
          <w:highlight w:val="none"/>
        </w:rPr>
        <w:fldChar w:fldCharType="end"/>
      </w:r>
    </w:p>
    <w:p>
      <w:pPr>
        <w:pStyle w:val="24"/>
        <w:tabs>
          <w:tab w:val="right" w:leader="dot" w:pos="9752"/>
        </w:tabs>
        <w:rPr>
          <w:color w:val="auto"/>
          <w:sz w:val="28"/>
          <w:szCs w:val="32"/>
          <w:highlight w:val="none"/>
        </w:rPr>
      </w:pPr>
      <w:r>
        <w:fldChar w:fldCharType="begin"/>
      </w:r>
      <w:r>
        <w:instrText xml:space="preserve"> HYPERLINK \l "_Toc19443" </w:instrText>
      </w:r>
      <w:r>
        <w:fldChar w:fldCharType="separate"/>
      </w:r>
      <w:r>
        <w:rPr>
          <w:rFonts w:hint="eastAsia" w:ascii="宋体" w:hAnsi="宋体"/>
          <w:color w:val="auto"/>
          <w:sz w:val="28"/>
          <w:szCs w:val="36"/>
          <w:highlight w:val="none"/>
        </w:rPr>
        <w:t>五、响应文件的评审与谈判</w:t>
      </w:r>
      <w:r>
        <w:rPr>
          <w:color w:val="auto"/>
          <w:sz w:val="28"/>
          <w:szCs w:val="32"/>
          <w:highlight w:val="none"/>
        </w:rPr>
        <w:tab/>
      </w:r>
      <w:r>
        <w:rPr>
          <w:color w:val="auto"/>
          <w:sz w:val="28"/>
          <w:szCs w:val="32"/>
          <w:highlight w:val="none"/>
        </w:rPr>
        <w:fldChar w:fldCharType="begin"/>
      </w:r>
      <w:r>
        <w:rPr>
          <w:color w:val="auto"/>
          <w:sz w:val="28"/>
          <w:szCs w:val="32"/>
          <w:highlight w:val="none"/>
        </w:rPr>
        <w:instrText xml:space="preserve"> PAGEREF _Toc19443 </w:instrText>
      </w:r>
      <w:r>
        <w:rPr>
          <w:color w:val="auto"/>
          <w:sz w:val="28"/>
          <w:szCs w:val="32"/>
          <w:highlight w:val="none"/>
        </w:rPr>
        <w:fldChar w:fldCharType="separate"/>
      </w:r>
      <w:r>
        <w:rPr>
          <w:color w:val="auto"/>
          <w:sz w:val="28"/>
          <w:szCs w:val="32"/>
          <w:highlight w:val="none"/>
        </w:rPr>
        <w:t>18</w:t>
      </w:r>
      <w:r>
        <w:rPr>
          <w:color w:val="auto"/>
          <w:sz w:val="28"/>
          <w:szCs w:val="32"/>
          <w:highlight w:val="none"/>
        </w:rPr>
        <w:fldChar w:fldCharType="end"/>
      </w:r>
      <w:r>
        <w:rPr>
          <w:color w:val="auto"/>
          <w:sz w:val="28"/>
          <w:szCs w:val="32"/>
          <w:highlight w:val="none"/>
        </w:rPr>
        <w:fldChar w:fldCharType="end"/>
      </w:r>
    </w:p>
    <w:p>
      <w:pPr>
        <w:pStyle w:val="24"/>
        <w:tabs>
          <w:tab w:val="right" w:leader="dot" w:pos="9752"/>
        </w:tabs>
        <w:rPr>
          <w:color w:val="auto"/>
          <w:sz w:val="28"/>
          <w:szCs w:val="32"/>
          <w:highlight w:val="none"/>
        </w:rPr>
      </w:pPr>
      <w:r>
        <w:fldChar w:fldCharType="begin"/>
      </w:r>
      <w:r>
        <w:instrText xml:space="preserve"> HYPERLINK \l "_Toc18200" </w:instrText>
      </w:r>
      <w:r>
        <w:fldChar w:fldCharType="separate"/>
      </w:r>
      <w:r>
        <w:rPr>
          <w:rFonts w:hint="eastAsia" w:ascii="宋体" w:hAnsi="宋体"/>
          <w:color w:val="auto"/>
          <w:sz w:val="28"/>
          <w:szCs w:val="36"/>
          <w:highlight w:val="none"/>
        </w:rPr>
        <w:t>六、成交结果信息公布与授予合同</w:t>
      </w:r>
      <w:r>
        <w:rPr>
          <w:color w:val="auto"/>
          <w:sz w:val="28"/>
          <w:szCs w:val="32"/>
          <w:highlight w:val="none"/>
        </w:rPr>
        <w:tab/>
      </w:r>
      <w:r>
        <w:rPr>
          <w:color w:val="auto"/>
          <w:sz w:val="28"/>
          <w:szCs w:val="32"/>
          <w:highlight w:val="none"/>
        </w:rPr>
        <w:fldChar w:fldCharType="begin"/>
      </w:r>
      <w:r>
        <w:rPr>
          <w:color w:val="auto"/>
          <w:sz w:val="28"/>
          <w:szCs w:val="32"/>
          <w:highlight w:val="none"/>
        </w:rPr>
        <w:instrText xml:space="preserve"> PAGEREF _Toc18200 </w:instrText>
      </w:r>
      <w:r>
        <w:rPr>
          <w:color w:val="auto"/>
          <w:sz w:val="28"/>
          <w:szCs w:val="32"/>
          <w:highlight w:val="none"/>
        </w:rPr>
        <w:fldChar w:fldCharType="separate"/>
      </w:r>
      <w:r>
        <w:rPr>
          <w:color w:val="auto"/>
          <w:sz w:val="28"/>
          <w:szCs w:val="32"/>
          <w:highlight w:val="none"/>
        </w:rPr>
        <w:t>22</w:t>
      </w:r>
      <w:r>
        <w:rPr>
          <w:color w:val="auto"/>
          <w:sz w:val="28"/>
          <w:szCs w:val="32"/>
          <w:highlight w:val="none"/>
        </w:rPr>
        <w:fldChar w:fldCharType="end"/>
      </w:r>
      <w:r>
        <w:rPr>
          <w:color w:val="auto"/>
          <w:sz w:val="28"/>
          <w:szCs w:val="32"/>
          <w:highlight w:val="none"/>
        </w:rPr>
        <w:fldChar w:fldCharType="end"/>
      </w:r>
    </w:p>
    <w:p>
      <w:pPr>
        <w:pStyle w:val="24"/>
        <w:tabs>
          <w:tab w:val="right" w:leader="dot" w:pos="9752"/>
        </w:tabs>
        <w:rPr>
          <w:color w:val="auto"/>
          <w:sz w:val="28"/>
          <w:szCs w:val="32"/>
          <w:highlight w:val="none"/>
        </w:rPr>
      </w:pPr>
      <w:r>
        <w:fldChar w:fldCharType="begin"/>
      </w:r>
      <w:r>
        <w:instrText xml:space="preserve"> HYPERLINK \l "_Toc27599" </w:instrText>
      </w:r>
      <w:r>
        <w:fldChar w:fldCharType="separate"/>
      </w:r>
      <w:r>
        <w:rPr>
          <w:rFonts w:hint="eastAsia" w:ascii="宋体" w:hAnsi="宋体"/>
          <w:color w:val="auto"/>
          <w:sz w:val="28"/>
          <w:szCs w:val="36"/>
          <w:highlight w:val="none"/>
        </w:rPr>
        <w:t>七、其他规定</w:t>
      </w:r>
      <w:r>
        <w:rPr>
          <w:color w:val="auto"/>
          <w:sz w:val="28"/>
          <w:szCs w:val="32"/>
          <w:highlight w:val="none"/>
        </w:rPr>
        <w:tab/>
      </w:r>
      <w:r>
        <w:rPr>
          <w:color w:val="auto"/>
          <w:sz w:val="28"/>
          <w:szCs w:val="32"/>
          <w:highlight w:val="none"/>
        </w:rPr>
        <w:fldChar w:fldCharType="begin"/>
      </w:r>
      <w:r>
        <w:rPr>
          <w:color w:val="auto"/>
          <w:sz w:val="28"/>
          <w:szCs w:val="32"/>
          <w:highlight w:val="none"/>
        </w:rPr>
        <w:instrText xml:space="preserve"> PAGEREF _Toc27599 </w:instrText>
      </w:r>
      <w:r>
        <w:rPr>
          <w:color w:val="auto"/>
          <w:sz w:val="28"/>
          <w:szCs w:val="32"/>
          <w:highlight w:val="none"/>
        </w:rPr>
        <w:fldChar w:fldCharType="separate"/>
      </w:r>
      <w:r>
        <w:rPr>
          <w:color w:val="auto"/>
          <w:sz w:val="28"/>
          <w:szCs w:val="32"/>
          <w:highlight w:val="none"/>
        </w:rPr>
        <w:t>24</w:t>
      </w:r>
      <w:r>
        <w:rPr>
          <w:color w:val="auto"/>
          <w:sz w:val="28"/>
          <w:szCs w:val="32"/>
          <w:highlight w:val="none"/>
        </w:rPr>
        <w:fldChar w:fldCharType="end"/>
      </w:r>
      <w:r>
        <w:rPr>
          <w:color w:val="auto"/>
          <w:sz w:val="28"/>
          <w:szCs w:val="32"/>
          <w:highlight w:val="none"/>
        </w:rPr>
        <w:fldChar w:fldCharType="end"/>
      </w:r>
    </w:p>
    <w:p>
      <w:pPr>
        <w:pStyle w:val="24"/>
        <w:tabs>
          <w:tab w:val="right" w:leader="dot" w:pos="9752"/>
        </w:tabs>
        <w:rPr>
          <w:color w:val="auto"/>
          <w:sz w:val="28"/>
          <w:szCs w:val="32"/>
          <w:highlight w:val="none"/>
        </w:rPr>
      </w:pPr>
      <w:r>
        <w:fldChar w:fldCharType="begin"/>
      </w:r>
      <w:r>
        <w:instrText xml:space="preserve"> HYPERLINK \l "_Toc6627" </w:instrText>
      </w:r>
      <w:r>
        <w:fldChar w:fldCharType="separate"/>
      </w:r>
      <w:r>
        <w:rPr>
          <w:rFonts w:hint="eastAsia"/>
          <w:color w:val="auto"/>
          <w:sz w:val="28"/>
          <w:szCs w:val="36"/>
          <w:highlight w:val="none"/>
        </w:rPr>
        <w:t>第三章 政府采购合同格式条款</w:t>
      </w:r>
      <w:r>
        <w:rPr>
          <w:color w:val="auto"/>
          <w:sz w:val="28"/>
          <w:szCs w:val="32"/>
          <w:highlight w:val="none"/>
        </w:rPr>
        <w:tab/>
      </w:r>
      <w:r>
        <w:rPr>
          <w:color w:val="auto"/>
          <w:sz w:val="28"/>
          <w:szCs w:val="32"/>
          <w:highlight w:val="none"/>
        </w:rPr>
        <w:fldChar w:fldCharType="begin"/>
      </w:r>
      <w:r>
        <w:rPr>
          <w:color w:val="auto"/>
          <w:sz w:val="28"/>
          <w:szCs w:val="32"/>
          <w:highlight w:val="none"/>
        </w:rPr>
        <w:instrText xml:space="preserve"> PAGEREF _Toc6627 </w:instrText>
      </w:r>
      <w:r>
        <w:rPr>
          <w:color w:val="auto"/>
          <w:sz w:val="28"/>
          <w:szCs w:val="32"/>
          <w:highlight w:val="none"/>
        </w:rPr>
        <w:fldChar w:fldCharType="separate"/>
      </w:r>
      <w:r>
        <w:rPr>
          <w:color w:val="auto"/>
          <w:sz w:val="28"/>
          <w:szCs w:val="32"/>
          <w:highlight w:val="none"/>
        </w:rPr>
        <w:t>25</w:t>
      </w:r>
      <w:r>
        <w:rPr>
          <w:color w:val="auto"/>
          <w:sz w:val="28"/>
          <w:szCs w:val="32"/>
          <w:highlight w:val="none"/>
        </w:rPr>
        <w:fldChar w:fldCharType="end"/>
      </w:r>
      <w:r>
        <w:rPr>
          <w:color w:val="auto"/>
          <w:sz w:val="28"/>
          <w:szCs w:val="32"/>
          <w:highlight w:val="none"/>
        </w:rPr>
        <w:fldChar w:fldCharType="end"/>
      </w:r>
    </w:p>
    <w:p>
      <w:pPr>
        <w:pStyle w:val="24"/>
        <w:tabs>
          <w:tab w:val="right" w:leader="dot" w:pos="9752"/>
        </w:tabs>
        <w:rPr>
          <w:color w:val="auto"/>
          <w:sz w:val="28"/>
          <w:szCs w:val="32"/>
          <w:highlight w:val="none"/>
        </w:rPr>
      </w:pPr>
      <w:r>
        <w:fldChar w:fldCharType="begin"/>
      </w:r>
      <w:r>
        <w:instrText xml:space="preserve"> HYPERLINK \l "_Toc24303" </w:instrText>
      </w:r>
      <w:r>
        <w:fldChar w:fldCharType="separate"/>
      </w:r>
      <w:r>
        <w:rPr>
          <w:rFonts w:hint="eastAsia" w:ascii="Cambria" w:hAnsi="Cambria" w:eastAsia="宋体" w:cs="Times New Roman"/>
          <w:bCs/>
          <w:color w:val="auto"/>
          <w:kern w:val="28"/>
          <w:sz w:val="28"/>
          <w:szCs w:val="36"/>
          <w:highlight w:val="none"/>
          <w:lang w:val="en-US" w:eastAsia="zh-CN" w:bidi="ar-SA"/>
        </w:rPr>
        <w:t>一、政府采购合同协议书</w:t>
      </w:r>
      <w:r>
        <w:rPr>
          <w:color w:val="auto"/>
          <w:sz w:val="28"/>
          <w:szCs w:val="32"/>
          <w:highlight w:val="none"/>
        </w:rPr>
        <w:tab/>
      </w:r>
      <w:r>
        <w:rPr>
          <w:color w:val="auto"/>
          <w:sz w:val="28"/>
          <w:szCs w:val="32"/>
          <w:highlight w:val="none"/>
        </w:rPr>
        <w:fldChar w:fldCharType="begin"/>
      </w:r>
      <w:r>
        <w:rPr>
          <w:color w:val="auto"/>
          <w:sz w:val="28"/>
          <w:szCs w:val="32"/>
          <w:highlight w:val="none"/>
        </w:rPr>
        <w:instrText xml:space="preserve"> PAGEREF _Toc24303 </w:instrText>
      </w:r>
      <w:r>
        <w:rPr>
          <w:color w:val="auto"/>
          <w:sz w:val="28"/>
          <w:szCs w:val="32"/>
          <w:highlight w:val="none"/>
        </w:rPr>
        <w:fldChar w:fldCharType="separate"/>
      </w:r>
      <w:r>
        <w:rPr>
          <w:color w:val="auto"/>
          <w:sz w:val="28"/>
          <w:szCs w:val="32"/>
          <w:highlight w:val="none"/>
        </w:rPr>
        <w:t>26</w:t>
      </w:r>
      <w:r>
        <w:rPr>
          <w:color w:val="auto"/>
          <w:sz w:val="28"/>
          <w:szCs w:val="32"/>
          <w:highlight w:val="none"/>
        </w:rPr>
        <w:fldChar w:fldCharType="end"/>
      </w:r>
      <w:r>
        <w:rPr>
          <w:color w:val="auto"/>
          <w:sz w:val="28"/>
          <w:szCs w:val="32"/>
          <w:highlight w:val="none"/>
        </w:rPr>
        <w:fldChar w:fldCharType="end"/>
      </w:r>
    </w:p>
    <w:p>
      <w:pPr>
        <w:pStyle w:val="27"/>
        <w:tabs>
          <w:tab w:val="right" w:leader="dot" w:pos="9752"/>
        </w:tabs>
        <w:ind w:left="0" w:leftChars="0" w:firstLine="0" w:firstLineChars="0"/>
        <w:rPr>
          <w:color w:val="auto"/>
          <w:sz w:val="28"/>
          <w:szCs w:val="32"/>
          <w:highlight w:val="none"/>
        </w:rPr>
      </w:pPr>
      <w:r>
        <w:fldChar w:fldCharType="begin"/>
      </w:r>
      <w:r>
        <w:instrText xml:space="preserve"> HYPERLINK \l "_Toc30244" </w:instrText>
      </w:r>
      <w:r>
        <w:fldChar w:fldCharType="separate"/>
      </w:r>
      <w:r>
        <w:rPr>
          <w:rFonts w:hint="eastAsia"/>
          <w:color w:val="auto"/>
          <w:sz w:val="28"/>
          <w:szCs w:val="36"/>
          <w:highlight w:val="none"/>
        </w:rPr>
        <w:t>二、政府采购合同通用条款</w:t>
      </w:r>
      <w:r>
        <w:rPr>
          <w:color w:val="auto"/>
          <w:sz w:val="28"/>
          <w:szCs w:val="32"/>
          <w:highlight w:val="none"/>
        </w:rPr>
        <w:tab/>
      </w:r>
      <w:r>
        <w:rPr>
          <w:color w:val="auto"/>
          <w:sz w:val="28"/>
          <w:szCs w:val="32"/>
          <w:highlight w:val="none"/>
        </w:rPr>
        <w:fldChar w:fldCharType="begin"/>
      </w:r>
      <w:r>
        <w:rPr>
          <w:color w:val="auto"/>
          <w:sz w:val="28"/>
          <w:szCs w:val="32"/>
          <w:highlight w:val="none"/>
        </w:rPr>
        <w:instrText xml:space="preserve"> PAGEREF _Toc30244 </w:instrText>
      </w:r>
      <w:r>
        <w:rPr>
          <w:color w:val="auto"/>
          <w:sz w:val="28"/>
          <w:szCs w:val="32"/>
          <w:highlight w:val="none"/>
        </w:rPr>
        <w:fldChar w:fldCharType="separate"/>
      </w:r>
      <w:r>
        <w:rPr>
          <w:color w:val="auto"/>
          <w:sz w:val="28"/>
          <w:szCs w:val="32"/>
          <w:highlight w:val="none"/>
        </w:rPr>
        <w:t>38</w:t>
      </w:r>
      <w:r>
        <w:rPr>
          <w:color w:val="auto"/>
          <w:sz w:val="28"/>
          <w:szCs w:val="32"/>
          <w:highlight w:val="none"/>
        </w:rPr>
        <w:fldChar w:fldCharType="end"/>
      </w:r>
      <w:r>
        <w:rPr>
          <w:color w:val="auto"/>
          <w:sz w:val="28"/>
          <w:szCs w:val="32"/>
          <w:highlight w:val="none"/>
        </w:rPr>
        <w:fldChar w:fldCharType="end"/>
      </w:r>
    </w:p>
    <w:p>
      <w:pPr>
        <w:pStyle w:val="27"/>
        <w:tabs>
          <w:tab w:val="right" w:leader="dot" w:pos="9752"/>
        </w:tabs>
        <w:ind w:left="0" w:leftChars="0" w:firstLine="0" w:firstLineChars="0"/>
        <w:rPr>
          <w:color w:val="auto"/>
          <w:sz w:val="28"/>
          <w:szCs w:val="32"/>
          <w:highlight w:val="none"/>
        </w:rPr>
      </w:pPr>
      <w:r>
        <w:fldChar w:fldCharType="begin"/>
      </w:r>
      <w:r>
        <w:instrText xml:space="preserve"> HYPERLINK \l "_Toc16614" </w:instrText>
      </w:r>
      <w:r>
        <w:fldChar w:fldCharType="separate"/>
      </w:r>
      <w:r>
        <w:rPr>
          <w:rFonts w:hint="eastAsia"/>
          <w:color w:val="auto"/>
          <w:sz w:val="28"/>
          <w:szCs w:val="36"/>
          <w:highlight w:val="none"/>
        </w:rPr>
        <w:t>三、政府采购合同专用条款</w:t>
      </w:r>
      <w:r>
        <w:rPr>
          <w:color w:val="auto"/>
          <w:sz w:val="28"/>
          <w:szCs w:val="32"/>
          <w:highlight w:val="none"/>
        </w:rPr>
        <w:tab/>
      </w:r>
      <w:r>
        <w:rPr>
          <w:color w:val="auto"/>
          <w:sz w:val="28"/>
          <w:szCs w:val="32"/>
          <w:highlight w:val="none"/>
        </w:rPr>
        <w:fldChar w:fldCharType="begin"/>
      </w:r>
      <w:r>
        <w:rPr>
          <w:color w:val="auto"/>
          <w:sz w:val="28"/>
          <w:szCs w:val="32"/>
          <w:highlight w:val="none"/>
        </w:rPr>
        <w:instrText xml:space="preserve"> PAGEREF _Toc16614 </w:instrText>
      </w:r>
      <w:r>
        <w:rPr>
          <w:color w:val="auto"/>
          <w:sz w:val="28"/>
          <w:szCs w:val="32"/>
          <w:highlight w:val="none"/>
        </w:rPr>
        <w:fldChar w:fldCharType="separate"/>
      </w:r>
      <w:r>
        <w:rPr>
          <w:color w:val="auto"/>
          <w:sz w:val="28"/>
          <w:szCs w:val="32"/>
          <w:highlight w:val="none"/>
        </w:rPr>
        <w:t>38</w:t>
      </w:r>
      <w:r>
        <w:rPr>
          <w:color w:val="auto"/>
          <w:sz w:val="28"/>
          <w:szCs w:val="32"/>
          <w:highlight w:val="none"/>
        </w:rPr>
        <w:fldChar w:fldCharType="end"/>
      </w:r>
      <w:r>
        <w:rPr>
          <w:color w:val="auto"/>
          <w:sz w:val="28"/>
          <w:szCs w:val="32"/>
          <w:highlight w:val="none"/>
        </w:rPr>
        <w:fldChar w:fldCharType="end"/>
      </w:r>
    </w:p>
    <w:p>
      <w:pPr>
        <w:pStyle w:val="24"/>
        <w:tabs>
          <w:tab w:val="right" w:leader="dot" w:pos="9752"/>
        </w:tabs>
        <w:rPr>
          <w:color w:val="auto"/>
          <w:sz w:val="28"/>
          <w:szCs w:val="32"/>
          <w:highlight w:val="none"/>
        </w:rPr>
      </w:pPr>
      <w:r>
        <w:fldChar w:fldCharType="begin"/>
      </w:r>
      <w:r>
        <w:instrText xml:space="preserve"> HYPERLINK \l "_Toc9517" </w:instrText>
      </w:r>
      <w:r>
        <w:fldChar w:fldCharType="separate"/>
      </w:r>
      <w:r>
        <w:rPr>
          <w:rFonts w:hint="eastAsia"/>
          <w:color w:val="auto"/>
          <w:sz w:val="28"/>
          <w:szCs w:val="36"/>
          <w:highlight w:val="none"/>
        </w:rPr>
        <w:t xml:space="preserve">第四章 </w:t>
      </w:r>
      <w:r>
        <w:rPr>
          <w:rFonts w:hint="eastAsia"/>
          <w:color w:val="auto"/>
          <w:sz w:val="28"/>
          <w:szCs w:val="36"/>
          <w:highlight w:val="none"/>
          <w:lang w:eastAsia="zh-CN"/>
        </w:rPr>
        <w:t>采购</w:t>
      </w:r>
      <w:r>
        <w:rPr>
          <w:rFonts w:hint="eastAsia"/>
          <w:color w:val="auto"/>
          <w:sz w:val="28"/>
          <w:szCs w:val="36"/>
          <w:highlight w:val="none"/>
        </w:rPr>
        <w:t>需求</w:t>
      </w:r>
      <w:r>
        <w:rPr>
          <w:color w:val="auto"/>
          <w:sz w:val="28"/>
          <w:szCs w:val="32"/>
          <w:highlight w:val="none"/>
        </w:rPr>
        <w:tab/>
      </w:r>
      <w:r>
        <w:rPr>
          <w:color w:val="auto"/>
          <w:sz w:val="28"/>
          <w:szCs w:val="32"/>
          <w:highlight w:val="none"/>
        </w:rPr>
        <w:fldChar w:fldCharType="begin"/>
      </w:r>
      <w:r>
        <w:rPr>
          <w:color w:val="auto"/>
          <w:sz w:val="28"/>
          <w:szCs w:val="32"/>
          <w:highlight w:val="none"/>
        </w:rPr>
        <w:instrText xml:space="preserve"> PAGEREF _Toc9517 </w:instrText>
      </w:r>
      <w:r>
        <w:rPr>
          <w:color w:val="auto"/>
          <w:sz w:val="28"/>
          <w:szCs w:val="32"/>
          <w:highlight w:val="none"/>
        </w:rPr>
        <w:fldChar w:fldCharType="separate"/>
      </w:r>
      <w:r>
        <w:rPr>
          <w:color w:val="auto"/>
          <w:sz w:val="28"/>
          <w:szCs w:val="32"/>
          <w:highlight w:val="none"/>
        </w:rPr>
        <w:t>39</w:t>
      </w:r>
      <w:r>
        <w:rPr>
          <w:color w:val="auto"/>
          <w:sz w:val="28"/>
          <w:szCs w:val="32"/>
          <w:highlight w:val="none"/>
        </w:rPr>
        <w:fldChar w:fldCharType="end"/>
      </w:r>
      <w:r>
        <w:rPr>
          <w:color w:val="auto"/>
          <w:sz w:val="28"/>
          <w:szCs w:val="32"/>
          <w:highlight w:val="none"/>
        </w:rPr>
        <w:fldChar w:fldCharType="end"/>
      </w:r>
    </w:p>
    <w:p>
      <w:pPr>
        <w:pStyle w:val="24"/>
        <w:tabs>
          <w:tab w:val="right" w:leader="dot" w:pos="9752"/>
        </w:tabs>
        <w:rPr>
          <w:color w:val="auto"/>
          <w:sz w:val="28"/>
          <w:szCs w:val="32"/>
          <w:highlight w:val="none"/>
        </w:rPr>
      </w:pPr>
      <w:r>
        <w:fldChar w:fldCharType="begin"/>
      </w:r>
      <w:r>
        <w:instrText xml:space="preserve"> HYPERLINK \l "_Toc2471" </w:instrText>
      </w:r>
      <w:r>
        <w:fldChar w:fldCharType="separate"/>
      </w:r>
      <w:r>
        <w:rPr>
          <w:rFonts w:hint="eastAsia"/>
          <w:bCs/>
          <w:color w:val="auto"/>
          <w:sz w:val="28"/>
          <w:szCs w:val="36"/>
          <w:highlight w:val="none"/>
        </w:rPr>
        <w:t>第五章 响应文件组成</w:t>
      </w:r>
      <w:r>
        <w:rPr>
          <w:color w:val="auto"/>
          <w:sz w:val="28"/>
          <w:szCs w:val="32"/>
          <w:highlight w:val="none"/>
        </w:rPr>
        <w:tab/>
      </w:r>
      <w:r>
        <w:rPr>
          <w:color w:val="auto"/>
          <w:sz w:val="28"/>
          <w:szCs w:val="32"/>
          <w:highlight w:val="none"/>
        </w:rPr>
        <w:fldChar w:fldCharType="begin"/>
      </w:r>
      <w:r>
        <w:rPr>
          <w:color w:val="auto"/>
          <w:sz w:val="28"/>
          <w:szCs w:val="32"/>
          <w:highlight w:val="none"/>
        </w:rPr>
        <w:instrText xml:space="preserve"> PAGEREF _Toc2471 </w:instrText>
      </w:r>
      <w:r>
        <w:rPr>
          <w:color w:val="auto"/>
          <w:sz w:val="28"/>
          <w:szCs w:val="32"/>
          <w:highlight w:val="none"/>
        </w:rPr>
        <w:fldChar w:fldCharType="separate"/>
      </w:r>
      <w:r>
        <w:rPr>
          <w:color w:val="auto"/>
          <w:sz w:val="28"/>
          <w:szCs w:val="32"/>
          <w:highlight w:val="none"/>
        </w:rPr>
        <w:t>41</w:t>
      </w:r>
      <w:r>
        <w:rPr>
          <w:color w:val="auto"/>
          <w:sz w:val="28"/>
          <w:szCs w:val="32"/>
          <w:highlight w:val="none"/>
        </w:rPr>
        <w:fldChar w:fldCharType="end"/>
      </w:r>
      <w:r>
        <w:rPr>
          <w:color w:val="auto"/>
          <w:sz w:val="28"/>
          <w:szCs w:val="32"/>
          <w:highlight w:val="none"/>
        </w:rPr>
        <w:fldChar w:fldCharType="end"/>
      </w:r>
    </w:p>
    <w:p>
      <w:pPr>
        <w:rPr>
          <w:rFonts w:hint="eastAsia" w:ascii="宋体" w:hAnsi="宋体"/>
          <w:color w:val="auto"/>
          <w:sz w:val="28"/>
          <w:szCs w:val="28"/>
          <w:highlight w:val="none"/>
        </w:rPr>
      </w:pPr>
      <w:r>
        <w:rPr>
          <w:rFonts w:hint="eastAsia" w:ascii="宋体" w:hAnsi="宋体" w:eastAsia="宋体" w:cs="宋体"/>
          <w:color w:val="auto"/>
          <w:sz w:val="28"/>
          <w:szCs w:val="40"/>
          <w:highlight w:val="none"/>
        </w:rPr>
        <w:fldChar w:fldCharType="end"/>
      </w:r>
    </w:p>
    <w:p>
      <w:pPr>
        <w:bidi w:val="0"/>
        <w:rPr>
          <w:rFonts w:hint="eastAsia"/>
          <w:color w:val="auto"/>
          <w:highlight w:val="none"/>
        </w:rPr>
      </w:pPr>
      <w:bookmarkStart w:id="0" w:name="_Toc451154040"/>
    </w:p>
    <w:p>
      <w:pPr>
        <w:bidi w:val="0"/>
        <w:rPr>
          <w:rFonts w:hint="eastAsia"/>
          <w:color w:val="auto"/>
          <w:highlight w:val="none"/>
        </w:rPr>
      </w:pPr>
    </w:p>
    <w:p>
      <w:pPr>
        <w:bidi w:val="0"/>
        <w:rPr>
          <w:rFonts w:hint="eastAsia"/>
          <w:color w:val="auto"/>
          <w:highlight w:val="none"/>
        </w:rPr>
        <w:sectPr>
          <w:footerReference r:id="rId8" w:type="first"/>
          <w:footerReference r:id="rId6" w:type="default"/>
          <w:footerReference r:id="rId7" w:type="even"/>
          <w:pgSz w:w="11906" w:h="16838"/>
          <w:pgMar w:top="1440" w:right="1077" w:bottom="1440" w:left="1077" w:header="851" w:footer="992" w:gutter="0"/>
          <w:pgNumType w:fmt="decimal" w:start="1"/>
          <w:cols w:space="708" w:num="1"/>
          <w:docGrid w:type="lines" w:linePitch="312" w:charSpace="0"/>
        </w:sectPr>
      </w:pPr>
    </w:p>
    <w:p>
      <w:pPr>
        <w:pStyle w:val="31"/>
        <w:spacing w:before="0" w:beforeLines="0" w:after="0" w:afterLines="0" w:line="360" w:lineRule="auto"/>
        <w:rPr>
          <w:color w:val="auto"/>
          <w:sz w:val="24"/>
          <w:szCs w:val="24"/>
          <w:highlight w:val="none"/>
        </w:rPr>
      </w:pPr>
      <w:bookmarkStart w:id="1" w:name="_Toc14312"/>
      <w:r>
        <w:rPr>
          <w:rFonts w:hint="eastAsia"/>
          <w:color w:val="auto"/>
          <w:sz w:val="24"/>
          <w:szCs w:val="24"/>
          <w:highlight w:val="none"/>
        </w:rPr>
        <w:t>第一章 谈判通知</w:t>
      </w:r>
      <w:bookmarkEnd w:id="0"/>
      <w:bookmarkEnd w:id="1"/>
    </w:p>
    <w:p>
      <w:pPr>
        <w:spacing w:line="360" w:lineRule="auto"/>
        <w:rPr>
          <w:rFonts w:ascii="宋体" w:hAnsi="宋体"/>
          <w:iCs/>
          <w:color w:val="auto"/>
          <w:sz w:val="24"/>
          <w:highlight w:val="none"/>
        </w:rPr>
      </w:pPr>
      <w:r>
        <w:rPr>
          <w:rFonts w:hint="eastAsia" w:ascii="宋体" w:hAnsi="宋体"/>
          <w:iCs/>
          <w:color w:val="auto"/>
          <w:sz w:val="24"/>
          <w:highlight w:val="none"/>
          <w:u w:val="single"/>
        </w:rPr>
        <w:t xml:space="preserve">                  </w:t>
      </w:r>
      <w:r>
        <w:rPr>
          <w:rFonts w:hint="eastAsia" w:ascii="宋体" w:hAnsi="宋体"/>
          <w:iCs/>
          <w:color w:val="auto"/>
          <w:sz w:val="24"/>
          <w:highlight w:val="none"/>
        </w:rPr>
        <w:t>(</w:t>
      </w:r>
      <w:r>
        <w:rPr>
          <w:rFonts w:hint="eastAsia" w:ascii="宋体" w:hAnsi="宋体" w:cs="宋体"/>
          <w:color w:val="auto"/>
          <w:kern w:val="0"/>
          <w:sz w:val="24"/>
          <w:highlight w:val="none"/>
        </w:rPr>
        <w:t>被邀请</w:t>
      </w:r>
      <w:r>
        <w:rPr>
          <w:rFonts w:hint="eastAsia" w:ascii="宋体" w:hAnsi="宋体"/>
          <w:color w:val="auto"/>
          <w:sz w:val="24"/>
          <w:highlight w:val="none"/>
        </w:rPr>
        <w:t>供应商</w:t>
      </w:r>
      <w:r>
        <w:rPr>
          <w:rFonts w:hint="eastAsia" w:ascii="宋体" w:hAnsi="宋体" w:cs="宋体"/>
          <w:color w:val="auto"/>
          <w:kern w:val="0"/>
          <w:sz w:val="24"/>
          <w:highlight w:val="none"/>
        </w:rPr>
        <w:t>名称</w:t>
      </w:r>
      <w:r>
        <w:rPr>
          <w:rFonts w:hint="eastAsia" w:ascii="宋体" w:hAnsi="宋体"/>
          <w:iCs/>
          <w:color w:val="auto"/>
          <w:sz w:val="24"/>
          <w:highlight w:val="none"/>
        </w:rPr>
        <w:t>)：</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val="en-US" w:eastAsia="zh-CN"/>
        </w:rPr>
        <w:t>白沙黎族自治县农业农村局（采购人）</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rPr>
        <w:t>2022年农村独立式公厕建设</w:t>
      </w:r>
      <w:r>
        <w:rPr>
          <w:rFonts w:hint="eastAsia" w:ascii="宋体" w:hAnsi="宋体" w:eastAsia="宋体" w:cs="宋体"/>
          <w:color w:val="auto"/>
          <w:sz w:val="24"/>
          <w:szCs w:val="24"/>
          <w:highlight w:val="none"/>
          <w:u w:val="single"/>
          <w:lang w:val="en-US" w:eastAsia="zh-CN"/>
        </w:rPr>
        <w:t>（项目名称）</w:t>
      </w: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u w:val="single"/>
        </w:rPr>
        <w:t>HNJH2022-T003</w:t>
      </w:r>
      <w:r>
        <w:rPr>
          <w:rFonts w:hint="eastAsia" w:ascii="宋体" w:hAnsi="宋体" w:eastAsia="宋体" w:cs="宋体"/>
          <w:color w:val="auto"/>
          <w:sz w:val="24"/>
          <w:szCs w:val="24"/>
          <w:highlight w:val="none"/>
        </w:rPr>
        <w:t>）项目进行竞争性谈判采购。经谈判小组确定，通知你单位参加谈判。</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480" w:lineRule="exact"/>
        <w:ind w:right="92" w:rightChars="0" w:firstLine="480" w:firstLineChars="200"/>
        <w:jc w:val="left"/>
        <w:textAlignment w:val="auto"/>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en-US" w:eastAsia="zh-CN" w:bidi="zh-CN"/>
        </w:rPr>
        <w:t>1、</w:t>
      </w:r>
      <w:r>
        <w:rPr>
          <w:rFonts w:hint="eastAsia" w:ascii="宋体" w:hAnsi="宋体" w:eastAsia="宋体" w:cs="宋体"/>
          <w:color w:val="auto"/>
          <w:sz w:val="24"/>
          <w:szCs w:val="24"/>
          <w:highlight w:val="none"/>
          <w:lang w:val="zh-CN" w:eastAsia="zh-CN" w:bidi="zh-CN"/>
        </w:rPr>
        <w:t>凡有意参加谈判采购活动的，</w:t>
      </w:r>
      <w:r>
        <w:rPr>
          <w:rFonts w:hint="eastAsia" w:ascii="宋体" w:hAnsi="宋体" w:eastAsia="宋体" w:cs="宋体"/>
          <w:color w:val="auto"/>
          <w:sz w:val="24"/>
          <w:szCs w:val="24"/>
          <w:highlight w:val="none"/>
        </w:rPr>
        <w:t>请你单位</w:t>
      </w:r>
      <w:r>
        <w:rPr>
          <w:rFonts w:hint="eastAsia" w:ascii="宋体" w:hAnsi="宋体" w:eastAsia="宋体" w:cs="宋体"/>
          <w:color w:val="auto"/>
          <w:sz w:val="24"/>
          <w:szCs w:val="24"/>
          <w:highlight w:val="none"/>
          <w:shd w:val="clear" w:color="auto" w:fill="auto"/>
        </w:rPr>
        <w:t>于</w:t>
      </w:r>
      <w:r>
        <w:rPr>
          <w:rFonts w:hint="eastAsia" w:ascii="宋体" w:hAnsi="宋体" w:eastAsia="宋体" w:cs="宋体"/>
          <w:color w:val="auto"/>
          <w:sz w:val="24"/>
          <w:szCs w:val="24"/>
          <w:highlight w:val="none"/>
          <w:u w:val="single"/>
          <w:shd w:val="clear" w:color="auto" w:fill="auto"/>
          <w:lang w:val="en-US" w:eastAsia="zh-CN"/>
        </w:rPr>
        <w:t>2022</w:t>
      </w:r>
      <w:r>
        <w:rPr>
          <w:rFonts w:hint="eastAsia" w:ascii="宋体" w:hAnsi="宋体" w:eastAsia="宋体" w:cs="宋体"/>
          <w:color w:val="auto"/>
          <w:sz w:val="24"/>
          <w:szCs w:val="24"/>
          <w:highlight w:val="none"/>
          <w:shd w:val="clear" w:color="auto" w:fill="auto"/>
          <w:lang w:val="en-US" w:eastAsia="zh-CN"/>
        </w:rPr>
        <w:t>年</w:t>
      </w:r>
      <w:r>
        <w:rPr>
          <w:rFonts w:hint="eastAsia" w:ascii="宋体" w:hAnsi="宋体" w:eastAsia="宋体" w:cs="宋体"/>
          <w:color w:val="auto"/>
          <w:sz w:val="24"/>
          <w:szCs w:val="24"/>
          <w:highlight w:val="none"/>
          <w:u w:val="single"/>
          <w:shd w:val="clear" w:color="auto" w:fill="auto"/>
          <w:lang w:val="en-US" w:eastAsia="zh-CN"/>
        </w:rPr>
        <w:t xml:space="preserve"> 5  </w:t>
      </w:r>
      <w:r>
        <w:rPr>
          <w:rFonts w:hint="eastAsia" w:ascii="宋体" w:hAnsi="宋体" w:eastAsia="宋体" w:cs="宋体"/>
          <w:color w:val="auto"/>
          <w:sz w:val="24"/>
          <w:szCs w:val="24"/>
          <w:highlight w:val="none"/>
          <w:shd w:val="clear" w:color="auto" w:fill="auto"/>
        </w:rPr>
        <w:t>月</w:t>
      </w:r>
      <w:r>
        <w:rPr>
          <w:rFonts w:hint="eastAsia" w:ascii="宋体" w:hAnsi="宋体" w:eastAsia="宋体" w:cs="宋体"/>
          <w:color w:val="auto"/>
          <w:sz w:val="24"/>
          <w:szCs w:val="24"/>
          <w:highlight w:val="none"/>
          <w:u w:val="single"/>
          <w:shd w:val="clear" w:color="auto" w:fill="auto"/>
          <w:lang w:val="en-US" w:eastAsia="zh-CN"/>
        </w:rPr>
        <w:t xml:space="preserve"> 30 </w:t>
      </w:r>
      <w:r>
        <w:rPr>
          <w:rFonts w:hint="eastAsia" w:ascii="宋体" w:hAnsi="宋体" w:eastAsia="宋体" w:cs="宋体"/>
          <w:color w:val="auto"/>
          <w:sz w:val="24"/>
          <w:szCs w:val="24"/>
          <w:highlight w:val="none"/>
          <w:shd w:val="clear" w:color="auto" w:fill="auto"/>
        </w:rPr>
        <w:t>日</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20</w:t>
      </w:r>
      <w:r>
        <w:rPr>
          <w:rFonts w:hint="eastAsia" w:ascii="宋体" w:hAnsi="宋体" w:eastAsia="宋体" w:cs="宋体"/>
          <w:color w:val="auto"/>
          <w:sz w:val="24"/>
          <w:szCs w:val="24"/>
          <w:highlight w:val="none"/>
          <w:u w:val="single"/>
          <w:shd w:val="clear" w:color="auto" w:fill="auto"/>
          <w:lang w:val="en-US" w:eastAsia="zh-CN"/>
        </w:rPr>
        <w:t>22</w:t>
      </w:r>
      <w:r>
        <w:rPr>
          <w:rFonts w:hint="eastAsia" w:ascii="宋体" w:hAnsi="宋体" w:eastAsia="宋体" w:cs="宋体"/>
          <w:color w:val="auto"/>
          <w:sz w:val="24"/>
          <w:szCs w:val="24"/>
          <w:highlight w:val="none"/>
          <w:shd w:val="clear" w:color="auto" w:fill="auto"/>
        </w:rPr>
        <w:t>年</w:t>
      </w:r>
      <w:r>
        <w:rPr>
          <w:rFonts w:hint="eastAsia" w:ascii="宋体" w:hAnsi="宋体" w:eastAsia="宋体" w:cs="宋体"/>
          <w:color w:val="auto"/>
          <w:sz w:val="24"/>
          <w:szCs w:val="24"/>
          <w:highlight w:val="none"/>
          <w:u w:val="single"/>
          <w:shd w:val="clear" w:color="auto" w:fill="auto"/>
          <w:lang w:val="en-US" w:eastAsia="zh-CN"/>
        </w:rPr>
        <w:t xml:space="preserve"> 6 </w:t>
      </w:r>
      <w:r>
        <w:rPr>
          <w:rFonts w:hint="eastAsia" w:ascii="宋体" w:hAnsi="宋体" w:eastAsia="宋体" w:cs="宋体"/>
          <w:color w:val="auto"/>
          <w:sz w:val="24"/>
          <w:szCs w:val="24"/>
          <w:highlight w:val="none"/>
          <w:shd w:val="clear" w:color="auto" w:fill="auto"/>
        </w:rPr>
        <w:t>月</w:t>
      </w:r>
      <w:r>
        <w:rPr>
          <w:rFonts w:hint="eastAsia" w:ascii="宋体" w:hAnsi="宋体" w:eastAsia="宋体" w:cs="宋体"/>
          <w:color w:val="auto"/>
          <w:sz w:val="24"/>
          <w:szCs w:val="24"/>
          <w:highlight w:val="none"/>
          <w:u w:val="single"/>
          <w:shd w:val="clear" w:color="auto" w:fill="auto"/>
          <w:lang w:val="en-US" w:eastAsia="zh-CN"/>
        </w:rPr>
        <w:t xml:space="preserve"> 2 </w:t>
      </w:r>
      <w:r>
        <w:rPr>
          <w:rFonts w:hint="eastAsia" w:ascii="宋体" w:hAnsi="宋体" w:eastAsia="宋体" w:cs="宋体"/>
          <w:color w:val="auto"/>
          <w:sz w:val="24"/>
          <w:szCs w:val="24"/>
          <w:highlight w:val="none"/>
        </w:rPr>
        <w:t>日(节假日除外)，登录海南</w:t>
      </w:r>
      <w:r>
        <w:rPr>
          <w:rFonts w:hint="eastAsia" w:ascii="宋体" w:hAnsi="宋体" w:eastAsia="宋体" w:cs="宋体"/>
          <w:color w:val="auto"/>
          <w:sz w:val="24"/>
          <w:szCs w:val="24"/>
          <w:highlight w:val="none"/>
          <w:lang w:eastAsia="zh-CN"/>
        </w:rPr>
        <w:t>省</w:t>
      </w:r>
      <w:r>
        <w:rPr>
          <w:rFonts w:hint="eastAsia" w:ascii="宋体" w:hAnsi="宋体" w:eastAsia="宋体" w:cs="宋体"/>
          <w:color w:val="auto"/>
          <w:sz w:val="24"/>
          <w:szCs w:val="24"/>
          <w:highlight w:val="none"/>
        </w:rPr>
        <w:t>政府采购网-海南省政府采购电子化交易管理系统</w:t>
      </w:r>
      <w:r>
        <w:rPr>
          <w:rFonts w:hint="eastAsia" w:ascii="宋体" w:hAnsi="宋体" w:eastAsia="宋体" w:cs="宋体"/>
          <w:color w:val="auto"/>
          <w:sz w:val="24"/>
          <w:szCs w:val="24"/>
          <w:highlight w:val="none"/>
          <w:lang w:eastAsia="zh-CN"/>
        </w:rPr>
        <w:t>（新）</w:t>
      </w:r>
      <w:r>
        <w:rPr>
          <w:rFonts w:hint="eastAsia" w:ascii="宋体" w:hAnsi="宋体" w:eastAsia="宋体" w:cs="宋体"/>
          <w:color w:val="auto"/>
          <w:sz w:val="24"/>
          <w:szCs w:val="24"/>
          <w:highlight w:val="none"/>
        </w:rPr>
        <w:t>网上获取</w:t>
      </w:r>
      <w:r>
        <w:rPr>
          <w:rFonts w:hint="eastAsia" w:ascii="宋体" w:hAnsi="宋体" w:eastAsia="宋体" w:cs="宋体"/>
          <w:color w:val="auto"/>
          <w:sz w:val="24"/>
          <w:szCs w:val="24"/>
          <w:highlight w:val="none"/>
          <w:lang w:val="zh-CN" w:eastAsia="zh-CN" w:bidi="zh-CN"/>
        </w:rPr>
        <w:t>谈判文件。</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480" w:lineRule="exact"/>
        <w:ind w:right="565" w:rightChars="0" w:firstLine="480" w:firstLineChars="200"/>
        <w:jc w:val="both"/>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谈判</w:t>
      </w:r>
      <w:r>
        <w:rPr>
          <w:rFonts w:hint="eastAsia" w:ascii="宋体" w:hAnsi="宋体" w:eastAsia="宋体" w:cs="宋体"/>
          <w:color w:val="auto"/>
          <w:sz w:val="24"/>
          <w:highlight w:val="none"/>
        </w:rPr>
        <w:t>文件每份人民币</w:t>
      </w:r>
      <w:r>
        <w:rPr>
          <w:rFonts w:hint="eastAsia" w:ascii="宋体" w:hAnsi="宋体" w:eastAsia="宋体" w:cs="宋体"/>
          <w:color w:val="auto"/>
          <w:sz w:val="24"/>
          <w:highlight w:val="none"/>
          <w:u w:val="single"/>
        </w:rPr>
        <w:t xml:space="preserve"> 500 </w:t>
      </w:r>
      <w:r>
        <w:rPr>
          <w:rFonts w:hint="eastAsia" w:ascii="宋体" w:hAnsi="宋体" w:eastAsia="宋体" w:cs="宋体"/>
          <w:color w:val="auto"/>
          <w:sz w:val="24"/>
          <w:highlight w:val="none"/>
        </w:rPr>
        <w:t>元，售后不退。</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、提交首次响应文件的截止时间为</w:t>
      </w:r>
      <w:r>
        <w:rPr>
          <w:rFonts w:hint="eastAsia" w:ascii="宋体" w:hAnsi="宋体" w:eastAsia="宋体" w:cs="宋体"/>
          <w:color w:val="auto"/>
          <w:sz w:val="24"/>
          <w:szCs w:val="24"/>
          <w:highlight w:val="none"/>
          <w:u w:val="single"/>
        </w:rPr>
        <w:t xml:space="preserve"> 20</w:t>
      </w:r>
      <w:r>
        <w:rPr>
          <w:rFonts w:hint="eastAsia" w:ascii="宋体" w:hAnsi="宋体" w:eastAsia="宋体" w:cs="宋体"/>
          <w:color w:val="auto"/>
          <w:sz w:val="24"/>
          <w:szCs w:val="24"/>
          <w:highlight w:val="none"/>
          <w:u w:val="single"/>
          <w:lang w:val="en-US" w:eastAsia="zh-CN"/>
        </w:rPr>
        <w:t>22</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6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6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 xml:space="preserve"> 9 </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rPr>
        <w:t xml:space="preserve">0 </w:t>
      </w:r>
      <w:r>
        <w:rPr>
          <w:rFonts w:hint="eastAsia" w:ascii="宋体" w:hAnsi="宋体" w:eastAsia="宋体" w:cs="宋体"/>
          <w:color w:val="auto"/>
          <w:sz w:val="24"/>
          <w:szCs w:val="24"/>
          <w:highlight w:val="none"/>
        </w:rPr>
        <w:t xml:space="preserve">分(北京时间)，地点为 </w:t>
      </w:r>
      <w:r>
        <w:rPr>
          <w:rFonts w:hint="eastAsia" w:ascii="宋体" w:hAnsi="宋体" w:eastAsia="宋体" w:cs="宋体"/>
          <w:color w:val="auto"/>
          <w:sz w:val="24"/>
          <w:szCs w:val="24"/>
          <w:highlight w:val="none"/>
          <w:u w:val="single"/>
        </w:rPr>
        <w:t>海南省海口市龙华区海垦街道八一新村A2栋401房</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、逾期送达或者不按谈判文件要求密封或者不按谈判文件的要求提供保证金的响应文件，</w:t>
      </w:r>
      <w:r>
        <w:rPr>
          <w:rFonts w:hint="eastAsia" w:ascii="宋体" w:hAnsi="宋体" w:eastAsia="宋体" w:cs="宋体"/>
          <w:bCs/>
          <w:color w:val="auto"/>
          <w:sz w:val="24"/>
          <w:szCs w:val="24"/>
          <w:highlight w:val="none"/>
        </w:rPr>
        <w:t>采购人或</w:t>
      </w:r>
      <w:r>
        <w:rPr>
          <w:rFonts w:hint="eastAsia" w:ascii="宋体" w:hAnsi="宋体" w:eastAsia="宋体" w:cs="宋体"/>
          <w:color w:val="auto"/>
          <w:sz w:val="24"/>
          <w:szCs w:val="24"/>
          <w:highlight w:val="none"/>
        </w:rPr>
        <w:t>采购代理机构将拒绝接收。</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、采购人同意采购代理机构按照有关规定向本项目成交供应商收取代理服务费。</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w:t>
      </w:r>
      <w:r>
        <w:rPr>
          <w:rFonts w:hint="eastAsia" w:ascii="宋体" w:hAnsi="宋体" w:eastAsia="宋体" w:cs="宋体"/>
          <w:bCs/>
          <w:color w:val="auto"/>
          <w:sz w:val="24"/>
          <w:szCs w:val="24"/>
          <w:highlight w:val="none"/>
        </w:rPr>
        <w:t>联系方式：</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 购 人：</w:t>
      </w:r>
      <w:r>
        <w:rPr>
          <w:rFonts w:hint="eastAsia" w:ascii="宋体" w:hAnsi="宋体" w:eastAsia="宋体" w:cs="宋体"/>
          <w:color w:val="auto"/>
          <w:sz w:val="24"/>
          <w:szCs w:val="24"/>
          <w:highlight w:val="none"/>
          <w:u w:val="single"/>
        </w:rPr>
        <w:t xml:space="preserve">白沙黎族自治县农业农村局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 系 人：</w:t>
      </w:r>
      <w:r>
        <w:rPr>
          <w:rFonts w:hint="eastAsia" w:ascii="宋体" w:hAnsi="宋体" w:eastAsia="宋体" w:cs="宋体"/>
          <w:color w:val="auto"/>
          <w:sz w:val="24"/>
          <w:szCs w:val="24"/>
          <w:highlight w:val="none"/>
          <w:u w:val="single"/>
          <w:lang w:eastAsia="zh-CN"/>
        </w:rPr>
        <w:t>高工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0898-27722746</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海南省白沙黎族自治县农业农村局 </w:t>
      </w:r>
    </w:p>
    <w:p>
      <w:pPr>
        <w:pStyle w:val="18"/>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采购代理机构：</w:t>
      </w:r>
      <w:r>
        <w:rPr>
          <w:rFonts w:hint="eastAsia" w:ascii="宋体" w:hAnsi="宋体" w:eastAsia="宋体" w:cs="宋体"/>
          <w:bCs/>
          <w:color w:val="auto"/>
          <w:sz w:val="24"/>
          <w:szCs w:val="24"/>
          <w:highlight w:val="none"/>
          <w:u w:val="single"/>
        </w:rPr>
        <w:t xml:space="preserve">海南锦华招标代理有限公司 </w:t>
      </w:r>
    </w:p>
    <w:p>
      <w:pPr>
        <w:pStyle w:val="18"/>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联 系 人：</w:t>
      </w:r>
      <w:r>
        <w:rPr>
          <w:rFonts w:hint="eastAsia" w:ascii="宋体" w:hAnsi="宋体" w:eastAsia="宋体" w:cs="宋体"/>
          <w:color w:val="auto"/>
          <w:sz w:val="24"/>
          <w:szCs w:val="24"/>
          <w:highlight w:val="none"/>
          <w:u w:val="single"/>
        </w:rPr>
        <w:t xml:space="preserve">李经理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电    话：</w:t>
      </w:r>
      <w:r>
        <w:rPr>
          <w:rFonts w:hint="eastAsia" w:ascii="宋体" w:hAnsi="宋体" w:eastAsia="宋体" w:cs="宋体"/>
          <w:color w:val="auto"/>
          <w:sz w:val="24"/>
          <w:szCs w:val="24"/>
          <w:highlight w:val="none"/>
          <w:u w:val="single"/>
        </w:rPr>
        <w:t>0898-27714881</w:t>
      </w:r>
    </w:p>
    <w:p>
      <w:pPr>
        <w:pStyle w:val="18"/>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海南省白沙黎族自治县牙叉镇牙叉东路二轻厂综合楼106号</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保证金汇至：</w:t>
      </w:r>
      <w:r>
        <w:rPr>
          <w:rFonts w:hint="eastAsia" w:ascii="宋体" w:hAnsi="宋体" w:eastAsia="宋体" w:cs="宋体"/>
          <w:b/>
          <w:bCs/>
          <w:color w:val="auto"/>
          <w:sz w:val="24"/>
          <w:szCs w:val="24"/>
          <w:highlight w:val="none"/>
          <w:u w:val="single"/>
        </w:rPr>
        <w:t>海南锦华招标代理有限公司</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开 户 行：</w:t>
      </w:r>
      <w:r>
        <w:rPr>
          <w:rFonts w:hint="eastAsia" w:ascii="宋体" w:hAnsi="宋体" w:eastAsia="宋体" w:cs="宋体"/>
          <w:b/>
          <w:bCs/>
          <w:color w:val="auto"/>
          <w:sz w:val="24"/>
          <w:szCs w:val="24"/>
          <w:highlight w:val="none"/>
          <w:u w:val="single"/>
        </w:rPr>
        <w:t>海南白沙农村商业银行股份有限公司</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w:t>
      </w:r>
      <w:r>
        <w:rPr>
          <w:rFonts w:hint="eastAsia" w:ascii="宋体" w:hAnsi="宋体" w:eastAsia="宋体" w:cs="宋体"/>
          <w:color w:val="auto"/>
          <w:sz w:val="24"/>
          <w:szCs w:val="24"/>
          <w:highlight w:val="none"/>
          <w:lang w:eastAsia="zh-CN"/>
        </w:rPr>
        <w:t>账号</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u w:val="single"/>
        </w:rPr>
        <w:t xml:space="preserve">1013 8784 0000 0174 </w:t>
      </w:r>
      <w:r>
        <w:rPr>
          <w:rFonts w:hint="eastAsia" w:ascii="宋体" w:hAnsi="宋体" w:eastAsia="宋体" w:cs="宋体"/>
          <w:b/>
          <w:bCs/>
          <w:color w:val="auto"/>
          <w:sz w:val="24"/>
          <w:szCs w:val="24"/>
          <w:highlight w:val="non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hAnsi="宋体"/>
          <w:color w:val="auto"/>
          <w:sz w:val="24"/>
          <w:szCs w:val="24"/>
          <w:highlight w:val="none"/>
        </w:rPr>
      </w:pPr>
    </w:p>
    <w:p>
      <w:pPr>
        <w:spacing w:line="360" w:lineRule="auto"/>
        <w:ind w:firstLine="480" w:firstLineChars="200"/>
        <w:rPr>
          <w:rFonts w:hint="eastAsia" w:hAnsi="宋体"/>
          <w:color w:val="auto"/>
          <w:sz w:val="24"/>
          <w:szCs w:val="24"/>
          <w:highlight w:val="none"/>
        </w:rPr>
      </w:pPr>
    </w:p>
    <w:p>
      <w:pPr>
        <w:wordWrap w:val="0"/>
        <w:spacing w:line="360" w:lineRule="auto"/>
        <w:ind w:right="360" w:firstLine="480" w:firstLineChars="200"/>
        <w:jc w:val="right"/>
        <w:rPr>
          <w:rFonts w:hint="eastAsia" w:ascii="宋体" w:hAnsi="宋体"/>
          <w:b/>
          <w:color w:val="auto"/>
          <w:sz w:val="24"/>
          <w:szCs w:val="24"/>
          <w:highlight w:val="none"/>
          <w:u w:val="single"/>
        </w:rPr>
      </w:pPr>
    </w:p>
    <w:p>
      <w:pPr>
        <w:rPr>
          <w:rFonts w:ascii="宋体" w:hAnsi="宋体"/>
          <w:color w:val="auto"/>
          <w:sz w:val="24"/>
          <w:szCs w:val="24"/>
          <w:highlight w:val="none"/>
        </w:rPr>
      </w:pPr>
    </w:p>
    <w:p>
      <w:pPr>
        <w:bidi w:val="0"/>
        <w:rPr>
          <w:rFonts w:hint="eastAsia"/>
          <w:color w:val="auto"/>
          <w:highlight w:val="none"/>
        </w:rPr>
      </w:pPr>
    </w:p>
    <w:p>
      <w:pPr>
        <w:pStyle w:val="31"/>
        <w:spacing w:before="0" w:beforeLines="0" w:after="0" w:afterLines="0" w:line="360" w:lineRule="auto"/>
        <w:rPr>
          <w:rFonts w:hint="eastAsia"/>
          <w:color w:val="auto"/>
          <w:sz w:val="24"/>
          <w:szCs w:val="24"/>
          <w:highlight w:val="none"/>
        </w:rPr>
      </w:pPr>
      <w:bookmarkStart w:id="2" w:name="_Toc2157"/>
      <w:r>
        <w:rPr>
          <w:rFonts w:hint="eastAsia"/>
          <w:color w:val="auto"/>
          <w:sz w:val="24"/>
          <w:szCs w:val="24"/>
          <w:highlight w:val="none"/>
        </w:rPr>
        <w:t>第二章 谈判须知</w:t>
      </w:r>
      <w:bookmarkEnd w:id="2"/>
    </w:p>
    <w:p>
      <w:pPr>
        <w:pStyle w:val="25"/>
        <w:spacing w:before="0" w:beforeLines="0" w:after="0" w:afterLines="0" w:line="360" w:lineRule="auto"/>
        <w:jc w:val="left"/>
        <w:rPr>
          <w:color w:val="auto"/>
          <w:sz w:val="24"/>
          <w:szCs w:val="24"/>
          <w:highlight w:val="none"/>
        </w:rPr>
      </w:pPr>
      <w:bookmarkStart w:id="3" w:name="_Toc32693"/>
      <w:r>
        <w:rPr>
          <w:rFonts w:hint="eastAsia"/>
          <w:color w:val="auto"/>
          <w:sz w:val="24"/>
          <w:szCs w:val="24"/>
          <w:highlight w:val="none"/>
        </w:rPr>
        <w:t>谈判须知前附表</w:t>
      </w:r>
      <w:bookmarkEnd w:id="3"/>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2153"/>
        <w:gridCol w:w="5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条款名称</w:t>
            </w:r>
          </w:p>
        </w:tc>
        <w:tc>
          <w:tcPr>
            <w:tcW w:w="5920"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 w:hRule="atLeast"/>
          <w:jc w:val="center"/>
        </w:trPr>
        <w:tc>
          <w:tcPr>
            <w:tcW w:w="9604" w:type="dxa"/>
            <w:gridSpan w:val="3"/>
            <w:vAlign w:val="center"/>
          </w:tcPr>
          <w:p>
            <w:pPr>
              <w:keepNext w:val="0"/>
              <w:keepLines w:val="0"/>
              <w:pageBreakBefore w:val="0"/>
              <w:kinsoku/>
              <w:wordWrap/>
              <w:overflowPunct/>
              <w:topLinePunct w:val="0"/>
              <w:bidi w:val="0"/>
              <w:adjustRightInd w:val="0"/>
              <w:snapToGrid w:val="0"/>
              <w:spacing w:line="36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第1.1款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采购项目</w:t>
            </w:r>
          </w:p>
        </w:tc>
        <w:tc>
          <w:tcPr>
            <w:tcW w:w="5920"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none"/>
                <w:lang w:val="en-US" w:eastAsia="zh-CN"/>
              </w:rPr>
              <w:t>2022年农村独立式公厕建设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第2.1款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w:t>
            </w:r>
          </w:p>
        </w:tc>
        <w:tc>
          <w:tcPr>
            <w:tcW w:w="592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auto"/>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u w:val="single"/>
              </w:rPr>
              <w:t>白沙黎族自治县农业农村局</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海南省白沙黎族自治县农业农村局</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0898-27722746</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single"/>
                <w:lang w:val="en-US" w:eastAsia="zh-CN"/>
              </w:rPr>
              <w:t>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第2.2款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u w:val="single"/>
              </w:rPr>
              <w:t xml:space="preserve">海南锦华招标代理有限公司 </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海南省白沙黎族自治县牙叉镇牙叉东路二轻厂综合楼106号</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0898-27714881</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single"/>
                <w:lang w:eastAsia="zh-CN"/>
              </w:rPr>
              <w:t>李经理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第2.3款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供应商的</w:t>
            </w:r>
            <w:r>
              <w:rPr>
                <w:rFonts w:hint="eastAsia" w:ascii="宋体" w:hAnsi="宋体" w:eastAsia="宋体" w:cs="宋体"/>
                <w:color w:val="auto"/>
                <w:sz w:val="21"/>
                <w:szCs w:val="21"/>
                <w:highlight w:val="none"/>
              </w:rPr>
              <w:t>邀请方式</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ascii="Wingdings" w:hAnsi="Wingdings" w:eastAsia="宋体" w:cs="宋体"/>
                <w:color w:val="auto"/>
                <w:sz w:val="21"/>
                <w:szCs w:val="21"/>
                <w:highlight w:val="none"/>
              </w:rPr>
              <w:sym w:font="Wingdings" w:char="F0FE"/>
            </w:r>
            <w:r>
              <w:rPr>
                <w:rFonts w:hint="eastAsia" w:ascii="宋体" w:hAnsi="宋体" w:eastAsia="宋体" w:cs="宋体"/>
                <w:color w:val="auto"/>
                <w:sz w:val="21"/>
                <w:szCs w:val="21"/>
                <w:highlight w:val="none"/>
              </w:rPr>
              <w:t xml:space="preserve"> （1）发布邀请公告</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（2）采购人和评审专家分别书面推荐的方式邀请不少于3家符合相应资格条件的供应商</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第3.1款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供应商</w:t>
            </w:r>
            <w:r>
              <w:rPr>
                <w:rFonts w:hint="eastAsia" w:ascii="宋体" w:hAnsi="宋体" w:eastAsia="宋体" w:cs="宋体"/>
                <w:color w:val="auto"/>
                <w:sz w:val="21"/>
                <w:szCs w:val="21"/>
                <w:highlight w:val="none"/>
              </w:rPr>
              <w:t>资格条件</w:t>
            </w:r>
          </w:p>
        </w:tc>
        <w:tc>
          <w:tcPr>
            <w:tcW w:w="5920" w:type="dxa"/>
            <w:vAlign w:val="center"/>
          </w:tcPr>
          <w:p>
            <w:pPr>
              <w:pStyle w:val="15"/>
              <w:keepNext w:val="0"/>
              <w:keepLines w:val="0"/>
              <w:pageBreakBefore w:val="0"/>
              <w:widowControl w:val="0"/>
              <w:kinsoku/>
              <w:wordWrap/>
              <w:overflowPunct/>
              <w:topLinePunct w:val="0"/>
              <w:bidi w:val="0"/>
              <w:spacing w:after="0" w:afterLines="0"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供应商是指向采购人提供货物、工程或者服务的法人、其他组织或者自然人。</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供应商应当提供以下证明资料（材料）：</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（1）法人或者其他组织的营业执照等证明文件，自然人的身份证明等证明文件的复印件加盖公章①如供应商是法人、合伙企业、专业合作社，应提供有效的“企业法人营业执照”或“营业执照”</w:t>
            </w:r>
            <w:r>
              <w:rPr>
                <w:rFonts w:hint="eastAsia" w:ascii="宋体" w:hAnsi="宋体" w:eastAsia="宋体" w:cs="宋体"/>
                <w:color w:val="auto"/>
                <w:kern w:val="0"/>
                <w:sz w:val="21"/>
                <w:szCs w:val="21"/>
                <w:highlight w:val="none"/>
                <w:lang w:eastAsia="zh-CN"/>
              </w:rPr>
              <w:t>，本项目是一般项目，市场主体领取营业执照后可自主经营，营业执照可不载明</w:t>
            </w:r>
            <w:r>
              <w:rPr>
                <w:rFonts w:hint="eastAsia" w:ascii="宋体" w:hAnsi="宋体" w:eastAsia="宋体" w:cs="宋体"/>
                <w:color w:val="auto"/>
                <w:kern w:val="0"/>
                <w:sz w:val="21"/>
                <w:szCs w:val="21"/>
                <w:highlight w:val="none"/>
              </w:rPr>
              <w:t>；②如供应商是事业单位，应提供有效的“事业单位法人证书”；③如供应商是非企业专业服务机构，应提供有效的执业许可证等证明文件；④如供应商是个体户，应提供有效的“个体工商户营业执照”；⑤如供应商是自然人，应提供有效的自然人身份证明）；</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（2）财务状况报告，依法缴纳税收和社会保障资金的相关材料。（①供应商是法人的，应提供20</w:t>
            </w:r>
            <w:r>
              <w:rPr>
                <w:rFonts w:hint="eastAsia" w:ascii="宋体" w:hAnsi="宋体" w:eastAsia="宋体" w:cs="宋体"/>
                <w:color w:val="auto"/>
                <w:kern w:val="0"/>
                <w:sz w:val="21"/>
                <w:szCs w:val="21"/>
                <w:highlight w:val="none"/>
                <w:lang w:val="en-US" w:eastAsia="zh-CN"/>
              </w:rPr>
              <w:t>21</w:t>
            </w:r>
            <w:r>
              <w:rPr>
                <w:rFonts w:hint="eastAsia" w:ascii="宋体" w:hAnsi="宋体" w:eastAsia="宋体" w:cs="宋体"/>
                <w:color w:val="auto"/>
                <w:kern w:val="0"/>
                <w:sz w:val="21"/>
                <w:szCs w:val="21"/>
                <w:highlight w:val="none"/>
              </w:rPr>
              <w:t>年以来任意1个月（或季度或年度）的财务报表；供应商是合伙企业、个体工商户和自然人，可以提供银行出具的资信证明；供应商提供了财政部门认可的采购专业担保机构出具的投标担保函，就不需提供其他财务状况报告。②供应商缴纳税收的证明材料是指：提供20</w:t>
            </w:r>
            <w:r>
              <w:rPr>
                <w:rFonts w:hint="eastAsia" w:ascii="宋体" w:hAnsi="宋体" w:eastAsia="宋体" w:cs="宋体"/>
                <w:color w:val="auto"/>
                <w:kern w:val="0"/>
                <w:sz w:val="21"/>
                <w:szCs w:val="21"/>
                <w:highlight w:val="none"/>
                <w:lang w:val="en-US" w:eastAsia="zh-CN"/>
              </w:rPr>
              <w:t>21</w:t>
            </w:r>
            <w:r>
              <w:rPr>
                <w:rFonts w:hint="eastAsia" w:ascii="宋体" w:hAnsi="宋体" w:eastAsia="宋体" w:cs="宋体"/>
                <w:color w:val="auto"/>
                <w:kern w:val="0"/>
                <w:sz w:val="21"/>
                <w:szCs w:val="21"/>
                <w:highlight w:val="none"/>
              </w:rPr>
              <w:t>年以来任意1个月依法缴纳税收的相关材料；供应商缴纳社会保障资金是指：提供20</w:t>
            </w:r>
            <w:r>
              <w:rPr>
                <w:rFonts w:hint="eastAsia" w:ascii="宋体" w:hAnsi="宋体" w:eastAsia="宋体" w:cs="宋体"/>
                <w:color w:val="auto"/>
                <w:kern w:val="0"/>
                <w:sz w:val="21"/>
                <w:szCs w:val="21"/>
                <w:highlight w:val="none"/>
                <w:lang w:val="en-US" w:eastAsia="zh-CN"/>
              </w:rPr>
              <w:t>21</w:t>
            </w:r>
            <w:r>
              <w:rPr>
                <w:rFonts w:hint="eastAsia" w:ascii="宋体" w:hAnsi="宋体" w:eastAsia="宋体" w:cs="宋体"/>
                <w:color w:val="auto"/>
                <w:kern w:val="0"/>
                <w:sz w:val="21"/>
                <w:szCs w:val="21"/>
                <w:highlight w:val="none"/>
              </w:rPr>
              <w:t>年以来任意1个月依法缴纳社会保障资金的相关材料；③依法免税或不需要缴纳社会保障资金的供应商，应提供相应文件证明其依法免税或不需要缴纳社会保障资金）；</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（3）具备履行合同所必需的设备和专业技术能力的证明材料；</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（4）参加政府采购活动前3年内在经营活动中没有重大违法记录的书面声明；</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（5）具备法律、行政法规规定的其他条件的证明材料，包括：</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①单位负责人为同一人或者存在直接控股、管理关系的不同供应商，不得参加同一合同项下的政府采购活动；</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②为本采购项目提供整体设计、规范编制或者项目管理、监理、检测等服务的供应商，不得再参加该采购项目的其他采购活动；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③</w:t>
            </w:r>
            <w:r>
              <w:rPr>
                <w:rFonts w:hint="eastAsia" w:ascii="宋体" w:hAnsi="宋体" w:eastAsia="宋体" w:cs="宋体"/>
                <w:color w:val="auto"/>
                <w:kern w:val="0"/>
                <w:sz w:val="21"/>
                <w:szCs w:val="21"/>
                <w:highlight w:val="none"/>
              </w:rPr>
              <w:t>在单一品目的货物采购活动中，同一品牌的产品有多家供应商参加谈判，只能按照一家供应商计算；</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采购人根据采购项目的特殊要求，所规定的供应商提供其符合特殊要求的证明材料或者情况说明：</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lang w:eastAsia="zh-CN"/>
              </w:rPr>
              <w:t>）参加政府采购活动前3年内没有环保类行政处罚记录的书面声明；</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eastAsia="zh-CN"/>
              </w:rPr>
              <w:t>）供应商应当从采购人或者采购代理机构合法获得采购项目的谈判文件</w:t>
            </w:r>
            <w:r>
              <w:rPr>
                <w:rFonts w:hint="eastAsia" w:ascii="宋体" w:hAnsi="宋体" w:eastAsia="宋体" w:cs="宋体"/>
                <w:color w:val="auto"/>
                <w:kern w:val="0"/>
                <w:sz w:val="21"/>
                <w:szCs w:val="21"/>
                <w:highlight w:val="none"/>
              </w:rPr>
              <w:t>；</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）本项目不接受联合体</w:t>
            </w:r>
            <w:r>
              <w:rPr>
                <w:rFonts w:hint="eastAsia" w:ascii="宋体" w:hAnsi="宋体" w:eastAsia="宋体" w:cs="宋体"/>
                <w:color w:val="auto"/>
                <w:kern w:val="0"/>
                <w:sz w:val="21"/>
                <w:szCs w:val="21"/>
                <w:highlight w:val="none"/>
                <w:lang w:eastAsia="zh-CN"/>
              </w:rPr>
              <w:t>谈判</w:t>
            </w:r>
            <w:r>
              <w:rPr>
                <w:rFonts w:hint="eastAsia" w:ascii="宋体" w:hAnsi="宋体" w:eastAsia="宋体" w:cs="宋体"/>
                <w:color w:val="auto"/>
                <w:kern w:val="0"/>
                <w:sz w:val="21"/>
                <w:szCs w:val="21"/>
                <w:highlight w:val="none"/>
              </w:rPr>
              <w:t>；</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color w:val="auto"/>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eastAsia="zh-CN"/>
              </w:rPr>
              <w:t>成交</w:t>
            </w:r>
            <w:r>
              <w:rPr>
                <w:rFonts w:hint="eastAsia" w:ascii="宋体" w:hAnsi="宋体" w:eastAsia="宋体" w:cs="宋体"/>
                <w:color w:val="auto"/>
                <w:kern w:val="0"/>
                <w:sz w:val="21"/>
                <w:szCs w:val="21"/>
                <w:highlight w:val="none"/>
              </w:rPr>
              <w:t>供应商</w:t>
            </w:r>
            <w:r>
              <w:rPr>
                <w:rFonts w:hint="eastAsia" w:ascii="宋体" w:hAnsi="宋体" w:eastAsia="宋体" w:cs="宋体"/>
                <w:color w:val="auto"/>
                <w:kern w:val="0"/>
                <w:sz w:val="21"/>
                <w:szCs w:val="21"/>
                <w:highlight w:val="none"/>
                <w:lang w:eastAsia="zh-CN"/>
              </w:rPr>
              <w:t>成交</w:t>
            </w:r>
            <w:r>
              <w:rPr>
                <w:rFonts w:hint="eastAsia" w:ascii="宋体" w:hAnsi="宋体" w:eastAsia="宋体" w:cs="宋体"/>
                <w:color w:val="auto"/>
                <w:kern w:val="0"/>
                <w:sz w:val="21"/>
                <w:szCs w:val="21"/>
                <w:highlight w:val="none"/>
              </w:rPr>
              <w:t>后不得将项目分包或转让给其他主体实施。</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3、在政府采购活动中查询及使用信用记录。</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查询渠道及截止时点：通过“信用中国”网站（www.creditchina.gov.cn）、中国政府采购网（www.ccgp.gov.cn）等渠道查询相关供应商的信用记录，并可根据实际需要引入其他信用信息。查询以本项目的响应时间为截止时间。</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（2）信用信息查询记录和证据留存的具体方式：采取必要方式（书证、电子数据等）做好信用信息查询记录和证据留存，信用信息查询记录及相关证据与其他采购文件一并保存。</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（3）信用信息的使用规则：对列入失信被执行人、</w:t>
            </w:r>
            <w:r>
              <w:rPr>
                <w:rFonts w:hint="eastAsia" w:ascii="宋体" w:hAnsi="宋体" w:eastAsia="宋体" w:cs="宋体"/>
                <w:color w:val="auto"/>
                <w:kern w:val="0"/>
                <w:sz w:val="21"/>
                <w:szCs w:val="21"/>
                <w:highlight w:val="none"/>
                <w:lang w:eastAsia="zh-CN"/>
              </w:rPr>
              <w:t>税收违法黑名单</w:t>
            </w:r>
            <w:r>
              <w:rPr>
                <w:rFonts w:hint="eastAsia" w:ascii="宋体" w:hAnsi="宋体" w:eastAsia="宋体" w:cs="宋体"/>
                <w:color w:val="auto"/>
                <w:kern w:val="0"/>
                <w:sz w:val="21"/>
                <w:szCs w:val="21"/>
                <w:highlight w:val="none"/>
              </w:rPr>
              <w:t>、政府采购严重违法失信行为记录名单及其他不符合《中华人民共和国政府采购法》第二十二条规定条件的供应商，应当拒绝其参与政府采购活动；两个以上的自然人、法人或者其他组织组成的一个联合体，以一个供应商的身份共同参加政府采购活动的，应当对所有联合体成员进行信用记录查询，联合体成员存在不良信用记录的，视同联合体存在不良信用记录；采购人及采购代理机构应当妥善保管相关供应商信用信息，不得用于政府采购以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第6.1款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联合体形式</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ascii="Wingdings" w:hAnsi="Wingdings" w:eastAsia="宋体" w:cs="宋体"/>
                <w:color w:val="auto"/>
                <w:sz w:val="21"/>
                <w:szCs w:val="21"/>
                <w:highlight w:val="none"/>
              </w:rPr>
              <w:sym w:font="Wingdings" w:char="F0FE"/>
            </w:r>
            <w:r>
              <w:rPr>
                <w:rFonts w:hint="eastAsia" w:ascii="宋体" w:hAnsi="宋体" w:eastAsia="宋体" w:cs="宋体"/>
                <w:color w:val="auto"/>
                <w:sz w:val="21"/>
                <w:szCs w:val="21"/>
                <w:highlight w:val="none"/>
              </w:rPr>
              <w:t xml:space="preserve"> 不接受</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5"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cs="宋体"/>
                <w:color w:val="auto"/>
                <w:szCs w:val="21"/>
                <w:highlight w:val="none"/>
              </w:rPr>
              <w:t>第6.2款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cs="宋体"/>
                <w:color w:val="auto"/>
                <w:szCs w:val="21"/>
                <w:highlight w:val="none"/>
              </w:rPr>
              <w:t>对联合体各方的要求</w:t>
            </w:r>
          </w:p>
        </w:tc>
        <w:tc>
          <w:tcPr>
            <w:tcW w:w="5920" w:type="dxa"/>
            <w:vAlign w:val="center"/>
          </w:tcPr>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1、参加联合体的供应商均应具备《中华人民共和国政府采购法》第二十二条规定的条件，并向采购人提交联合体协议，载明联合体各方承担的工作和义务；</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2、联合体各方应当共同与采购人签订采购合同，就采购合同约定的事项对采购人承担连带责任；</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3、联合体中有同类资质的供应商按照联合体分工承担相同工作的，应当按照资质等级较低的供应商确定资质等级。</w:t>
            </w:r>
          </w:p>
          <w:p>
            <w:pPr>
              <w:keepNext w:val="0"/>
              <w:keepLines w:val="0"/>
              <w:pageBreakBefore w:val="0"/>
              <w:kinsoku/>
              <w:wordWrap/>
              <w:overflowPunct/>
              <w:topLinePunct w:val="0"/>
              <w:autoSpaceDE w:val="0"/>
              <w:autoSpaceDN w:val="0"/>
              <w:bidi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lang w:val="zh-CN"/>
              </w:rPr>
              <w:t>联合体各方不得再单独或与其他供应商组成新的联合体参加同一项目的采购活动。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第7.1款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现场</w:t>
            </w:r>
            <w:r>
              <w:rPr>
                <w:rFonts w:hint="eastAsia" w:ascii="宋体" w:hAnsi="宋体" w:eastAsia="宋体" w:cs="宋体"/>
                <w:color w:val="auto"/>
                <w:sz w:val="21"/>
                <w:szCs w:val="21"/>
                <w:highlight w:val="none"/>
                <w:lang w:eastAsia="zh-CN"/>
              </w:rPr>
              <w:t>考察</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可视具体情况而定。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第8.1款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采购进口产品</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ascii="Wingdings" w:hAnsi="Wingdings" w:eastAsia="宋体" w:cs="宋体"/>
                <w:color w:val="auto"/>
                <w:sz w:val="21"/>
                <w:szCs w:val="21"/>
                <w:highlight w:val="none"/>
              </w:rPr>
              <w:sym w:font="Wingdings" w:char="F0FE"/>
            </w:r>
            <w:r>
              <w:rPr>
                <w:rFonts w:hint="eastAsia" w:ascii="宋体" w:hAnsi="宋体" w:eastAsia="宋体" w:cs="宋体"/>
                <w:color w:val="auto"/>
                <w:sz w:val="21"/>
                <w:szCs w:val="21"/>
                <w:highlight w:val="none"/>
              </w:rPr>
              <w:t>本项目</w:t>
            </w:r>
            <w:r>
              <w:rPr>
                <w:rFonts w:hint="eastAsia" w:ascii="宋体" w:hAnsi="宋体" w:eastAsia="宋体" w:cs="宋体"/>
                <w:color w:val="auto"/>
                <w:kern w:val="0"/>
                <w:sz w:val="21"/>
                <w:szCs w:val="21"/>
                <w:highlight w:val="none"/>
              </w:rPr>
              <w:t>拒绝进口产品</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本项目已经</w:t>
            </w:r>
            <w:r>
              <w:rPr>
                <w:rFonts w:hint="eastAsia" w:ascii="宋体" w:hAnsi="宋体" w:eastAsia="宋体" w:cs="宋体"/>
                <w:color w:val="auto"/>
                <w:kern w:val="0"/>
                <w:sz w:val="21"/>
                <w:szCs w:val="21"/>
                <w:highlight w:val="none"/>
              </w:rPr>
              <w:t>财政部门审核同意购买进口产品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第9.1款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政府采购强制采购：</w:t>
            </w:r>
          </w:p>
          <w:p>
            <w:pPr>
              <w:keepNext w:val="0"/>
              <w:keepLines w:val="0"/>
              <w:pageBreakBefore w:val="0"/>
              <w:kinsoku/>
              <w:wordWrap/>
              <w:overflowPunct/>
              <w:topLinePunct w:val="0"/>
              <w:bidi w:val="0"/>
              <w:adjustRightInd w:val="0"/>
              <w:snapToGrid w:val="0"/>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(1)标记★符号的节能产品；</w:t>
            </w:r>
          </w:p>
          <w:p>
            <w:pPr>
              <w:keepNext w:val="0"/>
              <w:keepLines w:val="0"/>
              <w:pageBreakBefore w:val="0"/>
              <w:kinsoku/>
              <w:wordWrap/>
              <w:overflowPunct/>
              <w:topLinePunct w:val="0"/>
              <w:bidi w:val="0"/>
              <w:adjustRightInd w:val="0"/>
              <w:snapToGrid w:val="0"/>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(2)其他。</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否</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第9.2款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政府采购优先采购：</w:t>
            </w:r>
          </w:p>
          <w:p>
            <w:pPr>
              <w:keepNext w:val="0"/>
              <w:keepLines w:val="0"/>
              <w:pageBreakBefore w:val="0"/>
              <w:kinsoku/>
              <w:wordWrap/>
              <w:overflowPunct/>
              <w:topLinePunct w:val="0"/>
              <w:bidi w:val="0"/>
              <w:adjustRightInd w:val="0"/>
              <w:snapToGrid w:val="0"/>
              <w:spacing w:line="36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(1)非标记★符号的节能产品；</w:t>
            </w:r>
          </w:p>
          <w:p>
            <w:pPr>
              <w:keepNext w:val="0"/>
              <w:keepLines w:val="0"/>
              <w:pageBreakBefore w:val="0"/>
              <w:kinsoku/>
              <w:wordWrap/>
              <w:overflowPunct/>
              <w:topLinePunct w:val="0"/>
              <w:bidi w:val="0"/>
              <w:adjustRightInd w:val="0"/>
              <w:snapToGrid w:val="0"/>
              <w:spacing w:line="36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(2)环境标志产品；</w:t>
            </w:r>
          </w:p>
          <w:p>
            <w:pPr>
              <w:keepNext w:val="0"/>
              <w:keepLines w:val="0"/>
              <w:pageBreakBefore w:val="0"/>
              <w:kinsoku/>
              <w:wordWrap/>
              <w:overflowPunct/>
              <w:topLinePunct w:val="0"/>
              <w:bidi w:val="0"/>
              <w:adjustRightInd w:val="0"/>
              <w:snapToGrid w:val="0"/>
              <w:spacing w:line="360" w:lineRule="exact"/>
              <w:jc w:val="both"/>
              <w:textAlignment w:val="auto"/>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bCs/>
                <w:color w:val="auto"/>
                <w:kern w:val="0"/>
                <w:sz w:val="21"/>
                <w:szCs w:val="21"/>
                <w:highlight w:val="none"/>
              </w:rPr>
              <w:t>支持</w:t>
            </w:r>
            <w:r>
              <w:rPr>
                <w:rFonts w:hint="eastAsia" w:ascii="宋体" w:hAnsi="宋体" w:eastAsia="宋体" w:cs="宋体"/>
                <w:color w:val="auto"/>
                <w:sz w:val="21"/>
                <w:szCs w:val="21"/>
                <w:highlight w:val="none"/>
              </w:rPr>
              <w:t>中小企业发展；</w:t>
            </w:r>
          </w:p>
          <w:p>
            <w:pPr>
              <w:keepNext w:val="0"/>
              <w:keepLines w:val="0"/>
              <w:pageBreakBefore w:val="0"/>
              <w:kinsoku/>
              <w:wordWrap/>
              <w:overflowPunct/>
              <w:topLinePunct w:val="0"/>
              <w:bidi w:val="0"/>
              <w:adjustRightInd w:val="0"/>
              <w:snapToGrid w:val="0"/>
              <w:spacing w:line="36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(4)其他。</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color w:val="auto"/>
                <w:highlight w:val="none"/>
              </w:rPr>
            </w:pPr>
            <w:r>
              <w:rPr>
                <w:rFonts w:hint="eastAsia"/>
                <w:color w:val="auto"/>
                <w:highlight w:val="none"/>
              </w:rPr>
              <w:t>1、严格执行《财政部发展改革委生态环境部市场监管总局关于调整优化节能产品、环境标志产品政府采购执行机制的通知》（财库〔2019〕9号），本次响应产品类别属于政府强制采购产品类别的，须按照要求提供依据国家确定的认证机构出具的、处于有效期之内的节能产品或环境标志产品认证证书，否则响应无效。</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color w:val="auto"/>
                <w:highlight w:val="none"/>
              </w:rPr>
            </w:pPr>
            <w:r>
              <w:rPr>
                <w:rFonts w:hint="eastAsia"/>
                <w:color w:val="auto"/>
                <w:highlight w:val="none"/>
              </w:rPr>
              <w:t>2、属于政府优先采购产品类别的，须按照要求提供依据国家确定的认证机构出具的、处于有效期之内的节能产品或环境标志产品认证证书，否则不予认定。</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color w:val="auto"/>
                <w:highlight w:val="none"/>
              </w:rPr>
            </w:pPr>
            <w:r>
              <w:rPr>
                <w:rFonts w:hint="eastAsia"/>
                <w:color w:val="auto"/>
                <w:highlight w:val="none"/>
              </w:rPr>
              <w:t>3、属于节能产品或者环境标志产品品目清单范围的，对获得有效证书的产品，予以5%的价格扣除，用扣除后的价格参与评审。</w:t>
            </w:r>
          </w:p>
          <w:p>
            <w:pPr>
              <w:keepNext w:val="0"/>
              <w:keepLines w:val="0"/>
              <w:pageBreakBefore w:val="0"/>
              <w:widowControl w:val="0"/>
              <w:numPr>
                <w:ilvl w:val="0"/>
                <w:numId w:val="0"/>
              </w:numPr>
              <w:kinsoku/>
              <w:wordWrap/>
              <w:overflowPunct/>
              <w:topLinePunct w:val="0"/>
              <w:bidi w:val="0"/>
              <w:spacing w:line="400" w:lineRule="exact"/>
              <w:ind w:right="142" w:righ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4、专门面向中小企业采购的项目或者采购包，不再执行价格评审优惠的扶持政策。</w:t>
            </w:r>
          </w:p>
          <w:p>
            <w:pPr>
              <w:keepNext w:val="0"/>
              <w:keepLines w:val="0"/>
              <w:pageBreakBefore w:val="0"/>
              <w:widowControl w:val="0"/>
              <w:numPr>
                <w:ilvl w:val="0"/>
                <w:numId w:val="0"/>
              </w:numPr>
              <w:kinsoku/>
              <w:wordWrap/>
              <w:overflowPunct/>
              <w:topLinePunct w:val="0"/>
              <w:bidi w:val="0"/>
              <w:spacing w:line="400" w:lineRule="exact"/>
              <w:ind w:right="142" w:righ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采购项目含有多个采购标的，只有当供应商提供的每个标的均由小微企业制造，才能享受本项目采购文件明确的价格扣除政策。如果小微供应商提供的货物既有中型企业制造货物，也有小微企业制造货物的，不享受价格扣除相关政策。</w:t>
            </w:r>
          </w:p>
          <w:p>
            <w:pPr>
              <w:keepNext w:val="0"/>
              <w:keepLines w:val="0"/>
              <w:pageBreakBefore w:val="0"/>
              <w:widowControl w:val="0"/>
              <w:numPr>
                <w:ilvl w:val="0"/>
                <w:numId w:val="0"/>
              </w:numPr>
              <w:kinsoku/>
              <w:wordWrap/>
              <w:overflowPunct/>
              <w:topLinePunct w:val="0"/>
              <w:bidi w:val="0"/>
              <w:spacing w:line="400" w:lineRule="exact"/>
              <w:ind w:right="142" w:righ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享受中小企业扶持政策的供应商应当满足下列条件：在货物采购项目中，货物应当由中小企业制造，不对其中涉及的服务的承接商作出要求；在工程采购项目中，工程应当由中小企业承建，不对其中涉及的货物的制造商和服务的承接商作出要求；在服务采购项目中，服务的承接商应当为中小企业，不对其中涉及的货物的制造商作出要求。</w:t>
            </w:r>
          </w:p>
          <w:p>
            <w:pPr>
              <w:keepNext w:val="0"/>
              <w:keepLines w:val="0"/>
              <w:pageBreakBefore w:val="0"/>
              <w:widowControl w:val="0"/>
              <w:numPr>
                <w:ilvl w:val="0"/>
                <w:numId w:val="0"/>
              </w:numPr>
              <w:kinsoku/>
              <w:wordWrap/>
              <w:overflowPunct/>
              <w:topLinePunct w:val="0"/>
              <w:bidi w:val="0"/>
              <w:spacing w:line="400" w:lineRule="exact"/>
              <w:ind w:right="142" w:righ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lang w:val="zh-CN" w:eastAsia="zh-CN"/>
              </w:rPr>
              <w:t>根据工业和信息化部、国家统计局、国家发展和改革委员会、财政部《关于印发中小企业划型标准规定的通知》（工信部联企业〔2011〕300号），按照本次采购标的所属行业的划型标准，符合条件的中小企业应按照本采购文件格式要求提供《中小企业声明函》（①在货物采购项目中，供应商用于响应的货物是由中小企业制造的，须加盖制造企业的公章；②在工程采购项目中，工程由中小企业承建；③在服务采购项目中，服务由中小企业承接，符合以上三种情形的，可享受中小企业扶持政策。中小企业的界定按照国家有关规定执行</w:t>
            </w:r>
            <w:r>
              <w:rPr>
                <w:rFonts w:hint="eastAsia" w:ascii="宋体" w:hAnsi="宋体" w:eastAsia="宋体" w:cs="宋体"/>
                <w:color w:val="auto"/>
                <w:highlight w:val="none"/>
                <w:lang w:val="en-US" w:eastAsia="zh-CN"/>
              </w:rPr>
              <w:t>，中标或成交的中小企业将在中标或成交结果公告中标注）。</w:t>
            </w:r>
          </w:p>
          <w:p>
            <w:pPr>
              <w:keepNext w:val="0"/>
              <w:keepLines w:val="0"/>
              <w:pageBreakBefore w:val="0"/>
              <w:widowControl w:val="0"/>
              <w:numPr>
                <w:ilvl w:val="0"/>
                <w:numId w:val="0"/>
              </w:numPr>
              <w:kinsoku/>
              <w:wordWrap/>
              <w:overflowPunct/>
              <w:topLinePunct w:val="0"/>
              <w:bidi w:val="0"/>
              <w:spacing w:line="360" w:lineRule="exact"/>
              <w:ind w:right="142" w:rightChars="0" w:firstLine="420" w:firstLineChars="200"/>
              <w:jc w:val="both"/>
              <w:textAlignment w:val="auto"/>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lang w:val="zh-CN" w:eastAsia="zh-CN"/>
              </w:rPr>
              <w:t>根据《财政部、工业和信息化部关于印发</w:t>
            </w:r>
            <w:r>
              <w:rPr>
                <w:rFonts w:hint="eastAsia" w:ascii="宋体" w:hAnsi="宋体" w:eastAsia="宋体" w:cs="宋体"/>
                <w:color w:val="auto"/>
                <w:highlight w:val="none"/>
                <w:lang w:val="en-US" w:eastAsia="zh-CN"/>
              </w:rPr>
              <w:t>&lt;政府采购促进中小企业发展管理办法&gt;的通知</w:t>
            </w:r>
            <w:r>
              <w:rPr>
                <w:rFonts w:hint="eastAsia" w:ascii="宋体" w:hAnsi="宋体" w:eastAsia="宋体" w:cs="宋体"/>
                <w:color w:val="auto"/>
                <w:highlight w:val="none"/>
                <w:lang w:val="zh-CN" w:eastAsia="zh-CN"/>
              </w:rPr>
              <w:t>》（财库〔20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lang w:val="zh-CN" w:eastAsia="zh-CN"/>
              </w:rPr>
              <w:t>〕</w:t>
            </w:r>
            <w:r>
              <w:rPr>
                <w:rFonts w:hint="eastAsia" w:ascii="宋体" w:hAnsi="宋体" w:eastAsia="宋体" w:cs="宋体"/>
                <w:color w:val="auto"/>
                <w:highlight w:val="none"/>
                <w:lang w:val="en-US" w:eastAsia="zh-CN"/>
              </w:rPr>
              <w:t>46号</w:t>
            </w:r>
            <w:r>
              <w:rPr>
                <w:rFonts w:hint="eastAsia" w:ascii="宋体" w:hAnsi="宋体" w:eastAsia="宋体" w:cs="宋体"/>
                <w:color w:val="auto"/>
                <w:highlight w:val="none"/>
                <w:lang w:val="zh-CN" w:eastAsia="zh-CN"/>
              </w:rPr>
              <w:t>）的规定，</w:t>
            </w:r>
            <w:r>
              <w:rPr>
                <w:rFonts w:hint="eastAsia"/>
                <w:color w:val="auto"/>
                <w:highlight w:val="none"/>
                <w:lang w:val="zh-CN" w:eastAsia="zh-CN"/>
              </w:rPr>
              <w:t>对于经主管预算单位统筹后，未预留份额专门面向中小企业采购的采购项目，以及预留份额项目中的非预留部分采购包，对符合规定的</w:t>
            </w:r>
            <w:r>
              <w:rPr>
                <w:rFonts w:hint="eastAsia" w:ascii="宋体" w:hAnsi="宋体" w:eastAsia="宋体" w:cs="宋体"/>
                <w:color w:val="auto"/>
                <w:highlight w:val="none"/>
                <w:lang w:val="zh-CN" w:eastAsia="zh-CN"/>
              </w:rPr>
              <w:t>小型和微型企业报价给予 6</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lang w:val="zh-CN" w:eastAsia="zh-CN"/>
              </w:rPr>
              <w:t>%（工程项目为</w:t>
            </w:r>
            <w:r>
              <w:rPr>
                <w:rFonts w:hint="eastAsia" w:ascii="宋体" w:hAnsi="宋体" w:eastAsia="宋体" w:cs="宋体"/>
                <w:color w:val="auto"/>
                <w:highlight w:val="none"/>
                <w:lang w:val="en-US" w:eastAsia="zh-CN"/>
              </w:rPr>
              <w:t>3%-5%</w:t>
            </w:r>
            <w:r>
              <w:rPr>
                <w:rFonts w:hint="eastAsia" w:ascii="宋体" w:hAnsi="宋体" w:eastAsia="宋体" w:cs="宋体"/>
                <w:color w:val="auto"/>
                <w:highlight w:val="none"/>
                <w:lang w:val="zh-CN" w:eastAsia="zh-CN"/>
              </w:rPr>
              <w:t>）的扣除，用扣除后的价格参与评审，本项目对小型和微型企业报价给予</w:t>
            </w:r>
            <w:r>
              <w:rPr>
                <w:rFonts w:hint="eastAsia" w:ascii="宋体" w:hAnsi="宋体" w:eastAsia="宋体" w:cs="宋体"/>
                <w:color w:val="auto"/>
                <w:highlight w:val="none"/>
                <w:u w:val="single"/>
                <w:lang w:val="en-US" w:eastAsia="zh-CN"/>
              </w:rPr>
              <w:t>6%</w:t>
            </w:r>
            <w:r>
              <w:rPr>
                <w:rFonts w:hint="eastAsia" w:ascii="宋体" w:hAnsi="宋体" w:eastAsia="宋体" w:cs="宋体"/>
                <w:color w:val="auto"/>
                <w:highlight w:val="none"/>
                <w:lang w:val="en-US" w:eastAsia="zh-CN"/>
              </w:rPr>
              <w:t>的扣除</w:t>
            </w:r>
            <w:r>
              <w:rPr>
                <w:rFonts w:hint="eastAsia" w:ascii="宋体" w:hAnsi="宋体" w:eastAsia="宋体" w:cs="宋体"/>
                <w:color w:val="auto"/>
                <w:highlight w:val="none"/>
                <w:lang w:val="zh-CN" w:eastAsia="zh-CN"/>
              </w:rPr>
              <w:t>。</w:t>
            </w:r>
          </w:p>
          <w:p>
            <w:pPr>
              <w:keepNext w:val="0"/>
              <w:keepLines w:val="0"/>
              <w:pageBreakBefore w:val="0"/>
              <w:widowControl w:val="0"/>
              <w:numPr>
                <w:ilvl w:val="0"/>
                <w:numId w:val="0"/>
              </w:numPr>
              <w:kinsoku/>
              <w:wordWrap/>
              <w:overflowPunct/>
              <w:topLinePunct w:val="0"/>
              <w:bidi w:val="0"/>
              <w:spacing w:line="360" w:lineRule="exact"/>
              <w:ind w:right="142" w:righ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9、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30%以上的（“小微企业的合同份额”应当为小微企业制造的货物、承建的工程和承接的服务的合同份额），对联合体或者大中型企业的报价给予2%-3%（工程为1%-2%）的扣除，用扣除后的价格参加评审，本项目的价格扣除比例为</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val="en-US" w:eastAsia="zh-CN"/>
              </w:rPr>
              <w:t>。</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lang w:val="zh-CN" w:eastAsia="zh-CN"/>
              </w:rPr>
              <w:t>提供由省级以上监狱管理局、戒毒管理局（含新疆生产建设兵团）出具的属于监狱企业证明文件扫描件的，视同为小型和微型企业。</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lang w:val="zh-CN" w:eastAsia="zh-CN"/>
              </w:rPr>
              <w:t>符合享受政府采购支持政策的残疾人福利性单位条件且提供《残疾人福利性单位声明函》的，视同为小型和微型企业。</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color w:val="auto"/>
                <w:highlight w:val="none"/>
              </w:rPr>
            </w:pPr>
            <w:r>
              <w:rPr>
                <w:rFonts w:hint="eastAsia" w:ascii="宋体" w:hAnsi="宋体" w:eastAsia="宋体" w:cs="宋体"/>
                <w:color w:val="auto"/>
                <w:highlight w:val="none"/>
                <w:lang w:val="en-US" w:eastAsia="zh-CN"/>
              </w:rPr>
              <w:t>12、新成立企业应当参照国务院批准的中小企业划分标准，根据企业自身情况如实判断，认为本企业属于中小企业的，可按照规定出具《中小企业声明函》，享受相关扶持政策</w:t>
            </w:r>
            <w:r>
              <w:rPr>
                <w:rFonts w:hint="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 w:hRule="atLeast"/>
          <w:jc w:val="center"/>
        </w:trPr>
        <w:tc>
          <w:tcPr>
            <w:tcW w:w="1531" w:type="dxa"/>
            <w:vMerge w:val="restart"/>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第9.6款</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rPr>
              <w:t>政府采购支持中小企业融资</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有融资需求的，可向相关银行咨询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1531" w:type="dxa"/>
            <w:vMerge w:val="continue"/>
            <w:vAlign w:val="center"/>
          </w:tcPr>
          <w:p>
            <w:pPr>
              <w:keepNext w:val="0"/>
              <w:keepLines w:val="0"/>
              <w:pageBreakBefore w:val="0"/>
              <w:kinsoku/>
              <w:wordWrap/>
              <w:overflowPunct/>
              <w:topLinePunct w:val="0"/>
              <w:bidi w:val="0"/>
              <w:adjustRightInd w:val="0"/>
              <w:snapToGrid w:val="0"/>
              <w:spacing w:line="360" w:lineRule="exact"/>
              <w:jc w:val="both"/>
              <w:textAlignment w:val="auto"/>
              <w:rPr>
                <w:rFonts w:hint="eastAsia" w:ascii="宋体" w:hAnsi="宋体" w:eastAsia="宋体" w:cs="宋体"/>
                <w:color w:val="auto"/>
                <w:sz w:val="21"/>
                <w:szCs w:val="21"/>
                <w:highlight w:val="none"/>
              </w:rPr>
            </w:pP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rPr>
              <w:t>政府采购信用担保</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有履约担保或融资担保需求的，可向相关担保机构咨询，格式见附页1。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6" w:hRule="atLeast"/>
          <w:jc w:val="center"/>
        </w:trPr>
        <w:tc>
          <w:tcPr>
            <w:tcW w:w="1531" w:type="dxa"/>
            <w:vMerge w:val="continue"/>
            <w:vAlign w:val="center"/>
          </w:tcPr>
          <w:p>
            <w:pPr>
              <w:keepNext w:val="0"/>
              <w:keepLines w:val="0"/>
              <w:pageBreakBefore w:val="0"/>
              <w:kinsoku/>
              <w:wordWrap/>
              <w:overflowPunct/>
              <w:topLinePunct w:val="0"/>
              <w:bidi w:val="0"/>
              <w:adjustRightInd w:val="0"/>
              <w:snapToGrid w:val="0"/>
              <w:spacing w:line="360" w:lineRule="exact"/>
              <w:jc w:val="both"/>
              <w:textAlignment w:val="auto"/>
              <w:rPr>
                <w:rFonts w:hint="eastAsia" w:ascii="宋体" w:hAnsi="宋体" w:eastAsia="宋体" w:cs="宋体"/>
                <w:color w:val="auto"/>
                <w:sz w:val="21"/>
                <w:szCs w:val="21"/>
                <w:highlight w:val="none"/>
              </w:rPr>
            </w:pP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法律、法规、规章和省级以上财政部门规定的其他内容</w:t>
            </w:r>
          </w:p>
        </w:tc>
        <w:tc>
          <w:tcPr>
            <w:tcW w:w="5920" w:type="dxa"/>
            <w:vAlign w:val="center"/>
          </w:tcPr>
          <w:p>
            <w:pPr>
              <w:keepNext w:val="0"/>
              <w:keepLines w:val="0"/>
              <w:pageBreakBefore w:val="0"/>
              <w:kinsoku/>
              <w:wordWrap/>
              <w:overflowPunct/>
              <w:topLinePunct w:val="0"/>
              <w:bidi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政府采购应当有助于实现国家的经济和社会发展政策目标，支持本国产品采购、促进中小企业发展。优先采购节能环保产品、扶持监狱企业和残疾人福利性单位等。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604" w:type="dxa"/>
            <w:gridSpan w:val="3"/>
            <w:vAlign w:val="center"/>
          </w:tcPr>
          <w:p>
            <w:pPr>
              <w:keepNext w:val="0"/>
              <w:keepLines w:val="0"/>
              <w:pageBreakBefore w:val="0"/>
              <w:kinsoku/>
              <w:wordWrap/>
              <w:overflowPunct/>
              <w:topLinePunct w:val="0"/>
              <w:bidi w:val="0"/>
              <w:adjustRightInd w:val="0"/>
              <w:snapToGrid w:val="0"/>
              <w:spacing w:line="360" w:lineRule="exact"/>
              <w:jc w:val="both"/>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二、谈判文件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第10.3款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谈判文件的可能实质性变动内容</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第11.1款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获取谈判文件及准备响应文件的时间</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FF0000"/>
                <w:sz w:val="21"/>
                <w:szCs w:val="21"/>
                <w:highlight w:val="none"/>
                <w:u w:val="single"/>
              </w:rPr>
            </w:pPr>
            <w:r>
              <w:rPr>
                <w:rFonts w:hint="eastAsia" w:ascii="宋体" w:hAnsi="宋体" w:eastAsia="宋体" w:cs="宋体"/>
                <w:color w:val="auto"/>
                <w:sz w:val="21"/>
                <w:szCs w:val="21"/>
                <w:highlight w:val="none"/>
                <w:lang w:val="en-US" w:eastAsia="zh-CN"/>
              </w:rPr>
              <w:t xml:space="preserve">2022年 5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 xml:space="preserve"> 30 </w:t>
            </w:r>
            <w:r>
              <w:rPr>
                <w:rFonts w:hint="eastAsia" w:ascii="宋体" w:hAnsi="宋体" w:eastAsia="宋体" w:cs="宋体"/>
                <w:color w:val="auto"/>
                <w:sz w:val="21"/>
                <w:szCs w:val="21"/>
                <w:highlight w:val="none"/>
              </w:rPr>
              <w:t>日-20</w:t>
            </w: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 xml:space="preserve"> 6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 xml:space="preserve"> 2 </w:t>
            </w:r>
            <w:r>
              <w:rPr>
                <w:rFonts w:hint="eastAsia" w:ascii="宋体" w:hAnsi="宋体" w:eastAsia="宋体" w:cs="宋体"/>
                <w:color w:val="auto"/>
                <w:sz w:val="21"/>
                <w:szCs w:val="21"/>
                <w:highlight w:val="none"/>
              </w:rPr>
              <w:t>日（节假日除外）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第12.1款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提交首次响应文件的截止时间</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FF0000"/>
                <w:sz w:val="21"/>
                <w:szCs w:val="21"/>
                <w:highlight w:val="none"/>
              </w:rPr>
            </w:pPr>
            <w:r>
              <w:rPr>
                <w:rFonts w:hint="eastAsia" w:ascii="宋体" w:hAnsi="宋体" w:eastAsia="宋体" w:cs="宋体"/>
                <w:color w:val="auto"/>
                <w:kern w:val="0"/>
                <w:sz w:val="21"/>
                <w:szCs w:val="21"/>
                <w:highlight w:val="none"/>
              </w:rPr>
              <w:t>20</w:t>
            </w:r>
            <w:r>
              <w:rPr>
                <w:rFonts w:hint="eastAsia" w:ascii="宋体" w:hAnsi="宋体" w:eastAsia="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lang w:val="en-US" w:eastAsia="zh-CN"/>
              </w:rPr>
              <w:t xml:space="preserve"> 6 </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lang w:val="en-US" w:eastAsia="zh-CN"/>
              </w:rPr>
              <w:t xml:space="preserve"> 6 </w:t>
            </w:r>
            <w:r>
              <w:rPr>
                <w:rFonts w:hint="eastAsia" w:ascii="宋体" w:hAnsi="宋体" w:eastAsia="宋体" w:cs="宋体"/>
                <w:color w:val="auto"/>
                <w:kern w:val="0"/>
                <w:sz w:val="21"/>
                <w:szCs w:val="21"/>
                <w:highlight w:val="none"/>
              </w:rPr>
              <w:t>日</w:t>
            </w:r>
            <w:r>
              <w:rPr>
                <w:rFonts w:hint="eastAsia" w:ascii="宋体" w:hAnsi="宋体" w:eastAsia="宋体" w:cs="宋体"/>
                <w:color w:val="auto"/>
                <w:kern w:val="0"/>
                <w:sz w:val="21"/>
                <w:szCs w:val="21"/>
                <w:highlight w:val="none"/>
                <w:lang w:val="en-US" w:eastAsia="zh-CN"/>
              </w:rPr>
              <w:t xml:space="preserve"> 09 </w:t>
            </w:r>
            <w:r>
              <w:rPr>
                <w:rFonts w:hint="eastAsia" w:ascii="宋体" w:hAnsi="宋体" w:eastAsia="宋体" w:cs="宋体"/>
                <w:color w:val="auto"/>
                <w:kern w:val="0"/>
                <w:sz w:val="21"/>
                <w:szCs w:val="21"/>
                <w:highlight w:val="none"/>
              </w:rPr>
              <w:t>时</w:t>
            </w:r>
            <w:r>
              <w:rPr>
                <w:rFonts w:hint="eastAsia" w:ascii="宋体" w:hAnsi="宋体" w:eastAsia="宋体" w:cs="宋体"/>
                <w:color w:val="auto"/>
                <w:kern w:val="0"/>
                <w:sz w:val="21"/>
                <w:szCs w:val="21"/>
                <w:highlight w:val="none"/>
                <w:lang w:val="en-US" w:eastAsia="zh-CN"/>
              </w:rPr>
              <w:t>30</w:t>
            </w:r>
            <w:r>
              <w:rPr>
                <w:rFonts w:hint="eastAsia" w:ascii="宋体" w:hAnsi="宋体" w:eastAsia="宋体" w:cs="宋体"/>
                <w:color w:val="auto"/>
                <w:kern w:val="0"/>
                <w:sz w:val="21"/>
                <w:szCs w:val="21"/>
                <w:highlight w:val="none"/>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604" w:type="dxa"/>
            <w:gridSpan w:val="3"/>
            <w:vAlign w:val="center"/>
          </w:tcPr>
          <w:p>
            <w:pPr>
              <w:keepNext w:val="0"/>
              <w:keepLines w:val="0"/>
              <w:pageBreakBefore w:val="0"/>
              <w:kinsoku/>
              <w:wordWrap/>
              <w:overflowPunct/>
              <w:topLinePunct w:val="0"/>
              <w:bidi w:val="0"/>
              <w:adjustRightInd w:val="0"/>
              <w:snapToGrid w:val="0"/>
              <w:spacing w:line="36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三、响应文件的编写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第16.5款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采购项目预算</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u w:val="single"/>
                <w:lang w:val="en-US" w:eastAsia="zh-CN"/>
              </w:rPr>
              <w:t>80</w:t>
            </w:r>
            <w:r>
              <w:rPr>
                <w:rFonts w:hint="eastAsia" w:ascii="宋体" w:hAnsi="宋体" w:eastAsia="宋体" w:cs="宋体"/>
                <w:color w:val="auto"/>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6" w:hRule="atLeast"/>
          <w:jc w:val="center"/>
        </w:trPr>
        <w:tc>
          <w:tcPr>
            <w:tcW w:w="1531"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第二章</w:t>
            </w:r>
          </w:p>
          <w:p>
            <w:pPr>
              <w:keepNext w:val="0"/>
              <w:keepLines w:val="0"/>
              <w:pageBreakBefore w:val="0"/>
              <w:widowControl w:val="0"/>
              <w:kinsoku/>
              <w:wordWrap/>
              <w:overflowPunct/>
              <w:topLinePunct w:val="0"/>
              <w:autoSpaceDE/>
              <w:autoSpaceDN/>
              <w:bidi w:val="0"/>
              <w:spacing w:line="380" w:lineRule="exact"/>
              <w:jc w:val="center"/>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highlight w:val="none"/>
              </w:rPr>
              <w:t>第</w:t>
            </w:r>
            <w:r>
              <w:rPr>
                <w:rFonts w:hint="eastAsia" w:ascii="宋体" w:hAnsi="宋体" w:eastAsia="宋体" w:cs="宋体"/>
                <w:color w:val="auto"/>
                <w:highlight w:val="none"/>
                <w:lang w:val="en-US" w:eastAsia="zh-CN"/>
              </w:rPr>
              <w:t>16.6</w:t>
            </w:r>
            <w:r>
              <w:rPr>
                <w:rFonts w:hint="eastAsia" w:ascii="宋体" w:hAnsi="宋体" w:eastAsia="宋体" w:cs="宋体"/>
                <w:color w:val="auto"/>
                <w:highlight w:val="none"/>
              </w:rPr>
              <w:t>款</w:t>
            </w:r>
          </w:p>
        </w:tc>
        <w:tc>
          <w:tcPr>
            <w:tcW w:w="2153"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highlight w:val="none"/>
                <w:lang w:eastAsia="zh-CN"/>
              </w:rPr>
              <w:t>异常低价（不正当竞争预防措施）</w:t>
            </w:r>
          </w:p>
        </w:tc>
        <w:tc>
          <w:tcPr>
            <w:tcW w:w="5920" w:type="dxa"/>
            <w:vAlign w:val="center"/>
          </w:tcPr>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竞争性谈判小组认为供应商报价明显低于采购预算，或者低于其他有效报价，有可能影响质量或者不能诚信履约的，应当要求其在评审现场合理的时间内提供书面说明，必要时提交相关证明材料，供应商不能证明其报价合理性的，谈判小组应当将其响应文件无效处理。</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2、供应商书面说明应当由法定代表人/主要负责人或者其授权代表签字确认或加盖公章，否则无效。</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rPr>
                <w:rFonts w:hint="eastAsia" w:ascii="Arial" w:hAnsi="Arial" w:eastAsia="Calibri" w:cs="Times New Roman"/>
                <w:b/>
                <w:bCs/>
                <w:color w:val="auto"/>
                <w:kern w:val="0"/>
                <w:sz w:val="21"/>
                <w:szCs w:val="21"/>
                <w:highlight w:val="none"/>
                <w:lang w:val="en-US" w:eastAsia="zh-CN" w:bidi="ar-SA"/>
              </w:rPr>
            </w:pPr>
            <w:r>
              <w:rPr>
                <w:rFonts w:hint="eastAsia" w:ascii="宋体" w:hAnsi="宋体" w:eastAsia="宋体" w:cs="宋体"/>
                <w:color w:val="auto"/>
                <w:highlight w:val="none"/>
                <w:lang w:val="en-US" w:eastAsia="zh-CN"/>
              </w:rPr>
              <w:t>3、供应商提供书面说明后，谈判小组应当结合采购项目采购需求、专业实际情况、供应商财务状况报告，与其他供应商比较情况等，就供应商情况说明进行审查评价，供应商拒绝或者变相拒绝提供有效书面说明或者未在规定时间提供书面说明的，谈判小组应当将其响应文件按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第17.4款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非制造商的证明文件</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ascii="Wingdings" w:hAnsi="Wingdings" w:eastAsia="宋体" w:cs="宋体"/>
                <w:color w:val="auto"/>
                <w:sz w:val="21"/>
                <w:szCs w:val="21"/>
                <w:highlight w:val="none"/>
              </w:rPr>
              <w:sym w:font="Wingdings" w:char="F0FE"/>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不要求提供</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要求提供：（证明文件复印件须加盖供应商单位公章，否则视为无效响应。）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1"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第17.5款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样品提供及样品提交的时间、地点</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ascii="Wingdings" w:hAnsi="Wingdings" w:eastAsia="宋体" w:cs="宋体"/>
                <w:color w:val="auto"/>
                <w:sz w:val="21"/>
                <w:szCs w:val="21"/>
                <w:highlight w:val="none"/>
              </w:rPr>
              <w:sym w:font="Wingdings" w:char="F0FE"/>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不要求提供</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要求提供，提交的时间：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、地点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0"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第18.1款</w:t>
            </w:r>
          </w:p>
        </w:tc>
        <w:tc>
          <w:tcPr>
            <w:tcW w:w="2153" w:type="dxa"/>
            <w:vAlign w:val="center"/>
          </w:tcPr>
          <w:p>
            <w:pPr>
              <w:keepNext w:val="0"/>
              <w:keepLines w:val="0"/>
              <w:pageBreakBefore w:val="0"/>
              <w:kinsoku/>
              <w:wordWrap/>
              <w:overflowPunct/>
              <w:topLinePunct w:val="0"/>
              <w:bidi w:val="0"/>
              <w:adjustRightInd w:val="0"/>
              <w:snapToGrid w:val="0"/>
              <w:spacing w:line="360" w:lineRule="exact"/>
              <w:ind w:left="-533" w:leftChars="-254" w:firstLine="533" w:firstLineChars="254"/>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保证金</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不要求提供</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ascii="Wingdings" w:hAnsi="Wingdings" w:eastAsia="宋体" w:cs="宋体"/>
                <w:color w:val="auto"/>
                <w:sz w:val="21"/>
                <w:szCs w:val="21"/>
                <w:highlight w:val="none"/>
              </w:rPr>
              <w:sym w:font="Wingdings" w:char="F0FE"/>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要求提供：</w:t>
            </w:r>
          </w:p>
          <w:p>
            <w:pPr>
              <w:keepNext w:val="0"/>
              <w:keepLines w:val="0"/>
              <w:pageBreakBefore w:val="0"/>
              <w:numPr>
                <w:ilvl w:val="0"/>
                <w:numId w:val="0"/>
              </w:numPr>
              <w:kinsoku/>
              <w:wordWrap/>
              <w:overflowPunct/>
              <w:topLinePunct w:val="0"/>
              <w:bidi w:val="0"/>
              <w:spacing w:line="360" w:lineRule="exact"/>
              <w:ind w:leftChars="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保证金数额：</w:t>
            </w:r>
            <w:r>
              <w:rPr>
                <w:rFonts w:hint="eastAsia" w:ascii="宋体" w:hAnsi="宋体" w:eastAsia="宋体" w:cs="宋体"/>
                <w:color w:val="auto"/>
                <w:sz w:val="21"/>
                <w:szCs w:val="21"/>
                <w:highlight w:val="none"/>
                <w:u w:val="single"/>
                <w:lang w:val="en-US" w:eastAsia="zh-CN"/>
              </w:rPr>
              <w:t>4000</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eastAsia="zh-CN"/>
              </w:rPr>
              <w:t>（人民币）</w:t>
            </w:r>
          </w:p>
          <w:p>
            <w:pPr>
              <w:keepNext w:val="0"/>
              <w:keepLines w:val="0"/>
              <w:pageBreakBefore w:val="0"/>
              <w:kinsoku/>
              <w:wordWrap/>
              <w:overflowPunct/>
              <w:topLinePunct w:val="0"/>
              <w:bidi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2、缴纳方式：以支票、汇票、本票、转账、网上银行支付或者金融机构、担保机构出具的保函等非现金形式缴入如下账户，查询已经到账，视为已缴纳。</w:t>
            </w:r>
          </w:p>
          <w:p>
            <w:pPr>
              <w:keepNext w:val="0"/>
              <w:keepLines w:val="0"/>
              <w:pageBreakBefore w:val="0"/>
              <w:kinsoku/>
              <w:wordWrap/>
              <w:overflowPunct/>
              <w:topLinePunct w:val="0"/>
              <w:bidi w:val="0"/>
              <w:spacing w:line="360" w:lineRule="exact"/>
              <w:ind w:firstLine="420" w:firstLineChars="200"/>
              <w:jc w:val="both"/>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户名：</w:t>
            </w:r>
            <w:r>
              <w:rPr>
                <w:rFonts w:hint="eastAsia" w:ascii="宋体" w:hAnsi="宋体" w:eastAsia="宋体" w:cs="宋体"/>
                <w:b/>
                <w:bCs/>
                <w:color w:val="auto"/>
                <w:sz w:val="21"/>
                <w:szCs w:val="21"/>
                <w:highlight w:val="none"/>
              </w:rPr>
              <w:t>海南锦华招标代理有限公司</w:t>
            </w:r>
          </w:p>
          <w:p>
            <w:pPr>
              <w:keepNext w:val="0"/>
              <w:keepLines w:val="0"/>
              <w:pageBreakBefore w:val="0"/>
              <w:kinsoku/>
              <w:wordWrap/>
              <w:overflowPunct/>
              <w:topLinePunct w:val="0"/>
              <w:bidi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w:t>
            </w:r>
            <w:r>
              <w:rPr>
                <w:rFonts w:hint="eastAsia" w:ascii="宋体" w:hAnsi="宋体" w:eastAsia="宋体" w:cs="宋体"/>
                <w:b/>
                <w:bCs/>
                <w:color w:val="auto"/>
                <w:sz w:val="21"/>
                <w:szCs w:val="21"/>
                <w:highlight w:val="none"/>
              </w:rPr>
              <w:t>海南白沙农村商业银行股份有限公司</w:t>
            </w:r>
          </w:p>
          <w:p>
            <w:pPr>
              <w:keepNext w:val="0"/>
              <w:keepLines w:val="0"/>
              <w:pageBreakBefore w:val="0"/>
              <w:kinsoku/>
              <w:wordWrap/>
              <w:overflowPunct/>
              <w:topLinePunct w:val="0"/>
              <w:bidi w:val="0"/>
              <w:spacing w:line="360" w:lineRule="exact"/>
              <w:ind w:firstLine="420" w:firstLineChars="200"/>
              <w:jc w:val="both"/>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账  号：</w:t>
            </w:r>
            <w:r>
              <w:rPr>
                <w:rFonts w:hint="eastAsia" w:ascii="宋体" w:hAnsi="宋体" w:eastAsia="宋体" w:cs="宋体"/>
                <w:b/>
                <w:bCs/>
                <w:color w:val="auto"/>
                <w:sz w:val="21"/>
                <w:szCs w:val="21"/>
                <w:highlight w:val="none"/>
              </w:rPr>
              <w:t xml:space="preserve">1013 8784 0000 0174 </w:t>
            </w:r>
          </w:p>
          <w:p>
            <w:pPr>
              <w:keepNext w:val="0"/>
              <w:keepLines w:val="0"/>
              <w:pageBreakBefore w:val="0"/>
              <w:kinsoku/>
              <w:wordWrap/>
              <w:overflowPunct/>
              <w:topLinePunct w:val="0"/>
              <w:autoSpaceDE w:val="0"/>
              <w:autoSpaceDN w:val="0"/>
              <w:bidi w:val="0"/>
              <w:adjustRightInd w:val="0"/>
              <w:spacing w:line="360" w:lineRule="exact"/>
              <w:ind w:firstLine="420" w:firstLineChars="200"/>
              <w:jc w:val="both"/>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3、缴费时间：供应商在谈判截止期前，以银行到账时间为准；</w:t>
            </w:r>
          </w:p>
          <w:p>
            <w:pPr>
              <w:keepNext w:val="0"/>
              <w:keepLines w:val="0"/>
              <w:pageBreakBefore w:val="0"/>
              <w:kinsoku/>
              <w:wordWrap/>
              <w:overflowPunct/>
              <w:topLinePunct w:val="0"/>
              <w:bidi w:val="0"/>
              <w:spacing w:line="36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4、供应商未按照采购文件要求提交谈判保证金的，响应无效。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第19.1款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响应文件有效期</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60</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第20.1款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响应</w:t>
            </w:r>
            <w:r>
              <w:rPr>
                <w:rFonts w:hint="eastAsia" w:ascii="宋体" w:hAnsi="宋体" w:eastAsia="宋体" w:cs="宋体"/>
                <w:color w:val="auto"/>
                <w:sz w:val="21"/>
                <w:szCs w:val="21"/>
                <w:highlight w:val="none"/>
              </w:rPr>
              <w:t>文件副本份数</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 xml:space="preserve"> 贰 </w:t>
            </w:r>
            <w:r>
              <w:rPr>
                <w:rFonts w:hint="eastAsia" w:ascii="宋体" w:hAnsi="宋体" w:eastAsia="宋体" w:cs="宋体"/>
                <w:color w:val="auto"/>
                <w:sz w:val="21"/>
                <w:szCs w:val="21"/>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 w:hRule="atLeast"/>
          <w:jc w:val="center"/>
        </w:trPr>
        <w:tc>
          <w:tcPr>
            <w:tcW w:w="9604" w:type="dxa"/>
            <w:gridSpan w:val="3"/>
            <w:vAlign w:val="center"/>
          </w:tcPr>
          <w:p>
            <w:pPr>
              <w:keepNext w:val="0"/>
              <w:keepLines w:val="0"/>
              <w:pageBreakBefore w:val="0"/>
              <w:kinsoku/>
              <w:wordWrap/>
              <w:overflowPunct/>
              <w:topLinePunct w:val="0"/>
              <w:bidi w:val="0"/>
              <w:adjustRightInd w:val="0"/>
              <w:snapToGrid w:val="0"/>
              <w:spacing w:line="360" w:lineRule="exact"/>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四、响应文件的递交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第21.2款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封套上应载明的信息</w:t>
            </w:r>
          </w:p>
        </w:tc>
        <w:tc>
          <w:tcPr>
            <w:tcW w:w="5920" w:type="dxa"/>
            <w:vAlign w:val="center"/>
          </w:tcPr>
          <w:p>
            <w:pPr>
              <w:keepNext w:val="0"/>
              <w:keepLines w:val="0"/>
              <w:pageBreakBefore w:val="0"/>
              <w:kinsoku/>
              <w:wordWrap/>
              <w:overflowPunct/>
              <w:topLinePunct w:val="0"/>
              <w:bidi w:val="0"/>
              <w:adjustRightInd w:val="0"/>
              <w:snapToGrid w:val="0"/>
              <w:spacing w:line="360" w:lineRule="exact"/>
              <w:jc w:val="both"/>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rPr>
              <w:t xml:space="preserve">响应文件  </w:t>
            </w:r>
          </w:p>
          <w:p>
            <w:pPr>
              <w:keepNext w:val="0"/>
              <w:keepLines w:val="0"/>
              <w:pageBreakBefore w:val="0"/>
              <w:kinsoku/>
              <w:wordWrap/>
              <w:overflowPunct/>
              <w:topLinePunct w:val="0"/>
              <w:bidi w:val="0"/>
              <w:adjustRightInd w:val="0"/>
              <w:snapToGrid w:val="0"/>
              <w:spacing w:line="360" w:lineRule="exact"/>
              <w:ind w:firstLine="422" w:firstLineChars="200"/>
              <w:jc w:val="both"/>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采购代理机构编号：</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rPr>
              <w:t xml:space="preserve">  </w:t>
            </w:r>
          </w:p>
          <w:p>
            <w:pPr>
              <w:keepNext w:val="0"/>
              <w:keepLines w:val="0"/>
              <w:pageBreakBefore w:val="0"/>
              <w:kinsoku/>
              <w:wordWrap/>
              <w:overflowPunct/>
              <w:topLinePunct w:val="0"/>
              <w:bidi w:val="0"/>
              <w:adjustRightInd w:val="0"/>
              <w:snapToGrid w:val="0"/>
              <w:spacing w:line="360" w:lineRule="exact"/>
              <w:ind w:firstLine="422"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在</w:t>
            </w:r>
            <w:r>
              <w:rPr>
                <w:rFonts w:hint="eastAsia" w:ascii="宋体" w:hAnsi="宋体" w:eastAsia="宋体" w:cs="宋体"/>
                <w:b/>
                <w:color w:val="auto"/>
                <w:sz w:val="21"/>
                <w:szCs w:val="21"/>
                <w:highlight w:val="none"/>
                <w:u w:val="single"/>
              </w:rPr>
              <w:t xml:space="preserve">  20</w:t>
            </w:r>
            <w:r>
              <w:rPr>
                <w:rFonts w:hint="eastAsia" w:ascii="宋体" w:hAnsi="宋体" w:eastAsia="宋体" w:cs="宋体"/>
                <w:b/>
                <w:color w:val="auto"/>
                <w:sz w:val="21"/>
                <w:szCs w:val="21"/>
                <w:highlight w:val="none"/>
                <w:u w:val="single"/>
                <w:lang w:val="en-US" w:eastAsia="zh-CN"/>
              </w:rPr>
              <w:t>22</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rPr>
              <w:t>年</w:t>
            </w:r>
            <w:r>
              <w:rPr>
                <w:rFonts w:hint="eastAsia" w:ascii="宋体" w:hAnsi="宋体" w:eastAsia="宋体" w:cs="宋体"/>
                <w:b/>
                <w:color w:val="auto"/>
                <w:sz w:val="21"/>
                <w:szCs w:val="21"/>
                <w:highlight w:val="none"/>
                <w:u w:val="single"/>
              </w:rPr>
              <w:t xml:space="preserve">  XX </w:t>
            </w:r>
            <w:r>
              <w:rPr>
                <w:rFonts w:hint="eastAsia" w:ascii="宋体" w:hAnsi="宋体" w:eastAsia="宋体" w:cs="宋体"/>
                <w:b/>
                <w:color w:val="auto"/>
                <w:sz w:val="21"/>
                <w:szCs w:val="21"/>
                <w:highlight w:val="none"/>
              </w:rPr>
              <w:t>月</w:t>
            </w:r>
            <w:r>
              <w:rPr>
                <w:rFonts w:hint="eastAsia" w:ascii="宋体" w:hAnsi="宋体" w:eastAsia="宋体" w:cs="宋体"/>
                <w:b/>
                <w:color w:val="auto"/>
                <w:sz w:val="21"/>
                <w:szCs w:val="21"/>
                <w:highlight w:val="none"/>
                <w:u w:val="single"/>
              </w:rPr>
              <w:t xml:space="preserve">  XX </w:t>
            </w:r>
            <w:r>
              <w:rPr>
                <w:rFonts w:hint="eastAsia" w:ascii="宋体" w:hAnsi="宋体" w:eastAsia="宋体" w:cs="宋体"/>
                <w:b/>
                <w:color w:val="auto"/>
                <w:sz w:val="21"/>
                <w:szCs w:val="21"/>
                <w:highlight w:val="none"/>
              </w:rPr>
              <w:t>日</w:t>
            </w:r>
            <w:r>
              <w:rPr>
                <w:rFonts w:hint="eastAsia" w:ascii="宋体" w:hAnsi="宋体" w:eastAsia="宋体" w:cs="宋体"/>
                <w:b/>
                <w:color w:val="auto"/>
                <w:sz w:val="21"/>
                <w:szCs w:val="21"/>
                <w:highlight w:val="none"/>
                <w:u w:val="single"/>
              </w:rPr>
              <w:t xml:space="preserve"> XX </w:t>
            </w:r>
            <w:r>
              <w:rPr>
                <w:rFonts w:hint="eastAsia" w:ascii="宋体" w:hAnsi="宋体" w:eastAsia="宋体" w:cs="宋体"/>
                <w:b/>
                <w:color w:val="auto"/>
                <w:sz w:val="21"/>
                <w:szCs w:val="21"/>
                <w:highlight w:val="none"/>
              </w:rPr>
              <w:t xml:space="preserve"> 时</w:t>
            </w:r>
            <w:r>
              <w:rPr>
                <w:rFonts w:hint="eastAsia" w:ascii="宋体" w:hAnsi="宋体" w:eastAsia="宋体" w:cs="宋体"/>
                <w:b/>
                <w:color w:val="auto"/>
                <w:sz w:val="21"/>
                <w:szCs w:val="21"/>
                <w:highlight w:val="none"/>
                <w:u w:val="single"/>
              </w:rPr>
              <w:t xml:space="preserve"> XX</w:t>
            </w:r>
            <w:r>
              <w:rPr>
                <w:rFonts w:hint="eastAsia" w:ascii="宋体" w:hAnsi="宋体" w:eastAsia="宋体" w:cs="宋体"/>
                <w:b/>
                <w:color w:val="auto"/>
                <w:sz w:val="21"/>
                <w:szCs w:val="21"/>
                <w:highlight w:val="none"/>
              </w:rPr>
              <w:t>分之前不得启封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第23.1款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响应文件的递交地点</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海南省海口市龙华区海垦街道八一新村A2栋401房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9604" w:type="dxa"/>
            <w:gridSpan w:val="3"/>
            <w:vAlign w:val="center"/>
          </w:tcPr>
          <w:p>
            <w:pPr>
              <w:keepNext w:val="0"/>
              <w:keepLines w:val="0"/>
              <w:pageBreakBefore w:val="0"/>
              <w:kinsoku/>
              <w:wordWrap/>
              <w:overflowPunct/>
              <w:topLinePunct w:val="0"/>
              <w:bidi w:val="0"/>
              <w:adjustRightInd w:val="0"/>
              <w:snapToGrid w:val="0"/>
              <w:spacing w:line="36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六、成交结果信息公布与供应商质疑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第37.1款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财政部门指定的媒体</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海南省政府采购网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第39.3款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Calibri" w:hAnsi="Calibri" w:eastAsia="Calibri" w:cs="Times New Roman"/>
              </w:rPr>
            </w:pPr>
            <w:r>
              <w:rPr>
                <w:rFonts w:ascii="Wingdings" w:hAnsi="Wingdings" w:eastAsia="Calibri" w:cs="Times New Roman"/>
              </w:rPr>
              <w:sym w:font="Wingdings" w:char="F0A8"/>
            </w:r>
            <w:r>
              <w:rPr>
                <w:rFonts w:hint="eastAsia" w:ascii="Calibri" w:hAnsi="Calibri" w:eastAsia="Calibri" w:cs="Times New Roman"/>
                <w:lang w:val="en-US" w:eastAsia="zh-CN"/>
              </w:rPr>
              <w:t xml:space="preserve"> </w:t>
            </w:r>
            <w:r>
              <w:rPr>
                <w:rFonts w:hint="eastAsia" w:ascii="Calibri" w:hAnsi="Calibri" w:eastAsia="Calibri" w:cs="Times New Roman"/>
              </w:rPr>
              <w:t>不要求提供</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Calibri" w:hAnsi="Calibri" w:eastAsia="Calibri" w:cs="Times New Roman"/>
              </w:rPr>
            </w:pPr>
            <w:r>
              <w:rPr>
                <w:rFonts w:ascii="Wingdings" w:hAnsi="Wingdings" w:eastAsia="Calibri" w:cs="Times New Roman"/>
              </w:rPr>
              <w:sym w:font="Wingdings" w:char="F0A8"/>
            </w:r>
            <w:r>
              <w:rPr>
                <w:rFonts w:hint="eastAsia" w:ascii="Calibri" w:hAnsi="Calibri" w:eastAsia="Calibri" w:cs="Times New Roman"/>
                <w:lang w:val="en-US" w:eastAsia="zh-CN"/>
              </w:rPr>
              <w:t xml:space="preserve"> </w:t>
            </w:r>
            <w:r>
              <w:rPr>
                <w:rFonts w:hint="eastAsia" w:ascii="Calibri" w:hAnsi="Calibri" w:eastAsia="Calibri" w:cs="Times New Roman"/>
              </w:rPr>
              <w:t xml:space="preserve"> 要求提供，履约担保的金额为：   </w:t>
            </w:r>
          </w:p>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rPr>
            </w:pPr>
            <w:r>
              <w:rPr>
                <w:rFonts w:hint="eastAsia" w:ascii="Calibri" w:hAnsi="Calibri" w:eastAsia="Calibri" w:cs="Times New Roman"/>
                <w:lang w:eastAsia="zh-CN"/>
              </w:rPr>
              <w:t>☑</w:t>
            </w:r>
            <w:r>
              <w:rPr>
                <w:rFonts w:hint="eastAsia" w:ascii="Calibri" w:hAnsi="Calibri" w:eastAsia="Calibri" w:cs="Times New Roman"/>
              </w:rPr>
              <w:t xml:space="preserve"> </w:t>
            </w:r>
            <w:r>
              <w:rPr>
                <w:rFonts w:hint="eastAsia" w:ascii="Calibri" w:hAnsi="Calibri" w:eastAsia="Calibri" w:cs="Times New Roman"/>
                <w:lang w:val="en-US" w:eastAsia="zh-CN"/>
              </w:rPr>
              <w:t>合同签订时采购人可视情况而定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 w:hRule="atLeast"/>
          <w:jc w:val="center"/>
        </w:trPr>
        <w:tc>
          <w:tcPr>
            <w:tcW w:w="9604" w:type="dxa"/>
            <w:gridSpan w:val="3"/>
            <w:vAlign w:val="center"/>
          </w:tcPr>
          <w:p>
            <w:pPr>
              <w:keepNext w:val="0"/>
              <w:keepLines w:val="0"/>
              <w:pageBreakBefore w:val="0"/>
              <w:kinsoku/>
              <w:wordWrap/>
              <w:overflowPunct/>
              <w:topLinePunct w:val="0"/>
              <w:bidi w:val="0"/>
              <w:adjustRightInd w:val="0"/>
              <w:snapToGrid w:val="0"/>
              <w:spacing w:line="360" w:lineRule="exact"/>
              <w:jc w:val="both"/>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七、其他规定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第41.1款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采购代理服务费</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采购代理服务费按招标代理服务费收费标准（见附页2）</w:t>
            </w:r>
            <w:r>
              <w:rPr>
                <w:rFonts w:hint="eastAsia" w:ascii="宋体" w:hAnsi="宋体" w:eastAsia="宋体" w:cs="宋体"/>
                <w:color w:val="auto"/>
                <w:sz w:val="21"/>
                <w:szCs w:val="21"/>
                <w:highlight w:val="none"/>
                <w:lang w:eastAsia="zh-CN"/>
              </w:rPr>
              <w:t>计收，成交供应商领取成交通知书时</w:t>
            </w:r>
            <w:r>
              <w:rPr>
                <w:rFonts w:hint="eastAsia" w:ascii="宋体" w:hAnsi="宋体" w:eastAsia="宋体" w:cs="宋体"/>
                <w:color w:val="auto"/>
                <w:sz w:val="21"/>
                <w:szCs w:val="21"/>
                <w:highlight w:val="none"/>
              </w:rPr>
              <w:t>向采购代理机构缴纳</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 w:hRule="atLeast"/>
          <w:jc w:val="center"/>
        </w:trPr>
        <w:tc>
          <w:tcPr>
            <w:tcW w:w="1531"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第42.1款</w:t>
            </w:r>
          </w:p>
        </w:tc>
        <w:tc>
          <w:tcPr>
            <w:tcW w:w="215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其他规定</w:t>
            </w:r>
          </w:p>
        </w:tc>
        <w:tc>
          <w:tcPr>
            <w:tcW w:w="5920" w:type="dxa"/>
            <w:vAlign w:val="center"/>
          </w:tcPr>
          <w:p>
            <w:pPr>
              <w:keepNext w:val="0"/>
              <w:keepLines w:val="0"/>
              <w:pageBreakBefore w:val="0"/>
              <w:kinsoku/>
              <w:wordWrap/>
              <w:overflowPunct/>
              <w:topLinePunct w:val="0"/>
              <w:bidi w:val="0"/>
              <w:adjustRightInd w:val="0"/>
              <w:snapToGrid w:val="0"/>
              <w:spacing w:line="360" w:lineRule="exact"/>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无</w:t>
            </w:r>
          </w:p>
        </w:tc>
      </w:tr>
    </w:tbl>
    <w:p>
      <w:pPr>
        <w:adjustRightInd w:val="0"/>
        <w:snapToGrid w:val="0"/>
        <w:spacing w:line="360" w:lineRule="auto"/>
        <w:rPr>
          <w:rFonts w:hint="eastAsia" w:ascii="宋体" w:hAnsi="宋体"/>
          <w:b/>
          <w:bCs/>
          <w:color w:val="auto"/>
          <w:sz w:val="24"/>
          <w:szCs w:val="24"/>
          <w:highlight w:val="none"/>
        </w:rPr>
        <w:sectPr>
          <w:footerReference r:id="rId11" w:type="first"/>
          <w:footerReference r:id="rId9" w:type="default"/>
          <w:footerReference r:id="rId10" w:type="even"/>
          <w:pgSz w:w="11906" w:h="16838"/>
          <w:pgMar w:top="1440" w:right="1077" w:bottom="1440" w:left="1077" w:header="851" w:footer="992" w:gutter="0"/>
          <w:pgNumType w:fmt="decimal" w:start="1"/>
          <w:cols w:space="708" w:num="1"/>
          <w:titlePg/>
          <w:docGrid w:type="lines" w:linePitch="312" w:charSpace="0"/>
        </w:sectPr>
      </w:pPr>
    </w:p>
    <w:p>
      <w:pPr>
        <w:adjustRightInd w:val="0"/>
        <w:snapToGrid w:val="0"/>
        <w:spacing w:line="360" w:lineRule="auto"/>
        <w:rPr>
          <w:rFonts w:ascii="宋体" w:hAnsi="宋体"/>
          <w:b/>
          <w:bCs/>
          <w:color w:val="auto"/>
          <w:sz w:val="24"/>
          <w:szCs w:val="24"/>
          <w:highlight w:val="none"/>
        </w:rPr>
      </w:pPr>
      <w:r>
        <w:rPr>
          <w:rFonts w:hint="eastAsia" w:ascii="宋体" w:hAnsi="宋体"/>
          <w:b/>
          <w:bCs/>
          <w:color w:val="auto"/>
          <w:sz w:val="24"/>
          <w:szCs w:val="24"/>
          <w:highlight w:val="none"/>
        </w:rPr>
        <w:t>附页1</w:t>
      </w:r>
    </w:p>
    <w:p>
      <w:pPr>
        <w:spacing w:line="360" w:lineRule="auto"/>
        <w:jc w:val="center"/>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政府采购履约担保函</w:t>
      </w:r>
    </w:p>
    <w:p>
      <w:pPr>
        <w:spacing w:line="360" w:lineRule="auto"/>
        <w:ind w:firstLine="7440" w:firstLineChars="3100"/>
        <w:rPr>
          <w:rFonts w:ascii="宋体" w:hAnsi="宋体" w:cs="宋体"/>
          <w:b/>
          <w:color w:val="auto"/>
          <w:kern w:val="0"/>
          <w:sz w:val="24"/>
          <w:szCs w:val="24"/>
          <w:highlight w:val="none"/>
        </w:rPr>
      </w:pPr>
      <w:r>
        <w:rPr>
          <w:rFonts w:hint="eastAsia" w:ascii="宋体" w:hAnsi="宋体" w:cs="宋体"/>
          <w:color w:val="auto"/>
          <w:kern w:val="0"/>
          <w:sz w:val="24"/>
          <w:szCs w:val="24"/>
          <w:highlight w:val="none"/>
        </w:rPr>
        <w:t>编号：</w:t>
      </w:r>
      <w:r>
        <w:rPr>
          <w:rFonts w:hint="eastAsia" w:ascii="宋体" w:hAnsi="宋体" w:cs="宋体"/>
          <w:color w:val="auto"/>
          <w:kern w:val="0"/>
          <w:sz w:val="24"/>
          <w:szCs w:val="24"/>
          <w:highlight w:val="none"/>
          <w:u w:val="single"/>
        </w:rPr>
        <w:t xml:space="preserve">              </w:t>
      </w:r>
    </w:p>
    <w:p>
      <w:pPr>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 xml:space="preserve">（采购人）： </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鉴于你方与</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（以下简称供应商）于</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日</w:t>
      </w:r>
      <w:r>
        <w:rPr>
          <w:rFonts w:hint="eastAsia" w:ascii="宋体" w:hAnsi="宋体" w:eastAsia="宋体" w:cs="宋体"/>
          <w:color w:val="auto"/>
          <w:kern w:val="0"/>
          <w:sz w:val="24"/>
          <w:szCs w:val="24"/>
          <w:highlight w:val="none"/>
          <w:lang w:eastAsia="zh-CN"/>
        </w:rPr>
        <w:t>签订</w:t>
      </w:r>
      <w:r>
        <w:rPr>
          <w:rFonts w:hint="eastAsia" w:ascii="宋体" w:hAnsi="宋体" w:cs="宋体"/>
          <w:color w:val="auto"/>
          <w:kern w:val="0"/>
          <w:sz w:val="24"/>
          <w:szCs w:val="24"/>
          <w:highlight w:val="none"/>
        </w:rPr>
        <w:t>编号为</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的《</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政府采购合同》（以下简称主合同），且依据该合同的约定，供应商应在</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日前向你方交纳履约保证金，且可以履约担保函的形式交纳履约保证金。应供应商的申请，我方以保证的方式向你方提供如下履约保证金担保：</w:t>
      </w:r>
    </w:p>
    <w:p>
      <w:pPr>
        <w:spacing w:line="360" w:lineRule="auto"/>
        <w:ind w:firstLine="480"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一、保证责任的情形及保证金额</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（一）在供应商出现下列情形之一时，我方承担保证责任：</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1．将</w:t>
      </w:r>
      <w:r>
        <w:rPr>
          <w:rFonts w:hint="eastAsia" w:ascii="宋体" w:hAnsi="宋体" w:cs="宋体"/>
          <w:color w:val="auto"/>
          <w:kern w:val="0"/>
          <w:sz w:val="24"/>
          <w:szCs w:val="24"/>
          <w:highlight w:val="none"/>
          <w:lang w:eastAsia="zh-CN"/>
        </w:rPr>
        <w:t>成交</w:t>
      </w:r>
      <w:r>
        <w:rPr>
          <w:rFonts w:hint="eastAsia" w:ascii="宋体" w:hAnsi="宋体" w:cs="宋体"/>
          <w:color w:val="auto"/>
          <w:kern w:val="0"/>
          <w:sz w:val="24"/>
          <w:szCs w:val="24"/>
          <w:highlight w:val="none"/>
        </w:rPr>
        <w:t>项目转让给他人，或者在</w:t>
      </w:r>
      <w:r>
        <w:rPr>
          <w:rFonts w:hint="eastAsia" w:ascii="宋体" w:hAnsi="宋体" w:eastAsia="宋体" w:cs="宋体"/>
          <w:color w:val="auto"/>
          <w:kern w:val="0"/>
          <w:sz w:val="24"/>
          <w:szCs w:val="24"/>
          <w:highlight w:val="none"/>
          <w:lang w:eastAsia="zh-CN"/>
        </w:rPr>
        <w:t>响应</w:t>
      </w:r>
      <w:r>
        <w:rPr>
          <w:rFonts w:hint="eastAsia" w:ascii="宋体" w:hAnsi="宋体" w:cs="宋体"/>
          <w:color w:val="auto"/>
          <w:kern w:val="0"/>
          <w:sz w:val="24"/>
          <w:szCs w:val="24"/>
          <w:highlight w:val="none"/>
        </w:rPr>
        <w:t>文件中未说明，且未经采购人同意，将</w:t>
      </w:r>
      <w:r>
        <w:rPr>
          <w:rFonts w:hint="eastAsia" w:ascii="宋体" w:hAnsi="宋体" w:cs="宋体"/>
          <w:color w:val="auto"/>
          <w:kern w:val="0"/>
          <w:sz w:val="24"/>
          <w:szCs w:val="24"/>
          <w:highlight w:val="none"/>
          <w:lang w:eastAsia="zh-CN"/>
        </w:rPr>
        <w:t>成交</w:t>
      </w:r>
      <w:r>
        <w:rPr>
          <w:rFonts w:hint="eastAsia" w:ascii="宋体" w:hAnsi="宋体" w:cs="宋体"/>
          <w:color w:val="auto"/>
          <w:kern w:val="0"/>
          <w:sz w:val="24"/>
          <w:szCs w:val="24"/>
          <w:highlight w:val="none"/>
        </w:rPr>
        <w:t>项目分包给他人的；</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2．主合同约定的应当缴纳履约保证金的情形: </w:t>
      </w:r>
    </w:p>
    <w:p>
      <w:pPr>
        <w:spacing w:line="360" w:lineRule="auto"/>
        <w:ind w:firstLine="480" w:firstLineChars="200"/>
        <w:rPr>
          <w:rFonts w:ascii="宋体" w:hAnsi="宋体" w:cs="宋体"/>
          <w:b/>
          <w:color w:val="auto"/>
          <w:kern w:val="0"/>
          <w:sz w:val="24"/>
          <w:szCs w:val="24"/>
          <w:highlight w:val="none"/>
        </w:rPr>
      </w:pPr>
      <w:r>
        <w:rPr>
          <w:rFonts w:hint="eastAsia" w:ascii="宋体" w:hAnsi="宋体" w:cs="宋体"/>
          <w:color w:val="auto"/>
          <w:kern w:val="0"/>
          <w:sz w:val="24"/>
          <w:szCs w:val="24"/>
          <w:highlight w:val="none"/>
        </w:rPr>
        <w:t xml:space="preserve">（1）未按主合同约定的质量、数量和期限供应货物/提供服务/完成工程的； </w:t>
      </w:r>
    </w:p>
    <w:p>
      <w:pPr>
        <w:spacing w:line="360" w:lineRule="auto"/>
        <w:ind w:firstLine="480" w:firstLineChars="200"/>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（二）我方的保证范围是主合同约定的合同价款总额的</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%数额为</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元（大写</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），币种为</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。（即主合同履约保证金金额）</w:t>
      </w:r>
    </w:p>
    <w:p>
      <w:pPr>
        <w:spacing w:line="360" w:lineRule="auto"/>
        <w:ind w:firstLine="480"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 xml:space="preserve">二、保证的方式及保证期间 </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我方保证的方式为：连带责任保证。 </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我方保证的期间为：自本合同生效之日起至供应商按照主合同约定的供货/完工期限届满后</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日内。</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如果供应商未按主合同约定向贵方供应货物/提供服务/完成工程的，由我方在保证金额内向你方支付上述款项。 </w:t>
      </w:r>
    </w:p>
    <w:p>
      <w:pPr>
        <w:spacing w:line="360" w:lineRule="auto"/>
        <w:ind w:firstLine="480"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三、承担保证责任的程序</w:t>
      </w:r>
    </w:p>
    <w:p>
      <w:pPr>
        <w:spacing w:line="360" w:lineRule="auto"/>
        <w:ind w:firstLine="480" w:firstLineChars="200"/>
        <w:rPr>
          <w:rFonts w:ascii="宋体" w:hAnsi="宋体" w:cs="宋体"/>
          <w:b/>
          <w:color w:val="auto"/>
          <w:kern w:val="0"/>
          <w:sz w:val="24"/>
          <w:szCs w:val="24"/>
          <w:highlight w:val="none"/>
        </w:rPr>
      </w:pPr>
      <w:r>
        <w:rPr>
          <w:rFonts w:hint="eastAsia" w:ascii="宋体" w:hAnsi="宋体" w:cs="宋体"/>
          <w:color w:val="auto"/>
          <w:kern w:val="0"/>
          <w:sz w:val="24"/>
          <w:szCs w:val="24"/>
          <w:highlight w:val="none"/>
        </w:rPr>
        <w:t>1．你方要求我方承担保证责任的，应在本保函保证期间内向我方发出书面索赔通知。索赔通知应写明要求索赔的金额，支付款项应到达的</w:t>
      </w:r>
      <w:r>
        <w:rPr>
          <w:rFonts w:hint="eastAsia" w:ascii="宋体" w:hAnsi="宋体" w:eastAsia="宋体" w:cs="宋体"/>
          <w:color w:val="auto"/>
          <w:kern w:val="0"/>
          <w:sz w:val="24"/>
          <w:szCs w:val="24"/>
          <w:highlight w:val="none"/>
          <w:lang w:eastAsia="zh-CN"/>
        </w:rPr>
        <w:t>账号</w:t>
      </w:r>
      <w:r>
        <w:rPr>
          <w:rFonts w:hint="eastAsia" w:ascii="宋体" w:hAnsi="宋体" w:cs="宋体"/>
          <w:color w:val="auto"/>
          <w:kern w:val="0"/>
          <w:sz w:val="24"/>
          <w:szCs w:val="24"/>
          <w:highlight w:val="none"/>
        </w:rPr>
        <w:t xml:space="preserve">。并附有证明供应商违约事实的证明材料。 </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如果你方与供应商因货物质量问题产生争议，你方还需同时提供</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部门出具的质量检测报告，或经诉讼（仲裁）程序裁决后的裁决书、调解书，本保证人即按照检测结果或裁决书、调解书决定是否承担保证责任。</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2．我方收到你方的书面索赔通知及相应证明材料，在</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工作日内进行核定后按照本保函的承诺承担保证责任。</w:t>
      </w:r>
    </w:p>
    <w:p>
      <w:pPr>
        <w:spacing w:line="360" w:lineRule="auto"/>
        <w:ind w:firstLine="480"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四、保证责任的终止</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2．我方按照本保函向你方履行了保证责任后，自我方向你方支付款项（支付款项从我方账户划出）之日起，保证责任即终止。</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3．按照法律法规的规定或出现应终止我方保证责任的其它情形的，我方在本保函项下的保证责任亦终止。</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360" w:lineRule="auto"/>
        <w:ind w:firstLine="480"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五、免责条款</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1．因你方违反主合同约定致使供应商不能履行义务的，我方不承担保证责任。</w:t>
      </w:r>
    </w:p>
    <w:p>
      <w:pPr>
        <w:spacing w:line="360" w:lineRule="auto"/>
        <w:ind w:firstLine="480" w:firstLineChars="200"/>
        <w:rPr>
          <w:rFonts w:ascii="宋体" w:hAnsi="宋体" w:cs="宋体"/>
          <w:b/>
          <w:color w:val="auto"/>
          <w:kern w:val="0"/>
          <w:sz w:val="24"/>
          <w:szCs w:val="24"/>
          <w:highlight w:val="none"/>
        </w:rPr>
      </w:pPr>
      <w:r>
        <w:rPr>
          <w:rFonts w:hint="eastAsia" w:ascii="宋体" w:hAnsi="宋体" w:cs="宋体"/>
          <w:color w:val="auto"/>
          <w:kern w:val="0"/>
          <w:sz w:val="24"/>
          <w:szCs w:val="24"/>
          <w:highlight w:val="none"/>
        </w:rPr>
        <w:t>2．依照法律法规的规定或你方与供应商的另行约定，全部或者部分免除供应商应缴纳的保证金义务的，我方亦免除相应的保证责任。</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3．因不可抗力造成供应商不能履行供货义务的，我方不承担保证责任。</w:t>
      </w:r>
    </w:p>
    <w:p>
      <w:pPr>
        <w:spacing w:line="360" w:lineRule="auto"/>
        <w:ind w:firstLine="480"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六、争议的解决</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因本保函发生的纠纷，由你我双方协商解决，协商不成的，通过诉讼程序解决，诉讼管辖地法院为</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法院。</w:t>
      </w:r>
    </w:p>
    <w:p>
      <w:pPr>
        <w:spacing w:line="360" w:lineRule="auto"/>
        <w:ind w:firstLine="480"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 xml:space="preserve">七、保函的生效 </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本保函自我方加盖公章之日起生效。 </w:t>
      </w:r>
    </w:p>
    <w:p>
      <w:pPr>
        <w:tabs>
          <w:tab w:val="left" w:pos="2850"/>
        </w:tabs>
        <w:adjustRightInd w:val="0"/>
        <w:snapToGrid w:val="0"/>
        <w:spacing w:line="360" w:lineRule="auto"/>
        <w:jc w:val="righ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w:t>
      </w:r>
      <w:r>
        <w:rPr>
          <w:rFonts w:ascii="宋体" w:hAnsi="宋体" w:cs="宋体"/>
          <w:color w:val="auto"/>
          <w:kern w:val="0"/>
          <w:sz w:val="24"/>
          <w:szCs w:val="24"/>
          <w:highlight w:val="none"/>
        </w:rPr>
        <w:tab/>
      </w:r>
      <w:r>
        <w:rPr>
          <w:rFonts w:hint="eastAsia" w:ascii="宋体" w:hAnsi="宋体" w:cs="宋体"/>
          <w:color w:val="auto"/>
          <w:kern w:val="0"/>
          <w:sz w:val="24"/>
          <w:szCs w:val="24"/>
          <w:highlight w:val="none"/>
        </w:rPr>
        <w:t xml:space="preserve">                </w:t>
      </w:r>
    </w:p>
    <w:p>
      <w:pPr>
        <w:tabs>
          <w:tab w:val="left" w:pos="2850"/>
        </w:tabs>
        <w:adjustRightInd w:val="0"/>
        <w:snapToGrid w:val="0"/>
        <w:spacing w:line="360" w:lineRule="auto"/>
        <w:ind w:right="480" w:firstLine="5520" w:firstLineChars="23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保证人：（公章） </w:t>
      </w:r>
    </w:p>
    <w:p>
      <w:pPr>
        <w:adjustRightInd w:val="0"/>
        <w:snapToGrid w:val="0"/>
        <w:spacing w:line="360" w:lineRule="auto"/>
        <w:rPr>
          <w:rFonts w:ascii="宋体" w:hAnsi="宋体" w:cs="宋体"/>
          <w:color w:val="auto"/>
          <w:kern w:val="0"/>
          <w:sz w:val="24"/>
          <w:szCs w:val="24"/>
          <w:highlight w:val="none"/>
        </w:rPr>
        <w:sectPr>
          <w:pgSz w:w="11906" w:h="16838"/>
          <w:pgMar w:top="1440" w:right="1077" w:bottom="1440" w:left="1077" w:header="851" w:footer="992" w:gutter="0"/>
          <w:pgNumType w:fmt="decimal"/>
          <w:cols w:space="708" w:num="1"/>
          <w:titlePg/>
          <w:docGrid w:type="lines" w:linePitch="312" w:charSpace="0"/>
        </w:sectPr>
      </w:pPr>
      <w:r>
        <w:rPr>
          <w:rFonts w:hint="eastAsia" w:ascii="宋体" w:hAnsi="宋体" w:cs="宋体"/>
          <w:color w:val="auto"/>
          <w:kern w:val="0"/>
          <w:sz w:val="24"/>
          <w:szCs w:val="24"/>
          <w:highlight w:val="non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 xml:space="preserve"> 年</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 xml:space="preserve"> 日</w:t>
      </w:r>
    </w:p>
    <w:p>
      <w:pPr>
        <w:adjustRightInd w:val="0"/>
        <w:snapToGrid w:val="0"/>
        <w:spacing w:line="360" w:lineRule="auto"/>
        <w:rPr>
          <w:rFonts w:ascii="宋体" w:hAnsi="宋体"/>
          <w:b/>
          <w:bCs/>
          <w:color w:val="auto"/>
          <w:sz w:val="24"/>
          <w:szCs w:val="24"/>
          <w:highlight w:val="none"/>
        </w:rPr>
      </w:pPr>
      <w:r>
        <w:rPr>
          <w:rFonts w:hint="eastAsia" w:ascii="宋体" w:hAnsi="宋体"/>
          <w:b/>
          <w:bCs/>
          <w:color w:val="auto"/>
          <w:sz w:val="24"/>
          <w:szCs w:val="24"/>
          <w:highlight w:val="none"/>
        </w:rPr>
        <w:t>附页2</w:t>
      </w:r>
    </w:p>
    <w:p>
      <w:pPr>
        <w:adjustRightInd w:val="0"/>
        <w:snapToGrid w:val="0"/>
        <w:spacing w:line="360" w:lineRule="auto"/>
        <w:ind w:right="26"/>
        <w:jc w:val="center"/>
        <w:rPr>
          <w:rFonts w:hint="eastAsia" w:ascii="宋体" w:hAnsi="宋体"/>
          <w:color w:val="auto"/>
          <w:sz w:val="24"/>
          <w:highlight w:val="none"/>
        </w:rPr>
      </w:pPr>
      <w:r>
        <w:rPr>
          <w:rFonts w:hint="eastAsia" w:ascii="宋体" w:hAnsi="宋体"/>
          <w:color w:val="auto"/>
          <w:sz w:val="24"/>
          <w:highlight w:val="none"/>
        </w:rPr>
        <w:t>政府采购代理服务收费标准</w:t>
      </w:r>
    </w:p>
    <w:p>
      <w:pPr>
        <w:spacing w:line="360" w:lineRule="auto"/>
        <w:ind w:firstLine="560" w:firstLineChars="200"/>
        <w:rPr>
          <w:rFonts w:hint="eastAsia" w:ascii="宋体" w:hAnsi="宋体"/>
          <w:color w:val="auto"/>
          <w:spacing w:val="20"/>
          <w:sz w:val="24"/>
          <w:highlight w:val="none"/>
        </w:rPr>
      </w:pPr>
      <w:r>
        <w:rPr>
          <w:rFonts w:hint="eastAsia" w:ascii="宋体" w:hAnsi="宋体"/>
          <w:color w:val="auto"/>
          <w:spacing w:val="20"/>
          <w:sz w:val="24"/>
          <w:highlight w:val="none"/>
        </w:rPr>
        <w:t>根据《国家发展改革委关于进一步放开建设项目专业服务价格的通知》（发改价格</w:t>
      </w:r>
      <w:r>
        <w:rPr>
          <w:rFonts w:hint="eastAsia" w:ascii="仿宋" w:hAnsi="仿宋" w:eastAsia="仿宋" w:cs="仿宋"/>
          <w:color w:val="auto"/>
          <w:spacing w:val="20"/>
          <w:sz w:val="24"/>
          <w:highlight w:val="none"/>
        </w:rPr>
        <w:t>〔</w:t>
      </w:r>
      <w:r>
        <w:rPr>
          <w:rFonts w:hint="eastAsia" w:ascii="宋体" w:hAnsi="宋体"/>
          <w:color w:val="auto"/>
          <w:spacing w:val="20"/>
          <w:sz w:val="24"/>
          <w:highlight w:val="none"/>
        </w:rPr>
        <w:t>2015</w:t>
      </w:r>
      <w:r>
        <w:rPr>
          <w:rFonts w:hint="eastAsia" w:ascii="仿宋" w:hAnsi="仿宋" w:eastAsia="仿宋" w:cs="仿宋"/>
          <w:color w:val="auto"/>
          <w:spacing w:val="20"/>
          <w:sz w:val="24"/>
          <w:highlight w:val="none"/>
        </w:rPr>
        <w:t>〕</w:t>
      </w:r>
      <w:r>
        <w:rPr>
          <w:rFonts w:hint="eastAsia" w:ascii="宋体" w:hAnsi="宋体"/>
          <w:color w:val="auto"/>
          <w:spacing w:val="20"/>
          <w:sz w:val="24"/>
          <w:highlight w:val="none"/>
        </w:rPr>
        <w:t>299号)及《国家发展改革委关于废止部分规章和规范性文件的决定》（2016年第31号令）的规定：</w:t>
      </w:r>
    </w:p>
    <w:p>
      <w:pPr>
        <w:spacing w:line="360" w:lineRule="auto"/>
        <w:ind w:firstLine="560" w:firstLineChars="200"/>
        <w:rPr>
          <w:rFonts w:hint="eastAsia" w:ascii="宋体" w:hAnsi="宋体"/>
          <w:color w:val="auto"/>
          <w:spacing w:val="20"/>
          <w:sz w:val="24"/>
          <w:highlight w:val="none"/>
        </w:rPr>
      </w:pPr>
      <w:r>
        <w:rPr>
          <w:rFonts w:hint="eastAsia" w:ascii="宋体" w:hAnsi="宋体"/>
          <w:color w:val="auto"/>
          <w:spacing w:val="20"/>
          <w:sz w:val="24"/>
          <w:highlight w:val="none"/>
        </w:rPr>
        <w:t>一、招标代理费实行市场调节价。</w:t>
      </w:r>
    </w:p>
    <w:p>
      <w:pPr>
        <w:spacing w:line="360" w:lineRule="auto"/>
        <w:ind w:firstLine="560" w:firstLineChars="200"/>
        <w:rPr>
          <w:rFonts w:hint="eastAsia" w:ascii="宋体" w:hAnsi="宋体"/>
          <w:color w:val="auto"/>
          <w:spacing w:val="20"/>
          <w:sz w:val="24"/>
          <w:highlight w:val="none"/>
        </w:rPr>
      </w:pPr>
      <w:r>
        <w:rPr>
          <w:rFonts w:hint="eastAsia" w:ascii="宋体" w:hAnsi="宋体"/>
          <w:color w:val="auto"/>
          <w:spacing w:val="20"/>
          <w:sz w:val="24"/>
          <w:highlight w:val="none"/>
        </w:rPr>
        <w:t>二、原招标代理费计收所执行的《国家计委关于印发&lt;招标代理服务收费管理暂行方法&gt;的通知》（计价格</w:t>
      </w:r>
      <w:r>
        <w:rPr>
          <w:rFonts w:hint="eastAsia" w:ascii="仿宋" w:hAnsi="仿宋" w:eastAsia="仿宋" w:cs="仿宋"/>
          <w:color w:val="auto"/>
          <w:spacing w:val="20"/>
          <w:sz w:val="24"/>
          <w:highlight w:val="none"/>
        </w:rPr>
        <w:t>〔</w:t>
      </w:r>
      <w:r>
        <w:rPr>
          <w:rFonts w:hint="eastAsia" w:ascii="宋体" w:hAnsi="宋体"/>
          <w:color w:val="auto"/>
          <w:spacing w:val="20"/>
          <w:sz w:val="24"/>
          <w:highlight w:val="none"/>
        </w:rPr>
        <w:t>2002</w:t>
      </w:r>
      <w:r>
        <w:rPr>
          <w:rFonts w:hint="eastAsia" w:ascii="仿宋" w:hAnsi="仿宋" w:eastAsia="仿宋" w:cs="仿宋"/>
          <w:color w:val="auto"/>
          <w:spacing w:val="20"/>
          <w:sz w:val="24"/>
          <w:highlight w:val="none"/>
        </w:rPr>
        <w:t>〕</w:t>
      </w:r>
      <w:r>
        <w:rPr>
          <w:rFonts w:hint="eastAsia" w:ascii="宋体" w:hAnsi="宋体"/>
          <w:color w:val="auto"/>
          <w:spacing w:val="20"/>
          <w:sz w:val="24"/>
          <w:highlight w:val="none"/>
        </w:rPr>
        <w:t>1980号）、《国家发展改革委办公厅关于招标代理服务收费有关问题的通知》（发改办价格</w:t>
      </w:r>
      <w:r>
        <w:rPr>
          <w:rFonts w:hint="eastAsia" w:ascii="仿宋" w:hAnsi="仿宋" w:eastAsia="仿宋" w:cs="仿宋"/>
          <w:color w:val="auto"/>
          <w:spacing w:val="20"/>
          <w:sz w:val="24"/>
          <w:highlight w:val="none"/>
        </w:rPr>
        <w:t>〔</w:t>
      </w:r>
      <w:r>
        <w:rPr>
          <w:rFonts w:hint="eastAsia" w:ascii="宋体" w:hAnsi="宋体"/>
          <w:color w:val="auto"/>
          <w:spacing w:val="20"/>
          <w:sz w:val="24"/>
          <w:highlight w:val="none"/>
        </w:rPr>
        <w:t>2003</w:t>
      </w:r>
      <w:r>
        <w:rPr>
          <w:rFonts w:hint="eastAsia" w:ascii="仿宋" w:hAnsi="仿宋" w:eastAsia="仿宋" w:cs="仿宋"/>
          <w:color w:val="auto"/>
          <w:spacing w:val="20"/>
          <w:sz w:val="24"/>
          <w:highlight w:val="none"/>
        </w:rPr>
        <w:t>〕</w:t>
      </w:r>
      <w:r>
        <w:rPr>
          <w:rFonts w:hint="eastAsia" w:ascii="宋体" w:hAnsi="宋体"/>
          <w:color w:val="auto"/>
          <w:spacing w:val="20"/>
          <w:sz w:val="24"/>
          <w:highlight w:val="none"/>
        </w:rPr>
        <w:t>857号）以及《国家发展改革委关于降低部分建设项目收费标准规范收费行为等有关问题的通知》（发改价格</w:t>
      </w:r>
      <w:r>
        <w:rPr>
          <w:rFonts w:hint="eastAsia" w:ascii="仿宋" w:hAnsi="仿宋" w:eastAsia="仿宋" w:cs="仿宋"/>
          <w:color w:val="auto"/>
          <w:spacing w:val="20"/>
          <w:sz w:val="24"/>
          <w:highlight w:val="none"/>
        </w:rPr>
        <w:t>〔</w:t>
      </w:r>
      <w:r>
        <w:rPr>
          <w:rFonts w:hint="eastAsia" w:ascii="宋体" w:hAnsi="宋体"/>
          <w:color w:val="auto"/>
          <w:spacing w:val="20"/>
          <w:sz w:val="24"/>
          <w:highlight w:val="none"/>
        </w:rPr>
        <w:t>2011</w:t>
      </w:r>
      <w:r>
        <w:rPr>
          <w:rFonts w:hint="eastAsia" w:ascii="仿宋" w:hAnsi="仿宋" w:eastAsia="仿宋" w:cs="仿宋"/>
          <w:color w:val="auto"/>
          <w:spacing w:val="20"/>
          <w:sz w:val="24"/>
          <w:highlight w:val="none"/>
        </w:rPr>
        <w:t>〕</w:t>
      </w:r>
      <w:r>
        <w:rPr>
          <w:rFonts w:hint="eastAsia" w:ascii="宋体" w:hAnsi="宋体"/>
          <w:color w:val="auto"/>
          <w:spacing w:val="20"/>
          <w:sz w:val="24"/>
          <w:highlight w:val="none"/>
        </w:rPr>
        <w:t>534号）已于2016年1月1日起废止。</w:t>
      </w:r>
    </w:p>
    <w:p>
      <w:pPr>
        <w:spacing w:line="360" w:lineRule="auto"/>
        <w:ind w:firstLine="560" w:firstLineChars="200"/>
        <w:rPr>
          <w:rFonts w:hint="eastAsia" w:ascii="宋体" w:hAnsi="宋体"/>
          <w:color w:val="auto"/>
          <w:spacing w:val="20"/>
          <w:sz w:val="24"/>
          <w:highlight w:val="none"/>
        </w:rPr>
      </w:pPr>
      <w:r>
        <w:rPr>
          <w:rFonts w:hint="eastAsia" w:ascii="宋体" w:hAnsi="宋体"/>
          <w:color w:val="auto"/>
          <w:spacing w:val="20"/>
          <w:sz w:val="24"/>
          <w:highlight w:val="none"/>
        </w:rPr>
        <w:t>三、项目的代理服务费以项目预算金额为基数，</w:t>
      </w:r>
      <w:r>
        <w:rPr>
          <w:rFonts w:hint="eastAsia" w:ascii="宋体" w:hAnsi="宋体" w:eastAsia="宋体" w:cs="宋体"/>
          <w:color w:val="auto"/>
          <w:spacing w:val="20"/>
          <w:sz w:val="24"/>
          <w:highlight w:val="none"/>
        </w:rPr>
        <w:t>按“明码标价，双方协商一致”的费率计收，收费低于人民币11000元的，按11000元计收。</w:t>
      </w:r>
    </w:p>
    <w:p>
      <w:pPr>
        <w:spacing w:line="360" w:lineRule="auto"/>
        <w:ind w:firstLine="560" w:firstLineChars="200"/>
        <w:rPr>
          <w:rFonts w:hint="eastAsia" w:ascii="宋体" w:hAnsi="宋体"/>
          <w:color w:val="auto"/>
          <w:spacing w:val="20"/>
          <w:sz w:val="24"/>
          <w:highlight w:val="none"/>
        </w:rPr>
      </w:pPr>
      <w:r>
        <w:rPr>
          <w:rFonts w:hint="eastAsia" w:ascii="宋体" w:hAnsi="宋体"/>
          <w:color w:val="auto"/>
          <w:spacing w:val="20"/>
          <w:sz w:val="24"/>
          <w:highlight w:val="none"/>
          <w:lang w:val="zh-CN"/>
        </w:rPr>
        <w:t>采购代理机构与采购人已商定代理服务费收取对象及收费标准的不按此表计算。</w:t>
      </w:r>
    </w:p>
    <w:p>
      <w:pPr>
        <w:adjustRightInd w:val="0"/>
        <w:snapToGrid w:val="0"/>
        <w:spacing w:line="360" w:lineRule="auto"/>
        <w:ind w:firstLine="1431" w:firstLineChars="596"/>
        <w:rPr>
          <w:rFonts w:ascii="宋体" w:hAnsi="宋体"/>
          <w:b/>
          <w:bCs/>
          <w:color w:val="auto"/>
          <w:sz w:val="24"/>
          <w:szCs w:val="24"/>
          <w:highlight w:val="none"/>
        </w:rPr>
      </w:pPr>
    </w:p>
    <w:p>
      <w:pPr>
        <w:adjustRightInd w:val="0"/>
        <w:snapToGrid w:val="0"/>
        <w:spacing w:line="360" w:lineRule="auto"/>
        <w:rPr>
          <w:rFonts w:ascii="宋体" w:hAnsi="宋体"/>
          <w:b/>
          <w:color w:val="auto"/>
          <w:sz w:val="24"/>
          <w:szCs w:val="24"/>
          <w:highlight w:val="none"/>
        </w:rPr>
      </w:pPr>
    </w:p>
    <w:p>
      <w:pPr>
        <w:pStyle w:val="25"/>
        <w:pageBreakBefore w:val="0"/>
        <w:kinsoku/>
        <w:wordWrap/>
        <w:overflowPunct/>
        <w:topLinePunct w:val="0"/>
        <w:autoSpaceDE/>
        <w:autoSpaceDN/>
        <w:bidi w:val="0"/>
        <w:adjustRightInd/>
        <w:snapToGrid/>
        <w:spacing w:before="0" w:beforeLines="0" w:after="0" w:afterLines="0" w:line="440" w:lineRule="exact"/>
        <w:jc w:val="left"/>
        <w:textAlignment w:val="auto"/>
        <w:rPr>
          <w:color w:val="auto"/>
          <w:sz w:val="24"/>
          <w:szCs w:val="24"/>
          <w:highlight w:val="none"/>
        </w:rPr>
      </w:pPr>
      <w:r>
        <w:rPr>
          <w:color w:val="auto"/>
          <w:highlight w:val="none"/>
        </w:rPr>
        <w:br w:type="page"/>
      </w:r>
      <w:bookmarkStart w:id="4" w:name="_Toc8197"/>
      <w:r>
        <w:rPr>
          <w:rFonts w:hint="eastAsia"/>
          <w:color w:val="auto"/>
          <w:sz w:val="24"/>
          <w:szCs w:val="24"/>
          <w:highlight w:val="none"/>
        </w:rPr>
        <w:t>谈判须知正文</w:t>
      </w:r>
      <w:bookmarkEnd w:id="4"/>
    </w:p>
    <w:p>
      <w:pPr>
        <w:pStyle w:val="3"/>
        <w:pageBreakBefore w:val="0"/>
        <w:kinsoku/>
        <w:wordWrap/>
        <w:overflowPunct/>
        <w:topLinePunct w:val="0"/>
        <w:autoSpaceDE/>
        <w:autoSpaceDN/>
        <w:bidi w:val="0"/>
        <w:adjustRightInd/>
        <w:snapToGrid/>
        <w:spacing w:before="0" w:beforeLines="0" w:after="0" w:afterLines="0" w:line="440" w:lineRule="exact"/>
        <w:textAlignment w:val="auto"/>
        <w:rPr>
          <w:rFonts w:ascii="宋体" w:hAnsi="宋体"/>
          <w:color w:val="auto"/>
          <w:sz w:val="24"/>
          <w:szCs w:val="24"/>
          <w:highlight w:val="none"/>
        </w:rPr>
      </w:pPr>
      <w:bookmarkStart w:id="5" w:name="_Toc10896"/>
      <w:r>
        <w:rPr>
          <w:rFonts w:hint="eastAsia" w:ascii="宋体" w:hAnsi="宋体"/>
          <w:color w:val="auto"/>
          <w:sz w:val="24"/>
          <w:szCs w:val="24"/>
          <w:highlight w:val="none"/>
        </w:rPr>
        <w:t>一、说明</w:t>
      </w:r>
      <w:bookmarkEnd w:id="5"/>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1.适用范围</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1.1 本谈判文件仅适用于谈判须知前附表(以下简称</w:t>
      </w:r>
      <w:r>
        <w:rPr>
          <w:rFonts w:hint="eastAsia" w:ascii="宋体" w:hAnsi="宋体"/>
          <w:b/>
          <w:color w:val="auto"/>
          <w:sz w:val="24"/>
          <w:szCs w:val="24"/>
          <w:highlight w:val="none"/>
        </w:rPr>
        <w:t>谈判须知前附表)</w:t>
      </w:r>
      <w:r>
        <w:rPr>
          <w:rFonts w:hint="eastAsia" w:ascii="宋体" w:hAnsi="宋体"/>
          <w:color w:val="auto"/>
          <w:sz w:val="24"/>
          <w:szCs w:val="24"/>
          <w:highlight w:val="none"/>
        </w:rPr>
        <w:t>中所叙述的采购项目。</w:t>
      </w:r>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2.定义</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b/>
          <w:color w:val="auto"/>
          <w:sz w:val="24"/>
          <w:szCs w:val="24"/>
          <w:highlight w:val="none"/>
        </w:rPr>
      </w:pPr>
      <w:r>
        <w:rPr>
          <w:rFonts w:hint="eastAsia" w:ascii="宋体" w:hAnsi="宋体"/>
          <w:color w:val="auto"/>
          <w:sz w:val="24"/>
          <w:szCs w:val="24"/>
          <w:highlight w:val="none"/>
        </w:rPr>
        <w:t>2.1 “采购人”是指依法进行政府采购的国家机关、事业单位、团体组织。本次政府采购的采购人名称、地址、电话、联系人见</w:t>
      </w:r>
      <w:r>
        <w:rPr>
          <w:rFonts w:hint="eastAsia" w:ascii="宋体" w:hAnsi="宋体"/>
          <w:b/>
          <w:color w:val="auto"/>
          <w:sz w:val="24"/>
          <w:szCs w:val="24"/>
          <w:highlight w:val="none"/>
        </w:rPr>
        <w:t>谈判须知前附表</w:t>
      </w:r>
      <w:r>
        <w:rPr>
          <w:rFonts w:hint="eastAsia" w:ascii="宋体" w:hAnsi="宋体"/>
          <w:color w:val="auto"/>
          <w:sz w:val="24"/>
          <w:szCs w:val="24"/>
          <w:highlight w:val="none"/>
        </w:rPr>
        <w:t>。</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b/>
          <w:color w:val="auto"/>
          <w:sz w:val="24"/>
          <w:szCs w:val="24"/>
          <w:highlight w:val="none"/>
        </w:rPr>
      </w:pPr>
      <w:r>
        <w:rPr>
          <w:rFonts w:hint="eastAsia" w:ascii="宋体" w:hAnsi="宋体"/>
          <w:color w:val="auto"/>
          <w:sz w:val="24"/>
          <w:szCs w:val="24"/>
          <w:highlight w:val="none"/>
        </w:rPr>
        <w:t>2.2 “采购代理机构”是指接受采购人委托，代理采购项目的集中采购机构和其他采购代理机构。本次政府采购的采购代理机构名称、地址、电话、联系人见</w:t>
      </w:r>
      <w:r>
        <w:rPr>
          <w:rFonts w:hint="eastAsia" w:ascii="宋体" w:hAnsi="宋体"/>
          <w:b/>
          <w:color w:val="auto"/>
          <w:sz w:val="24"/>
          <w:szCs w:val="24"/>
          <w:highlight w:val="none"/>
        </w:rPr>
        <w:t>谈判须知前附表。</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bCs/>
          <w:color w:val="auto"/>
          <w:kern w:val="36"/>
          <w:sz w:val="24"/>
          <w:szCs w:val="24"/>
          <w:highlight w:val="none"/>
        </w:rPr>
      </w:pPr>
      <w:r>
        <w:rPr>
          <w:rFonts w:hint="eastAsia" w:ascii="宋体" w:hAnsi="宋体"/>
          <w:color w:val="auto"/>
          <w:sz w:val="24"/>
          <w:szCs w:val="24"/>
          <w:highlight w:val="none"/>
        </w:rPr>
        <w:t>2.3 “供应商”是指响应谈判文件要求、参加竞争性谈判采购的法人、其他组织或者自然人。本次政府采购项目</w:t>
      </w:r>
      <w:r>
        <w:rPr>
          <w:rFonts w:hint="eastAsia" w:ascii="宋体" w:hAnsi="宋体" w:cs="宋体"/>
          <w:color w:val="auto"/>
          <w:kern w:val="0"/>
          <w:sz w:val="24"/>
          <w:szCs w:val="24"/>
          <w:highlight w:val="none"/>
        </w:rPr>
        <w:t>邀请</w:t>
      </w:r>
      <w:r>
        <w:rPr>
          <w:rFonts w:hint="eastAsia" w:ascii="宋体" w:hAnsi="宋体"/>
          <w:color w:val="auto"/>
          <w:sz w:val="24"/>
          <w:szCs w:val="24"/>
          <w:highlight w:val="none"/>
        </w:rPr>
        <w:t>的</w:t>
      </w:r>
      <w:r>
        <w:rPr>
          <w:rFonts w:hint="eastAsia" w:ascii="宋体" w:hAnsi="宋体" w:cs="宋体"/>
          <w:color w:val="auto"/>
          <w:kern w:val="0"/>
          <w:sz w:val="24"/>
          <w:szCs w:val="24"/>
          <w:highlight w:val="none"/>
        </w:rPr>
        <w:t>供应商通过</w:t>
      </w:r>
      <w:r>
        <w:rPr>
          <w:rFonts w:hint="eastAsia" w:ascii="宋体" w:hAnsi="宋体"/>
          <w:b/>
          <w:color w:val="auto"/>
          <w:sz w:val="24"/>
          <w:szCs w:val="24"/>
          <w:highlight w:val="none"/>
        </w:rPr>
        <w:t>谈判须知前附表</w:t>
      </w:r>
      <w:r>
        <w:rPr>
          <w:rFonts w:hint="eastAsia" w:ascii="宋体" w:hAnsi="宋体"/>
          <w:color w:val="auto"/>
          <w:sz w:val="24"/>
          <w:szCs w:val="24"/>
          <w:highlight w:val="none"/>
        </w:rPr>
        <w:t>所述方式</w:t>
      </w:r>
      <w:r>
        <w:rPr>
          <w:rFonts w:hint="eastAsia" w:ascii="宋体" w:hAnsi="宋体" w:cs="宋体"/>
          <w:color w:val="auto"/>
          <w:kern w:val="0"/>
          <w:sz w:val="24"/>
          <w:szCs w:val="24"/>
          <w:highlight w:val="none"/>
        </w:rPr>
        <w:t>，经</w:t>
      </w:r>
      <w:r>
        <w:rPr>
          <w:rFonts w:hint="eastAsia" w:ascii="宋体" w:hAnsi="宋体" w:cs="宋体"/>
          <w:bCs/>
          <w:color w:val="auto"/>
          <w:kern w:val="36"/>
          <w:sz w:val="24"/>
          <w:szCs w:val="24"/>
          <w:highlight w:val="none"/>
        </w:rPr>
        <w:t>谈判小组确定。</w:t>
      </w:r>
      <w:r>
        <w:rPr>
          <w:rFonts w:hint="eastAsia" w:ascii="宋体" w:hAnsi="宋体"/>
          <w:color w:val="auto"/>
          <w:sz w:val="24"/>
          <w:szCs w:val="24"/>
          <w:highlight w:val="none"/>
        </w:rPr>
        <w:t>据此，采购人或采购代理机构</w:t>
      </w:r>
      <w:r>
        <w:rPr>
          <w:rFonts w:hint="eastAsia" w:ascii="宋体" w:hAnsi="宋体" w:eastAsia="宋体"/>
          <w:color w:val="auto"/>
          <w:sz w:val="24"/>
          <w:szCs w:val="24"/>
          <w:highlight w:val="none"/>
          <w:lang w:eastAsia="zh-CN"/>
        </w:rPr>
        <w:t>已</w:t>
      </w:r>
      <w:r>
        <w:rPr>
          <w:rFonts w:hint="eastAsia" w:ascii="宋体" w:hAnsi="宋体" w:cs="宋体"/>
          <w:bCs/>
          <w:color w:val="auto"/>
          <w:kern w:val="36"/>
          <w:sz w:val="24"/>
          <w:szCs w:val="24"/>
          <w:highlight w:val="none"/>
        </w:rPr>
        <w:t>向其</w:t>
      </w:r>
      <w:r>
        <w:rPr>
          <w:rFonts w:hint="eastAsia" w:ascii="宋体" w:hAnsi="宋体"/>
          <w:color w:val="auto"/>
          <w:sz w:val="24"/>
          <w:szCs w:val="24"/>
          <w:highlight w:val="none"/>
        </w:rPr>
        <w:t>发出谈判通知，供应商应持</w:t>
      </w:r>
      <w:r>
        <w:rPr>
          <w:rFonts w:hint="eastAsia" w:ascii="宋体" w:hAnsi="宋体"/>
          <w:b/>
          <w:color w:val="auto"/>
          <w:sz w:val="24"/>
          <w:szCs w:val="24"/>
          <w:highlight w:val="none"/>
        </w:rPr>
        <w:t>谈判须知前附表</w:t>
      </w:r>
      <w:r>
        <w:rPr>
          <w:rFonts w:hint="eastAsia" w:ascii="宋体" w:hAnsi="宋体"/>
          <w:color w:val="auto"/>
          <w:sz w:val="24"/>
          <w:szCs w:val="24"/>
          <w:highlight w:val="none"/>
        </w:rPr>
        <w:t>规定的资料领取或购买谈判文件。</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olor w:val="auto"/>
          <w:sz w:val="24"/>
          <w:szCs w:val="24"/>
          <w:highlight w:val="none"/>
        </w:rPr>
        <w:t>2.4 “谈判小组”是指</w:t>
      </w:r>
      <w:r>
        <w:rPr>
          <w:rFonts w:hint="eastAsia" w:ascii="宋体" w:hAnsi="宋体" w:cs="宋体"/>
          <w:color w:val="auto"/>
          <w:kern w:val="0"/>
          <w:sz w:val="24"/>
          <w:szCs w:val="24"/>
          <w:highlight w:val="none"/>
        </w:rPr>
        <w:t>依据《中华人民共和国政府采购法》和财政部</w:t>
      </w:r>
      <w:r>
        <w:rPr>
          <w:rFonts w:ascii="宋体" w:hAnsi="宋体" w:cs="宋体"/>
          <w:bCs/>
          <w:color w:val="auto"/>
          <w:kern w:val="36"/>
          <w:sz w:val="24"/>
          <w:szCs w:val="24"/>
          <w:highlight w:val="none"/>
        </w:rPr>
        <w:t>《政府采购非招标采购方式管理办法》</w:t>
      </w:r>
      <w:r>
        <w:rPr>
          <w:rFonts w:hint="eastAsia" w:ascii="宋体" w:hAnsi="宋体" w:cs="宋体"/>
          <w:bCs/>
          <w:color w:val="auto"/>
          <w:kern w:val="36"/>
          <w:sz w:val="24"/>
          <w:szCs w:val="24"/>
          <w:highlight w:val="none"/>
        </w:rPr>
        <w:t>有关规定组建，依法依规</w:t>
      </w:r>
      <w:r>
        <w:rPr>
          <w:rFonts w:hint="eastAsia" w:ascii="宋体" w:hAnsi="宋体" w:cs="宋体"/>
          <w:color w:val="auto"/>
          <w:kern w:val="0"/>
          <w:sz w:val="24"/>
          <w:szCs w:val="24"/>
          <w:highlight w:val="none"/>
        </w:rPr>
        <w:t>履行其职责和义务的机构。</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2.5 “货物”是指各种形态和种类的物品，包括原材料、燃料、设备、产品等，详见《政府采购品目分类目录》(</w:t>
      </w:r>
      <w:r>
        <w:rPr>
          <w:rStyle w:val="36"/>
          <w:rFonts w:ascii="宋体" w:hAnsi="宋体"/>
          <w:b w:val="0"/>
          <w:color w:val="auto"/>
          <w:sz w:val="24"/>
          <w:szCs w:val="24"/>
          <w:highlight w:val="none"/>
        </w:rPr>
        <w:t>财库</w:t>
      </w:r>
      <w:r>
        <w:rPr>
          <w:rStyle w:val="36"/>
          <w:rFonts w:hint="eastAsia" w:ascii="仿宋" w:hAnsi="仿宋" w:eastAsia="仿宋" w:cs="仿宋"/>
          <w:b w:val="0"/>
          <w:color w:val="auto"/>
          <w:sz w:val="24"/>
          <w:szCs w:val="24"/>
          <w:highlight w:val="none"/>
        </w:rPr>
        <w:t>〔</w:t>
      </w:r>
      <w:r>
        <w:rPr>
          <w:rStyle w:val="36"/>
          <w:rFonts w:ascii="宋体" w:hAnsi="宋体"/>
          <w:b w:val="0"/>
          <w:color w:val="auto"/>
          <w:sz w:val="24"/>
          <w:szCs w:val="24"/>
          <w:highlight w:val="none"/>
        </w:rPr>
        <w:t>2013</w:t>
      </w:r>
      <w:r>
        <w:rPr>
          <w:rStyle w:val="36"/>
          <w:rFonts w:hint="eastAsia" w:ascii="仿宋" w:hAnsi="仿宋" w:eastAsia="仿宋" w:cs="仿宋"/>
          <w:b w:val="0"/>
          <w:color w:val="auto"/>
          <w:sz w:val="24"/>
          <w:szCs w:val="24"/>
          <w:highlight w:val="none"/>
        </w:rPr>
        <w:t>〕</w:t>
      </w:r>
      <w:r>
        <w:rPr>
          <w:rStyle w:val="36"/>
          <w:rFonts w:ascii="宋体" w:hAnsi="宋体"/>
          <w:b w:val="0"/>
          <w:color w:val="auto"/>
          <w:sz w:val="24"/>
          <w:szCs w:val="24"/>
          <w:highlight w:val="none"/>
        </w:rPr>
        <w:t>189号</w:t>
      </w:r>
      <w:r>
        <w:rPr>
          <w:rFonts w:hint="eastAsia" w:ascii="宋体" w:hAnsi="宋体"/>
          <w:color w:val="auto"/>
          <w:sz w:val="24"/>
          <w:szCs w:val="24"/>
          <w:highlight w:val="none"/>
        </w:rPr>
        <w:t>)。</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2.6 “工程”是指建设工程，包括建筑物和构筑物的新建、改建、扩建、装修、拆除、修缮等，详见《政府采购品目分类目录》(</w:t>
      </w:r>
      <w:r>
        <w:rPr>
          <w:rStyle w:val="36"/>
          <w:rFonts w:ascii="宋体" w:hAnsi="宋体"/>
          <w:b w:val="0"/>
          <w:color w:val="auto"/>
          <w:sz w:val="24"/>
          <w:szCs w:val="24"/>
          <w:highlight w:val="none"/>
        </w:rPr>
        <w:t>财库</w:t>
      </w:r>
      <w:r>
        <w:rPr>
          <w:rStyle w:val="36"/>
          <w:rFonts w:hint="eastAsia" w:ascii="仿宋" w:hAnsi="仿宋" w:eastAsia="仿宋" w:cs="仿宋"/>
          <w:b w:val="0"/>
          <w:color w:val="auto"/>
          <w:sz w:val="24"/>
          <w:szCs w:val="24"/>
          <w:highlight w:val="none"/>
        </w:rPr>
        <w:t>〔</w:t>
      </w:r>
      <w:r>
        <w:rPr>
          <w:rStyle w:val="36"/>
          <w:rFonts w:ascii="宋体" w:hAnsi="宋体"/>
          <w:b w:val="0"/>
          <w:color w:val="auto"/>
          <w:sz w:val="24"/>
          <w:szCs w:val="24"/>
          <w:highlight w:val="none"/>
        </w:rPr>
        <w:t>2013</w:t>
      </w:r>
      <w:r>
        <w:rPr>
          <w:rStyle w:val="36"/>
          <w:rFonts w:hint="eastAsia" w:ascii="仿宋" w:hAnsi="仿宋" w:eastAsia="仿宋" w:cs="仿宋"/>
          <w:b w:val="0"/>
          <w:color w:val="auto"/>
          <w:sz w:val="24"/>
          <w:szCs w:val="24"/>
          <w:highlight w:val="none"/>
        </w:rPr>
        <w:t>〕</w:t>
      </w:r>
      <w:r>
        <w:rPr>
          <w:rStyle w:val="36"/>
          <w:rFonts w:ascii="宋体" w:hAnsi="宋体"/>
          <w:b w:val="0"/>
          <w:color w:val="auto"/>
          <w:sz w:val="24"/>
          <w:szCs w:val="24"/>
          <w:highlight w:val="none"/>
        </w:rPr>
        <w:t>189号</w:t>
      </w:r>
      <w:r>
        <w:rPr>
          <w:rFonts w:hint="eastAsia" w:ascii="宋体" w:hAnsi="宋体"/>
          <w:color w:val="auto"/>
          <w:sz w:val="24"/>
          <w:szCs w:val="24"/>
          <w:highlight w:val="none"/>
        </w:rPr>
        <w:t>)。</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2.7 “服务”是指除货物和工程以外的其他政府采购对象，详见《政府采购品目分类目录》(</w:t>
      </w:r>
      <w:r>
        <w:rPr>
          <w:rStyle w:val="36"/>
          <w:rFonts w:ascii="宋体" w:hAnsi="宋体"/>
          <w:b w:val="0"/>
          <w:color w:val="auto"/>
          <w:sz w:val="24"/>
          <w:szCs w:val="24"/>
          <w:highlight w:val="none"/>
        </w:rPr>
        <w:t>财库</w:t>
      </w:r>
      <w:r>
        <w:rPr>
          <w:rStyle w:val="36"/>
          <w:rFonts w:hint="eastAsia" w:ascii="仿宋" w:hAnsi="仿宋" w:eastAsia="仿宋" w:cs="仿宋"/>
          <w:b w:val="0"/>
          <w:color w:val="auto"/>
          <w:sz w:val="24"/>
          <w:szCs w:val="24"/>
          <w:highlight w:val="none"/>
        </w:rPr>
        <w:t>〔</w:t>
      </w:r>
      <w:r>
        <w:rPr>
          <w:rStyle w:val="36"/>
          <w:rFonts w:ascii="宋体" w:hAnsi="宋体"/>
          <w:b w:val="0"/>
          <w:color w:val="auto"/>
          <w:sz w:val="24"/>
          <w:szCs w:val="24"/>
          <w:highlight w:val="none"/>
        </w:rPr>
        <w:t>2013</w:t>
      </w:r>
      <w:r>
        <w:rPr>
          <w:rStyle w:val="36"/>
          <w:rFonts w:hint="eastAsia" w:ascii="仿宋" w:hAnsi="仿宋" w:eastAsia="仿宋" w:cs="仿宋"/>
          <w:b w:val="0"/>
          <w:color w:val="auto"/>
          <w:sz w:val="24"/>
          <w:szCs w:val="24"/>
          <w:highlight w:val="none"/>
        </w:rPr>
        <w:t>〕</w:t>
      </w:r>
      <w:r>
        <w:rPr>
          <w:rStyle w:val="36"/>
          <w:rFonts w:ascii="宋体" w:hAnsi="宋体"/>
          <w:b w:val="0"/>
          <w:color w:val="auto"/>
          <w:sz w:val="24"/>
          <w:szCs w:val="24"/>
          <w:highlight w:val="none"/>
        </w:rPr>
        <w:t>189号</w:t>
      </w:r>
      <w:r>
        <w:rPr>
          <w:rFonts w:hint="eastAsia" w:ascii="宋体" w:hAnsi="宋体"/>
          <w:color w:val="auto"/>
          <w:sz w:val="24"/>
          <w:szCs w:val="24"/>
          <w:highlight w:val="none"/>
        </w:rPr>
        <w:t>)。</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2.8 “节能产品”或者“环保产品”是指财政部发布的《节能产品政府采购清单》或者《环境标志产品政府采购清单》的产品。</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2.9 “进口产品”是指通过中国海关报关验放进入中国境内且产自关境外的产品，详见《</w:t>
      </w:r>
      <w:r>
        <w:rPr>
          <w:rFonts w:ascii="宋体" w:hAnsi="宋体" w:cs="宋体"/>
          <w:color w:val="auto"/>
          <w:kern w:val="0"/>
          <w:sz w:val="24"/>
          <w:szCs w:val="24"/>
          <w:highlight w:val="none"/>
        </w:rPr>
        <w:t>关于政府采购进口产品管理有关问题的通知</w:t>
      </w:r>
      <w:r>
        <w:rPr>
          <w:rFonts w:hint="eastAsia" w:ascii="宋体" w:hAnsi="宋体" w:cs="宋体"/>
          <w:color w:val="auto"/>
          <w:kern w:val="0"/>
          <w:sz w:val="24"/>
          <w:szCs w:val="24"/>
          <w:highlight w:val="none"/>
        </w:rPr>
        <w:t>》(财库</w:t>
      </w:r>
      <w:r>
        <w:rPr>
          <w:rFonts w:hint="eastAsia" w:ascii="仿宋" w:hAnsi="仿宋" w:eastAsia="仿宋" w:cs="仿宋"/>
          <w:color w:val="auto"/>
          <w:kern w:val="0"/>
          <w:sz w:val="24"/>
          <w:szCs w:val="24"/>
          <w:highlight w:val="none"/>
        </w:rPr>
        <w:t>〔</w:t>
      </w:r>
      <w:r>
        <w:rPr>
          <w:rFonts w:hint="eastAsia" w:ascii="宋体" w:hAnsi="宋体" w:cs="宋体"/>
          <w:color w:val="auto"/>
          <w:kern w:val="0"/>
          <w:sz w:val="24"/>
          <w:szCs w:val="24"/>
          <w:highlight w:val="none"/>
        </w:rPr>
        <w:t>2007</w:t>
      </w:r>
      <w:r>
        <w:rPr>
          <w:rFonts w:hint="eastAsia" w:ascii="仿宋" w:hAnsi="仿宋" w:eastAsia="仿宋" w:cs="仿宋"/>
          <w:color w:val="auto"/>
          <w:kern w:val="0"/>
          <w:sz w:val="24"/>
          <w:szCs w:val="24"/>
          <w:highlight w:val="none"/>
        </w:rPr>
        <w:t>〕</w:t>
      </w:r>
      <w:r>
        <w:rPr>
          <w:rFonts w:hint="eastAsia" w:ascii="宋体" w:hAnsi="宋体" w:cs="宋体"/>
          <w:color w:val="auto"/>
          <w:kern w:val="0"/>
          <w:sz w:val="24"/>
          <w:szCs w:val="24"/>
          <w:highlight w:val="none"/>
        </w:rPr>
        <w:t>119号)。</w:t>
      </w:r>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3.供应商的资格要求</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3.1 供应商应当符合</w:t>
      </w:r>
      <w:r>
        <w:rPr>
          <w:rFonts w:hint="eastAsia" w:ascii="宋体" w:hAnsi="宋体"/>
          <w:b/>
          <w:color w:val="auto"/>
          <w:sz w:val="24"/>
          <w:szCs w:val="24"/>
          <w:highlight w:val="none"/>
        </w:rPr>
        <w:t>谈判须知前附表</w:t>
      </w:r>
      <w:r>
        <w:rPr>
          <w:rFonts w:hint="eastAsia" w:ascii="宋体" w:hAnsi="宋体"/>
          <w:color w:val="auto"/>
          <w:sz w:val="24"/>
          <w:szCs w:val="24"/>
          <w:highlight w:val="none"/>
        </w:rPr>
        <w:t>中规定的下列资格条件要求；</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（l）</w:t>
      </w:r>
      <w:r>
        <w:rPr>
          <w:rFonts w:hint="eastAsia" w:ascii="宋体" w:hAnsi="宋体" w:cs="宋体"/>
          <w:color w:val="auto"/>
          <w:kern w:val="0"/>
          <w:sz w:val="24"/>
          <w:szCs w:val="24"/>
          <w:highlight w:val="none"/>
          <w:lang w:val="zh-CN"/>
        </w:rPr>
        <w:t>《政府采购法》第二十二条规定的</w:t>
      </w:r>
      <w:r>
        <w:rPr>
          <w:rFonts w:hint="eastAsia" w:ascii="宋体" w:hAnsi="宋体"/>
          <w:color w:val="auto"/>
          <w:sz w:val="24"/>
          <w:szCs w:val="24"/>
          <w:highlight w:val="none"/>
        </w:rPr>
        <w:t>供应商基本资格条件</w:t>
      </w:r>
      <w:r>
        <w:rPr>
          <w:rFonts w:hint="eastAsia" w:ascii="宋体" w:hAnsi="宋体" w:cs="宋体"/>
          <w:color w:val="auto"/>
          <w:kern w:val="0"/>
          <w:sz w:val="24"/>
          <w:szCs w:val="24"/>
          <w:highlight w:val="none"/>
          <w:lang w:val="zh-CN"/>
        </w:rPr>
        <w:t>；</w:t>
      </w:r>
    </w:p>
    <w:p>
      <w:pPr>
        <w:pageBreakBefore w:val="0"/>
        <w:numPr>
          <w:ilvl w:val="0"/>
          <w:numId w:val="1"/>
        </w:numPr>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谈判文件</w:t>
      </w:r>
      <w:r>
        <w:rPr>
          <w:rFonts w:hint="eastAsia" w:ascii="宋体" w:hAnsi="宋体" w:cs="宋体"/>
          <w:color w:val="auto"/>
          <w:kern w:val="0"/>
          <w:sz w:val="24"/>
          <w:szCs w:val="24"/>
          <w:highlight w:val="none"/>
          <w:lang w:val="zh-CN"/>
        </w:rPr>
        <w:t>规定的</w:t>
      </w:r>
      <w:r>
        <w:rPr>
          <w:rFonts w:hint="eastAsia" w:ascii="宋体" w:hAnsi="宋体"/>
          <w:color w:val="auto"/>
          <w:sz w:val="24"/>
          <w:szCs w:val="24"/>
          <w:highlight w:val="none"/>
        </w:rPr>
        <w:t>供应商特定资格条件；</w:t>
      </w:r>
    </w:p>
    <w:p>
      <w:pPr>
        <w:pageBreakBefore w:val="0"/>
        <w:numPr>
          <w:ilvl w:val="0"/>
          <w:numId w:val="1"/>
        </w:numPr>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szCs w:val="24"/>
          <w:highlight w:val="none"/>
        </w:rPr>
      </w:pPr>
      <w:r>
        <w:rPr>
          <w:rFonts w:hint="eastAsia" w:ascii="宋体" w:hAnsi="宋体"/>
          <w:color w:val="auto"/>
          <w:sz w:val="24"/>
          <w:highlight w:val="none"/>
        </w:rPr>
        <w:t>未被列入“信用中国”网站、中国政府采购网渠道信用记录失信被执行人、税收违法</w:t>
      </w:r>
      <w:r>
        <w:rPr>
          <w:rFonts w:hint="eastAsia" w:ascii="宋体" w:hAnsi="宋体" w:eastAsia="宋体"/>
          <w:color w:val="auto"/>
          <w:sz w:val="24"/>
          <w:highlight w:val="none"/>
          <w:lang w:eastAsia="zh-CN"/>
        </w:rPr>
        <w:t>黑名单</w:t>
      </w:r>
      <w:r>
        <w:rPr>
          <w:rFonts w:hint="eastAsia" w:ascii="宋体" w:hAnsi="宋体"/>
          <w:color w:val="auto"/>
          <w:sz w:val="24"/>
          <w:highlight w:val="none"/>
        </w:rPr>
        <w:t>、政府采购严重违法失信记录名单。</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3.2 供应商不得存在下列情形之一：</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）与其他供应商的法定代表人（或者负责人）为同一人，或者与其他供应商存在直接控股、管理关系。</w:t>
      </w:r>
    </w:p>
    <w:p>
      <w:pPr>
        <w:pageBreakBefore w:val="0"/>
        <w:kinsoku/>
        <w:wordWrap/>
        <w:overflowPunct/>
        <w:topLinePunct w:val="0"/>
        <w:autoSpaceDE/>
        <w:autoSpaceDN/>
        <w:bidi w:val="0"/>
        <w:adjustRightInd/>
        <w:snapToGrid/>
        <w:spacing w:line="440" w:lineRule="exact"/>
        <w:ind w:firstLine="480" w:firstLineChars="200"/>
        <w:textAlignment w:val="auto"/>
        <w:rPr>
          <w:color w:val="auto"/>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）供应商因违法经营受到刑事处罚或者责令停产停业、吊销许可证或者执照、较大数额罚款等行政处罚。</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3.3</w:t>
      </w:r>
      <w:r>
        <w:rPr>
          <w:rFonts w:hint="eastAsia" w:ascii="宋体" w:hAnsi="宋体"/>
          <w:color w:val="auto"/>
          <w:sz w:val="24"/>
          <w:szCs w:val="24"/>
          <w:highlight w:val="none"/>
        </w:rPr>
        <w:t>在政府采购活动中，采购人员及相关人员与供应商有利害关系的，必须回避。供应商认为采购人员及相关人员与其他供应商有利害关系的，可以申请其回避。</w:t>
      </w:r>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 xml:space="preserve">4.参与谈判的费用 </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4.1 无论谈判的结果如何，供应商应自行承担所有与竞争性谈判采购活动有关的全部费用。</w:t>
      </w:r>
    </w:p>
    <w:p>
      <w:pPr>
        <w:pStyle w:val="18"/>
        <w:pageBreakBefore w:val="0"/>
        <w:kinsoku/>
        <w:wordWrap/>
        <w:overflowPunct/>
        <w:topLinePunct w:val="0"/>
        <w:autoSpaceDE/>
        <w:autoSpaceDN/>
        <w:bidi w:val="0"/>
        <w:adjustRightInd/>
        <w:snapToGrid/>
        <w:spacing w:line="440" w:lineRule="exact"/>
        <w:textAlignment w:val="auto"/>
        <w:rPr>
          <w:rFonts w:hAnsi="宋体"/>
          <w:b/>
          <w:bCs/>
          <w:color w:val="auto"/>
          <w:sz w:val="24"/>
          <w:szCs w:val="24"/>
          <w:highlight w:val="none"/>
        </w:rPr>
      </w:pPr>
      <w:r>
        <w:rPr>
          <w:rFonts w:hint="eastAsia" w:hAnsi="宋体"/>
          <w:b/>
          <w:color w:val="auto"/>
          <w:sz w:val="24"/>
          <w:szCs w:val="24"/>
          <w:highlight w:val="none"/>
        </w:rPr>
        <w:t>5．</w:t>
      </w:r>
      <w:r>
        <w:rPr>
          <w:rFonts w:hint="eastAsia" w:hAnsi="宋体"/>
          <w:b/>
          <w:bCs/>
          <w:color w:val="auto"/>
          <w:sz w:val="24"/>
          <w:szCs w:val="24"/>
          <w:highlight w:val="none"/>
        </w:rPr>
        <w:t>授权委托</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5.1供应商代表为供应商法定代表人的，应持有法定代表人身份证明。供应商代表不是供应商法定代表人的，应持有法定代表人授权书，并附法定代表人身份证明。</w:t>
      </w:r>
    </w:p>
    <w:p>
      <w:pPr>
        <w:pStyle w:val="18"/>
        <w:pageBreakBefore w:val="0"/>
        <w:kinsoku/>
        <w:wordWrap/>
        <w:overflowPunct/>
        <w:topLinePunct w:val="0"/>
        <w:autoSpaceDE/>
        <w:autoSpaceDN/>
        <w:bidi w:val="0"/>
        <w:adjustRightInd/>
        <w:snapToGrid/>
        <w:spacing w:line="440" w:lineRule="exact"/>
        <w:textAlignment w:val="auto"/>
        <w:rPr>
          <w:rFonts w:hAnsi="宋体"/>
          <w:b/>
          <w:color w:val="auto"/>
          <w:sz w:val="24"/>
          <w:szCs w:val="24"/>
          <w:highlight w:val="none"/>
        </w:rPr>
      </w:pPr>
      <w:r>
        <w:rPr>
          <w:rFonts w:hint="eastAsia" w:hAnsi="宋体"/>
          <w:b/>
          <w:color w:val="auto"/>
          <w:sz w:val="24"/>
          <w:szCs w:val="24"/>
          <w:highlight w:val="none"/>
        </w:rPr>
        <w:t>6．联合体形式</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6.1除</w:t>
      </w:r>
      <w:r>
        <w:rPr>
          <w:rFonts w:hint="eastAsia" w:hAnsi="宋体"/>
          <w:b/>
          <w:color w:val="auto"/>
          <w:sz w:val="24"/>
          <w:szCs w:val="24"/>
          <w:highlight w:val="none"/>
        </w:rPr>
        <w:t>谈判须知前附表</w:t>
      </w:r>
      <w:r>
        <w:rPr>
          <w:rFonts w:hint="eastAsia" w:hAnsi="宋体"/>
          <w:color w:val="auto"/>
          <w:sz w:val="24"/>
          <w:szCs w:val="24"/>
          <w:highlight w:val="none"/>
        </w:rPr>
        <w:t>中另有规定，本次谈判采购不接受为联合体形式的供应商。</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6.2供应商为联合体形式的，除应符合本章第3条规定外，还应遵守以下规定：</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（l）联合体各方必须签订联合体协议书，明确联合体牵头人和各方的义务、工作、合同工作量比例；</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（2）联合体各方均应当符合本章第3.1</w:t>
      </w:r>
      <w:r>
        <w:rPr>
          <w:rFonts w:hint="eastAsia" w:ascii="宋体" w:hAnsi="宋体" w:cs="宋体"/>
          <w:color w:val="auto"/>
          <w:kern w:val="0"/>
          <w:sz w:val="24"/>
          <w:szCs w:val="24"/>
          <w:highlight w:val="none"/>
          <w:lang w:val="zh-CN"/>
        </w:rPr>
        <w:t>款</w:t>
      </w:r>
      <w:r>
        <w:rPr>
          <w:rFonts w:hint="eastAsia" w:ascii="宋体" w:hAnsi="宋体"/>
          <w:color w:val="auto"/>
          <w:sz w:val="24"/>
          <w:szCs w:val="24"/>
          <w:highlight w:val="none"/>
        </w:rPr>
        <w:t>规定的供应商基本资格条件；</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（3）除</w:t>
      </w:r>
      <w:r>
        <w:rPr>
          <w:rFonts w:hint="eastAsia" w:ascii="宋体" w:hAnsi="宋体"/>
          <w:b/>
          <w:color w:val="auto"/>
          <w:sz w:val="24"/>
          <w:szCs w:val="24"/>
          <w:highlight w:val="none"/>
        </w:rPr>
        <w:t>谈判须知前附表</w:t>
      </w:r>
      <w:r>
        <w:rPr>
          <w:rFonts w:hint="eastAsia" w:ascii="宋体" w:hAnsi="宋体"/>
          <w:color w:val="auto"/>
          <w:sz w:val="24"/>
          <w:szCs w:val="24"/>
          <w:highlight w:val="none"/>
        </w:rPr>
        <w:t>中另有规定，联合体各方中至少有一方应当符合本章第3.1</w:t>
      </w:r>
      <w:r>
        <w:rPr>
          <w:rFonts w:hint="eastAsia" w:ascii="宋体" w:hAnsi="宋体" w:cs="宋体"/>
          <w:color w:val="auto"/>
          <w:kern w:val="0"/>
          <w:sz w:val="24"/>
          <w:szCs w:val="24"/>
          <w:highlight w:val="none"/>
          <w:lang w:val="zh-CN"/>
        </w:rPr>
        <w:t>款</w:t>
      </w:r>
      <w:r>
        <w:rPr>
          <w:rFonts w:hint="eastAsia" w:ascii="宋体" w:hAnsi="宋体"/>
          <w:color w:val="auto"/>
          <w:sz w:val="24"/>
          <w:szCs w:val="24"/>
          <w:highlight w:val="none"/>
        </w:rPr>
        <w:t>规定的供应商特定资格条件；</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s="宋体"/>
          <w:color w:val="auto"/>
          <w:kern w:val="0"/>
          <w:sz w:val="24"/>
          <w:szCs w:val="24"/>
          <w:highlight w:val="none"/>
          <w:lang w:val="zh-CN"/>
        </w:rPr>
      </w:pPr>
      <w:r>
        <w:rPr>
          <w:rFonts w:hint="eastAsia" w:ascii="宋体" w:hAnsi="宋体"/>
          <w:color w:val="auto"/>
          <w:sz w:val="24"/>
          <w:szCs w:val="24"/>
          <w:highlight w:val="none"/>
        </w:rPr>
        <w:t>（4）</w:t>
      </w:r>
      <w:r>
        <w:rPr>
          <w:rFonts w:hint="eastAsia" w:ascii="宋体" w:hAnsi="宋体" w:cs="宋体"/>
          <w:color w:val="auto"/>
          <w:kern w:val="0"/>
          <w:sz w:val="24"/>
          <w:szCs w:val="24"/>
          <w:highlight w:val="none"/>
          <w:lang w:val="zh-CN"/>
        </w:rPr>
        <w:t>联合体各方不得再单独或与其他供应商组成新的联合体参加同一项目的采购活动。</w:t>
      </w:r>
    </w:p>
    <w:p>
      <w:pPr>
        <w:pageBreakBefore w:val="0"/>
        <w:kinsoku/>
        <w:wordWrap/>
        <w:overflowPunct/>
        <w:topLinePunct w:val="0"/>
        <w:autoSpaceDE/>
        <w:autoSpaceDN/>
        <w:bidi w:val="0"/>
        <w:adjustRightInd/>
        <w:snapToGrid/>
        <w:spacing w:line="440" w:lineRule="exact"/>
        <w:textAlignment w:val="auto"/>
        <w:rPr>
          <w:rFonts w:hint="eastAsia" w:ascii="宋体" w:hAnsi="宋体" w:eastAsia="宋体"/>
          <w:b/>
          <w:color w:val="auto"/>
          <w:sz w:val="24"/>
          <w:szCs w:val="24"/>
          <w:highlight w:val="none"/>
          <w:lang w:eastAsia="zh-CN"/>
        </w:rPr>
      </w:pPr>
      <w:r>
        <w:rPr>
          <w:rFonts w:hint="eastAsia" w:ascii="宋体" w:hAnsi="宋体"/>
          <w:b/>
          <w:color w:val="auto"/>
          <w:sz w:val="24"/>
          <w:szCs w:val="24"/>
          <w:highlight w:val="none"/>
        </w:rPr>
        <w:t>7.现场</w:t>
      </w:r>
      <w:r>
        <w:rPr>
          <w:rFonts w:hint="eastAsia" w:ascii="宋体" w:hAnsi="宋体" w:eastAsia="宋体"/>
          <w:b/>
          <w:color w:val="auto"/>
          <w:sz w:val="24"/>
          <w:szCs w:val="24"/>
          <w:highlight w:val="none"/>
          <w:lang w:eastAsia="zh-CN"/>
        </w:rPr>
        <w:t>考察</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7.1供应商应按</w:t>
      </w:r>
      <w:r>
        <w:rPr>
          <w:rFonts w:hint="eastAsia" w:ascii="宋体" w:hAnsi="宋体"/>
          <w:b/>
          <w:color w:val="auto"/>
          <w:sz w:val="24"/>
          <w:szCs w:val="24"/>
          <w:highlight w:val="none"/>
        </w:rPr>
        <w:t>谈判须知前附表</w:t>
      </w:r>
      <w:r>
        <w:rPr>
          <w:rFonts w:hint="eastAsia" w:ascii="宋体" w:hAnsi="宋体"/>
          <w:color w:val="auto"/>
          <w:sz w:val="24"/>
          <w:szCs w:val="24"/>
          <w:highlight w:val="none"/>
        </w:rPr>
        <w:t>中规定对采购项目现场和周围环境的现场考察。</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7.2</w:t>
      </w:r>
      <w:r>
        <w:rPr>
          <w:rFonts w:hint="eastAsia" w:ascii="宋体" w:hAnsi="宋体" w:eastAsia="宋体"/>
          <w:color w:val="auto"/>
          <w:sz w:val="24"/>
          <w:szCs w:val="24"/>
          <w:highlight w:val="none"/>
          <w:lang w:eastAsia="zh-CN"/>
        </w:rPr>
        <w:t>考察</w:t>
      </w:r>
      <w:r>
        <w:rPr>
          <w:rFonts w:hint="eastAsia" w:ascii="宋体" w:hAnsi="宋体"/>
          <w:color w:val="auto"/>
          <w:sz w:val="24"/>
          <w:szCs w:val="24"/>
          <w:highlight w:val="none"/>
        </w:rPr>
        <w:t>现场的费用由供应商自己承担，</w:t>
      </w:r>
      <w:r>
        <w:rPr>
          <w:rFonts w:hint="eastAsia" w:ascii="宋体" w:hAnsi="宋体" w:eastAsia="宋体"/>
          <w:color w:val="auto"/>
          <w:sz w:val="24"/>
          <w:szCs w:val="24"/>
          <w:highlight w:val="none"/>
          <w:lang w:eastAsia="zh-CN"/>
        </w:rPr>
        <w:t>考察</w:t>
      </w:r>
      <w:r>
        <w:rPr>
          <w:rFonts w:hint="eastAsia" w:ascii="宋体" w:hAnsi="宋体"/>
          <w:color w:val="auto"/>
          <w:sz w:val="24"/>
          <w:szCs w:val="24"/>
          <w:highlight w:val="none"/>
        </w:rPr>
        <w:t>期间所发生的人身伤害及财产损失由供应商自己负责。</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b/>
          <w:color w:val="auto"/>
          <w:sz w:val="24"/>
          <w:szCs w:val="24"/>
          <w:highlight w:val="none"/>
        </w:rPr>
      </w:pPr>
      <w:r>
        <w:rPr>
          <w:rFonts w:hint="eastAsia" w:ascii="宋体" w:hAnsi="宋体"/>
          <w:color w:val="auto"/>
          <w:sz w:val="24"/>
          <w:szCs w:val="24"/>
          <w:highlight w:val="none"/>
        </w:rPr>
        <w:t>7.3采购人不对供应商据此而做出的推论、理解和结论负责。一旦成交，供应商不得以任何借口，而提出额外补偿，或延长合同期限的要求。</w:t>
      </w:r>
    </w:p>
    <w:p>
      <w:pPr>
        <w:pageBreakBefore w:val="0"/>
        <w:kinsoku/>
        <w:wordWrap/>
        <w:overflowPunct/>
        <w:topLinePunct w:val="0"/>
        <w:autoSpaceDE/>
        <w:autoSpaceDN/>
        <w:bidi w:val="0"/>
        <w:adjustRightInd/>
        <w:snapToGrid/>
        <w:spacing w:line="440" w:lineRule="exact"/>
        <w:jc w:val="left"/>
        <w:textAlignment w:val="auto"/>
        <w:rPr>
          <w:rFonts w:ascii="宋体" w:hAnsi="宋体"/>
          <w:b/>
          <w:color w:val="auto"/>
          <w:sz w:val="24"/>
          <w:szCs w:val="24"/>
          <w:highlight w:val="none"/>
        </w:rPr>
      </w:pPr>
      <w:r>
        <w:rPr>
          <w:rFonts w:hint="eastAsia" w:ascii="宋体" w:hAnsi="宋体"/>
          <w:b/>
          <w:color w:val="auto"/>
          <w:sz w:val="24"/>
          <w:szCs w:val="24"/>
          <w:highlight w:val="none"/>
        </w:rPr>
        <w:t>8.采购进口产品</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s="宋体"/>
          <w:color w:val="auto"/>
          <w:kern w:val="0"/>
          <w:sz w:val="24"/>
          <w:szCs w:val="24"/>
          <w:highlight w:val="none"/>
        </w:rPr>
      </w:pPr>
      <w:r>
        <w:rPr>
          <w:rFonts w:hint="eastAsia" w:ascii="宋体" w:hAnsi="宋体"/>
          <w:color w:val="auto"/>
          <w:sz w:val="24"/>
          <w:szCs w:val="24"/>
          <w:highlight w:val="none"/>
        </w:rPr>
        <w:t>8.1除</w:t>
      </w:r>
      <w:r>
        <w:rPr>
          <w:rFonts w:hint="eastAsia" w:ascii="宋体" w:hAnsi="宋体"/>
          <w:b/>
          <w:color w:val="auto"/>
          <w:sz w:val="24"/>
          <w:szCs w:val="24"/>
          <w:highlight w:val="none"/>
        </w:rPr>
        <w:t>谈判文件前附表</w:t>
      </w:r>
      <w:r>
        <w:rPr>
          <w:rFonts w:hint="eastAsia" w:ascii="宋体" w:hAnsi="宋体"/>
          <w:color w:val="auto"/>
          <w:sz w:val="24"/>
          <w:szCs w:val="24"/>
          <w:highlight w:val="none"/>
        </w:rPr>
        <w:t>另有规定外，本项目</w:t>
      </w:r>
      <w:r>
        <w:rPr>
          <w:rFonts w:hint="eastAsia" w:ascii="宋体" w:hAnsi="宋体" w:cs="宋体"/>
          <w:color w:val="auto"/>
          <w:kern w:val="0"/>
          <w:sz w:val="24"/>
          <w:szCs w:val="24"/>
          <w:highlight w:val="none"/>
        </w:rPr>
        <w:t>拒绝进口产品参加</w:t>
      </w:r>
      <w:r>
        <w:rPr>
          <w:rFonts w:hint="eastAsia" w:ascii="宋体" w:hAnsi="宋体"/>
          <w:color w:val="auto"/>
          <w:sz w:val="24"/>
          <w:szCs w:val="24"/>
          <w:highlight w:val="none"/>
        </w:rPr>
        <w:t>竞争性谈判采购活动</w:t>
      </w:r>
      <w:r>
        <w:rPr>
          <w:rFonts w:hint="eastAsia" w:ascii="宋体" w:hAnsi="宋体" w:cs="宋体"/>
          <w:color w:val="auto"/>
          <w:kern w:val="0"/>
          <w:sz w:val="24"/>
          <w:szCs w:val="24"/>
          <w:highlight w:val="none"/>
        </w:rPr>
        <w:t>。</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8.2</w:t>
      </w:r>
      <w:r>
        <w:rPr>
          <w:rFonts w:hint="eastAsia" w:ascii="宋体" w:hAnsi="宋体"/>
          <w:color w:val="auto"/>
          <w:sz w:val="24"/>
          <w:szCs w:val="24"/>
          <w:highlight w:val="none"/>
        </w:rPr>
        <w:t>本章第8.1</w:t>
      </w:r>
      <w:r>
        <w:rPr>
          <w:rFonts w:hint="eastAsia" w:ascii="宋体" w:hAnsi="宋体" w:cs="宋体"/>
          <w:color w:val="auto"/>
          <w:kern w:val="0"/>
          <w:sz w:val="24"/>
          <w:szCs w:val="24"/>
          <w:highlight w:val="none"/>
          <w:lang w:val="zh-CN"/>
        </w:rPr>
        <w:t>款</w:t>
      </w:r>
      <w:r>
        <w:rPr>
          <w:rFonts w:hint="eastAsia" w:ascii="宋体" w:hAnsi="宋体"/>
          <w:color w:val="auto"/>
          <w:sz w:val="24"/>
          <w:szCs w:val="24"/>
          <w:highlight w:val="none"/>
        </w:rPr>
        <w:t>规定</w:t>
      </w:r>
      <w:r>
        <w:rPr>
          <w:rFonts w:ascii="宋体" w:hAnsi="宋体" w:cs="宋体"/>
          <w:color w:val="auto"/>
          <w:kern w:val="0"/>
          <w:sz w:val="24"/>
          <w:szCs w:val="24"/>
          <w:highlight w:val="none"/>
        </w:rPr>
        <w:t>同意购买进口产品的</w:t>
      </w:r>
      <w:r>
        <w:rPr>
          <w:rFonts w:hint="eastAsia" w:ascii="宋体" w:hAnsi="宋体" w:cs="宋体"/>
          <w:color w:val="auto"/>
          <w:kern w:val="0"/>
          <w:sz w:val="24"/>
          <w:szCs w:val="24"/>
          <w:highlight w:val="none"/>
        </w:rPr>
        <w:t>，</w:t>
      </w:r>
      <w:r>
        <w:rPr>
          <w:rFonts w:hint="eastAsia" w:ascii="宋体" w:hAnsi="宋体"/>
          <w:color w:val="auto"/>
          <w:sz w:val="24"/>
          <w:szCs w:val="24"/>
          <w:highlight w:val="none"/>
        </w:rPr>
        <w:t>本项目</w:t>
      </w:r>
      <w:r>
        <w:rPr>
          <w:rFonts w:hint="eastAsia" w:ascii="宋体" w:hAnsi="宋体" w:cs="宋体"/>
          <w:color w:val="auto"/>
          <w:kern w:val="0"/>
          <w:sz w:val="24"/>
          <w:szCs w:val="24"/>
          <w:highlight w:val="none"/>
          <w:lang w:val="zh-CN"/>
        </w:rPr>
        <w:t>采购活动</w:t>
      </w:r>
      <w:r>
        <w:rPr>
          <w:rFonts w:hint="eastAsia" w:ascii="宋体" w:hAnsi="宋体" w:cs="宋体"/>
          <w:color w:val="auto"/>
          <w:kern w:val="0"/>
          <w:sz w:val="24"/>
          <w:szCs w:val="24"/>
          <w:highlight w:val="none"/>
        </w:rPr>
        <w:t>不</w:t>
      </w:r>
      <w:r>
        <w:rPr>
          <w:rFonts w:ascii="宋体" w:hAnsi="宋体" w:cs="宋体"/>
          <w:color w:val="auto"/>
          <w:kern w:val="0"/>
          <w:sz w:val="24"/>
          <w:szCs w:val="24"/>
          <w:highlight w:val="none"/>
        </w:rPr>
        <w:t>限制满足</w:t>
      </w:r>
      <w:r>
        <w:rPr>
          <w:rFonts w:hint="eastAsia" w:ascii="宋体" w:hAnsi="宋体"/>
          <w:color w:val="auto"/>
          <w:sz w:val="24"/>
          <w:szCs w:val="24"/>
          <w:highlight w:val="none"/>
        </w:rPr>
        <w:t>谈判文件要求</w:t>
      </w:r>
      <w:r>
        <w:rPr>
          <w:rFonts w:ascii="宋体" w:hAnsi="宋体" w:cs="宋体"/>
          <w:color w:val="auto"/>
          <w:kern w:val="0"/>
          <w:sz w:val="24"/>
          <w:szCs w:val="24"/>
          <w:highlight w:val="none"/>
        </w:rPr>
        <w:t>的国内产品参与</w:t>
      </w:r>
      <w:r>
        <w:rPr>
          <w:rFonts w:hint="eastAsia" w:ascii="宋体" w:hAnsi="宋体"/>
          <w:color w:val="auto"/>
          <w:sz w:val="24"/>
          <w:szCs w:val="24"/>
          <w:highlight w:val="none"/>
        </w:rPr>
        <w:t>竞争性谈判</w:t>
      </w:r>
      <w:r>
        <w:rPr>
          <w:rFonts w:ascii="宋体" w:hAnsi="宋体" w:cs="宋体"/>
          <w:color w:val="auto"/>
          <w:kern w:val="0"/>
          <w:sz w:val="24"/>
          <w:szCs w:val="24"/>
          <w:highlight w:val="none"/>
        </w:rPr>
        <w:t>。</w:t>
      </w:r>
    </w:p>
    <w:p>
      <w:pPr>
        <w:pageBreakBefore w:val="0"/>
        <w:kinsoku/>
        <w:wordWrap/>
        <w:overflowPunct/>
        <w:topLinePunct w:val="0"/>
        <w:autoSpaceDE/>
        <w:autoSpaceDN/>
        <w:bidi w:val="0"/>
        <w:adjustRightInd/>
        <w:snapToGrid/>
        <w:spacing w:line="440" w:lineRule="exact"/>
        <w:jc w:val="left"/>
        <w:textAlignment w:val="auto"/>
        <w:rPr>
          <w:rFonts w:ascii="宋体" w:hAnsi="宋体"/>
          <w:b/>
          <w:color w:val="auto"/>
          <w:sz w:val="24"/>
          <w:szCs w:val="24"/>
          <w:highlight w:val="none"/>
        </w:rPr>
      </w:pPr>
      <w:r>
        <w:rPr>
          <w:rFonts w:hint="eastAsia" w:ascii="宋体" w:hAnsi="宋体"/>
          <w:b/>
          <w:bCs/>
          <w:color w:val="auto"/>
          <w:sz w:val="24"/>
          <w:szCs w:val="24"/>
          <w:highlight w:val="none"/>
        </w:rPr>
        <w:t>9.</w:t>
      </w:r>
      <w:r>
        <w:rPr>
          <w:rFonts w:hint="eastAsia" w:ascii="宋体" w:hAnsi="宋体"/>
          <w:b/>
          <w:color w:val="auto"/>
          <w:sz w:val="24"/>
          <w:szCs w:val="24"/>
          <w:highlight w:val="none"/>
        </w:rPr>
        <w:t xml:space="preserve"> 政府采购政策支持</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9.1</w:t>
      </w:r>
      <w:r>
        <w:rPr>
          <w:rFonts w:hint="eastAsia" w:hAnsi="宋体" w:cs="宋体"/>
          <w:color w:val="auto"/>
          <w:sz w:val="24"/>
          <w:szCs w:val="24"/>
          <w:highlight w:val="none"/>
        </w:rPr>
        <w:t>对列入财政部、国家发展改革委发布的《节能产品政府采购清单》且属于应当“强制采购的节能产品”，按照规定实行强制采购。实行政府采购强制采购的节能产品见</w:t>
      </w:r>
      <w:r>
        <w:rPr>
          <w:rFonts w:hint="eastAsia" w:hAnsi="宋体"/>
          <w:b/>
          <w:color w:val="auto"/>
          <w:sz w:val="24"/>
          <w:szCs w:val="24"/>
          <w:highlight w:val="none"/>
        </w:rPr>
        <w:t>谈判须知前附表</w:t>
      </w:r>
      <w:r>
        <w:rPr>
          <w:rFonts w:hint="eastAsia" w:hAnsi="宋体"/>
          <w:color w:val="auto"/>
          <w:sz w:val="24"/>
          <w:szCs w:val="24"/>
          <w:highlight w:val="none"/>
        </w:rPr>
        <w:t>。</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9.2</w:t>
      </w:r>
      <w:r>
        <w:rPr>
          <w:rFonts w:hint="eastAsia" w:hAnsi="宋体" w:cs="宋体"/>
          <w:color w:val="auto"/>
          <w:sz w:val="24"/>
          <w:szCs w:val="24"/>
          <w:highlight w:val="none"/>
        </w:rPr>
        <w:t>对列入财政部、国家发展改革委发布的《节能产品政府采购清单》的“非强制采购节能产品”，财政部、环境保护部发布的《环境标志产品政府采购清单》的“环境标志产品”，以及中小企业，实行优先采购，按照省级以上财政部门有关政策规定，评审时进行价格扣除。实行政府采购优先采购的优惠率见</w:t>
      </w:r>
      <w:r>
        <w:rPr>
          <w:rFonts w:hint="eastAsia" w:hAnsi="宋体" w:cs="宋体"/>
          <w:b/>
          <w:color w:val="auto"/>
          <w:sz w:val="24"/>
          <w:szCs w:val="24"/>
          <w:highlight w:val="none"/>
        </w:rPr>
        <w:t>谈判须知前附表。</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9.3产品同时属于“非强制采购节能产品”、“环境标志产品”的，评审时只有其中一项能享受优先待遇(供应商自行选择，并在报价文件中并填报相关信息及数据)；中小企业，可以与同时属于“非强制采购节能产品”、“环境标志产品”中的一项重复计算。</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9.4同一项目中部分产品属于优先采购政策的，评审时只对该部分产品的报价实行价格扣除（按该部分产品的报价占总报价的百分比调整）。</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9.5符合本章第9.1</w:t>
      </w:r>
      <w:r>
        <w:rPr>
          <w:rFonts w:hint="eastAsia" w:ascii="宋体" w:hAnsi="宋体" w:cs="宋体"/>
          <w:color w:val="auto"/>
          <w:kern w:val="0"/>
          <w:sz w:val="24"/>
          <w:szCs w:val="24"/>
          <w:highlight w:val="none"/>
          <w:lang w:val="zh-CN"/>
        </w:rPr>
        <w:t>款、</w:t>
      </w:r>
      <w:r>
        <w:rPr>
          <w:rFonts w:hint="eastAsia" w:ascii="宋体" w:hAnsi="宋体"/>
          <w:color w:val="auto"/>
          <w:sz w:val="24"/>
          <w:szCs w:val="24"/>
          <w:highlight w:val="none"/>
        </w:rPr>
        <w:t>第9.2</w:t>
      </w:r>
      <w:r>
        <w:rPr>
          <w:rFonts w:hint="eastAsia" w:ascii="宋体" w:hAnsi="宋体" w:cs="宋体"/>
          <w:color w:val="auto"/>
          <w:kern w:val="0"/>
          <w:sz w:val="24"/>
          <w:szCs w:val="24"/>
          <w:highlight w:val="none"/>
          <w:lang w:val="zh-CN"/>
        </w:rPr>
        <w:t>款</w:t>
      </w:r>
      <w:r>
        <w:rPr>
          <w:rFonts w:hint="eastAsia" w:ascii="宋体" w:hAnsi="宋体"/>
          <w:color w:val="auto"/>
          <w:sz w:val="24"/>
          <w:szCs w:val="24"/>
          <w:highlight w:val="none"/>
        </w:rPr>
        <w:t>规定的，应提供相关证明资料。</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9.6供应商有融资、担保需求的，具体办理流程可向</w:t>
      </w:r>
      <w:r>
        <w:rPr>
          <w:rFonts w:hint="eastAsia" w:ascii="宋体" w:hAnsi="宋体"/>
          <w:b/>
          <w:color w:val="auto"/>
          <w:sz w:val="24"/>
          <w:szCs w:val="24"/>
          <w:highlight w:val="none"/>
        </w:rPr>
        <w:t>谈判须知前附表</w:t>
      </w:r>
      <w:r>
        <w:rPr>
          <w:rFonts w:hint="eastAsia" w:ascii="宋体" w:hAnsi="宋体"/>
          <w:color w:val="auto"/>
          <w:sz w:val="24"/>
          <w:szCs w:val="24"/>
          <w:highlight w:val="none"/>
        </w:rPr>
        <w:t>所列金融机构和担保机构询问。</w:t>
      </w:r>
    </w:p>
    <w:p>
      <w:pPr>
        <w:pStyle w:val="3"/>
        <w:pageBreakBefore w:val="0"/>
        <w:kinsoku/>
        <w:wordWrap/>
        <w:overflowPunct/>
        <w:topLinePunct w:val="0"/>
        <w:autoSpaceDE/>
        <w:autoSpaceDN/>
        <w:bidi w:val="0"/>
        <w:adjustRightInd/>
        <w:snapToGrid/>
        <w:spacing w:before="0" w:beforeLines="0" w:after="0" w:afterLines="0" w:line="440" w:lineRule="exact"/>
        <w:textAlignment w:val="auto"/>
        <w:rPr>
          <w:rFonts w:ascii="宋体" w:hAnsi="宋体"/>
          <w:color w:val="auto"/>
          <w:sz w:val="24"/>
          <w:szCs w:val="24"/>
          <w:highlight w:val="none"/>
        </w:rPr>
      </w:pPr>
      <w:bookmarkStart w:id="6" w:name="_Toc3755"/>
      <w:r>
        <w:rPr>
          <w:rFonts w:hint="eastAsia" w:ascii="宋体" w:hAnsi="宋体"/>
          <w:color w:val="auto"/>
          <w:sz w:val="24"/>
          <w:szCs w:val="24"/>
          <w:highlight w:val="none"/>
        </w:rPr>
        <w:t>二、谈判文件</w:t>
      </w:r>
      <w:bookmarkEnd w:id="6"/>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10．谈判文件的组成</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10.1 谈判文件由下列文件组成：</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lang w:eastAsia="zh-CN"/>
        </w:rPr>
      </w:pPr>
      <w:r>
        <w:rPr>
          <w:rFonts w:hint="eastAsia" w:hAnsi="宋体"/>
          <w:color w:val="auto"/>
          <w:sz w:val="24"/>
          <w:szCs w:val="24"/>
          <w:highlight w:val="none"/>
        </w:rPr>
        <w:t>第一章 谈判</w:t>
      </w:r>
      <w:r>
        <w:rPr>
          <w:rFonts w:hint="eastAsia" w:hAnsi="宋体"/>
          <w:color w:val="auto"/>
          <w:sz w:val="24"/>
          <w:szCs w:val="24"/>
          <w:highlight w:val="none"/>
          <w:lang w:eastAsia="zh-CN"/>
        </w:rPr>
        <w:t>邀请</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第二章 谈判须知</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第三章 政府采购合同格式条款</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第四章 采购需求</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第五章 响应文件组成</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10.2</w:t>
      </w:r>
      <w:r>
        <w:rPr>
          <w:rFonts w:hint="eastAsia" w:hAnsi="宋体"/>
          <w:bCs/>
          <w:color w:val="auto"/>
          <w:sz w:val="24"/>
          <w:szCs w:val="24"/>
          <w:highlight w:val="none"/>
        </w:rPr>
        <w:t>本章第1</w:t>
      </w:r>
      <w:r>
        <w:rPr>
          <w:rFonts w:hint="eastAsia" w:hAnsi="宋体"/>
          <w:bCs/>
          <w:color w:val="auto"/>
          <w:sz w:val="24"/>
          <w:szCs w:val="24"/>
          <w:highlight w:val="none"/>
          <w:lang w:eastAsia="zh-CN"/>
        </w:rPr>
        <w:t>2</w:t>
      </w:r>
      <w:r>
        <w:rPr>
          <w:rFonts w:hint="eastAsia" w:hAnsi="宋体"/>
          <w:bCs/>
          <w:color w:val="auto"/>
          <w:sz w:val="24"/>
          <w:szCs w:val="24"/>
          <w:highlight w:val="none"/>
        </w:rPr>
        <w:t>.1</w:t>
      </w:r>
      <w:r>
        <w:rPr>
          <w:rFonts w:hint="eastAsia" w:hAnsi="宋体" w:cs="宋体"/>
          <w:color w:val="auto"/>
          <w:sz w:val="24"/>
          <w:szCs w:val="24"/>
          <w:highlight w:val="none"/>
          <w:lang w:val="zh-CN"/>
        </w:rPr>
        <w:t>款</w:t>
      </w:r>
      <w:r>
        <w:rPr>
          <w:rFonts w:hint="eastAsia" w:hAnsi="宋体"/>
          <w:bCs/>
          <w:color w:val="auto"/>
          <w:sz w:val="24"/>
          <w:szCs w:val="24"/>
          <w:highlight w:val="none"/>
        </w:rPr>
        <w:t>规定的</w:t>
      </w:r>
      <w:r>
        <w:rPr>
          <w:rFonts w:hint="eastAsia" w:hAnsi="宋体" w:cs="宋体"/>
          <w:color w:val="auto"/>
          <w:sz w:val="24"/>
          <w:szCs w:val="24"/>
          <w:highlight w:val="none"/>
        </w:rPr>
        <w:t>提交首次响应文件截止时间前对谈判文件澄清或者修改内容，为谈判文件的组成部分。</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s="宋体"/>
          <w:color w:val="auto"/>
          <w:sz w:val="24"/>
          <w:szCs w:val="24"/>
          <w:highlight w:val="none"/>
        </w:rPr>
      </w:pPr>
      <w:r>
        <w:rPr>
          <w:rFonts w:hint="eastAsia" w:hAnsi="宋体"/>
          <w:color w:val="auto"/>
          <w:sz w:val="24"/>
          <w:szCs w:val="24"/>
          <w:highlight w:val="none"/>
        </w:rPr>
        <w:t>10.3</w:t>
      </w:r>
      <w:r>
        <w:rPr>
          <w:rFonts w:hint="eastAsia" w:hAnsi="宋体" w:cs="宋体"/>
          <w:color w:val="auto"/>
          <w:sz w:val="24"/>
          <w:szCs w:val="24"/>
          <w:highlight w:val="none"/>
        </w:rPr>
        <w:t>谈判小组根据与供应商谈判情况可能实质性变动的内容，包括采购需求中的技术、服务要求以及合同条款，</w:t>
      </w:r>
      <w:r>
        <w:rPr>
          <w:rFonts w:hint="eastAsia" w:hAnsi="宋体"/>
          <w:color w:val="auto"/>
          <w:sz w:val="24"/>
          <w:szCs w:val="24"/>
          <w:highlight w:val="none"/>
        </w:rPr>
        <w:t>在</w:t>
      </w:r>
      <w:r>
        <w:rPr>
          <w:rFonts w:hint="eastAsia" w:hAnsi="宋体"/>
          <w:b/>
          <w:color w:val="auto"/>
          <w:sz w:val="24"/>
          <w:szCs w:val="24"/>
          <w:highlight w:val="none"/>
        </w:rPr>
        <w:t>谈判须知前附表</w:t>
      </w:r>
      <w:r>
        <w:rPr>
          <w:rFonts w:hint="eastAsia" w:hAnsi="宋体"/>
          <w:color w:val="auto"/>
          <w:sz w:val="24"/>
          <w:szCs w:val="24"/>
          <w:highlight w:val="none"/>
        </w:rPr>
        <w:t>中明确。</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10.4供应商应仔细阅读</w:t>
      </w:r>
      <w:r>
        <w:rPr>
          <w:rFonts w:hint="eastAsia" w:ascii="宋体" w:hAnsi="宋体"/>
          <w:bCs/>
          <w:color w:val="auto"/>
          <w:sz w:val="24"/>
          <w:szCs w:val="24"/>
          <w:highlight w:val="none"/>
        </w:rPr>
        <w:t>谈判</w:t>
      </w:r>
      <w:r>
        <w:rPr>
          <w:rFonts w:hint="eastAsia" w:ascii="宋体" w:hAnsi="宋体"/>
          <w:color w:val="auto"/>
          <w:sz w:val="24"/>
          <w:szCs w:val="24"/>
          <w:highlight w:val="none"/>
        </w:rPr>
        <w:t>文件的全部内容，按照</w:t>
      </w:r>
      <w:r>
        <w:rPr>
          <w:rFonts w:hint="eastAsia" w:ascii="宋体" w:hAnsi="宋体"/>
          <w:bCs/>
          <w:color w:val="auto"/>
          <w:sz w:val="24"/>
          <w:szCs w:val="24"/>
          <w:highlight w:val="none"/>
        </w:rPr>
        <w:t>谈判</w:t>
      </w:r>
      <w:r>
        <w:rPr>
          <w:rFonts w:hint="eastAsia" w:ascii="宋体" w:hAnsi="宋体"/>
          <w:color w:val="auto"/>
          <w:sz w:val="24"/>
          <w:szCs w:val="24"/>
          <w:highlight w:val="none"/>
        </w:rPr>
        <w:t>文件要求编制响应文件。任何对</w:t>
      </w:r>
      <w:r>
        <w:rPr>
          <w:rFonts w:hint="eastAsia" w:ascii="宋体" w:hAnsi="宋体"/>
          <w:bCs/>
          <w:color w:val="auto"/>
          <w:sz w:val="24"/>
          <w:szCs w:val="24"/>
          <w:highlight w:val="none"/>
        </w:rPr>
        <w:t>谈判</w:t>
      </w:r>
      <w:r>
        <w:rPr>
          <w:rFonts w:hint="eastAsia" w:ascii="宋体" w:hAnsi="宋体"/>
          <w:color w:val="auto"/>
          <w:sz w:val="24"/>
          <w:szCs w:val="24"/>
          <w:highlight w:val="none"/>
        </w:rPr>
        <w:t>文件的忽略或误解不能作为响应文件存在缺陷或瑕疵的理由，其风险由供应商承担。</w:t>
      </w:r>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11.谈判文件的提供期限</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11.1</w:t>
      </w:r>
      <w:r>
        <w:rPr>
          <w:rFonts w:hint="eastAsia" w:hAnsi="宋体"/>
          <w:bCs/>
          <w:color w:val="auto"/>
          <w:sz w:val="24"/>
          <w:szCs w:val="24"/>
          <w:highlight w:val="none"/>
        </w:rPr>
        <w:t>谈</w:t>
      </w:r>
      <w:r>
        <w:rPr>
          <w:rFonts w:hint="eastAsia" w:hAnsi="宋体"/>
          <w:color w:val="auto"/>
          <w:sz w:val="24"/>
          <w:szCs w:val="24"/>
          <w:highlight w:val="none"/>
        </w:rPr>
        <w:t>判文件自开始发出之日起至</w:t>
      </w:r>
      <w:r>
        <w:rPr>
          <w:rFonts w:hint="eastAsia" w:hAnsi="宋体"/>
          <w:b/>
          <w:color w:val="auto"/>
          <w:sz w:val="24"/>
          <w:szCs w:val="24"/>
          <w:highlight w:val="none"/>
        </w:rPr>
        <w:t>谈判文件</w:t>
      </w:r>
      <w:r>
        <w:rPr>
          <w:rFonts w:hint="eastAsia" w:hAnsi="宋体" w:cs="宋体"/>
          <w:b/>
          <w:color w:val="auto"/>
          <w:sz w:val="24"/>
          <w:szCs w:val="24"/>
          <w:highlight w:val="none"/>
        </w:rPr>
        <w:t>前附表</w:t>
      </w:r>
      <w:r>
        <w:rPr>
          <w:rFonts w:hint="eastAsia" w:hAnsi="宋体"/>
          <w:color w:val="auto"/>
          <w:sz w:val="24"/>
          <w:szCs w:val="24"/>
          <w:highlight w:val="none"/>
        </w:rPr>
        <w:t>规定的递交响应文件截止时间止，不少于3个工作日。</w:t>
      </w:r>
      <w:r>
        <w:rPr>
          <w:rFonts w:hint="eastAsia" w:hAnsi="宋体"/>
          <w:bCs/>
          <w:color w:val="auto"/>
          <w:sz w:val="24"/>
          <w:szCs w:val="24"/>
          <w:highlight w:val="none"/>
        </w:rPr>
        <w:t>谈</w:t>
      </w:r>
      <w:r>
        <w:rPr>
          <w:rFonts w:hint="eastAsia" w:hAnsi="宋体"/>
          <w:color w:val="auto"/>
          <w:sz w:val="24"/>
          <w:szCs w:val="24"/>
          <w:highlight w:val="none"/>
        </w:rPr>
        <w:t>判文件提供期限见</w:t>
      </w:r>
      <w:r>
        <w:rPr>
          <w:rFonts w:hint="eastAsia" w:hAnsi="宋体"/>
          <w:b/>
          <w:color w:val="auto"/>
          <w:sz w:val="24"/>
          <w:szCs w:val="24"/>
          <w:highlight w:val="none"/>
        </w:rPr>
        <w:t>谈判文件</w:t>
      </w:r>
      <w:r>
        <w:rPr>
          <w:rFonts w:hint="eastAsia" w:hAnsi="宋体" w:cs="宋体"/>
          <w:b/>
          <w:color w:val="auto"/>
          <w:sz w:val="24"/>
          <w:szCs w:val="24"/>
          <w:highlight w:val="none"/>
        </w:rPr>
        <w:t>前附表</w:t>
      </w:r>
      <w:r>
        <w:rPr>
          <w:rFonts w:hint="eastAsia" w:hAnsi="宋体"/>
          <w:color w:val="auto"/>
          <w:sz w:val="24"/>
          <w:szCs w:val="24"/>
          <w:highlight w:val="none"/>
        </w:rPr>
        <w:t>。</w:t>
      </w:r>
    </w:p>
    <w:p>
      <w:pPr>
        <w:pageBreakBefore w:val="0"/>
        <w:kinsoku/>
        <w:wordWrap/>
        <w:overflowPunct/>
        <w:topLinePunct w:val="0"/>
        <w:autoSpaceDE/>
        <w:autoSpaceDN/>
        <w:bidi w:val="0"/>
        <w:adjustRightInd/>
        <w:snapToGrid/>
        <w:spacing w:line="440" w:lineRule="exact"/>
        <w:textAlignment w:val="auto"/>
        <w:rPr>
          <w:rFonts w:ascii="宋体" w:hAnsi="宋体"/>
          <w:b/>
          <w:color w:val="auto"/>
          <w:sz w:val="24"/>
          <w:szCs w:val="24"/>
          <w:highlight w:val="none"/>
        </w:rPr>
      </w:pPr>
      <w:r>
        <w:rPr>
          <w:rFonts w:hint="eastAsia" w:ascii="宋体" w:hAnsi="宋体"/>
          <w:b/>
          <w:bCs/>
          <w:color w:val="auto"/>
          <w:sz w:val="24"/>
          <w:szCs w:val="24"/>
          <w:highlight w:val="none"/>
        </w:rPr>
        <w:t>12.</w:t>
      </w:r>
      <w:r>
        <w:rPr>
          <w:rFonts w:hint="eastAsia" w:ascii="宋体" w:hAnsi="宋体" w:cs="宋体"/>
          <w:b/>
          <w:color w:val="auto"/>
          <w:kern w:val="0"/>
          <w:sz w:val="24"/>
          <w:szCs w:val="24"/>
          <w:highlight w:val="none"/>
        </w:rPr>
        <w:t>提交首次响应文件</w:t>
      </w:r>
      <w:r>
        <w:rPr>
          <w:rFonts w:hint="eastAsia" w:ascii="宋体" w:hAnsi="宋体"/>
          <w:b/>
          <w:color w:val="auto"/>
          <w:sz w:val="24"/>
          <w:szCs w:val="24"/>
          <w:highlight w:val="none"/>
        </w:rPr>
        <w:t>的</w:t>
      </w:r>
      <w:r>
        <w:rPr>
          <w:rFonts w:hint="eastAsia" w:ascii="宋体" w:hAnsi="宋体" w:cs="宋体"/>
          <w:b/>
          <w:color w:val="auto"/>
          <w:kern w:val="0"/>
          <w:sz w:val="24"/>
          <w:szCs w:val="24"/>
          <w:highlight w:val="none"/>
        </w:rPr>
        <w:t>截止</w:t>
      </w:r>
      <w:r>
        <w:rPr>
          <w:rFonts w:hint="eastAsia" w:ascii="宋体" w:hAnsi="宋体"/>
          <w:b/>
          <w:color w:val="auto"/>
          <w:sz w:val="24"/>
          <w:szCs w:val="24"/>
          <w:highlight w:val="none"/>
        </w:rPr>
        <w:t>时间</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12.1</w:t>
      </w:r>
      <w:r>
        <w:rPr>
          <w:rFonts w:hint="eastAsia" w:hAnsi="宋体" w:cs="宋体"/>
          <w:color w:val="auto"/>
          <w:sz w:val="24"/>
          <w:szCs w:val="24"/>
          <w:highlight w:val="none"/>
        </w:rPr>
        <w:t>供应商提交首次响应文件截止</w:t>
      </w:r>
      <w:r>
        <w:rPr>
          <w:rFonts w:hint="eastAsia" w:hAnsi="宋体"/>
          <w:color w:val="auto"/>
          <w:sz w:val="24"/>
          <w:szCs w:val="24"/>
          <w:highlight w:val="none"/>
        </w:rPr>
        <w:t>时间见</w:t>
      </w:r>
      <w:r>
        <w:rPr>
          <w:rFonts w:hint="eastAsia" w:hAnsi="宋体"/>
          <w:b/>
          <w:color w:val="auto"/>
          <w:sz w:val="24"/>
          <w:szCs w:val="24"/>
          <w:highlight w:val="none"/>
        </w:rPr>
        <w:t>谈判须知前附表</w:t>
      </w:r>
      <w:r>
        <w:rPr>
          <w:rFonts w:hint="eastAsia" w:hAnsi="宋体"/>
          <w:color w:val="auto"/>
          <w:sz w:val="24"/>
          <w:szCs w:val="24"/>
          <w:highlight w:val="none"/>
        </w:rPr>
        <w:t>。</w:t>
      </w:r>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13.谈判文件的澄清</w:t>
      </w:r>
      <w:r>
        <w:rPr>
          <w:rFonts w:hint="eastAsia" w:ascii="宋体" w:hAnsi="宋体"/>
          <w:b/>
          <w:color w:val="auto"/>
          <w:kern w:val="0"/>
          <w:sz w:val="24"/>
          <w:szCs w:val="24"/>
          <w:highlight w:val="none"/>
          <w:lang w:val="zh-CN"/>
        </w:rPr>
        <w:t>或者</w:t>
      </w:r>
      <w:r>
        <w:rPr>
          <w:rFonts w:hint="eastAsia" w:ascii="宋体" w:hAnsi="宋体"/>
          <w:b/>
          <w:bCs/>
          <w:color w:val="auto"/>
          <w:sz w:val="24"/>
          <w:szCs w:val="24"/>
          <w:highlight w:val="none"/>
        </w:rPr>
        <w:t>修改</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olor w:val="auto"/>
          <w:sz w:val="24"/>
          <w:szCs w:val="24"/>
          <w:highlight w:val="none"/>
        </w:rPr>
        <w:t>13.1在</w:t>
      </w:r>
      <w:r>
        <w:rPr>
          <w:rFonts w:hint="eastAsia" w:ascii="宋体" w:hAnsi="宋体"/>
          <w:bCs/>
          <w:color w:val="auto"/>
          <w:sz w:val="24"/>
          <w:szCs w:val="24"/>
          <w:highlight w:val="none"/>
        </w:rPr>
        <w:t>本章第12.1</w:t>
      </w:r>
      <w:r>
        <w:rPr>
          <w:rFonts w:hint="eastAsia" w:ascii="宋体" w:hAnsi="宋体" w:cs="宋体"/>
          <w:color w:val="auto"/>
          <w:kern w:val="0"/>
          <w:sz w:val="24"/>
          <w:szCs w:val="24"/>
          <w:highlight w:val="none"/>
          <w:lang w:val="zh-CN"/>
        </w:rPr>
        <w:t>款</w:t>
      </w:r>
      <w:r>
        <w:rPr>
          <w:rFonts w:hint="eastAsia" w:ascii="宋体" w:hAnsi="宋体"/>
          <w:bCs/>
          <w:color w:val="auto"/>
          <w:sz w:val="24"/>
          <w:szCs w:val="24"/>
          <w:highlight w:val="none"/>
        </w:rPr>
        <w:t>规定的</w:t>
      </w:r>
      <w:r>
        <w:rPr>
          <w:rFonts w:hint="eastAsia" w:ascii="宋体" w:hAnsi="宋体" w:cs="宋体"/>
          <w:color w:val="auto"/>
          <w:kern w:val="0"/>
          <w:sz w:val="24"/>
          <w:szCs w:val="24"/>
          <w:highlight w:val="none"/>
        </w:rPr>
        <w:t xml:space="preserve">提交首次响应文件截止之日前，采购人、采购代理机构或者谈判小组可以对已发出的谈判文件进行必要的澄清或者修改。 </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olor w:val="auto"/>
          <w:sz w:val="24"/>
          <w:szCs w:val="24"/>
          <w:highlight w:val="none"/>
        </w:rPr>
        <w:t>13.2</w:t>
      </w:r>
      <w:r>
        <w:rPr>
          <w:rFonts w:hint="eastAsia" w:ascii="宋体" w:hAnsi="宋体" w:cs="宋体"/>
          <w:color w:val="auto"/>
          <w:kern w:val="0"/>
          <w:sz w:val="24"/>
          <w:szCs w:val="24"/>
          <w:highlight w:val="none"/>
        </w:rPr>
        <w:t>澄清或者修改的内容可能影响响应文件编制的，采购人、采购代理机构或者谈判小组应当在</w:t>
      </w:r>
      <w:r>
        <w:rPr>
          <w:rFonts w:hint="eastAsia" w:ascii="宋体" w:hAnsi="宋体"/>
          <w:bCs/>
          <w:color w:val="auto"/>
          <w:sz w:val="24"/>
          <w:szCs w:val="24"/>
          <w:highlight w:val="none"/>
        </w:rPr>
        <w:t>本章第12.1</w:t>
      </w:r>
      <w:r>
        <w:rPr>
          <w:rFonts w:hint="eastAsia" w:ascii="宋体" w:hAnsi="宋体" w:cs="宋体"/>
          <w:color w:val="auto"/>
          <w:kern w:val="0"/>
          <w:sz w:val="24"/>
          <w:szCs w:val="24"/>
          <w:highlight w:val="none"/>
          <w:lang w:val="zh-CN"/>
        </w:rPr>
        <w:t>款</w:t>
      </w:r>
      <w:r>
        <w:rPr>
          <w:rFonts w:hint="eastAsia" w:ascii="宋体" w:hAnsi="宋体"/>
          <w:bCs/>
          <w:color w:val="auto"/>
          <w:sz w:val="24"/>
          <w:szCs w:val="24"/>
          <w:highlight w:val="none"/>
        </w:rPr>
        <w:t>规定的</w:t>
      </w:r>
      <w:r>
        <w:rPr>
          <w:rFonts w:hint="eastAsia" w:ascii="宋体" w:hAnsi="宋体" w:cs="宋体"/>
          <w:color w:val="auto"/>
          <w:kern w:val="0"/>
          <w:sz w:val="24"/>
          <w:szCs w:val="24"/>
          <w:highlight w:val="none"/>
        </w:rPr>
        <w:t>提交首次响应文件截止之日3个工作日前，以书面形式通知所有接收谈判文件的供应商，不足3个工作日的，顺延供应商提交首次响应文件截止时间。</w:t>
      </w:r>
    </w:p>
    <w:p>
      <w:pPr>
        <w:pStyle w:val="3"/>
        <w:pageBreakBefore w:val="0"/>
        <w:kinsoku/>
        <w:wordWrap/>
        <w:overflowPunct/>
        <w:topLinePunct w:val="0"/>
        <w:autoSpaceDE/>
        <w:autoSpaceDN/>
        <w:bidi w:val="0"/>
        <w:adjustRightInd/>
        <w:snapToGrid/>
        <w:spacing w:before="0" w:beforeLines="0" w:after="0" w:afterLines="0" w:line="440" w:lineRule="exact"/>
        <w:textAlignment w:val="auto"/>
        <w:rPr>
          <w:rFonts w:ascii="宋体" w:hAnsi="宋体"/>
          <w:color w:val="auto"/>
          <w:sz w:val="24"/>
          <w:szCs w:val="24"/>
          <w:highlight w:val="none"/>
        </w:rPr>
      </w:pPr>
      <w:bookmarkStart w:id="7" w:name="_Toc17556"/>
      <w:r>
        <w:rPr>
          <w:rFonts w:hint="eastAsia" w:ascii="宋体" w:hAnsi="宋体"/>
          <w:color w:val="auto"/>
          <w:sz w:val="24"/>
          <w:szCs w:val="24"/>
          <w:highlight w:val="none"/>
        </w:rPr>
        <w:t>三、响应文件</w:t>
      </w:r>
      <w:bookmarkEnd w:id="7"/>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14.一般要求</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bCs/>
          <w:color w:val="auto"/>
          <w:sz w:val="24"/>
          <w:szCs w:val="24"/>
          <w:highlight w:val="none"/>
        </w:rPr>
      </w:pPr>
      <w:r>
        <w:rPr>
          <w:rFonts w:hint="eastAsia" w:ascii="宋体" w:hAnsi="宋体"/>
          <w:bCs/>
          <w:color w:val="auto"/>
          <w:sz w:val="24"/>
          <w:szCs w:val="24"/>
          <w:highlight w:val="none"/>
        </w:rPr>
        <w:t>14.1 供应商应仔细阅读谈判文件的所有内容，按谈判文件的要求编制响应文件，并保证所提供的全部资料的真实性，以使其响应文件对谈判文件做出实质性的响应。</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bCs/>
          <w:color w:val="auto"/>
          <w:sz w:val="24"/>
          <w:szCs w:val="24"/>
          <w:highlight w:val="none"/>
        </w:rPr>
      </w:pPr>
      <w:r>
        <w:rPr>
          <w:rFonts w:hint="eastAsia" w:ascii="宋体" w:hAnsi="宋体"/>
          <w:bCs/>
          <w:color w:val="auto"/>
          <w:sz w:val="24"/>
          <w:szCs w:val="24"/>
          <w:highlight w:val="none"/>
        </w:rPr>
        <w:t xml:space="preserve">14.2 </w:t>
      </w:r>
      <w:r>
        <w:rPr>
          <w:rFonts w:hint="eastAsia" w:ascii="宋体" w:hAnsi="宋体"/>
          <w:color w:val="auto"/>
          <w:sz w:val="24"/>
          <w:szCs w:val="24"/>
          <w:highlight w:val="none"/>
        </w:rPr>
        <w:t>供应商提交的响应文件及供应商与采购人或采购代理机构、谈判小组就有关谈判的所有来往函电均使用中文。供应商可以提交其它语言的资料，但应附中文注释，在有差异时以中文为准。</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bCs/>
          <w:color w:val="auto"/>
          <w:sz w:val="24"/>
          <w:szCs w:val="24"/>
          <w:highlight w:val="none"/>
        </w:rPr>
        <w:t xml:space="preserve">14.3 </w:t>
      </w:r>
      <w:r>
        <w:rPr>
          <w:rFonts w:hint="eastAsia" w:hAnsi="宋体"/>
          <w:color w:val="auto"/>
          <w:sz w:val="24"/>
          <w:szCs w:val="24"/>
          <w:highlight w:val="none"/>
        </w:rPr>
        <w:t>计量单位应使用我国法定计量单位，未列明时应默认为我国法定计量单位。</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14.4 响应文件应采用书面形式，电报、传真、电子邮件形式的响应文件概不接受。</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14.5 供应商应按谈判文件中提供的响应文件格式填写。</w:t>
      </w:r>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15.</w:t>
      </w:r>
      <w:r>
        <w:rPr>
          <w:rFonts w:hint="eastAsia" w:ascii="宋体" w:hAnsi="宋体"/>
          <w:b/>
          <w:color w:val="auto"/>
          <w:sz w:val="24"/>
          <w:szCs w:val="24"/>
          <w:highlight w:val="none"/>
        </w:rPr>
        <w:t>响应文件</w:t>
      </w:r>
      <w:r>
        <w:rPr>
          <w:rFonts w:hint="eastAsia" w:ascii="宋体" w:hAnsi="宋体"/>
          <w:b/>
          <w:bCs/>
          <w:color w:val="auto"/>
          <w:sz w:val="24"/>
          <w:szCs w:val="24"/>
          <w:highlight w:val="none"/>
        </w:rPr>
        <w:t>的组成</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 xml:space="preserve">15.1 响应文件包括下列内容： </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（1）谈判响应声明</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int="eastAsia" w:hAnsi="宋体" w:eastAsia="宋体"/>
          <w:color w:val="auto"/>
          <w:sz w:val="24"/>
          <w:szCs w:val="24"/>
          <w:highlight w:val="none"/>
          <w:lang w:eastAsia="zh-CN"/>
        </w:rPr>
      </w:pPr>
      <w:r>
        <w:rPr>
          <w:rFonts w:hint="eastAsia" w:hAnsi="宋体"/>
          <w:color w:val="auto"/>
          <w:sz w:val="24"/>
          <w:szCs w:val="24"/>
          <w:highlight w:val="none"/>
        </w:rPr>
        <w:t>（2）</w:t>
      </w:r>
      <w:r>
        <w:rPr>
          <w:rFonts w:hint="eastAsia" w:hAnsi="宋体"/>
          <w:color w:val="auto"/>
          <w:sz w:val="24"/>
          <w:szCs w:val="24"/>
          <w:highlight w:val="none"/>
          <w:lang w:eastAsia="zh-CN"/>
        </w:rPr>
        <w:t>供应商的资格证明材料</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lang w:eastAsia="zh-CN"/>
        </w:rPr>
      </w:pPr>
      <w:r>
        <w:rPr>
          <w:rFonts w:hint="eastAsia" w:hAnsi="宋体"/>
          <w:color w:val="auto"/>
          <w:sz w:val="24"/>
          <w:szCs w:val="24"/>
          <w:highlight w:val="none"/>
          <w:lang w:eastAsia="zh-CN"/>
        </w:rPr>
        <w:t>（</w:t>
      </w:r>
      <w:r>
        <w:rPr>
          <w:rFonts w:hint="eastAsia" w:hAnsi="宋体"/>
          <w:color w:val="auto"/>
          <w:sz w:val="24"/>
          <w:szCs w:val="24"/>
          <w:highlight w:val="none"/>
          <w:lang w:val="en-US" w:eastAsia="zh-CN"/>
        </w:rPr>
        <w:t>3</w:t>
      </w:r>
      <w:r>
        <w:rPr>
          <w:rFonts w:hint="eastAsia" w:hAnsi="宋体"/>
          <w:color w:val="auto"/>
          <w:sz w:val="24"/>
          <w:szCs w:val="24"/>
          <w:highlight w:val="none"/>
          <w:lang w:eastAsia="zh-CN"/>
        </w:rPr>
        <w:t>）技术响应与偏离表</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int="eastAsia" w:hAnsi="宋体" w:eastAsia="宋体"/>
          <w:color w:val="auto"/>
          <w:sz w:val="24"/>
          <w:szCs w:val="24"/>
          <w:highlight w:val="none"/>
          <w:lang w:eastAsia="zh-CN"/>
        </w:rPr>
      </w:pPr>
      <w:r>
        <w:rPr>
          <w:rFonts w:hint="eastAsia" w:hAnsi="宋体"/>
          <w:color w:val="auto"/>
          <w:sz w:val="24"/>
          <w:szCs w:val="24"/>
          <w:highlight w:val="none"/>
        </w:rPr>
        <w:t>（</w:t>
      </w:r>
      <w:r>
        <w:rPr>
          <w:rFonts w:hint="eastAsia" w:hAnsi="宋体"/>
          <w:color w:val="auto"/>
          <w:sz w:val="24"/>
          <w:szCs w:val="24"/>
          <w:highlight w:val="none"/>
          <w:lang w:eastAsia="zh-CN"/>
        </w:rPr>
        <w:t>4</w:t>
      </w:r>
      <w:r>
        <w:rPr>
          <w:rFonts w:hint="eastAsia" w:hAnsi="宋体"/>
          <w:color w:val="auto"/>
          <w:sz w:val="24"/>
          <w:szCs w:val="24"/>
          <w:highlight w:val="none"/>
        </w:rPr>
        <w:t>）报价一览表</w:t>
      </w:r>
      <w:r>
        <w:rPr>
          <w:rFonts w:hint="eastAsia" w:hAnsi="宋体"/>
          <w:color w:val="auto"/>
          <w:sz w:val="24"/>
          <w:szCs w:val="24"/>
          <w:highlight w:val="none"/>
          <w:lang w:eastAsia="zh-CN"/>
        </w:rPr>
        <w:t>及分项报价表</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int="eastAsia" w:hAnsi="宋体" w:eastAsia="宋体"/>
          <w:color w:val="auto"/>
          <w:sz w:val="24"/>
          <w:szCs w:val="24"/>
          <w:highlight w:val="none"/>
          <w:lang w:eastAsia="zh-CN"/>
        </w:rPr>
      </w:pPr>
      <w:r>
        <w:rPr>
          <w:rFonts w:hint="eastAsia" w:hAnsi="宋体"/>
          <w:color w:val="auto"/>
          <w:sz w:val="24"/>
          <w:szCs w:val="24"/>
          <w:highlight w:val="none"/>
        </w:rPr>
        <w:t>（</w:t>
      </w:r>
      <w:r>
        <w:rPr>
          <w:rFonts w:hint="eastAsia" w:hAnsi="宋体"/>
          <w:color w:val="auto"/>
          <w:sz w:val="24"/>
          <w:szCs w:val="24"/>
          <w:highlight w:val="none"/>
          <w:lang w:val="en-US" w:eastAsia="zh-CN"/>
        </w:rPr>
        <w:t>5</w:t>
      </w:r>
      <w:r>
        <w:rPr>
          <w:rFonts w:hint="eastAsia" w:hAnsi="宋体"/>
          <w:color w:val="auto"/>
          <w:sz w:val="24"/>
          <w:szCs w:val="24"/>
          <w:highlight w:val="none"/>
        </w:rPr>
        <w:t>）</w:t>
      </w:r>
      <w:r>
        <w:rPr>
          <w:rFonts w:hint="eastAsia" w:hAnsi="宋体"/>
          <w:color w:val="auto"/>
          <w:sz w:val="24"/>
          <w:szCs w:val="24"/>
          <w:highlight w:val="none"/>
          <w:lang w:eastAsia="zh-CN"/>
        </w:rPr>
        <w:t>提供政府采购政策产品等证明材料</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int="eastAsia" w:hAnsi="宋体"/>
          <w:color w:val="auto"/>
          <w:sz w:val="24"/>
          <w:szCs w:val="24"/>
          <w:highlight w:val="none"/>
        </w:rPr>
      </w:pPr>
      <w:r>
        <w:rPr>
          <w:rFonts w:hint="eastAsia" w:hAnsi="宋体"/>
          <w:color w:val="auto"/>
          <w:sz w:val="24"/>
          <w:szCs w:val="24"/>
          <w:highlight w:val="none"/>
          <w:lang w:eastAsia="zh-CN"/>
        </w:rPr>
        <w:t>（</w:t>
      </w:r>
      <w:r>
        <w:rPr>
          <w:rFonts w:hint="eastAsia" w:hAnsi="宋体"/>
          <w:color w:val="auto"/>
          <w:sz w:val="24"/>
          <w:szCs w:val="24"/>
          <w:highlight w:val="none"/>
          <w:lang w:val="en-US" w:eastAsia="zh-CN"/>
        </w:rPr>
        <w:t>6</w:t>
      </w:r>
      <w:r>
        <w:rPr>
          <w:rFonts w:hint="eastAsia" w:hAnsi="宋体"/>
          <w:color w:val="auto"/>
          <w:sz w:val="24"/>
          <w:szCs w:val="24"/>
          <w:highlight w:val="none"/>
          <w:lang w:eastAsia="zh-CN"/>
        </w:rPr>
        <w:t>）</w:t>
      </w:r>
      <w:r>
        <w:rPr>
          <w:rFonts w:hint="eastAsia" w:hAnsi="宋体"/>
          <w:color w:val="auto"/>
          <w:sz w:val="24"/>
          <w:szCs w:val="24"/>
          <w:highlight w:val="none"/>
        </w:rPr>
        <w:t>供应商认为需提供的其他资料</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int="default" w:hAnsi="宋体" w:eastAsia="宋体"/>
          <w:color w:val="auto"/>
          <w:sz w:val="24"/>
          <w:szCs w:val="24"/>
          <w:highlight w:val="none"/>
          <w:lang w:val="en-US" w:eastAsia="zh-CN"/>
        </w:rPr>
      </w:pPr>
      <w:r>
        <w:rPr>
          <w:rFonts w:hint="eastAsia" w:hAnsi="宋体"/>
          <w:color w:val="auto"/>
          <w:sz w:val="24"/>
          <w:szCs w:val="24"/>
          <w:highlight w:val="none"/>
          <w:lang w:val="en-US" w:eastAsia="zh-CN"/>
        </w:rPr>
        <w:t>（7）最后报价（谈判结束后现场填写）</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15.2在谈判过程中，供应商根据</w:t>
      </w:r>
      <w:r>
        <w:rPr>
          <w:rFonts w:hint="eastAsia" w:ascii="宋体" w:hAnsi="宋体" w:cs="宋体"/>
          <w:color w:val="auto"/>
          <w:kern w:val="0"/>
          <w:sz w:val="24"/>
          <w:szCs w:val="24"/>
          <w:highlight w:val="none"/>
        </w:rPr>
        <w:t>谈判小组</w:t>
      </w:r>
      <w:r>
        <w:rPr>
          <w:rFonts w:hint="eastAsia" w:ascii="宋体" w:hAnsi="宋体"/>
          <w:bCs/>
          <w:color w:val="auto"/>
          <w:sz w:val="24"/>
          <w:szCs w:val="24"/>
          <w:highlight w:val="none"/>
        </w:rPr>
        <w:t>书面形式要求</w:t>
      </w:r>
      <w:r>
        <w:rPr>
          <w:rFonts w:hint="eastAsia" w:ascii="宋体" w:hAnsi="宋体" w:cs="宋体"/>
          <w:color w:val="auto"/>
          <w:kern w:val="0"/>
          <w:sz w:val="24"/>
          <w:szCs w:val="24"/>
          <w:highlight w:val="none"/>
        </w:rPr>
        <w:t>提交的</w:t>
      </w:r>
      <w:r>
        <w:rPr>
          <w:rFonts w:hint="eastAsia" w:ascii="宋体" w:hAnsi="宋体"/>
          <w:color w:val="auto"/>
          <w:sz w:val="24"/>
          <w:szCs w:val="24"/>
          <w:highlight w:val="none"/>
        </w:rPr>
        <w:t>最后</w:t>
      </w:r>
      <w:r>
        <w:rPr>
          <w:rFonts w:hint="eastAsia" w:ascii="宋体" w:hAnsi="宋体" w:eastAsia="宋体"/>
          <w:color w:val="auto"/>
          <w:sz w:val="24"/>
          <w:szCs w:val="24"/>
          <w:highlight w:val="none"/>
          <w:lang w:eastAsia="zh-CN"/>
        </w:rPr>
        <w:t>报价</w:t>
      </w:r>
      <w:r>
        <w:rPr>
          <w:rFonts w:hint="eastAsia" w:ascii="宋体" w:hAnsi="宋体"/>
          <w:color w:val="auto"/>
          <w:sz w:val="24"/>
          <w:szCs w:val="24"/>
          <w:highlight w:val="none"/>
        </w:rPr>
        <w:t>(或者</w:t>
      </w:r>
      <w:r>
        <w:rPr>
          <w:rFonts w:hint="eastAsia" w:ascii="宋体" w:hAnsi="宋体"/>
          <w:bCs/>
          <w:color w:val="auto"/>
          <w:sz w:val="24"/>
          <w:szCs w:val="24"/>
          <w:highlight w:val="none"/>
        </w:rPr>
        <w:t>重</w:t>
      </w:r>
      <w:r>
        <w:rPr>
          <w:rFonts w:hint="eastAsia" w:ascii="宋体" w:hAnsi="宋体" w:cs="宋体"/>
          <w:color w:val="auto"/>
          <w:kern w:val="0"/>
          <w:sz w:val="24"/>
          <w:szCs w:val="24"/>
          <w:highlight w:val="none"/>
        </w:rPr>
        <w:t>新提交的响应文件和</w:t>
      </w:r>
      <w:r>
        <w:rPr>
          <w:rFonts w:hint="eastAsia" w:ascii="宋体" w:hAnsi="宋体"/>
          <w:color w:val="auto"/>
          <w:sz w:val="24"/>
          <w:szCs w:val="24"/>
          <w:highlight w:val="none"/>
        </w:rPr>
        <w:t>最后</w:t>
      </w:r>
      <w:r>
        <w:rPr>
          <w:rFonts w:hint="eastAsia" w:ascii="宋体" w:hAnsi="宋体" w:eastAsia="宋体"/>
          <w:color w:val="auto"/>
          <w:sz w:val="24"/>
          <w:szCs w:val="24"/>
          <w:highlight w:val="none"/>
          <w:lang w:eastAsia="zh-CN"/>
        </w:rPr>
        <w:t>报价</w:t>
      </w:r>
      <w:r>
        <w:rPr>
          <w:rFonts w:hint="eastAsia" w:ascii="宋体" w:hAnsi="宋体"/>
          <w:color w:val="auto"/>
          <w:sz w:val="24"/>
          <w:szCs w:val="24"/>
          <w:highlight w:val="none"/>
        </w:rPr>
        <w:t>)是响应文件的有效组成部分。</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15.3</w:t>
      </w:r>
      <w:r>
        <w:rPr>
          <w:rFonts w:hint="eastAsia" w:ascii="宋体" w:hAnsi="宋体" w:cs="宋体"/>
          <w:color w:val="auto"/>
          <w:kern w:val="0"/>
          <w:sz w:val="24"/>
          <w:szCs w:val="24"/>
          <w:highlight w:val="none"/>
        </w:rPr>
        <w:t>谈判文件规定可能发生实质性变动的，供应商应当在</w:t>
      </w:r>
      <w:r>
        <w:rPr>
          <w:rFonts w:hint="eastAsia" w:ascii="宋体" w:hAnsi="宋体"/>
          <w:color w:val="auto"/>
          <w:sz w:val="24"/>
          <w:szCs w:val="24"/>
          <w:highlight w:val="none"/>
        </w:rPr>
        <w:t>《技术响应与偏离表》中对应内容注明。</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15.4根据《政府采购法》第四十二条的规定，供应商无论成交与否，其响应文件不予退还。</w:t>
      </w:r>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16.报价</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16.1供应商应当根据谈判文件要求和范围，以</w:t>
      </w:r>
      <w:r>
        <w:rPr>
          <w:rFonts w:hint="eastAsia" w:ascii="宋体" w:hAnsi="宋体"/>
          <w:bCs/>
          <w:color w:val="auto"/>
          <w:sz w:val="24"/>
          <w:szCs w:val="24"/>
          <w:highlight w:val="none"/>
        </w:rPr>
        <w:t>人民币</w:t>
      </w:r>
      <w:r>
        <w:rPr>
          <w:rFonts w:hint="eastAsia" w:ascii="宋体" w:hAnsi="宋体"/>
          <w:color w:val="auto"/>
          <w:sz w:val="24"/>
          <w:szCs w:val="24"/>
          <w:highlight w:val="none"/>
        </w:rPr>
        <w:t>报价，以元为单位，保留小数点后两位。</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16.2报价一览表、分项报价表填写报价时应注意下列要求：</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rPr>
        <w:t>（1）人工费、验收费、各项税费、交易服务费、不可预见费等完成本</w:t>
      </w:r>
      <w:r>
        <w:rPr>
          <w:rFonts w:hint="eastAsia" w:hAnsi="宋体"/>
          <w:color w:val="auto"/>
          <w:sz w:val="24"/>
          <w:szCs w:val="24"/>
          <w:highlight w:val="none"/>
          <w:lang w:eastAsia="zh-CN"/>
        </w:rPr>
        <w:t>采购</w:t>
      </w:r>
      <w:r>
        <w:rPr>
          <w:rFonts w:hint="eastAsia" w:hAnsi="宋体"/>
          <w:color w:val="auto"/>
          <w:sz w:val="24"/>
          <w:szCs w:val="24"/>
          <w:highlight w:val="none"/>
        </w:rPr>
        <w:t>内容所需的一切费用</w:t>
      </w:r>
      <w:r>
        <w:rPr>
          <w:rFonts w:hint="eastAsia" w:hAnsi="宋体"/>
          <w:color w:val="auto"/>
          <w:sz w:val="24"/>
          <w:szCs w:val="24"/>
          <w:highlight w:val="none"/>
          <w:lang w:eastAsia="zh-CN"/>
        </w:rPr>
        <w:t>；</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（2）所有根据合同或其它原因应由供应商支付和交纳的税款和费用。</w:t>
      </w:r>
    </w:p>
    <w:p>
      <w:pPr>
        <w:pStyle w:val="69"/>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16.3供应商应按第四章“采购需求”要求及第五章“响应文件组成”格式填写。供应商在</w:t>
      </w:r>
      <w:r>
        <w:rPr>
          <w:rFonts w:hint="eastAsia" w:ascii="宋体" w:hAnsi="宋体"/>
          <w:bCs/>
          <w:color w:val="auto"/>
          <w:sz w:val="24"/>
          <w:szCs w:val="24"/>
          <w:highlight w:val="none"/>
        </w:rPr>
        <w:t>本章第12.1</w:t>
      </w:r>
      <w:r>
        <w:rPr>
          <w:rFonts w:hint="eastAsia" w:ascii="宋体" w:hAnsi="宋体" w:cs="宋体"/>
          <w:color w:val="auto"/>
          <w:sz w:val="24"/>
          <w:szCs w:val="24"/>
          <w:highlight w:val="none"/>
          <w:lang w:val="zh-CN"/>
        </w:rPr>
        <w:t>款</w:t>
      </w:r>
      <w:r>
        <w:rPr>
          <w:rFonts w:hint="eastAsia" w:ascii="宋体" w:hAnsi="宋体"/>
          <w:bCs/>
          <w:color w:val="auto"/>
          <w:sz w:val="24"/>
          <w:szCs w:val="24"/>
          <w:highlight w:val="none"/>
        </w:rPr>
        <w:t>规定的</w:t>
      </w:r>
      <w:r>
        <w:rPr>
          <w:rFonts w:hint="eastAsia" w:ascii="宋体" w:hAnsi="宋体" w:cs="宋体"/>
          <w:color w:val="auto"/>
          <w:sz w:val="24"/>
          <w:szCs w:val="24"/>
          <w:highlight w:val="none"/>
        </w:rPr>
        <w:t>提交首次响应文件截止之日前</w:t>
      </w:r>
      <w:r>
        <w:rPr>
          <w:rFonts w:hint="eastAsia" w:ascii="宋体" w:hAnsi="宋体"/>
          <w:color w:val="auto"/>
          <w:sz w:val="24"/>
          <w:szCs w:val="24"/>
          <w:highlight w:val="none"/>
        </w:rPr>
        <w:t>修改报价一览表中的报价，应同时修改其按第五章要求填写的相应表格中的报价。此修改须符合本章第</w:t>
      </w:r>
      <w:r>
        <w:rPr>
          <w:rFonts w:hint="eastAsia" w:ascii="宋体" w:hAnsi="宋体"/>
          <w:color w:val="auto"/>
          <w:sz w:val="24"/>
          <w:szCs w:val="24"/>
          <w:highlight w:val="none"/>
          <w:lang w:eastAsia="zh-CN"/>
        </w:rPr>
        <w:t>22.1</w:t>
      </w:r>
      <w:r>
        <w:rPr>
          <w:rFonts w:hint="eastAsia" w:ascii="宋体" w:hAnsi="宋体"/>
          <w:color w:val="auto"/>
          <w:sz w:val="24"/>
          <w:szCs w:val="24"/>
          <w:highlight w:val="none"/>
        </w:rPr>
        <w:t>款的有关要求。</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16.4响应文件</w:t>
      </w:r>
      <w:r>
        <w:rPr>
          <w:rFonts w:hint="eastAsia" w:hAnsi="宋体"/>
          <w:color w:val="auto"/>
          <w:sz w:val="24"/>
          <w:szCs w:val="24"/>
          <w:highlight w:val="none"/>
          <w:lang w:eastAsia="zh-CN"/>
        </w:rPr>
        <w:t>成交</w:t>
      </w:r>
      <w:r>
        <w:rPr>
          <w:rFonts w:hint="eastAsia" w:hAnsi="宋体"/>
          <w:color w:val="auto"/>
          <w:sz w:val="24"/>
          <w:szCs w:val="24"/>
          <w:highlight w:val="none"/>
        </w:rPr>
        <w:t>明的价格在合同执行过程中是固定不变的，不得以任何理由予以变更。以可变动价格提交的报价将被认为是非实质响应而被拒绝。</w:t>
      </w:r>
    </w:p>
    <w:p>
      <w:pPr>
        <w:pStyle w:val="4"/>
        <w:spacing w:before="0" w:beforeLines="0" w:after="0" w:afterLines="0" w:line="360" w:lineRule="auto"/>
        <w:ind w:firstLine="480" w:firstLineChars="200"/>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Times New Roman"/>
          <w:b w:val="0"/>
          <w:bCs w:val="0"/>
          <w:color w:val="auto"/>
          <w:kern w:val="0"/>
          <w:sz w:val="24"/>
          <w:szCs w:val="24"/>
          <w:highlight w:val="none"/>
          <w:lang w:val="en-US" w:eastAsia="zh-CN" w:bidi="ar-SA"/>
        </w:rPr>
        <w:t>16.5</w:t>
      </w:r>
      <w:r>
        <w:rPr>
          <w:rFonts w:hint="eastAsia" w:ascii="宋体" w:hAnsi="宋体" w:eastAsia="宋体" w:cs="Times New Roman"/>
          <w:b w:val="0"/>
          <w:bCs w:val="0"/>
          <w:color w:val="auto"/>
          <w:kern w:val="0"/>
          <w:sz w:val="24"/>
          <w:szCs w:val="24"/>
          <w:highlight w:val="none"/>
          <w:lang w:val="zh-CN" w:eastAsia="zh-CN" w:bidi="ar-SA"/>
        </w:rPr>
        <w:t>供应商</w:t>
      </w:r>
      <w:r>
        <w:rPr>
          <w:rFonts w:hint="eastAsia" w:ascii="宋体" w:hAnsi="宋体" w:eastAsia="宋体" w:cs="Times New Roman"/>
          <w:b w:val="0"/>
          <w:bCs w:val="0"/>
          <w:color w:val="auto"/>
          <w:kern w:val="0"/>
          <w:sz w:val="24"/>
          <w:szCs w:val="24"/>
          <w:highlight w:val="none"/>
          <w:lang w:val="en-US" w:eastAsia="zh-CN" w:bidi="ar-SA"/>
        </w:rPr>
        <w:t>的报价不得超过采购项目预算，采购项目预算或其计算方法见</w:t>
      </w:r>
      <w:r>
        <w:rPr>
          <w:rFonts w:hint="eastAsia" w:hAnsi="宋体"/>
          <w:b/>
          <w:color w:val="auto"/>
          <w:sz w:val="24"/>
          <w:szCs w:val="24"/>
          <w:highlight w:val="none"/>
        </w:rPr>
        <w:t>谈判须知前附表</w:t>
      </w:r>
      <w:r>
        <w:rPr>
          <w:rFonts w:hint="eastAsia" w:hAnsi="宋体"/>
          <w:color w:val="auto"/>
          <w:sz w:val="24"/>
          <w:szCs w:val="24"/>
          <w:highlight w:val="none"/>
        </w:rPr>
        <w:t>。</w:t>
      </w:r>
      <w:r>
        <w:rPr>
          <w:rFonts w:hint="eastAsia" w:ascii="宋体" w:hAnsi="宋体" w:eastAsia="宋体" w:cs="宋体"/>
          <w:b w:val="0"/>
          <w:bCs w:val="0"/>
          <w:color w:val="auto"/>
          <w:kern w:val="0"/>
          <w:sz w:val="24"/>
          <w:szCs w:val="24"/>
          <w:highlight w:val="none"/>
          <w:lang w:val="en-US" w:eastAsia="zh-CN" w:bidi="ar-SA"/>
        </w:rPr>
        <w:t xml:space="preserve">  </w:t>
      </w:r>
      <w:bookmarkStart w:id="8" w:name="_Toc23929"/>
    </w:p>
    <w:p>
      <w:pPr>
        <w:pStyle w:val="4"/>
        <w:spacing w:before="0" w:beforeLines="0" w:after="0" w:afterLines="0" w:line="360" w:lineRule="auto"/>
        <w:ind w:firstLine="480" w:firstLineChars="200"/>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16.</w:t>
      </w:r>
      <w:r>
        <w:rPr>
          <w:rFonts w:hint="eastAsia" w:ascii="宋体" w:hAnsi="宋体" w:cs="宋体"/>
          <w:b w:val="0"/>
          <w:bCs w:val="0"/>
          <w:color w:val="auto"/>
          <w:kern w:val="0"/>
          <w:sz w:val="24"/>
          <w:szCs w:val="24"/>
          <w:highlight w:val="none"/>
          <w:lang w:val="en-US" w:eastAsia="zh-CN" w:bidi="ar-SA"/>
        </w:rPr>
        <w:t>6</w:t>
      </w:r>
      <w:r>
        <w:rPr>
          <w:rFonts w:hint="eastAsia" w:ascii="宋体" w:hAnsi="宋体" w:eastAsia="宋体" w:cs="宋体"/>
          <w:b w:val="0"/>
          <w:bCs w:val="0"/>
          <w:color w:val="auto"/>
          <w:kern w:val="0"/>
          <w:sz w:val="24"/>
          <w:szCs w:val="24"/>
          <w:highlight w:val="none"/>
          <w:lang w:val="en-US" w:eastAsia="zh-CN" w:bidi="ar-SA"/>
        </w:rPr>
        <w:t>异常低价</w:t>
      </w:r>
      <w:bookmarkEnd w:id="8"/>
      <w:r>
        <w:rPr>
          <w:rFonts w:hint="eastAsia" w:ascii="宋体" w:hAnsi="宋体" w:eastAsia="宋体" w:cs="宋体"/>
          <w:b w:val="0"/>
          <w:bCs w:val="0"/>
          <w:color w:val="auto"/>
          <w:kern w:val="0"/>
          <w:sz w:val="24"/>
          <w:szCs w:val="24"/>
          <w:highlight w:val="none"/>
          <w:lang w:val="en-US" w:eastAsia="zh-CN" w:bidi="ar-SA"/>
        </w:rPr>
        <w:t>详见</w:t>
      </w:r>
      <w:r>
        <w:rPr>
          <w:rFonts w:hint="eastAsia" w:ascii="宋体" w:hAnsi="宋体" w:eastAsia="宋体" w:cs="宋体"/>
          <w:b/>
          <w:bCs/>
          <w:color w:val="auto"/>
          <w:kern w:val="0"/>
          <w:sz w:val="24"/>
          <w:szCs w:val="24"/>
          <w:highlight w:val="none"/>
          <w:lang w:val="en-US" w:eastAsia="zh-CN" w:bidi="ar-SA"/>
        </w:rPr>
        <w:t>谈判</w:t>
      </w:r>
      <w:r>
        <w:rPr>
          <w:rFonts w:hint="eastAsia" w:ascii="宋体" w:hAnsi="宋体" w:eastAsia="宋体" w:cs="宋体"/>
          <w:b/>
          <w:bCs/>
          <w:color w:val="auto"/>
          <w:kern w:val="0"/>
          <w:sz w:val="24"/>
          <w:highlight w:val="none"/>
        </w:rPr>
        <w:t>须知前附表</w:t>
      </w:r>
      <w:r>
        <w:rPr>
          <w:rFonts w:hint="eastAsia" w:ascii="宋体" w:hAnsi="宋体" w:eastAsia="宋体" w:cs="宋体"/>
          <w:b/>
          <w:bCs/>
          <w:color w:val="auto"/>
          <w:kern w:val="0"/>
          <w:sz w:val="24"/>
          <w:highlight w:val="none"/>
          <w:lang w:eastAsia="zh-CN"/>
        </w:rPr>
        <w:t>。</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p>
    <w:p>
      <w:pPr>
        <w:pStyle w:val="18"/>
        <w:pageBreakBefore w:val="0"/>
        <w:kinsoku/>
        <w:wordWrap/>
        <w:overflowPunct/>
        <w:topLinePunct w:val="0"/>
        <w:autoSpaceDE/>
        <w:autoSpaceDN/>
        <w:bidi w:val="0"/>
        <w:adjustRightInd/>
        <w:snapToGrid/>
        <w:spacing w:line="440" w:lineRule="exact"/>
        <w:textAlignment w:val="auto"/>
        <w:rPr>
          <w:rFonts w:hAnsi="宋体"/>
          <w:b/>
          <w:color w:val="auto"/>
          <w:sz w:val="24"/>
          <w:szCs w:val="24"/>
          <w:highlight w:val="none"/>
        </w:rPr>
      </w:pPr>
      <w:r>
        <w:rPr>
          <w:rFonts w:hint="eastAsia" w:hAnsi="宋体"/>
          <w:b/>
          <w:color w:val="auto"/>
          <w:sz w:val="24"/>
          <w:szCs w:val="24"/>
          <w:highlight w:val="none"/>
        </w:rPr>
        <w:t>17.供应商符合谈判文件规定的证明文件</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s="宋体"/>
          <w:color w:val="auto"/>
          <w:kern w:val="0"/>
          <w:sz w:val="24"/>
          <w:szCs w:val="24"/>
          <w:highlight w:val="none"/>
          <w:lang w:val="zh-CN"/>
        </w:rPr>
        <w:t>17.1</w:t>
      </w:r>
      <w:r>
        <w:rPr>
          <w:rFonts w:hint="eastAsia" w:ascii="宋体" w:hAnsi="宋体"/>
          <w:color w:val="auto"/>
          <w:sz w:val="24"/>
          <w:szCs w:val="24"/>
          <w:highlight w:val="none"/>
        </w:rPr>
        <w:t>在谈判</w:t>
      </w:r>
      <w:r>
        <w:rPr>
          <w:rFonts w:hint="eastAsia" w:ascii="宋体" w:hAnsi="宋体"/>
          <w:bCs/>
          <w:color w:val="auto"/>
          <w:sz w:val="24"/>
          <w:szCs w:val="24"/>
          <w:highlight w:val="none"/>
        </w:rPr>
        <w:t>小组确定邀请供应商名单起</w:t>
      </w:r>
      <w:r>
        <w:rPr>
          <w:rFonts w:hint="eastAsia" w:ascii="宋体" w:hAnsi="宋体"/>
          <w:color w:val="auto"/>
          <w:sz w:val="24"/>
          <w:szCs w:val="24"/>
          <w:highlight w:val="none"/>
        </w:rPr>
        <w:t>至</w:t>
      </w:r>
      <w:r>
        <w:rPr>
          <w:rFonts w:hint="eastAsia" w:ascii="宋体" w:hAnsi="宋体" w:cs="宋体"/>
          <w:color w:val="auto"/>
          <w:kern w:val="0"/>
          <w:sz w:val="24"/>
          <w:szCs w:val="24"/>
          <w:highlight w:val="none"/>
        </w:rPr>
        <w:t>提交首次响应文件</w:t>
      </w:r>
      <w:r>
        <w:rPr>
          <w:rFonts w:hint="eastAsia" w:ascii="宋体" w:hAnsi="宋体"/>
          <w:color w:val="auto"/>
          <w:sz w:val="24"/>
          <w:szCs w:val="24"/>
          <w:highlight w:val="none"/>
        </w:rPr>
        <w:t>止，供应商资格条件发生重大变化，影响或者可能影响资格条件的，供应商应更新或者补充提供的资格证明材料，以证实其各项条件仍能继续满足本章第3.1</w:t>
      </w:r>
      <w:r>
        <w:rPr>
          <w:rFonts w:hint="eastAsia" w:ascii="宋体" w:hAnsi="宋体" w:cs="宋体"/>
          <w:color w:val="auto"/>
          <w:kern w:val="0"/>
          <w:sz w:val="24"/>
          <w:szCs w:val="24"/>
          <w:highlight w:val="none"/>
          <w:lang w:val="zh-CN"/>
        </w:rPr>
        <w:t>款</w:t>
      </w:r>
      <w:r>
        <w:rPr>
          <w:rFonts w:hint="eastAsia" w:ascii="宋体" w:hAnsi="宋体"/>
          <w:color w:val="auto"/>
          <w:sz w:val="24"/>
          <w:szCs w:val="24"/>
          <w:highlight w:val="none"/>
        </w:rPr>
        <w:t>规定的供应商资格条件要求。</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17.2</w:t>
      </w:r>
      <w:r>
        <w:rPr>
          <w:rFonts w:hint="eastAsia" w:ascii="宋体" w:hAnsi="宋体" w:cs="宋体"/>
          <w:color w:val="auto"/>
          <w:kern w:val="0"/>
          <w:sz w:val="24"/>
          <w:szCs w:val="24"/>
          <w:highlight w:val="none"/>
          <w:lang w:val="zh-CN"/>
        </w:rPr>
        <w:t>供应商</w:t>
      </w:r>
      <w:r>
        <w:rPr>
          <w:rFonts w:hint="eastAsia" w:ascii="宋体" w:hAnsi="宋体"/>
          <w:color w:val="auto"/>
          <w:sz w:val="24"/>
          <w:szCs w:val="24"/>
          <w:highlight w:val="none"/>
        </w:rPr>
        <w:t>为联合体形式的，则应提交联合体各方资格文件、联合体协议，否则将视为非实质响应而被拒绝。</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17.3 证明货物及其服务与谈判文件要求一致的文件，可以是文字资料、图纸和数据，并须提供：</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（1）货物主要性能和参数的详细说明；</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（2）对照谈判文件技术规格，逐条说明所提供货物和服务对技术规格响应与偏离表，并申明技术规格条文的响应或偏离。对有具体参数要求的指标，</w:t>
      </w:r>
      <w:r>
        <w:rPr>
          <w:rFonts w:hint="eastAsia" w:hAnsi="宋体"/>
          <w:bCs/>
          <w:color w:val="auto"/>
          <w:sz w:val="24"/>
          <w:szCs w:val="24"/>
          <w:highlight w:val="none"/>
        </w:rPr>
        <w:t>供应商</w:t>
      </w:r>
      <w:r>
        <w:rPr>
          <w:rFonts w:hint="eastAsia" w:hAnsi="宋体"/>
          <w:color w:val="auto"/>
          <w:sz w:val="24"/>
          <w:szCs w:val="24"/>
          <w:highlight w:val="none"/>
        </w:rPr>
        <w:t>应提供具体参数值。</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17.4 除</w:t>
      </w:r>
      <w:r>
        <w:rPr>
          <w:rFonts w:hint="eastAsia" w:ascii="宋体" w:hAnsi="宋体"/>
          <w:b/>
          <w:color w:val="auto"/>
          <w:sz w:val="24"/>
          <w:szCs w:val="24"/>
          <w:highlight w:val="none"/>
        </w:rPr>
        <w:t>谈判须知前附表</w:t>
      </w:r>
      <w:r>
        <w:rPr>
          <w:rFonts w:hint="eastAsia" w:ascii="宋体" w:hAnsi="宋体"/>
          <w:color w:val="auto"/>
          <w:sz w:val="24"/>
          <w:szCs w:val="24"/>
          <w:highlight w:val="none"/>
        </w:rPr>
        <w:t>另有规定外，供应商提供的货物及服务不是供应商制造或拥有的，则必须提供经销、或代理采购货物、或采购货物提供售后服务的证明文件。</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 xml:space="preserve">17.5 </w:t>
      </w:r>
      <w:r>
        <w:rPr>
          <w:rFonts w:hint="eastAsia" w:ascii="宋体" w:hAnsi="宋体"/>
          <w:b/>
          <w:color w:val="auto"/>
          <w:sz w:val="24"/>
          <w:szCs w:val="24"/>
          <w:highlight w:val="none"/>
        </w:rPr>
        <w:t>谈判须知前附表</w:t>
      </w:r>
      <w:r>
        <w:rPr>
          <w:rFonts w:hint="eastAsia" w:ascii="宋体" w:hAnsi="宋体"/>
          <w:color w:val="auto"/>
          <w:sz w:val="24"/>
          <w:szCs w:val="24"/>
          <w:highlight w:val="none"/>
        </w:rPr>
        <w:t>规定</w:t>
      </w:r>
      <w:r>
        <w:rPr>
          <w:rFonts w:hint="eastAsia" w:ascii="宋体" w:hAnsi="宋体"/>
          <w:bCs/>
          <w:color w:val="auto"/>
          <w:sz w:val="24"/>
          <w:szCs w:val="24"/>
          <w:highlight w:val="none"/>
        </w:rPr>
        <w:t>供应商</w:t>
      </w:r>
      <w:r>
        <w:rPr>
          <w:rFonts w:hint="eastAsia" w:ascii="宋体" w:hAnsi="宋体"/>
          <w:color w:val="auto"/>
          <w:sz w:val="24"/>
          <w:szCs w:val="24"/>
          <w:highlight w:val="none"/>
        </w:rPr>
        <w:t>在谈判时提供样品的，</w:t>
      </w:r>
      <w:r>
        <w:rPr>
          <w:rFonts w:hint="eastAsia" w:ascii="宋体" w:hAnsi="宋体"/>
          <w:bCs/>
          <w:color w:val="auto"/>
          <w:sz w:val="24"/>
          <w:szCs w:val="24"/>
          <w:highlight w:val="none"/>
        </w:rPr>
        <w:t>供应商</w:t>
      </w:r>
      <w:r>
        <w:rPr>
          <w:rFonts w:ascii="宋体" w:hAnsi="宋体"/>
          <w:color w:val="auto"/>
          <w:sz w:val="24"/>
          <w:szCs w:val="24"/>
          <w:highlight w:val="none"/>
        </w:rPr>
        <w:t>有以下情形之一的</w:t>
      </w:r>
      <w:r>
        <w:rPr>
          <w:rFonts w:hint="eastAsia" w:ascii="宋体" w:hAnsi="宋体"/>
          <w:color w:val="auto"/>
          <w:sz w:val="24"/>
          <w:szCs w:val="24"/>
          <w:highlight w:val="none"/>
        </w:rPr>
        <w:t>，在评审时将其视为无效响应。</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（1）未在</w:t>
      </w:r>
      <w:r>
        <w:rPr>
          <w:rFonts w:hint="eastAsia" w:ascii="宋体" w:hAnsi="宋体"/>
          <w:b/>
          <w:color w:val="auto"/>
          <w:sz w:val="24"/>
          <w:szCs w:val="24"/>
          <w:highlight w:val="none"/>
        </w:rPr>
        <w:t>谈判须知前附表</w:t>
      </w:r>
      <w:r>
        <w:rPr>
          <w:rFonts w:hint="eastAsia" w:ascii="宋体" w:hAnsi="宋体"/>
          <w:color w:val="auto"/>
          <w:sz w:val="24"/>
          <w:szCs w:val="24"/>
          <w:highlight w:val="none"/>
        </w:rPr>
        <w:t>规定的提交时间、地点提交</w:t>
      </w:r>
      <w:r>
        <w:rPr>
          <w:rFonts w:ascii="宋体" w:hAnsi="宋体"/>
          <w:color w:val="auto"/>
          <w:sz w:val="24"/>
          <w:szCs w:val="24"/>
          <w:highlight w:val="none"/>
        </w:rPr>
        <w:t>的</w:t>
      </w:r>
      <w:r>
        <w:rPr>
          <w:rFonts w:hint="eastAsia" w:ascii="宋体" w:hAnsi="宋体"/>
          <w:color w:val="auto"/>
          <w:sz w:val="24"/>
          <w:szCs w:val="24"/>
          <w:highlight w:val="none"/>
        </w:rPr>
        <w:t>；</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（2）</w:t>
      </w:r>
      <w:r>
        <w:rPr>
          <w:rFonts w:hint="eastAsia" w:ascii="宋体" w:hAnsi="宋体"/>
          <w:bCs/>
          <w:color w:val="auto"/>
          <w:sz w:val="24"/>
          <w:szCs w:val="24"/>
          <w:highlight w:val="none"/>
        </w:rPr>
        <w:t>供应商</w:t>
      </w:r>
      <w:r>
        <w:rPr>
          <w:rFonts w:hint="eastAsia" w:ascii="宋体" w:hAnsi="宋体"/>
          <w:color w:val="auto"/>
          <w:sz w:val="24"/>
          <w:szCs w:val="24"/>
          <w:highlight w:val="none"/>
        </w:rPr>
        <w:t>提供的样品与谈判文件中要求提供样品的型号、规格不一致</w:t>
      </w:r>
      <w:r>
        <w:rPr>
          <w:rFonts w:ascii="宋体" w:hAnsi="宋体"/>
          <w:color w:val="auto"/>
          <w:sz w:val="24"/>
          <w:szCs w:val="24"/>
          <w:highlight w:val="none"/>
        </w:rPr>
        <w:t>的</w:t>
      </w:r>
      <w:r>
        <w:rPr>
          <w:rFonts w:hint="eastAsia" w:ascii="宋体" w:hAnsi="宋体"/>
          <w:color w:val="auto"/>
          <w:sz w:val="24"/>
          <w:szCs w:val="24"/>
          <w:highlight w:val="none"/>
        </w:rPr>
        <w:t>。</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（3）样品作为供应商响应文件的有效组成部分，样品制作的标准和要求、是否需要随样品提供检测报告、检测报告对检测机构的要求和检测内容、样品的评审方法和评审标准等事项详见第四章的“采购需求”。</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4）供应商应在首次响应文件提交截止时间前，摆放完毕响应样品及纸质样品清单，采购代理机构应对样品进行抽签编号，供应商自行抽到的数字作为其样品编号，样品的编号粘贴在各自样品的相同位置上，各供应商提交的纸质样品清单，由采购代理机构统一保管并做好保密工作。</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5）评审结束后，由竞争性谈判小组现场监督，采购代理机构对所有样品进行封存，将各供应商提交的纸质样品清单粘贴在供应商对应的样品上，封样后由采购代理机构通知供应商自行取回，成交结果公布后，由成交供应商自行将封存的样品送至采购人处，由采购人保管，作为履约验收的参考，其未成交供应商的样品自行处理。</w:t>
      </w:r>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18.保证金</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bCs/>
          <w:color w:val="auto"/>
          <w:sz w:val="24"/>
          <w:szCs w:val="24"/>
          <w:highlight w:val="none"/>
        </w:rPr>
      </w:pPr>
      <w:r>
        <w:rPr>
          <w:rFonts w:hint="eastAsia" w:hAnsi="宋体"/>
          <w:color w:val="auto"/>
          <w:sz w:val="24"/>
          <w:szCs w:val="24"/>
          <w:highlight w:val="none"/>
        </w:rPr>
        <w:t>18.1</w:t>
      </w:r>
      <w:r>
        <w:rPr>
          <w:rFonts w:hint="eastAsia" w:hAnsi="宋体"/>
          <w:b/>
          <w:color w:val="auto"/>
          <w:sz w:val="24"/>
          <w:szCs w:val="24"/>
          <w:highlight w:val="none"/>
        </w:rPr>
        <w:t>谈判须知前附表</w:t>
      </w:r>
      <w:r>
        <w:rPr>
          <w:rFonts w:hint="eastAsia" w:hAnsi="宋体"/>
          <w:color w:val="auto"/>
          <w:sz w:val="24"/>
          <w:szCs w:val="24"/>
          <w:highlight w:val="none"/>
        </w:rPr>
        <w:t>规定交纳</w:t>
      </w:r>
      <w:r>
        <w:rPr>
          <w:rFonts w:hint="eastAsia" w:hAnsi="宋体"/>
          <w:bCs/>
          <w:color w:val="auto"/>
          <w:sz w:val="24"/>
          <w:szCs w:val="24"/>
          <w:highlight w:val="none"/>
        </w:rPr>
        <w:t>保证金的</w:t>
      </w:r>
      <w:r>
        <w:rPr>
          <w:rFonts w:hint="eastAsia" w:hAnsi="宋体"/>
          <w:color w:val="auto"/>
          <w:sz w:val="24"/>
          <w:szCs w:val="24"/>
          <w:highlight w:val="none"/>
        </w:rPr>
        <w:t>，应按</w:t>
      </w:r>
      <w:r>
        <w:rPr>
          <w:rFonts w:hint="eastAsia" w:hAnsi="宋体"/>
          <w:b/>
          <w:color w:val="auto"/>
          <w:sz w:val="24"/>
          <w:szCs w:val="24"/>
          <w:highlight w:val="none"/>
        </w:rPr>
        <w:t>谈判须知前附表</w:t>
      </w:r>
      <w:r>
        <w:rPr>
          <w:rFonts w:hint="eastAsia" w:hAnsi="宋体"/>
          <w:color w:val="auto"/>
          <w:sz w:val="24"/>
          <w:szCs w:val="24"/>
          <w:highlight w:val="none"/>
        </w:rPr>
        <w:t>规定的</w:t>
      </w:r>
      <w:r>
        <w:rPr>
          <w:rFonts w:hint="eastAsia" w:hAnsi="宋体"/>
          <w:bCs/>
          <w:color w:val="auto"/>
          <w:sz w:val="24"/>
          <w:szCs w:val="24"/>
          <w:highlight w:val="none"/>
        </w:rPr>
        <w:t>保证金形式交纳，不得以现金方式交纳</w:t>
      </w:r>
      <w:r>
        <w:rPr>
          <w:rFonts w:hint="eastAsia" w:hAnsi="宋体"/>
          <w:color w:val="auto"/>
          <w:sz w:val="24"/>
          <w:szCs w:val="24"/>
          <w:highlight w:val="none"/>
        </w:rPr>
        <w:t>，在本章第12.1</w:t>
      </w:r>
      <w:r>
        <w:rPr>
          <w:rFonts w:hint="eastAsia" w:hAnsi="宋体" w:cs="宋体"/>
          <w:color w:val="auto"/>
          <w:sz w:val="24"/>
          <w:szCs w:val="24"/>
          <w:highlight w:val="none"/>
          <w:lang w:val="zh-CN"/>
        </w:rPr>
        <w:t>款</w:t>
      </w:r>
      <w:r>
        <w:rPr>
          <w:rFonts w:hint="eastAsia" w:hAnsi="宋体"/>
          <w:color w:val="auto"/>
          <w:sz w:val="24"/>
          <w:szCs w:val="24"/>
          <w:highlight w:val="none"/>
        </w:rPr>
        <w:t>规定的</w:t>
      </w:r>
      <w:r>
        <w:rPr>
          <w:rFonts w:hint="eastAsia" w:hAnsi="宋体" w:cs="宋体"/>
          <w:color w:val="auto"/>
          <w:sz w:val="24"/>
          <w:szCs w:val="24"/>
          <w:highlight w:val="none"/>
        </w:rPr>
        <w:t>提交首次响应文件截止时间</w:t>
      </w:r>
      <w:r>
        <w:rPr>
          <w:rFonts w:hint="eastAsia" w:hAnsi="宋体"/>
          <w:color w:val="auto"/>
          <w:sz w:val="24"/>
          <w:szCs w:val="24"/>
          <w:highlight w:val="none"/>
        </w:rPr>
        <w:t>前，</w:t>
      </w:r>
      <w:r>
        <w:rPr>
          <w:rFonts w:hint="eastAsia" w:hAnsi="宋体"/>
          <w:bCs/>
          <w:color w:val="auto"/>
          <w:sz w:val="24"/>
          <w:szCs w:val="24"/>
          <w:highlight w:val="none"/>
        </w:rPr>
        <w:t>向采购代理机构交纳不超过</w:t>
      </w:r>
      <w:r>
        <w:rPr>
          <w:rFonts w:hint="eastAsia" w:hAnsi="宋体" w:cs="宋体"/>
          <w:color w:val="auto"/>
          <w:sz w:val="24"/>
          <w:szCs w:val="24"/>
          <w:highlight w:val="none"/>
          <w:lang w:val="zh-CN"/>
        </w:rPr>
        <w:t>采购项目预算</w:t>
      </w:r>
      <w:r>
        <w:rPr>
          <w:rFonts w:hint="eastAsia" w:hAnsi="宋体" w:cs="宋体"/>
          <w:color w:val="FF0000"/>
          <w:sz w:val="24"/>
          <w:szCs w:val="24"/>
          <w:highlight w:val="none"/>
          <w:lang w:val="en-US" w:eastAsia="zh-CN"/>
        </w:rPr>
        <w:t>0.5</w:t>
      </w:r>
      <w:r>
        <w:rPr>
          <w:rFonts w:hint="eastAsia" w:hAnsi="宋体" w:cs="宋体"/>
          <w:color w:val="FF0000"/>
          <w:sz w:val="24"/>
          <w:szCs w:val="24"/>
          <w:highlight w:val="none"/>
          <w:lang w:val="zh-CN"/>
        </w:rPr>
        <w:t>﹪</w:t>
      </w:r>
      <w:r>
        <w:rPr>
          <w:rFonts w:hint="eastAsia" w:hAnsi="宋体"/>
          <w:bCs/>
          <w:color w:val="auto"/>
          <w:sz w:val="24"/>
          <w:szCs w:val="24"/>
          <w:highlight w:val="none"/>
        </w:rPr>
        <w:t>的保证金(数额采用四舍五入，计算至元)</w:t>
      </w:r>
      <w:r>
        <w:rPr>
          <w:rFonts w:hint="eastAsia" w:hAnsi="宋体"/>
          <w:color w:val="auto"/>
          <w:sz w:val="24"/>
          <w:szCs w:val="24"/>
          <w:highlight w:val="none"/>
        </w:rPr>
        <w:t>。</w:t>
      </w:r>
      <w:r>
        <w:rPr>
          <w:rFonts w:hint="eastAsia" w:hAnsi="宋体"/>
          <w:bCs/>
          <w:color w:val="auto"/>
          <w:sz w:val="24"/>
          <w:szCs w:val="24"/>
          <w:highlight w:val="none"/>
        </w:rPr>
        <w:t>保证金有效期应当与</w:t>
      </w:r>
      <w:r>
        <w:rPr>
          <w:rFonts w:hint="eastAsia" w:hAnsi="宋体"/>
          <w:color w:val="auto"/>
          <w:sz w:val="24"/>
          <w:szCs w:val="24"/>
          <w:highlight w:val="none"/>
        </w:rPr>
        <w:t>本章第19.1</w:t>
      </w:r>
      <w:r>
        <w:rPr>
          <w:rFonts w:hint="eastAsia" w:hAnsi="宋体" w:cs="宋体"/>
          <w:color w:val="auto"/>
          <w:sz w:val="24"/>
          <w:szCs w:val="24"/>
          <w:highlight w:val="none"/>
          <w:lang w:val="zh-CN"/>
        </w:rPr>
        <w:t>款</w:t>
      </w:r>
      <w:r>
        <w:rPr>
          <w:rFonts w:hint="eastAsia" w:hAnsi="宋体"/>
          <w:color w:val="auto"/>
          <w:sz w:val="24"/>
          <w:szCs w:val="24"/>
          <w:highlight w:val="none"/>
        </w:rPr>
        <w:t>规定的</w:t>
      </w:r>
      <w:r>
        <w:rPr>
          <w:rFonts w:hint="eastAsia" w:hAnsi="宋体"/>
          <w:bCs/>
          <w:color w:val="auto"/>
          <w:sz w:val="24"/>
          <w:szCs w:val="24"/>
          <w:highlight w:val="none"/>
        </w:rPr>
        <w:t>响应文件有效期一致。</w:t>
      </w:r>
    </w:p>
    <w:p>
      <w:pPr>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ascii="宋体" w:hAnsi="宋体"/>
          <w:color w:val="auto"/>
          <w:sz w:val="24"/>
          <w:szCs w:val="24"/>
          <w:highlight w:val="none"/>
        </w:rPr>
        <w:t>18.2</w:t>
      </w:r>
      <w:r>
        <w:rPr>
          <w:rFonts w:hint="eastAsia" w:ascii="宋体" w:hAnsi="宋体" w:cs="宋体"/>
          <w:color w:val="auto"/>
          <w:kern w:val="0"/>
          <w:sz w:val="24"/>
          <w:szCs w:val="24"/>
          <w:highlight w:val="none"/>
          <w:lang w:val="zh-CN"/>
        </w:rPr>
        <w:t>供应商为联合体的，可以由联合体中的一方或者共同交纳保证金，其交纳的保证金，对联合体各方均具有约束力。</w:t>
      </w:r>
    </w:p>
    <w:p>
      <w:pPr>
        <w:pStyle w:val="18"/>
        <w:pageBreakBefore w:val="0"/>
        <w:tabs>
          <w:tab w:val="left" w:pos="6300"/>
        </w:tabs>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18.</w:t>
      </w:r>
      <w:r>
        <w:rPr>
          <w:rFonts w:hint="eastAsia" w:hAnsi="宋体"/>
          <w:color w:val="auto"/>
          <w:sz w:val="24"/>
          <w:szCs w:val="24"/>
          <w:highlight w:val="none"/>
          <w:lang w:val="en-US" w:eastAsia="zh-CN"/>
        </w:rPr>
        <w:t>3</w:t>
      </w:r>
      <w:r>
        <w:rPr>
          <w:rFonts w:hint="eastAsia" w:hAnsi="宋体"/>
          <w:color w:val="auto"/>
          <w:sz w:val="24"/>
          <w:szCs w:val="24"/>
          <w:highlight w:val="none"/>
        </w:rPr>
        <w:t>采购代理机构在成交通知书发出</w:t>
      </w:r>
      <w:r>
        <w:rPr>
          <w:rFonts w:hint="eastAsia" w:hAnsi="宋体"/>
          <w:color w:val="auto"/>
          <w:sz w:val="24"/>
          <w:szCs w:val="24"/>
          <w:highlight w:val="none"/>
          <w:lang w:eastAsia="zh-CN"/>
        </w:rPr>
        <w:t>之日起</w:t>
      </w:r>
      <w:r>
        <w:rPr>
          <w:rFonts w:hint="eastAsia" w:hAnsi="宋体"/>
          <w:color w:val="auto"/>
          <w:sz w:val="24"/>
          <w:szCs w:val="24"/>
          <w:highlight w:val="none"/>
          <w:lang w:val="en-US" w:eastAsia="zh-CN"/>
        </w:rPr>
        <w:t>5</w:t>
      </w:r>
      <w:r>
        <w:rPr>
          <w:rFonts w:hint="eastAsia" w:hAnsi="宋体"/>
          <w:color w:val="auto"/>
          <w:sz w:val="24"/>
          <w:szCs w:val="24"/>
          <w:highlight w:val="none"/>
        </w:rPr>
        <w:t>个工作日</w:t>
      </w:r>
      <w:r>
        <w:rPr>
          <w:rFonts w:hint="eastAsia" w:hAnsi="宋体"/>
          <w:color w:val="auto"/>
          <w:sz w:val="24"/>
          <w:szCs w:val="24"/>
          <w:highlight w:val="none"/>
          <w:lang w:eastAsia="zh-CN"/>
        </w:rPr>
        <w:t>内</w:t>
      </w:r>
      <w:r>
        <w:rPr>
          <w:rFonts w:hint="eastAsia" w:hAnsi="宋体"/>
          <w:color w:val="auto"/>
          <w:sz w:val="24"/>
          <w:szCs w:val="24"/>
          <w:highlight w:val="none"/>
        </w:rPr>
        <w:t>退还未成交供应商的保证金；在采购合同</w:t>
      </w:r>
      <w:r>
        <w:rPr>
          <w:rFonts w:hint="eastAsia" w:hAnsi="宋体"/>
          <w:color w:val="auto"/>
          <w:sz w:val="24"/>
          <w:szCs w:val="24"/>
          <w:highlight w:val="none"/>
          <w:lang w:eastAsia="zh-CN"/>
        </w:rPr>
        <w:t>签订之日起</w:t>
      </w:r>
      <w:r>
        <w:rPr>
          <w:rFonts w:hint="eastAsia" w:hAnsi="宋体"/>
          <w:color w:val="auto"/>
          <w:sz w:val="24"/>
          <w:szCs w:val="24"/>
          <w:highlight w:val="none"/>
          <w:lang w:val="en-US" w:eastAsia="zh-CN"/>
        </w:rPr>
        <w:t>5</w:t>
      </w:r>
      <w:r>
        <w:rPr>
          <w:rFonts w:hint="eastAsia" w:hAnsi="宋体"/>
          <w:color w:val="auto"/>
          <w:sz w:val="24"/>
          <w:szCs w:val="24"/>
          <w:highlight w:val="none"/>
        </w:rPr>
        <w:t>个工作日</w:t>
      </w:r>
      <w:r>
        <w:rPr>
          <w:rFonts w:hint="eastAsia" w:hAnsi="宋体"/>
          <w:color w:val="auto"/>
          <w:sz w:val="24"/>
          <w:szCs w:val="24"/>
          <w:highlight w:val="none"/>
          <w:lang w:eastAsia="zh-CN"/>
        </w:rPr>
        <w:t>内</w:t>
      </w:r>
      <w:r>
        <w:rPr>
          <w:rFonts w:hint="eastAsia" w:hAnsi="宋体"/>
          <w:color w:val="auto"/>
          <w:sz w:val="24"/>
          <w:szCs w:val="24"/>
          <w:highlight w:val="none"/>
        </w:rPr>
        <w:t>退还成交供应商的保证金，但因供应商自身原因导致无法及时退还的除外。</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18.</w:t>
      </w:r>
      <w:r>
        <w:rPr>
          <w:rFonts w:hint="eastAsia" w:hAnsi="宋体"/>
          <w:color w:val="auto"/>
          <w:sz w:val="24"/>
          <w:szCs w:val="24"/>
          <w:highlight w:val="none"/>
          <w:lang w:val="en-US" w:eastAsia="zh-CN"/>
        </w:rPr>
        <w:t>4</w:t>
      </w:r>
      <w:r>
        <w:rPr>
          <w:rFonts w:hint="eastAsia" w:hAnsi="宋体"/>
          <w:color w:val="auto"/>
          <w:sz w:val="24"/>
          <w:szCs w:val="24"/>
          <w:highlight w:val="none"/>
        </w:rPr>
        <w:t>有下列情形之一的，保证金不予退还，并上缴本级财政国库：</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（1）供应商在本章第12.1项规定的谈判开始之日后撤回响应文件的；</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（2）供应商在响应文件中提供虚假材料或虚假承诺的；</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（3）确定成交结果后，无正当理由放弃成交资格的；</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（4）成交供应商无正当理由不与采购人</w:t>
      </w:r>
      <w:r>
        <w:rPr>
          <w:rFonts w:hint="eastAsia" w:hAnsi="宋体"/>
          <w:color w:val="auto"/>
          <w:sz w:val="24"/>
          <w:szCs w:val="24"/>
          <w:highlight w:val="none"/>
          <w:lang w:eastAsia="zh-CN"/>
        </w:rPr>
        <w:t>签订</w:t>
      </w:r>
      <w:r>
        <w:rPr>
          <w:rFonts w:hint="eastAsia" w:hAnsi="宋体"/>
          <w:color w:val="auto"/>
          <w:sz w:val="24"/>
          <w:szCs w:val="24"/>
          <w:highlight w:val="none"/>
        </w:rPr>
        <w:t>合同的，或转让、分包项目以及拒绝履行合同义务的；</w:t>
      </w:r>
    </w:p>
    <w:p>
      <w:pPr>
        <w:pStyle w:val="18"/>
        <w:pageBreakBefore w:val="0"/>
        <w:kinsoku/>
        <w:wordWrap/>
        <w:overflowPunct/>
        <w:topLinePunct w:val="0"/>
        <w:autoSpaceDE/>
        <w:autoSpaceDN/>
        <w:bidi w:val="0"/>
        <w:adjustRightInd/>
        <w:snapToGrid/>
        <w:spacing w:line="440" w:lineRule="exact"/>
        <w:ind w:firstLine="600" w:firstLineChars="250"/>
        <w:textAlignment w:val="auto"/>
        <w:rPr>
          <w:rFonts w:hAnsi="宋体"/>
          <w:color w:val="auto"/>
          <w:sz w:val="24"/>
          <w:szCs w:val="24"/>
          <w:highlight w:val="none"/>
        </w:rPr>
      </w:pPr>
      <w:r>
        <w:rPr>
          <w:rFonts w:hint="eastAsia" w:hAnsi="宋体"/>
          <w:color w:val="auto"/>
          <w:sz w:val="24"/>
          <w:szCs w:val="24"/>
          <w:highlight w:val="none"/>
        </w:rPr>
        <w:t>(5)供应商与采购人、其他供应商或者采购代理机构恶意串通的；</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（6）谈判文件规定的其他情形。</w:t>
      </w:r>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19.</w:t>
      </w:r>
      <w:r>
        <w:rPr>
          <w:rFonts w:hint="eastAsia" w:ascii="宋体" w:hAnsi="宋体"/>
          <w:color w:val="auto"/>
          <w:sz w:val="24"/>
          <w:szCs w:val="24"/>
          <w:highlight w:val="none"/>
        </w:rPr>
        <w:t xml:space="preserve"> </w:t>
      </w:r>
      <w:r>
        <w:rPr>
          <w:rFonts w:hint="eastAsia" w:ascii="宋体" w:hAnsi="宋体"/>
          <w:b/>
          <w:color w:val="auto"/>
          <w:sz w:val="24"/>
          <w:szCs w:val="24"/>
          <w:highlight w:val="none"/>
        </w:rPr>
        <w:t>响应文件有效期</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19.1响应文件有效期见</w:t>
      </w:r>
      <w:r>
        <w:rPr>
          <w:rFonts w:hint="eastAsia" w:ascii="宋体" w:hAnsi="宋体"/>
          <w:b/>
          <w:color w:val="auto"/>
          <w:sz w:val="24"/>
          <w:szCs w:val="24"/>
          <w:highlight w:val="none"/>
        </w:rPr>
        <w:t>谈判须知前附表</w:t>
      </w:r>
      <w:r>
        <w:rPr>
          <w:rFonts w:hint="eastAsia" w:ascii="宋体" w:hAnsi="宋体"/>
          <w:color w:val="auto"/>
          <w:sz w:val="24"/>
          <w:szCs w:val="24"/>
          <w:highlight w:val="none"/>
        </w:rPr>
        <w:t>，在此期间响应文件对供应商具有法律约束力，</w:t>
      </w:r>
      <w:r>
        <w:rPr>
          <w:rFonts w:hint="eastAsia" w:ascii="宋体" w:hAnsi="宋体" w:cs="Arial"/>
          <w:color w:val="auto"/>
          <w:sz w:val="24"/>
          <w:szCs w:val="24"/>
          <w:highlight w:val="none"/>
        </w:rPr>
        <w:t>从</w:t>
      </w:r>
      <w:r>
        <w:rPr>
          <w:rFonts w:hint="eastAsia" w:ascii="宋体" w:hAnsi="宋体"/>
          <w:color w:val="auto"/>
          <w:sz w:val="24"/>
          <w:szCs w:val="24"/>
          <w:highlight w:val="none"/>
        </w:rPr>
        <w:t>本章第12.1</w:t>
      </w:r>
      <w:r>
        <w:rPr>
          <w:rFonts w:hint="eastAsia" w:ascii="宋体" w:hAnsi="宋体" w:cs="宋体"/>
          <w:color w:val="auto"/>
          <w:kern w:val="0"/>
          <w:sz w:val="24"/>
          <w:szCs w:val="24"/>
          <w:highlight w:val="none"/>
          <w:lang w:val="zh-CN"/>
        </w:rPr>
        <w:t>款</w:t>
      </w:r>
      <w:r>
        <w:rPr>
          <w:rFonts w:hint="eastAsia" w:ascii="宋体" w:hAnsi="宋体"/>
          <w:color w:val="auto"/>
          <w:sz w:val="24"/>
          <w:szCs w:val="24"/>
          <w:highlight w:val="none"/>
        </w:rPr>
        <w:t>规定的</w:t>
      </w:r>
      <w:r>
        <w:rPr>
          <w:rFonts w:hint="eastAsia" w:ascii="宋体" w:hAnsi="宋体" w:cs="宋体"/>
          <w:color w:val="auto"/>
          <w:kern w:val="0"/>
          <w:sz w:val="24"/>
          <w:szCs w:val="24"/>
          <w:highlight w:val="none"/>
        </w:rPr>
        <w:t>提交首次响应文件截止时间</w:t>
      </w:r>
      <w:r>
        <w:rPr>
          <w:rFonts w:hint="eastAsia" w:ascii="宋体" w:hAnsi="宋体"/>
          <w:color w:val="auto"/>
          <w:sz w:val="24"/>
          <w:szCs w:val="24"/>
          <w:highlight w:val="none"/>
        </w:rPr>
        <w:t>之日</w:t>
      </w:r>
      <w:r>
        <w:rPr>
          <w:rFonts w:hint="eastAsia" w:ascii="宋体" w:hAnsi="宋体" w:cs="Arial"/>
          <w:color w:val="auto"/>
          <w:sz w:val="24"/>
          <w:szCs w:val="24"/>
          <w:highlight w:val="none"/>
        </w:rPr>
        <w:t>起计算。</w:t>
      </w:r>
      <w:r>
        <w:rPr>
          <w:rFonts w:hint="eastAsia" w:ascii="宋体" w:hAnsi="宋体"/>
          <w:color w:val="auto"/>
          <w:sz w:val="24"/>
          <w:szCs w:val="24"/>
          <w:highlight w:val="none"/>
        </w:rPr>
        <w:t>响应文件有效期不足的将被视为无效响应。</w:t>
      </w:r>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20.响应文件的签署及规定</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20.1响应文件的正本和副本应装订成册，正本一份，副本份数见</w:t>
      </w:r>
      <w:r>
        <w:rPr>
          <w:rFonts w:hint="eastAsia" w:hAnsi="宋体"/>
          <w:b/>
          <w:color w:val="auto"/>
          <w:sz w:val="24"/>
          <w:szCs w:val="24"/>
          <w:highlight w:val="none"/>
        </w:rPr>
        <w:t>谈判须知前附表</w:t>
      </w:r>
      <w:r>
        <w:rPr>
          <w:rFonts w:hint="eastAsia" w:hAnsi="宋体"/>
          <w:color w:val="auto"/>
          <w:sz w:val="24"/>
          <w:szCs w:val="24"/>
          <w:highlight w:val="none"/>
        </w:rPr>
        <w:t>。正本和副本的封面上应标记“正本”或“副本”的字样，当正本和副本有差异时，以正本为准。</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20.2响应文件正本和副本</w:t>
      </w:r>
      <w:r>
        <w:rPr>
          <w:rFonts w:hint="eastAsia" w:hAnsi="宋体"/>
          <w:color w:val="auto"/>
          <w:sz w:val="24"/>
          <w:szCs w:val="24"/>
          <w:highlight w:val="none"/>
          <w:lang w:eastAsia="zh-CN"/>
        </w:rPr>
        <w:t>，包括文件封面，</w:t>
      </w:r>
      <w:r>
        <w:rPr>
          <w:rFonts w:hint="eastAsia" w:hAnsi="宋体"/>
          <w:color w:val="auto"/>
          <w:sz w:val="24"/>
          <w:szCs w:val="24"/>
          <w:highlight w:val="none"/>
        </w:rPr>
        <w:t>应按谈判文件要求签章处盖单位章和由法定代表人或其委托代理人签字；任何加行、涂改、增删，应有法定代表人或其委托代理人在旁边签字。否则，将导致响应文件无效。</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20.3 在谈判过程中，供应商按谈判文件规定和谈判小组要求</w:t>
      </w:r>
      <w:r>
        <w:rPr>
          <w:rFonts w:hint="eastAsia" w:hAnsi="宋体" w:cs="宋体"/>
          <w:color w:val="auto"/>
          <w:sz w:val="24"/>
          <w:szCs w:val="24"/>
          <w:highlight w:val="none"/>
        </w:rPr>
        <w:t>提交的</w:t>
      </w:r>
      <w:r>
        <w:rPr>
          <w:rFonts w:hint="eastAsia" w:hAnsi="宋体"/>
          <w:color w:val="auto"/>
          <w:sz w:val="24"/>
          <w:szCs w:val="24"/>
          <w:highlight w:val="none"/>
        </w:rPr>
        <w:t>最后</w:t>
      </w:r>
      <w:r>
        <w:rPr>
          <w:rFonts w:hint="eastAsia" w:hAnsi="宋体"/>
          <w:color w:val="auto"/>
          <w:sz w:val="24"/>
          <w:szCs w:val="24"/>
          <w:highlight w:val="none"/>
          <w:lang w:eastAsia="zh-CN"/>
        </w:rPr>
        <w:t>报价</w:t>
      </w:r>
      <w:r>
        <w:rPr>
          <w:rFonts w:hint="eastAsia" w:hAnsi="宋体"/>
          <w:color w:val="auto"/>
          <w:sz w:val="24"/>
          <w:szCs w:val="24"/>
          <w:highlight w:val="none"/>
        </w:rPr>
        <w:t>(或者</w:t>
      </w:r>
      <w:r>
        <w:rPr>
          <w:rFonts w:hint="eastAsia" w:hAnsi="宋体"/>
          <w:bCs/>
          <w:color w:val="auto"/>
          <w:sz w:val="24"/>
          <w:szCs w:val="24"/>
          <w:highlight w:val="none"/>
        </w:rPr>
        <w:t>重</w:t>
      </w:r>
      <w:r>
        <w:rPr>
          <w:rFonts w:hint="eastAsia" w:hAnsi="宋体" w:cs="宋体"/>
          <w:color w:val="auto"/>
          <w:sz w:val="24"/>
          <w:szCs w:val="24"/>
          <w:highlight w:val="none"/>
        </w:rPr>
        <w:t>新提交的响应文件和</w:t>
      </w:r>
      <w:r>
        <w:rPr>
          <w:rFonts w:hint="eastAsia" w:hAnsi="宋体"/>
          <w:color w:val="auto"/>
          <w:sz w:val="24"/>
          <w:szCs w:val="24"/>
          <w:highlight w:val="none"/>
        </w:rPr>
        <w:t>最后</w:t>
      </w:r>
      <w:r>
        <w:rPr>
          <w:rFonts w:hint="eastAsia" w:hAnsi="宋体"/>
          <w:color w:val="auto"/>
          <w:sz w:val="24"/>
          <w:szCs w:val="24"/>
          <w:highlight w:val="none"/>
          <w:lang w:eastAsia="zh-CN"/>
        </w:rPr>
        <w:t>报价</w:t>
      </w:r>
      <w:r>
        <w:rPr>
          <w:rFonts w:hint="eastAsia" w:hAnsi="宋体"/>
          <w:color w:val="auto"/>
          <w:sz w:val="24"/>
          <w:szCs w:val="24"/>
          <w:highlight w:val="none"/>
        </w:rPr>
        <w:t>)，可打印或用不</w:t>
      </w:r>
      <w:r>
        <w:rPr>
          <w:rFonts w:hint="eastAsia" w:hAnsi="宋体"/>
          <w:color w:val="auto"/>
          <w:sz w:val="24"/>
          <w:szCs w:val="24"/>
          <w:highlight w:val="none"/>
          <w:lang w:eastAsia="zh-CN"/>
        </w:rPr>
        <w:t>褪</w:t>
      </w:r>
      <w:r>
        <w:rPr>
          <w:rFonts w:hint="eastAsia" w:hAnsi="宋体"/>
          <w:color w:val="auto"/>
          <w:sz w:val="24"/>
          <w:szCs w:val="24"/>
          <w:highlight w:val="none"/>
        </w:rPr>
        <w:t>色墨水书写，但需经法定代表人或其委托代理人签字，</w:t>
      </w:r>
      <w:r>
        <w:rPr>
          <w:rFonts w:hint="eastAsia" w:hAnsi="宋体" w:cs="宋体"/>
          <w:color w:val="auto"/>
          <w:sz w:val="24"/>
          <w:szCs w:val="24"/>
          <w:highlight w:val="none"/>
          <w:lang w:eastAsia="zh-CN"/>
        </w:rPr>
        <w:t>或</w:t>
      </w:r>
      <w:r>
        <w:rPr>
          <w:rFonts w:hint="eastAsia" w:hAnsi="宋体" w:cs="宋体"/>
          <w:color w:val="auto"/>
          <w:sz w:val="24"/>
          <w:szCs w:val="24"/>
          <w:highlight w:val="none"/>
        </w:rPr>
        <w:t>加盖供应商单位章</w:t>
      </w:r>
      <w:r>
        <w:rPr>
          <w:rFonts w:hint="eastAsia" w:hAnsi="宋体"/>
          <w:color w:val="auto"/>
          <w:sz w:val="24"/>
          <w:szCs w:val="24"/>
          <w:highlight w:val="none"/>
        </w:rPr>
        <w:t>。否则，将导致响应文件无效。</w:t>
      </w:r>
    </w:p>
    <w:p>
      <w:pPr>
        <w:pStyle w:val="3"/>
        <w:pageBreakBefore w:val="0"/>
        <w:kinsoku/>
        <w:wordWrap/>
        <w:overflowPunct/>
        <w:topLinePunct w:val="0"/>
        <w:autoSpaceDE/>
        <w:autoSpaceDN/>
        <w:bidi w:val="0"/>
        <w:adjustRightInd/>
        <w:snapToGrid/>
        <w:spacing w:before="0" w:beforeLines="0" w:after="0" w:afterLines="0" w:line="440" w:lineRule="exact"/>
        <w:textAlignment w:val="auto"/>
        <w:rPr>
          <w:rFonts w:ascii="宋体" w:hAnsi="宋体"/>
          <w:color w:val="auto"/>
          <w:sz w:val="24"/>
          <w:szCs w:val="24"/>
          <w:highlight w:val="none"/>
        </w:rPr>
      </w:pPr>
      <w:bookmarkStart w:id="9" w:name="_Toc29659"/>
      <w:r>
        <w:rPr>
          <w:rFonts w:hint="eastAsia" w:ascii="宋体" w:hAnsi="宋体"/>
          <w:color w:val="auto"/>
          <w:sz w:val="24"/>
          <w:szCs w:val="24"/>
          <w:highlight w:val="none"/>
        </w:rPr>
        <w:t>四、响应文件的递交</w:t>
      </w:r>
      <w:bookmarkEnd w:id="9"/>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21.</w:t>
      </w:r>
      <w:r>
        <w:rPr>
          <w:rFonts w:hint="eastAsia" w:ascii="宋体" w:hAnsi="宋体"/>
          <w:b/>
          <w:color w:val="auto"/>
          <w:sz w:val="24"/>
          <w:szCs w:val="24"/>
          <w:highlight w:val="none"/>
        </w:rPr>
        <w:t>响应文件</w:t>
      </w:r>
      <w:r>
        <w:rPr>
          <w:rFonts w:hint="eastAsia" w:ascii="宋体" w:hAnsi="宋体"/>
          <w:b/>
          <w:bCs/>
          <w:color w:val="auto"/>
          <w:sz w:val="24"/>
          <w:szCs w:val="24"/>
          <w:highlight w:val="none"/>
        </w:rPr>
        <w:t>的密封和标记</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21.1响应文件应密封包装，在封套两端折叠封口处加贴封条，并盖供应商单位章或者由法定代表人或其委托代理人签字。</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21.2响应文件封套上应写明的内容见</w:t>
      </w:r>
      <w:r>
        <w:rPr>
          <w:rFonts w:hint="eastAsia" w:ascii="宋体" w:hAnsi="宋体"/>
          <w:b/>
          <w:color w:val="auto"/>
          <w:sz w:val="24"/>
          <w:szCs w:val="24"/>
          <w:highlight w:val="none"/>
        </w:rPr>
        <w:t>谈判须知前附表。</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21.3响应文件如果未按上述规定密封和加写标记，采购人或采购代理机构将拒绝接收。</w:t>
      </w:r>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22.响应文件的</w:t>
      </w:r>
      <w:r>
        <w:rPr>
          <w:rFonts w:hint="eastAsia" w:ascii="宋体" w:hAnsi="宋体" w:cs="宋体"/>
          <w:b/>
          <w:color w:val="auto"/>
          <w:kern w:val="0"/>
          <w:sz w:val="24"/>
          <w:szCs w:val="24"/>
          <w:highlight w:val="none"/>
          <w:lang w:val="zh-CN"/>
        </w:rPr>
        <w:t>补充、修改或者撤回</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22.1</w:t>
      </w:r>
      <w:r>
        <w:rPr>
          <w:rFonts w:hint="eastAsia" w:hAnsi="宋体" w:cs="宋体"/>
          <w:color w:val="auto"/>
          <w:sz w:val="24"/>
          <w:szCs w:val="24"/>
          <w:highlight w:val="none"/>
        </w:rPr>
        <w:t>供应商在</w:t>
      </w:r>
      <w:r>
        <w:rPr>
          <w:rFonts w:hint="eastAsia" w:hAnsi="宋体"/>
          <w:color w:val="auto"/>
          <w:sz w:val="24"/>
          <w:szCs w:val="24"/>
          <w:highlight w:val="none"/>
        </w:rPr>
        <w:t>本章第12.1</w:t>
      </w:r>
      <w:r>
        <w:rPr>
          <w:rFonts w:hint="eastAsia" w:hAnsi="宋体" w:cs="宋体"/>
          <w:color w:val="auto"/>
          <w:sz w:val="24"/>
          <w:szCs w:val="24"/>
          <w:highlight w:val="none"/>
          <w:lang w:val="zh-CN"/>
        </w:rPr>
        <w:t>款</w:t>
      </w:r>
      <w:r>
        <w:rPr>
          <w:rFonts w:hint="eastAsia" w:hAnsi="宋体"/>
          <w:color w:val="auto"/>
          <w:sz w:val="24"/>
          <w:szCs w:val="24"/>
          <w:highlight w:val="none"/>
        </w:rPr>
        <w:t>规定的</w:t>
      </w:r>
      <w:r>
        <w:rPr>
          <w:rFonts w:hint="eastAsia" w:hAnsi="宋体" w:cs="宋体"/>
          <w:color w:val="auto"/>
          <w:sz w:val="24"/>
          <w:szCs w:val="24"/>
          <w:highlight w:val="none"/>
        </w:rPr>
        <w:t>提交首次响应文件截止时间前，可以对所提交的首次响应文件进行补充、修改或者撤回，并书面通知采购人、采购代理机构。</w:t>
      </w:r>
      <w:r>
        <w:rPr>
          <w:rFonts w:hint="eastAsia" w:hAnsi="宋体"/>
          <w:color w:val="auto"/>
          <w:sz w:val="24"/>
          <w:szCs w:val="24"/>
          <w:highlight w:val="none"/>
        </w:rPr>
        <w:t>该通知应有供应商法定代表人或其委托代理人签字。</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22.2</w:t>
      </w:r>
      <w:r>
        <w:rPr>
          <w:rFonts w:hint="eastAsia" w:hAnsi="宋体" w:cs="宋体"/>
          <w:color w:val="auto"/>
          <w:sz w:val="24"/>
          <w:szCs w:val="24"/>
          <w:highlight w:val="none"/>
          <w:lang w:val="zh-CN"/>
        </w:rPr>
        <w:t>补充、修改的内容与响应文件不一致时，以补充、修改的内容为准。</w:t>
      </w:r>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23.响应文件的递交与接收</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23.1 供应商应在本章第12.1</w:t>
      </w:r>
      <w:r>
        <w:rPr>
          <w:rFonts w:hint="eastAsia" w:ascii="宋体" w:hAnsi="宋体" w:cs="宋体"/>
          <w:color w:val="auto"/>
          <w:kern w:val="0"/>
          <w:sz w:val="24"/>
          <w:szCs w:val="24"/>
          <w:highlight w:val="none"/>
          <w:lang w:val="zh-CN"/>
        </w:rPr>
        <w:t>款</w:t>
      </w:r>
      <w:r>
        <w:rPr>
          <w:rFonts w:hint="eastAsia" w:ascii="宋体" w:hAnsi="宋体"/>
          <w:color w:val="auto"/>
          <w:sz w:val="24"/>
          <w:szCs w:val="24"/>
          <w:highlight w:val="none"/>
        </w:rPr>
        <w:t>规定的</w:t>
      </w:r>
      <w:r>
        <w:rPr>
          <w:rFonts w:hint="eastAsia" w:ascii="宋体" w:hAnsi="宋体" w:cs="宋体"/>
          <w:color w:val="auto"/>
          <w:kern w:val="0"/>
          <w:sz w:val="24"/>
          <w:szCs w:val="24"/>
          <w:highlight w:val="none"/>
        </w:rPr>
        <w:t>提交首次响应文件截止时间</w:t>
      </w:r>
      <w:r>
        <w:rPr>
          <w:rFonts w:hint="eastAsia" w:ascii="宋体" w:hAnsi="宋体"/>
          <w:color w:val="auto"/>
          <w:sz w:val="24"/>
          <w:szCs w:val="24"/>
          <w:highlight w:val="none"/>
        </w:rPr>
        <w:t>前，将响应文件密封送</w:t>
      </w:r>
      <w:r>
        <w:rPr>
          <w:rFonts w:hint="eastAsia" w:ascii="宋体" w:hAnsi="宋体" w:cs="Arial"/>
          <w:color w:val="auto"/>
          <w:sz w:val="24"/>
          <w:szCs w:val="24"/>
          <w:highlight w:val="none"/>
        </w:rPr>
        <w:t>达</w:t>
      </w:r>
      <w:r>
        <w:rPr>
          <w:rFonts w:hint="eastAsia" w:ascii="宋体" w:hAnsi="宋体"/>
          <w:b/>
          <w:color w:val="auto"/>
          <w:sz w:val="24"/>
          <w:szCs w:val="24"/>
          <w:highlight w:val="none"/>
        </w:rPr>
        <w:t>谈判须知前附表</w:t>
      </w:r>
      <w:r>
        <w:rPr>
          <w:rFonts w:hint="eastAsia" w:ascii="宋体" w:hAnsi="宋体"/>
          <w:color w:val="auto"/>
          <w:sz w:val="24"/>
          <w:szCs w:val="24"/>
          <w:highlight w:val="none"/>
        </w:rPr>
        <w:t>中指定的地点。</w:t>
      </w:r>
      <w:r>
        <w:rPr>
          <w:rFonts w:hint="eastAsia" w:ascii="宋体" w:hAnsi="宋体" w:cs="宋体"/>
          <w:color w:val="auto"/>
          <w:kern w:val="0"/>
          <w:sz w:val="24"/>
          <w:szCs w:val="24"/>
          <w:highlight w:val="none"/>
        </w:rPr>
        <w:t>在截止时间后送达的响应文件为无效文件，采购人、采购代理机构或者谈判小组应当拒收。</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23.2</w:t>
      </w:r>
      <w:r>
        <w:rPr>
          <w:rFonts w:hint="eastAsia" w:hAnsi="宋体" w:cs="宋体"/>
          <w:color w:val="auto"/>
          <w:sz w:val="24"/>
          <w:szCs w:val="24"/>
          <w:highlight w:val="none"/>
        </w:rPr>
        <w:t>在</w:t>
      </w:r>
      <w:r>
        <w:rPr>
          <w:rFonts w:hint="eastAsia" w:hAnsi="宋体"/>
          <w:color w:val="auto"/>
          <w:sz w:val="24"/>
          <w:szCs w:val="24"/>
          <w:highlight w:val="none"/>
        </w:rPr>
        <w:t>本章第12.1</w:t>
      </w:r>
      <w:r>
        <w:rPr>
          <w:rFonts w:hint="eastAsia" w:hAnsi="宋体" w:cs="宋体"/>
          <w:color w:val="auto"/>
          <w:sz w:val="24"/>
          <w:szCs w:val="24"/>
          <w:highlight w:val="none"/>
          <w:lang w:val="zh-CN"/>
        </w:rPr>
        <w:t>款</w:t>
      </w:r>
      <w:r>
        <w:rPr>
          <w:rFonts w:hint="eastAsia" w:hAnsi="宋体"/>
          <w:color w:val="auto"/>
          <w:sz w:val="24"/>
          <w:szCs w:val="24"/>
          <w:highlight w:val="none"/>
        </w:rPr>
        <w:t>规定的</w:t>
      </w:r>
      <w:r>
        <w:rPr>
          <w:rFonts w:hint="eastAsia" w:hAnsi="宋体" w:cs="宋体"/>
          <w:color w:val="auto"/>
          <w:sz w:val="24"/>
          <w:szCs w:val="24"/>
          <w:highlight w:val="none"/>
        </w:rPr>
        <w:t>提交首次响应文件截止时间后，</w:t>
      </w:r>
      <w:r>
        <w:rPr>
          <w:rFonts w:hint="eastAsia" w:hAnsi="宋体"/>
          <w:color w:val="auto"/>
          <w:sz w:val="24"/>
          <w:szCs w:val="24"/>
          <w:highlight w:val="none"/>
        </w:rPr>
        <w:t>由</w:t>
      </w:r>
      <w:r>
        <w:rPr>
          <w:rFonts w:hint="eastAsia" w:hAnsi="宋体"/>
          <w:bCs/>
          <w:color w:val="auto"/>
          <w:sz w:val="24"/>
          <w:szCs w:val="24"/>
          <w:highlight w:val="none"/>
        </w:rPr>
        <w:t>供应商代表</w:t>
      </w:r>
      <w:r>
        <w:rPr>
          <w:rFonts w:hint="eastAsia" w:hAnsi="宋体"/>
          <w:color w:val="auto"/>
          <w:sz w:val="24"/>
          <w:szCs w:val="24"/>
          <w:highlight w:val="none"/>
        </w:rPr>
        <w:t>当场查验</w:t>
      </w:r>
      <w:r>
        <w:rPr>
          <w:rFonts w:hint="eastAsia" w:hAnsi="宋体"/>
          <w:bCs/>
          <w:color w:val="auto"/>
          <w:sz w:val="24"/>
          <w:szCs w:val="24"/>
          <w:highlight w:val="none"/>
        </w:rPr>
        <w:t>响应文件</w:t>
      </w:r>
      <w:r>
        <w:rPr>
          <w:rFonts w:hint="eastAsia" w:hAnsi="宋体"/>
          <w:color w:val="auto"/>
          <w:sz w:val="24"/>
          <w:szCs w:val="24"/>
          <w:highlight w:val="none"/>
        </w:rPr>
        <w:t>的密封状况，采购人或</w:t>
      </w:r>
      <w:r>
        <w:rPr>
          <w:rFonts w:hint="eastAsia" w:hAnsi="宋体"/>
          <w:bCs/>
          <w:color w:val="auto"/>
          <w:sz w:val="24"/>
          <w:szCs w:val="24"/>
          <w:highlight w:val="none"/>
        </w:rPr>
        <w:t>采购代理机构</w:t>
      </w:r>
      <w:r>
        <w:rPr>
          <w:rFonts w:hint="eastAsia" w:hAnsi="宋体"/>
          <w:color w:val="auto"/>
          <w:sz w:val="24"/>
          <w:szCs w:val="24"/>
          <w:highlight w:val="none"/>
        </w:rPr>
        <w:t>当场拆封</w:t>
      </w:r>
      <w:r>
        <w:rPr>
          <w:rFonts w:hint="eastAsia" w:hAnsi="宋体"/>
          <w:bCs/>
          <w:color w:val="auto"/>
          <w:sz w:val="24"/>
          <w:szCs w:val="24"/>
          <w:highlight w:val="none"/>
        </w:rPr>
        <w:t>响应文件</w:t>
      </w:r>
      <w:r>
        <w:rPr>
          <w:rFonts w:hint="eastAsia" w:hAnsi="宋体"/>
          <w:color w:val="auto"/>
          <w:sz w:val="24"/>
          <w:szCs w:val="24"/>
          <w:highlight w:val="none"/>
        </w:rPr>
        <w:t>。</w:t>
      </w:r>
    </w:p>
    <w:p>
      <w:pPr>
        <w:pStyle w:val="3"/>
        <w:pageBreakBefore w:val="0"/>
        <w:kinsoku/>
        <w:wordWrap/>
        <w:overflowPunct/>
        <w:topLinePunct w:val="0"/>
        <w:autoSpaceDE/>
        <w:autoSpaceDN/>
        <w:bidi w:val="0"/>
        <w:adjustRightInd/>
        <w:snapToGrid/>
        <w:spacing w:before="0" w:beforeLines="0" w:after="0" w:afterLines="0" w:line="440" w:lineRule="exact"/>
        <w:textAlignment w:val="auto"/>
        <w:rPr>
          <w:rFonts w:ascii="宋体" w:hAnsi="宋体"/>
          <w:color w:val="auto"/>
          <w:sz w:val="24"/>
          <w:szCs w:val="24"/>
          <w:highlight w:val="none"/>
        </w:rPr>
      </w:pPr>
      <w:bookmarkStart w:id="10" w:name="_Toc19443"/>
      <w:r>
        <w:rPr>
          <w:rFonts w:hint="eastAsia" w:ascii="宋体" w:hAnsi="宋体"/>
          <w:color w:val="auto"/>
          <w:sz w:val="24"/>
          <w:szCs w:val="24"/>
          <w:highlight w:val="none"/>
        </w:rPr>
        <w:t>五、响应文件的评审与谈判</w:t>
      </w:r>
      <w:bookmarkEnd w:id="10"/>
    </w:p>
    <w:p>
      <w:pPr>
        <w:pageBreakBefore w:val="0"/>
        <w:tabs>
          <w:tab w:val="left" w:pos="0"/>
        </w:tabs>
        <w:kinsoku/>
        <w:wordWrap/>
        <w:overflowPunct/>
        <w:topLinePunct w:val="0"/>
        <w:autoSpaceDE/>
        <w:autoSpaceDN/>
        <w:bidi w:val="0"/>
        <w:adjustRightInd/>
        <w:snapToGrid/>
        <w:spacing w:line="440" w:lineRule="exact"/>
        <w:textAlignment w:val="auto"/>
        <w:rPr>
          <w:rFonts w:hint="eastAsia" w:ascii="宋体" w:hAnsi="宋体"/>
          <w:b/>
          <w:color w:val="auto"/>
          <w:sz w:val="24"/>
          <w:szCs w:val="24"/>
          <w:highlight w:val="none"/>
        </w:rPr>
      </w:pPr>
      <w:r>
        <w:rPr>
          <w:rFonts w:hint="eastAsia" w:ascii="宋体" w:hAnsi="宋体"/>
          <w:b/>
          <w:color w:val="auto"/>
          <w:sz w:val="24"/>
          <w:szCs w:val="24"/>
          <w:highlight w:val="none"/>
        </w:rPr>
        <w:t>24.供应商资格审查，不满足资格条件的，视为无效响应。</w:t>
      </w:r>
    </w:p>
    <w:p>
      <w:pPr>
        <w:pageBreakBefore w:val="0"/>
        <w:tabs>
          <w:tab w:val="left" w:pos="0"/>
        </w:tabs>
        <w:kinsoku/>
        <w:wordWrap/>
        <w:overflowPunct/>
        <w:topLinePunct w:val="0"/>
        <w:autoSpaceDE/>
        <w:autoSpaceDN/>
        <w:bidi w:val="0"/>
        <w:adjustRightInd/>
        <w:snapToGrid/>
        <w:spacing w:line="440" w:lineRule="exact"/>
        <w:ind w:firstLine="480" w:firstLineChars="200"/>
        <w:textAlignment w:val="auto"/>
        <w:rPr>
          <w:rFonts w:hint="eastAsia" w:ascii="宋体" w:hAnsi="宋体"/>
          <w:b/>
          <w:color w:val="auto"/>
          <w:sz w:val="24"/>
          <w:szCs w:val="24"/>
          <w:highlight w:val="none"/>
        </w:rPr>
      </w:pPr>
      <w:r>
        <w:rPr>
          <w:rFonts w:hint="eastAsia" w:ascii="宋体" w:hAnsi="宋体"/>
          <w:bCs/>
          <w:color w:val="auto"/>
          <w:sz w:val="24"/>
          <w:szCs w:val="24"/>
          <w:highlight w:val="none"/>
        </w:rPr>
        <w:t>24.1竞争性谈判小组确认或者制定谈判文件，审查供应商的响应文件并作出评价。</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24.2供应商有本章第17.1</w:t>
      </w:r>
      <w:r>
        <w:rPr>
          <w:rFonts w:hint="eastAsia" w:ascii="宋体" w:hAnsi="宋体" w:cs="宋体"/>
          <w:color w:val="auto"/>
          <w:kern w:val="0"/>
          <w:sz w:val="24"/>
          <w:szCs w:val="24"/>
          <w:highlight w:val="none"/>
          <w:lang w:val="zh-CN"/>
        </w:rPr>
        <w:t>款</w:t>
      </w:r>
      <w:r>
        <w:rPr>
          <w:rFonts w:hint="eastAsia" w:ascii="宋体" w:hAnsi="宋体"/>
          <w:color w:val="auto"/>
          <w:sz w:val="24"/>
          <w:szCs w:val="24"/>
          <w:highlight w:val="none"/>
        </w:rPr>
        <w:t>情形的，谈判</w:t>
      </w:r>
      <w:r>
        <w:rPr>
          <w:rFonts w:hint="eastAsia" w:ascii="宋体" w:hAnsi="宋体"/>
          <w:bCs/>
          <w:color w:val="auto"/>
          <w:sz w:val="24"/>
          <w:szCs w:val="24"/>
          <w:highlight w:val="none"/>
        </w:rPr>
        <w:t>小组将</w:t>
      </w:r>
      <w:r>
        <w:rPr>
          <w:rFonts w:hint="eastAsia" w:ascii="宋体" w:hAnsi="宋体"/>
          <w:color w:val="auto"/>
          <w:sz w:val="24"/>
          <w:szCs w:val="24"/>
          <w:highlight w:val="none"/>
        </w:rPr>
        <w:t>根据本章第3.1</w:t>
      </w:r>
      <w:r>
        <w:rPr>
          <w:rFonts w:hint="eastAsia" w:ascii="宋体" w:hAnsi="宋体" w:cs="宋体"/>
          <w:color w:val="auto"/>
          <w:kern w:val="0"/>
          <w:sz w:val="24"/>
          <w:szCs w:val="24"/>
          <w:highlight w:val="none"/>
          <w:lang w:val="zh-CN"/>
        </w:rPr>
        <w:t>款</w:t>
      </w:r>
      <w:r>
        <w:rPr>
          <w:rFonts w:hint="eastAsia" w:ascii="宋体" w:hAnsi="宋体"/>
          <w:color w:val="auto"/>
          <w:sz w:val="24"/>
          <w:szCs w:val="24"/>
          <w:highlight w:val="none"/>
        </w:rPr>
        <w:t>规定的供应商资格条件要求，对更新或补充提供的资格证明材料进行审查。</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s="宋体"/>
          <w:color w:val="auto"/>
          <w:kern w:val="0"/>
          <w:sz w:val="24"/>
          <w:szCs w:val="24"/>
          <w:highlight w:val="none"/>
          <w:lang w:val="zh-CN"/>
        </w:rPr>
      </w:pPr>
      <w:r>
        <w:rPr>
          <w:rFonts w:hint="eastAsia" w:ascii="宋体" w:hAnsi="宋体"/>
          <w:color w:val="auto"/>
          <w:sz w:val="24"/>
          <w:szCs w:val="24"/>
          <w:highlight w:val="none"/>
        </w:rPr>
        <w:t>24.3供应商</w:t>
      </w:r>
      <w:r>
        <w:rPr>
          <w:rFonts w:hint="eastAsia" w:ascii="宋体" w:hAnsi="宋体" w:cs="宋体"/>
          <w:color w:val="auto"/>
          <w:kern w:val="0"/>
          <w:sz w:val="24"/>
          <w:szCs w:val="24"/>
          <w:highlight w:val="none"/>
          <w:lang w:val="zh-CN"/>
        </w:rPr>
        <w:t>为联合体的，</w:t>
      </w:r>
      <w:r>
        <w:rPr>
          <w:rFonts w:hint="eastAsia" w:ascii="宋体" w:hAnsi="宋体"/>
          <w:color w:val="auto"/>
          <w:sz w:val="24"/>
          <w:szCs w:val="24"/>
          <w:highlight w:val="none"/>
        </w:rPr>
        <w:t>谈判</w:t>
      </w:r>
      <w:r>
        <w:rPr>
          <w:rFonts w:hint="eastAsia" w:ascii="宋体" w:hAnsi="宋体"/>
          <w:bCs/>
          <w:color w:val="auto"/>
          <w:sz w:val="24"/>
          <w:szCs w:val="24"/>
          <w:highlight w:val="none"/>
        </w:rPr>
        <w:t>小组将</w:t>
      </w:r>
      <w:r>
        <w:rPr>
          <w:rFonts w:hint="eastAsia" w:ascii="宋体" w:hAnsi="宋体"/>
          <w:color w:val="auto"/>
          <w:sz w:val="24"/>
          <w:szCs w:val="24"/>
          <w:highlight w:val="none"/>
        </w:rPr>
        <w:t>根据本章第6.2</w:t>
      </w:r>
      <w:r>
        <w:rPr>
          <w:rFonts w:hint="eastAsia" w:ascii="宋体" w:hAnsi="宋体" w:cs="宋体"/>
          <w:color w:val="auto"/>
          <w:kern w:val="0"/>
          <w:sz w:val="24"/>
          <w:szCs w:val="24"/>
          <w:highlight w:val="none"/>
          <w:lang w:val="zh-CN"/>
        </w:rPr>
        <w:t>款</w:t>
      </w:r>
      <w:r>
        <w:rPr>
          <w:rFonts w:hint="eastAsia" w:ascii="宋体" w:hAnsi="宋体"/>
          <w:color w:val="auto"/>
          <w:sz w:val="24"/>
          <w:szCs w:val="24"/>
          <w:highlight w:val="none"/>
        </w:rPr>
        <w:t>的规定对联合体各方资格文件、联合体协议进行审查，不满足资格条件的，视为无效响应。</w:t>
      </w:r>
    </w:p>
    <w:p>
      <w:pPr>
        <w:pageBreakBefore w:val="0"/>
        <w:tabs>
          <w:tab w:val="left" w:pos="0"/>
        </w:tabs>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25.谈判程序</w:t>
      </w:r>
    </w:p>
    <w:p>
      <w:pPr>
        <w:pageBreakBefore w:val="0"/>
        <w:widowControl/>
        <w:kinsoku/>
        <w:wordWrap/>
        <w:overflowPunct/>
        <w:topLinePunct w:val="0"/>
        <w:autoSpaceDE/>
        <w:autoSpaceDN/>
        <w:bidi w:val="0"/>
        <w:adjustRightInd/>
        <w:snapToGrid/>
        <w:spacing w:line="440" w:lineRule="exact"/>
        <w:ind w:firstLine="420"/>
        <w:jc w:val="left"/>
        <w:textAlignment w:val="auto"/>
        <w:rPr>
          <w:rFonts w:ascii="宋体" w:hAnsi="宋体"/>
          <w:bCs/>
          <w:color w:val="auto"/>
          <w:sz w:val="24"/>
          <w:szCs w:val="24"/>
          <w:highlight w:val="none"/>
        </w:rPr>
      </w:pPr>
      <w:r>
        <w:rPr>
          <w:rFonts w:hint="eastAsia" w:ascii="宋体" w:hAnsi="宋体" w:cs="宋体"/>
          <w:color w:val="auto"/>
          <w:kern w:val="0"/>
          <w:sz w:val="24"/>
          <w:szCs w:val="24"/>
          <w:highlight w:val="none"/>
        </w:rPr>
        <w:t>25.1谈判程序：初步审查、谈判（包括澄清、符合性审查）、</w:t>
      </w:r>
      <w:r>
        <w:rPr>
          <w:rFonts w:hint="eastAsia" w:ascii="宋体" w:hAnsi="宋体"/>
          <w:bCs/>
          <w:color w:val="auto"/>
          <w:sz w:val="24"/>
          <w:szCs w:val="24"/>
          <w:highlight w:val="none"/>
        </w:rPr>
        <w:t>提出成交供应商。其中，</w:t>
      </w:r>
      <w:r>
        <w:rPr>
          <w:rFonts w:hint="eastAsia" w:ascii="宋体" w:hAnsi="宋体" w:cs="宋体"/>
          <w:color w:val="auto"/>
          <w:kern w:val="0"/>
          <w:sz w:val="24"/>
          <w:szCs w:val="24"/>
          <w:highlight w:val="none"/>
        </w:rPr>
        <w:t>谈判按</w:t>
      </w:r>
      <w:r>
        <w:rPr>
          <w:rFonts w:hint="eastAsia" w:ascii="宋体" w:hAnsi="宋体"/>
          <w:color w:val="auto"/>
          <w:sz w:val="24"/>
          <w:szCs w:val="24"/>
          <w:highlight w:val="none"/>
        </w:rPr>
        <w:t>本章第30.1</w:t>
      </w:r>
      <w:r>
        <w:rPr>
          <w:rFonts w:hint="eastAsia" w:ascii="宋体" w:hAnsi="宋体" w:cs="宋体"/>
          <w:color w:val="auto"/>
          <w:kern w:val="0"/>
          <w:sz w:val="24"/>
          <w:szCs w:val="24"/>
          <w:highlight w:val="none"/>
          <w:lang w:val="zh-CN"/>
        </w:rPr>
        <w:t>款或者</w:t>
      </w:r>
      <w:r>
        <w:rPr>
          <w:rFonts w:hint="eastAsia" w:ascii="宋体" w:hAnsi="宋体"/>
          <w:color w:val="auto"/>
          <w:sz w:val="24"/>
          <w:szCs w:val="24"/>
          <w:highlight w:val="none"/>
        </w:rPr>
        <w:t>第30.2</w:t>
      </w:r>
      <w:r>
        <w:rPr>
          <w:rFonts w:hint="eastAsia" w:ascii="宋体" w:hAnsi="宋体" w:cs="宋体"/>
          <w:color w:val="auto"/>
          <w:kern w:val="0"/>
          <w:sz w:val="24"/>
          <w:szCs w:val="24"/>
          <w:highlight w:val="none"/>
          <w:lang w:val="zh-CN"/>
        </w:rPr>
        <w:t>款</w:t>
      </w:r>
      <w:r>
        <w:rPr>
          <w:rFonts w:hint="eastAsia" w:ascii="宋体" w:hAnsi="宋体"/>
          <w:color w:val="auto"/>
          <w:sz w:val="24"/>
          <w:szCs w:val="24"/>
          <w:highlight w:val="none"/>
        </w:rPr>
        <w:t>情形</w:t>
      </w:r>
      <w:r>
        <w:rPr>
          <w:rFonts w:hint="eastAsia" w:ascii="宋体" w:hAnsi="宋体"/>
          <w:bCs/>
          <w:color w:val="auto"/>
          <w:sz w:val="24"/>
          <w:szCs w:val="24"/>
          <w:highlight w:val="none"/>
        </w:rPr>
        <w:t>进行。</w:t>
      </w:r>
    </w:p>
    <w:p>
      <w:pPr>
        <w:pageBreakBefore w:val="0"/>
        <w:widowControl/>
        <w:kinsoku/>
        <w:wordWrap/>
        <w:overflowPunct/>
        <w:topLinePunct w:val="0"/>
        <w:autoSpaceDE/>
        <w:autoSpaceDN/>
        <w:bidi w:val="0"/>
        <w:adjustRightInd/>
        <w:snapToGrid/>
        <w:spacing w:line="440" w:lineRule="exact"/>
        <w:textAlignment w:val="auto"/>
        <w:rPr>
          <w:rFonts w:ascii="宋体" w:hAnsi="宋体" w:cs="宋体"/>
          <w:b/>
          <w:color w:val="auto"/>
          <w:kern w:val="0"/>
          <w:sz w:val="24"/>
          <w:szCs w:val="24"/>
          <w:highlight w:val="none"/>
        </w:rPr>
      </w:pPr>
      <w:r>
        <w:rPr>
          <w:rFonts w:hint="eastAsia" w:ascii="宋体" w:hAnsi="宋体"/>
          <w:b/>
          <w:bCs/>
          <w:color w:val="auto"/>
          <w:sz w:val="24"/>
          <w:szCs w:val="24"/>
          <w:highlight w:val="none"/>
        </w:rPr>
        <w:t>26.初步</w:t>
      </w:r>
      <w:r>
        <w:rPr>
          <w:rFonts w:hint="eastAsia" w:ascii="宋体" w:hAnsi="宋体" w:cs="宋体"/>
          <w:b/>
          <w:color w:val="auto"/>
          <w:kern w:val="0"/>
          <w:sz w:val="24"/>
          <w:szCs w:val="24"/>
          <w:highlight w:val="none"/>
        </w:rPr>
        <w:t>审查</w:t>
      </w:r>
    </w:p>
    <w:p>
      <w:pPr>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bCs/>
          <w:color w:val="auto"/>
          <w:sz w:val="24"/>
          <w:szCs w:val="24"/>
          <w:highlight w:val="none"/>
        </w:rPr>
      </w:pPr>
      <w:r>
        <w:rPr>
          <w:rFonts w:hint="eastAsia" w:ascii="宋体" w:hAnsi="宋体" w:cs="宋体"/>
          <w:color w:val="auto"/>
          <w:kern w:val="0"/>
          <w:sz w:val="24"/>
          <w:szCs w:val="24"/>
          <w:highlight w:val="none"/>
        </w:rPr>
        <w:t>26.1谈判小组应当对供应商提交的首次响应文件进行初步审查。</w:t>
      </w:r>
      <w:r>
        <w:rPr>
          <w:rFonts w:hint="eastAsia" w:ascii="宋体" w:hAnsi="宋体"/>
          <w:bCs/>
          <w:color w:val="auto"/>
          <w:sz w:val="24"/>
          <w:szCs w:val="24"/>
          <w:highlight w:val="none"/>
        </w:rPr>
        <w:t>响应文件有下列情况之一，</w:t>
      </w:r>
      <w:r>
        <w:rPr>
          <w:rFonts w:hint="eastAsia" w:ascii="宋体" w:hAnsi="宋体" w:cs="宋体"/>
          <w:color w:val="auto"/>
          <w:kern w:val="0"/>
          <w:sz w:val="24"/>
          <w:szCs w:val="24"/>
          <w:highlight w:val="none"/>
          <w:lang w:val="zh-CN"/>
        </w:rPr>
        <w:t>其响应文件无效，</w:t>
      </w:r>
      <w:r>
        <w:rPr>
          <w:rFonts w:hint="eastAsia" w:ascii="宋体" w:hAnsi="宋体" w:cs="宋体"/>
          <w:color w:val="auto"/>
          <w:kern w:val="0"/>
          <w:sz w:val="24"/>
          <w:szCs w:val="24"/>
          <w:highlight w:val="none"/>
        </w:rPr>
        <w:t>谈判小组应当告知有关供应商。</w:t>
      </w:r>
    </w:p>
    <w:p>
      <w:pPr>
        <w:pageBreakBefore w:val="0"/>
        <w:tabs>
          <w:tab w:val="left" w:pos="735"/>
          <w:tab w:val="left" w:pos="7560"/>
          <w:tab w:val="left" w:pos="7740"/>
          <w:tab w:val="left" w:pos="7920"/>
        </w:tabs>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s="宋体"/>
          <w:color w:val="auto"/>
          <w:kern w:val="0"/>
          <w:sz w:val="24"/>
          <w:szCs w:val="24"/>
          <w:highlight w:val="none"/>
        </w:rPr>
        <w:t>（1）</w:t>
      </w:r>
      <w:r>
        <w:rPr>
          <w:rFonts w:hint="eastAsia" w:ascii="宋体" w:hAnsi="宋体"/>
          <w:color w:val="auto"/>
          <w:sz w:val="24"/>
          <w:szCs w:val="24"/>
          <w:highlight w:val="none"/>
        </w:rPr>
        <w:t>未按照谈判文件规定要求签署、盖章的；</w:t>
      </w:r>
    </w:p>
    <w:p>
      <w:pPr>
        <w:pageBreakBefore w:val="0"/>
        <w:widowControl/>
        <w:kinsoku/>
        <w:wordWrap/>
        <w:overflowPunct/>
        <w:topLinePunct w:val="0"/>
        <w:autoSpaceDE/>
        <w:autoSpaceDN/>
        <w:bidi w:val="0"/>
        <w:adjustRightInd/>
        <w:snapToGrid/>
        <w:spacing w:line="440" w:lineRule="exact"/>
        <w:ind w:firstLine="42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olor w:val="auto"/>
          <w:sz w:val="24"/>
          <w:szCs w:val="24"/>
          <w:highlight w:val="none"/>
        </w:rPr>
        <w:t>响应</w:t>
      </w:r>
      <w:r>
        <w:rPr>
          <w:rFonts w:hint="eastAsia" w:ascii="宋体" w:hAnsi="宋体" w:cs="宋体"/>
          <w:color w:val="auto"/>
          <w:kern w:val="0"/>
          <w:sz w:val="24"/>
          <w:szCs w:val="24"/>
          <w:highlight w:val="none"/>
        </w:rPr>
        <w:t>文件有效期不足的；</w:t>
      </w:r>
    </w:p>
    <w:p>
      <w:pPr>
        <w:pageBreakBefore w:val="0"/>
        <w:widowControl/>
        <w:kinsoku/>
        <w:wordWrap/>
        <w:overflowPunct/>
        <w:topLinePunct w:val="0"/>
        <w:autoSpaceDE/>
        <w:autoSpaceDN/>
        <w:bidi w:val="0"/>
        <w:adjustRightInd/>
        <w:snapToGrid/>
        <w:spacing w:line="440" w:lineRule="exact"/>
        <w:ind w:firstLine="42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（3）不符合法律、规章、规范性文件和谈判文件规定的。</w:t>
      </w:r>
    </w:p>
    <w:p>
      <w:pPr>
        <w:pStyle w:val="18"/>
        <w:pageBreakBefore w:val="0"/>
        <w:kinsoku/>
        <w:wordWrap/>
        <w:overflowPunct/>
        <w:topLinePunct w:val="0"/>
        <w:autoSpaceDE/>
        <w:autoSpaceDN/>
        <w:bidi w:val="0"/>
        <w:adjustRightInd/>
        <w:snapToGrid/>
        <w:spacing w:line="440" w:lineRule="exact"/>
        <w:textAlignment w:val="auto"/>
        <w:rPr>
          <w:rFonts w:hAnsi="宋体" w:cs="宋体"/>
          <w:b/>
          <w:color w:val="auto"/>
          <w:sz w:val="24"/>
          <w:szCs w:val="24"/>
          <w:highlight w:val="none"/>
        </w:rPr>
      </w:pPr>
      <w:r>
        <w:rPr>
          <w:rFonts w:hint="eastAsia" w:hAnsi="宋体" w:cs="宋体"/>
          <w:b/>
          <w:color w:val="auto"/>
          <w:sz w:val="24"/>
          <w:szCs w:val="24"/>
          <w:highlight w:val="none"/>
        </w:rPr>
        <w:t>27.实质性响应</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s="Arial"/>
          <w:color w:val="auto"/>
          <w:sz w:val="24"/>
          <w:szCs w:val="24"/>
          <w:highlight w:val="none"/>
          <w:u w:val="single"/>
        </w:rPr>
      </w:pPr>
      <w:r>
        <w:rPr>
          <w:rFonts w:hint="eastAsia" w:hAnsi="宋体" w:cs="宋体"/>
          <w:color w:val="auto"/>
          <w:sz w:val="24"/>
          <w:szCs w:val="24"/>
          <w:highlight w:val="none"/>
        </w:rPr>
        <w:t>27.1</w:t>
      </w:r>
      <w:r>
        <w:rPr>
          <w:rFonts w:hint="eastAsia" w:hAnsi="宋体"/>
          <w:color w:val="auto"/>
          <w:sz w:val="24"/>
          <w:szCs w:val="24"/>
          <w:highlight w:val="none"/>
        </w:rPr>
        <w:t>实质性响应是指响应文件(包括首次响应文件、重新提交的响应文件)与谈判文件要求的所有条款、条件和规格相符，没有偏离。偏离指不满足、或不响应谈判文件的要求。</w:t>
      </w:r>
    </w:p>
    <w:p>
      <w:pPr>
        <w:pageBreakBefore w:val="0"/>
        <w:tabs>
          <w:tab w:val="left" w:pos="0"/>
          <w:tab w:val="left" w:pos="7560"/>
          <w:tab w:val="left" w:pos="7740"/>
          <w:tab w:val="left" w:pos="7920"/>
        </w:tabs>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27.2响应文件是否实质性响应谈判文件要求由谈判小组依据谈判文件规定认定。</w:t>
      </w:r>
      <w:r>
        <w:rPr>
          <w:rFonts w:hint="eastAsia" w:ascii="宋体" w:hAnsi="宋体" w:cs="宋体"/>
          <w:color w:val="auto"/>
          <w:kern w:val="0"/>
          <w:sz w:val="24"/>
          <w:szCs w:val="24"/>
          <w:highlight w:val="none"/>
        </w:rPr>
        <w:t>谈判小组</w:t>
      </w:r>
      <w:r>
        <w:rPr>
          <w:rFonts w:hint="eastAsia" w:ascii="宋体" w:hAnsi="宋体"/>
          <w:color w:val="auto"/>
          <w:sz w:val="24"/>
          <w:szCs w:val="24"/>
          <w:highlight w:val="none"/>
        </w:rPr>
        <w:t>决定响应文件的响应性只根据响应文件本身的真实无误的内容，而不依据外部的证据。</w:t>
      </w:r>
    </w:p>
    <w:p>
      <w:pPr>
        <w:pageBreakBefore w:val="0"/>
        <w:widowControl/>
        <w:kinsoku/>
        <w:wordWrap/>
        <w:overflowPunct/>
        <w:topLinePunct w:val="0"/>
        <w:autoSpaceDE/>
        <w:autoSpaceDN/>
        <w:bidi w:val="0"/>
        <w:adjustRightInd/>
        <w:snapToGrid/>
        <w:spacing w:line="440" w:lineRule="exact"/>
        <w:jc w:val="left"/>
        <w:textAlignment w:val="auto"/>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28.澄清</w:t>
      </w:r>
    </w:p>
    <w:p>
      <w:pPr>
        <w:pageBreakBefore w:val="0"/>
        <w:widowControl/>
        <w:kinsoku/>
        <w:wordWrap/>
        <w:overflowPunct/>
        <w:topLinePunct w:val="0"/>
        <w:autoSpaceDE/>
        <w:autoSpaceDN/>
        <w:bidi w:val="0"/>
        <w:adjustRightInd/>
        <w:snapToGrid/>
        <w:spacing w:line="440" w:lineRule="exact"/>
        <w:ind w:firstLine="42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28.1 谈判小组在对响应文件(包括首次响应文件、重新提交的响应文件)的有效性、完整性和对谈判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供应商的澄清、说明或者更正不得超出谈判文件的范围或者改变响应文件的实质性内容。</w:t>
      </w:r>
    </w:p>
    <w:p>
      <w:pPr>
        <w:pageBreakBefore w:val="0"/>
        <w:widowControl/>
        <w:kinsoku/>
        <w:wordWrap/>
        <w:overflowPunct/>
        <w:topLinePunct w:val="0"/>
        <w:autoSpaceDE/>
        <w:autoSpaceDN/>
        <w:bidi w:val="0"/>
        <w:adjustRightInd/>
        <w:snapToGrid/>
        <w:spacing w:line="440" w:lineRule="exact"/>
        <w:ind w:firstLine="42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28.2 最后</w:t>
      </w:r>
      <w:r>
        <w:rPr>
          <w:rFonts w:hint="eastAsia" w:ascii="宋体" w:hAnsi="宋体" w:eastAsia="宋体" w:cs="宋体"/>
          <w:color w:val="auto"/>
          <w:kern w:val="0"/>
          <w:sz w:val="24"/>
          <w:szCs w:val="24"/>
          <w:highlight w:val="none"/>
          <w:lang w:eastAsia="zh-CN"/>
        </w:rPr>
        <w:t>报价</w:t>
      </w:r>
      <w:r>
        <w:rPr>
          <w:rFonts w:hint="eastAsia" w:ascii="宋体" w:hAnsi="宋体" w:cs="宋体"/>
          <w:color w:val="auto"/>
          <w:kern w:val="0"/>
          <w:sz w:val="24"/>
          <w:szCs w:val="24"/>
          <w:highlight w:val="none"/>
        </w:rPr>
        <w:t>计算错误修正的原则：最后</w:t>
      </w:r>
      <w:r>
        <w:rPr>
          <w:rFonts w:hint="eastAsia" w:ascii="宋体" w:hAnsi="宋体" w:eastAsia="宋体" w:cs="宋体"/>
          <w:color w:val="auto"/>
          <w:kern w:val="0"/>
          <w:sz w:val="24"/>
          <w:szCs w:val="24"/>
          <w:highlight w:val="none"/>
          <w:lang w:eastAsia="zh-CN"/>
        </w:rPr>
        <w:t>报价</w:t>
      </w:r>
      <w:r>
        <w:rPr>
          <w:rFonts w:hint="eastAsia" w:ascii="宋体" w:hAnsi="宋体" w:cs="Arial"/>
          <w:color w:val="auto"/>
          <w:kern w:val="0"/>
          <w:sz w:val="24"/>
          <w:szCs w:val="24"/>
          <w:highlight w:val="none"/>
        </w:rPr>
        <w:t>的大写金额和小写金额不一致的，以大写金额为准。</w:t>
      </w:r>
    </w:p>
    <w:p>
      <w:pPr>
        <w:pageBreakBefore w:val="0"/>
        <w:widowControl/>
        <w:kinsoku/>
        <w:wordWrap/>
        <w:overflowPunct/>
        <w:topLinePunct w:val="0"/>
        <w:autoSpaceDE/>
        <w:autoSpaceDN/>
        <w:bidi w:val="0"/>
        <w:adjustRightInd/>
        <w:snapToGrid/>
        <w:spacing w:line="440" w:lineRule="exact"/>
        <w:jc w:val="left"/>
        <w:textAlignment w:val="auto"/>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29.符合性审查</w:t>
      </w:r>
    </w:p>
    <w:p>
      <w:pPr>
        <w:pageBreakBefore w:val="0"/>
        <w:widowControl/>
        <w:kinsoku/>
        <w:wordWrap/>
        <w:overflowPunct/>
        <w:topLinePunct w:val="0"/>
        <w:autoSpaceDE/>
        <w:autoSpaceDN/>
        <w:bidi w:val="0"/>
        <w:adjustRightInd/>
        <w:snapToGrid/>
        <w:spacing w:line="440" w:lineRule="exact"/>
        <w:ind w:firstLine="420"/>
        <w:jc w:val="left"/>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29.1对响应文件(包括首次</w:t>
      </w:r>
      <w:r>
        <w:rPr>
          <w:rFonts w:hint="eastAsia" w:ascii="宋体" w:hAnsi="宋体"/>
          <w:color w:val="auto"/>
          <w:sz w:val="24"/>
          <w:szCs w:val="24"/>
          <w:highlight w:val="none"/>
        </w:rPr>
        <w:t>提交的</w:t>
      </w:r>
      <w:r>
        <w:rPr>
          <w:rFonts w:hint="eastAsia" w:ascii="宋体" w:hAnsi="宋体" w:cs="宋体"/>
          <w:color w:val="auto"/>
          <w:kern w:val="0"/>
          <w:sz w:val="24"/>
          <w:szCs w:val="24"/>
          <w:highlight w:val="none"/>
        </w:rPr>
        <w:t>响应文件、重新提交的响应文件)的符合性审查。谈判小组应当对响应文件进行符合性审查，供应商响应文件有下列情况之一，其响应文件无效（供应商不参加谈判），谈判小组应当告知有关供应商：</w:t>
      </w:r>
    </w:p>
    <w:p>
      <w:pPr>
        <w:pageBreakBefore w:val="0"/>
        <w:widowControl/>
        <w:kinsoku/>
        <w:wordWrap/>
        <w:overflowPunct/>
        <w:topLinePunct w:val="0"/>
        <w:autoSpaceDE/>
        <w:autoSpaceDN/>
        <w:bidi w:val="0"/>
        <w:adjustRightInd/>
        <w:snapToGrid/>
        <w:spacing w:line="440" w:lineRule="exact"/>
        <w:ind w:firstLine="420"/>
        <w:jc w:val="left"/>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w:t>
      </w:r>
      <w:r>
        <w:rPr>
          <w:rFonts w:hint="eastAsia" w:ascii="宋体" w:hAnsi="宋体"/>
          <w:color w:val="auto"/>
          <w:sz w:val="24"/>
          <w:szCs w:val="24"/>
          <w:highlight w:val="none"/>
        </w:rPr>
        <w:t>应交未交保证金或金额不足、保证金形式不符合谈判文件要求的；</w:t>
      </w:r>
    </w:p>
    <w:p>
      <w:pPr>
        <w:pageBreakBefore w:val="0"/>
        <w:widowControl/>
        <w:kinsoku/>
        <w:wordWrap/>
        <w:overflowPunct/>
        <w:topLinePunct w:val="0"/>
        <w:autoSpaceDE/>
        <w:autoSpaceDN/>
        <w:bidi w:val="0"/>
        <w:adjustRightInd/>
        <w:snapToGrid/>
        <w:spacing w:line="440" w:lineRule="exact"/>
        <w:ind w:firstLine="42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（2）不满足本章第27.1</w:t>
      </w:r>
      <w:r>
        <w:rPr>
          <w:rFonts w:hint="eastAsia" w:ascii="宋体" w:hAnsi="宋体" w:cs="宋体"/>
          <w:color w:val="auto"/>
          <w:kern w:val="0"/>
          <w:sz w:val="24"/>
          <w:szCs w:val="24"/>
          <w:highlight w:val="none"/>
          <w:lang w:val="zh-CN"/>
        </w:rPr>
        <w:t>款</w:t>
      </w:r>
      <w:r>
        <w:rPr>
          <w:rFonts w:hint="eastAsia" w:ascii="宋体" w:hAnsi="宋体" w:cs="宋体"/>
          <w:color w:val="auto"/>
          <w:kern w:val="0"/>
          <w:sz w:val="24"/>
          <w:szCs w:val="24"/>
          <w:highlight w:val="none"/>
        </w:rPr>
        <w:t>规定的实质性要求的；</w:t>
      </w:r>
    </w:p>
    <w:p>
      <w:pPr>
        <w:pageBreakBefore w:val="0"/>
        <w:widowControl/>
        <w:kinsoku/>
        <w:wordWrap/>
        <w:overflowPunct/>
        <w:topLinePunct w:val="0"/>
        <w:autoSpaceDE/>
        <w:autoSpaceDN/>
        <w:bidi w:val="0"/>
        <w:adjustRightInd/>
        <w:snapToGrid/>
        <w:spacing w:line="440" w:lineRule="exact"/>
        <w:ind w:firstLine="42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（3）不符合法律、规章、规范性文件和谈判文件规定的。</w:t>
      </w:r>
    </w:p>
    <w:p>
      <w:pPr>
        <w:pageBreakBefore w:val="0"/>
        <w:widowControl/>
        <w:kinsoku/>
        <w:wordWrap/>
        <w:overflowPunct/>
        <w:topLinePunct w:val="0"/>
        <w:autoSpaceDE/>
        <w:autoSpaceDN/>
        <w:bidi w:val="0"/>
        <w:adjustRightInd/>
        <w:snapToGrid/>
        <w:spacing w:line="440" w:lineRule="exact"/>
        <w:ind w:firstLine="420"/>
        <w:jc w:val="left"/>
        <w:textAlignment w:val="auto"/>
        <w:rPr>
          <w:rFonts w:hint="eastAsia" w:ascii="宋体" w:hAnsi="宋体" w:cs="宋体"/>
          <w:color w:val="auto"/>
          <w:kern w:val="0"/>
          <w:sz w:val="24"/>
          <w:szCs w:val="24"/>
          <w:highlight w:val="none"/>
        </w:rPr>
      </w:pPr>
      <w:r>
        <w:rPr>
          <w:rFonts w:hint="eastAsia" w:ascii="宋体" w:hAnsi="宋体"/>
          <w:bCs/>
          <w:color w:val="auto"/>
          <w:sz w:val="24"/>
          <w:szCs w:val="24"/>
          <w:highlight w:val="none"/>
        </w:rPr>
        <w:t>29.2</w:t>
      </w:r>
      <w:r>
        <w:rPr>
          <w:rFonts w:hint="eastAsia" w:ascii="宋体" w:hAnsi="宋体" w:cs="宋体"/>
          <w:color w:val="auto"/>
          <w:kern w:val="0"/>
          <w:sz w:val="24"/>
          <w:szCs w:val="24"/>
          <w:highlight w:val="none"/>
        </w:rPr>
        <w:t>符合性审查结束后</w:t>
      </w:r>
      <w:r>
        <w:rPr>
          <w:rFonts w:hint="eastAsia" w:ascii="宋体" w:hAnsi="宋体"/>
          <w:bCs/>
          <w:color w:val="auto"/>
          <w:sz w:val="24"/>
          <w:szCs w:val="24"/>
          <w:highlight w:val="none"/>
        </w:rPr>
        <w:t>，</w:t>
      </w:r>
      <w:r>
        <w:rPr>
          <w:rFonts w:hint="eastAsia" w:ascii="宋体" w:hAnsi="宋体" w:cs="宋体"/>
          <w:color w:val="auto"/>
          <w:kern w:val="0"/>
          <w:sz w:val="24"/>
          <w:szCs w:val="24"/>
          <w:highlight w:val="none"/>
        </w:rPr>
        <w:t>谈判小组所有成员集中与单一供应商分别进行谈判，并给予所有参加谈判的供应商平等的谈判机会。供应商应派其法定代表人或委托代理人参加谈判。</w:t>
      </w:r>
    </w:p>
    <w:p>
      <w:pPr>
        <w:pageBreakBefore w:val="0"/>
        <w:widowControl/>
        <w:kinsoku/>
        <w:wordWrap/>
        <w:overflowPunct/>
        <w:topLinePunct w:val="0"/>
        <w:autoSpaceDE/>
        <w:autoSpaceDN/>
        <w:bidi w:val="0"/>
        <w:adjustRightInd/>
        <w:snapToGrid/>
        <w:spacing w:line="440" w:lineRule="exact"/>
        <w:jc w:val="left"/>
        <w:textAlignment w:val="auto"/>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30.谈判</w:t>
      </w:r>
    </w:p>
    <w:p>
      <w:pPr>
        <w:pageBreakBefore w:val="0"/>
        <w:widowControl/>
        <w:kinsoku/>
        <w:wordWrap/>
        <w:overflowPunct/>
        <w:topLinePunct w:val="0"/>
        <w:autoSpaceDE/>
        <w:autoSpaceDN/>
        <w:bidi w:val="0"/>
        <w:adjustRightInd/>
        <w:snapToGrid/>
        <w:spacing w:line="440" w:lineRule="exact"/>
        <w:ind w:firstLine="420"/>
        <w:jc w:val="left"/>
        <w:textAlignment w:val="auto"/>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rPr>
        <w:t>30.1对于</w:t>
      </w:r>
      <w:r>
        <w:rPr>
          <w:rFonts w:hint="eastAsia" w:ascii="宋体" w:hAnsi="宋体"/>
          <w:color w:val="auto"/>
          <w:sz w:val="24"/>
          <w:szCs w:val="24"/>
          <w:highlight w:val="none"/>
        </w:rPr>
        <w:t>本章第10.3项</w:t>
      </w:r>
      <w:r>
        <w:rPr>
          <w:rFonts w:hint="eastAsia" w:ascii="宋体" w:hAnsi="宋体" w:cs="宋体"/>
          <w:color w:val="auto"/>
          <w:kern w:val="0"/>
          <w:sz w:val="24"/>
          <w:szCs w:val="24"/>
          <w:highlight w:val="none"/>
        </w:rPr>
        <w:t>未明确谈判文件实质性变动内容，或者谈判文件明确了可能发生实质性变动内容，但在谈判过程中，</w:t>
      </w:r>
      <w:r>
        <w:rPr>
          <w:rFonts w:hint="eastAsia" w:ascii="宋体" w:hAnsi="宋体"/>
          <w:bCs/>
          <w:color w:val="auto"/>
          <w:sz w:val="24"/>
          <w:szCs w:val="24"/>
          <w:highlight w:val="none"/>
        </w:rPr>
        <w:t>谈判小组</w:t>
      </w:r>
      <w:r>
        <w:rPr>
          <w:rFonts w:hint="eastAsia" w:ascii="宋体" w:hAnsi="宋体" w:cs="Arial"/>
          <w:color w:val="auto"/>
          <w:kern w:val="0"/>
          <w:sz w:val="24"/>
          <w:szCs w:val="24"/>
          <w:highlight w:val="none"/>
        </w:rPr>
        <w:t>根据</w:t>
      </w:r>
      <w:r>
        <w:rPr>
          <w:rFonts w:hint="eastAsia" w:ascii="宋体" w:hAnsi="宋体" w:cs="宋体"/>
          <w:color w:val="auto"/>
          <w:kern w:val="0"/>
          <w:sz w:val="24"/>
          <w:szCs w:val="24"/>
          <w:highlight w:val="none"/>
        </w:rPr>
        <w:t>谈判情况</w:t>
      </w:r>
      <w:r>
        <w:rPr>
          <w:rFonts w:hint="eastAsia" w:ascii="宋体" w:hAnsi="宋体"/>
          <w:bCs/>
          <w:color w:val="auto"/>
          <w:sz w:val="24"/>
          <w:szCs w:val="24"/>
          <w:highlight w:val="none"/>
        </w:rPr>
        <w:t>认为</w:t>
      </w:r>
      <w:r>
        <w:rPr>
          <w:rFonts w:hint="eastAsia" w:ascii="宋体" w:hAnsi="宋体" w:cs="宋体"/>
          <w:color w:val="auto"/>
          <w:kern w:val="0"/>
          <w:sz w:val="24"/>
          <w:szCs w:val="24"/>
          <w:highlight w:val="none"/>
        </w:rPr>
        <w:t>谈判文件无需发生实质性变动的，谈判小组应当</w:t>
      </w:r>
      <w:r>
        <w:rPr>
          <w:rFonts w:hint="eastAsia" w:ascii="宋体" w:hAnsi="宋体"/>
          <w:color w:val="auto"/>
          <w:sz w:val="24"/>
          <w:szCs w:val="24"/>
          <w:highlight w:val="none"/>
        </w:rPr>
        <w:t>根据本章第29.1</w:t>
      </w:r>
      <w:r>
        <w:rPr>
          <w:rFonts w:hint="eastAsia" w:ascii="宋体" w:hAnsi="宋体" w:cs="宋体"/>
          <w:color w:val="auto"/>
          <w:kern w:val="0"/>
          <w:sz w:val="24"/>
          <w:szCs w:val="24"/>
          <w:highlight w:val="none"/>
          <w:lang w:val="zh-CN"/>
        </w:rPr>
        <w:t>款</w:t>
      </w:r>
      <w:r>
        <w:rPr>
          <w:rFonts w:hint="eastAsia" w:ascii="宋体" w:hAnsi="宋体"/>
          <w:color w:val="auto"/>
          <w:sz w:val="24"/>
          <w:szCs w:val="24"/>
          <w:highlight w:val="none"/>
        </w:rPr>
        <w:t>规定</w:t>
      </w:r>
      <w:r>
        <w:rPr>
          <w:rFonts w:hint="eastAsia" w:ascii="宋体" w:hAnsi="宋体" w:cs="宋体"/>
          <w:color w:val="auto"/>
          <w:kern w:val="0"/>
          <w:sz w:val="24"/>
          <w:szCs w:val="24"/>
          <w:highlight w:val="none"/>
        </w:rPr>
        <w:t>对供应商提交的首次响应文件进行符合性审查，直接与实质性响应谈判文件要求的供应商就价格组织多轮谈判。</w:t>
      </w:r>
    </w:p>
    <w:p>
      <w:pPr>
        <w:pageBreakBefore w:val="0"/>
        <w:widowControl/>
        <w:numPr>
          <w:ilvl w:val="0"/>
          <w:numId w:val="2"/>
        </w:numPr>
        <w:tabs>
          <w:tab w:val="left" w:pos="1080"/>
          <w:tab w:val="left" w:pos="1260"/>
        </w:tabs>
        <w:kinsoku/>
        <w:wordWrap/>
        <w:overflowPunct/>
        <w:topLinePunct w:val="0"/>
        <w:autoSpaceDE/>
        <w:autoSpaceDN/>
        <w:bidi w:val="0"/>
        <w:adjustRightInd/>
        <w:snapToGrid/>
        <w:spacing w:line="440" w:lineRule="exact"/>
        <w:ind w:firstLine="420"/>
        <w:jc w:val="left"/>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谈判结束后，谈判小组应当要求所有继续参加谈判的供应商在谈判小组规定时间内</w:t>
      </w:r>
      <w:r>
        <w:rPr>
          <w:rFonts w:hint="eastAsia" w:ascii="宋体" w:hAnsi="宋体" w:eastAsia="宋体" w:cs="宋体"/>
          <w:color w:val="auto"/>
          <w:kern w:val="0"/>
          <w:sz w:val="24"/>
          <w:szCs w:val="24"/>
          <w:highlight w:val="none"/>
          <w:lang w:eastAsia="zh-CN"/>
        </w:rPr>
        <w:t>提交</w:t>
      </w:r>
      <w:r>
        <w:rPr>
          <w:rFonts w:hint="eastAsia" w:ascii="宋体" w:hAnsi="宋体" w:cs="宋体"/>
          <w:color w:val="auto"/>
          <w:kern w:val="0"/>
          <w:sz w:val="24"/>
          <w:szCs w:val="24"/>
          <w:highlight w:val="none"/>
        </w:rPr>
        <w:t>最后</w:t>
      </w:r>
      <w:r>
        <w:rPr>
          <w:rFonts w:hint="eastAsia" w:ascii="宋体" w:hAnsi="宋体" w:eastAsia="宋体" w:cs="宋体"/>
          <w:color w:val="auto"/>
          <w:kern w:val="0"/>
          <w:sz w:val="24"/>
          <w:szCs w:val="24"/>
          <w:highlight w:val="none"/>
          <w:lang w:eastAsia="zh-CN"/>
        </w:rPr>
        <w:t>报价</w:t>
      </w:r>
      <w:r>
        <w:rPr>
          <w:rFonts w:hint="eastAsia" w:ascii="宋体" w:hAnsi="宋体" w:cs="宋体"/>
          <w:color w:val="auto"/>
          <w:kern w:val="0"/>
          <w:sz w:val="24"/>
          <w:szCs w:val="24"/>
          <w:highlight w:val="none"/>
        </w:rPr>
        <w:t>。</w:t>
      </w:r>
    </w:p>
    <w:p>
      <w:pPr>
        <w:pageBreakBefore w:val="0"/>
        <w:widowControl/>
        <w:numPr>
          <w:ilvl w:val="0"/>
          <w:numId w:val="0"/>
        </w:numPr>
        <w:tabs>
          <w:tab w:val="left" w:pos="1080"/>
          <w:tab w:val="left" w:pos="1260"/>
        </w:tabs>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Calibri" w:cs="宋体"/>
          <w:color w:val="auto"/>
          <w:kern w:val="0"/>
          <w:sz w:val="24"/>
          <w:szCs w:val="24"/>
          <w:highlight w:val="none"/>
        </w:rPr>
      </w:pPr>
      <w:r>
        <w:rPr>
          <w:rFonts w:hint="eastAsia" w:ascii="宋体" w:hAnsi="宋体" w:eastAsia="Calibri" w:cs="宋体"/>
          <w:color w:val="auto"/>
          <w:kern w:val="0"/>
          <w:sz w:val="24"/>
          <w:szCs w:val="24"/>
          <w:highlight w:val="none"/>
        </w:rPr>
        <w:t>最后报价是供应商响应文件的有效组成部分，谈判小组认为提交最后报价的供应商的报价明显低于其他提交最后报价的供应商的报价，有可能影响产品质量或者不能</w:t>
      </w:r>
      <w:r>
        <w:rPr>
          <w:rFonts w:hint="eastAsia" w:ascii="宋体" w:hAnsi="宋体" w:eastAsia="Calibri" w:cs="宋体"/>
          <w:color w:val="auto"/>
          <w:kern w:val="0"/>
          <w:sz w:val="24"/>
          <w:szCs w:val="24"/>
          <w:highlight w:val="none"/>
          <w:lang w:val="en-US" w:eastAsia="zh-CN"/>
        </w:rPr>
        <w:t>诚信</w:t>
      </w:r>
      <w:r>
        <w:rPr>
          <w:rFonts w:hint="eastAsia" w:ascii="宋体" w:hAnsi="宋体" w:eastAsia="Calibri" w:cs="宋体"/>
          <w:color w:val="auto"/>
          <w:kern w:val="0"/>
          <w:sz w:val="24"/>
          <w:szCs w:val="24"/>
          <w:highlight w:val="none"/>
        </w:rPr>
        <w:t>履约的，应当要求其在评审现场合理的时间内提供书面说明，必要时提交相关证明材料，供应商不能证明其价格合理性的，其响应文件视为未实质性响应谈判文件，并告知有关供应商。</w:t>
      </w:r>
    </w:p>
    <w:p>
      <w:pPr>
        <w:pageBreakBefore w:val="0"/>
        <w:widowControl/>
        <w:tabs>
          <w:tab w:val="left" w:pos="1080"/>
          <w:tab w:val="left" w:pos="1260"/>
        </w:tabs>
        <w:kinsoku/>
        <w:wordWrap/>
        <w:overflowPunct/>
        <w:topLinePunct w:val="0"/>
        <w:autoSpaceDE/>
        <w:autoSpaceDN/>
        <w:bidi w:val="0"/>
        <w:adjustRightInd/>
        <w:snapToGrid/>
        <w:spacing w:line="440" w:lineRule="exact"/>
        <w:ind w:firstLine="42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2</w:t>
      </w:r>
      <w:r>
        <w:rPr>
          <w:rFonts w:hint="eastAsia" w:ascii="宋体" w:hAnsi="宋体" w:cs="宋体"/>
          <w:color w:val="auto"/>
          <w:kern w:val="0"/>
          <w:sz w:val="24"/>
          <w:szCs w:val="24"/>
          <w:highlight w:val="none"/>
        </w:rPr>
        <w:t>）谈判文件明确可能发生实质性变动，但在谈判过程中</w:t>
      </w:r>
      <w:r>
        <w:rPr>
          <w:rFonts w:hint="eastAsia" w:ascii="宋体" w:hAnsi="宋体"/>
          <w:bCs/>
          <w:color w:val="auto"/>
          <w:sz w:val="24"/>
          <w:szCs w:val="24"/>
          <w:highlight w:val="none"/>
        </w:rPr>
        <w:t>谈判小组</w:t>
      </w:r>
      <w:r>
        <w:rPr>
          <w:rFonts w:hint="eastAsia" w:ascii="宋体" w:hAnsi="宋体" w:cs="Arial"/>
          <w:color w:val="auto"/>
          <w:kern w:val="0"/>
          <w:sz w:val="24"/>
          <w:szCs w:val="24"/>
          <w:highlight w:val="none"/>
        </w:rPr>
        <w:t>根据</w:t>
      </w:r>
      <w:r>
        <w:rPr>
          <w:rFonts w:hint="eastAsia" w:ascii="宋体" w:hAnsi="宋体" w:cs="宋体"/>
          <w:color w:val="auto"/>
          <w:kern w:val="0"/>
          <w:sz w:val="24"/>
          <w:szCs w:val="24"/>
          <w:highlight w:val="none"/>
        </w:rPr>
        <w:t>谈判情况</w:t>
      </w:r>
      <w:r>
        <w:rPr>
          <w:rFonts w:hint="eastAsia" w:ascii="宋体" w:hAnsi="宋体"/>
          <w:bCs/>
          <w:color w:val="auto"/>
          <w:sz w:val="24"/>
          <w:szCs w:val="24"/>
          <w:highlight w:val="none"/>
        </w:rPr>
        <w:t>认为</w:t>
      </w:r>
      <w:r>
        <w:rPr>
          <w:rFonts w:hint="eastAsia" w:ascii="宋体" w:hAnsi="宋体" w:cs="宋体"/>
          <w:color w:val="auto"/>
          <w:kern w:val="0"/>
          <w:sz w:val="24"/>
          <w:szCs w:val="24"/>
          <w:highlight w:val="none"/>
        </w:rPr>
        <w:t>谈判文件无需发生实质性变动的，谈判小组不另行通知。</w:t>
      </w:r>
    </w:p>
    <w:p>
      <w:pPr>
        <w:pageBreakBefore w:val="0"/>
        <w:widowControl/>
        <w:kinsoku/>
        <w:wordWrap/>
        <w:overflowPunct/>
        <w:topLinePunct w:val="0"/>
        <w:autoSpaceDE/>
        <w:autoSpaceDN/>
        <w:bidi w:val="0"/>
        <w:adjustRightInd/>
        <w:snapToGrid/>
        <w:spacing w:line="440" w:lineRule="exact"/>
        <w:ind w:firstLine="42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30.2在谈判过程中，谈判小组可以根据谈判文件和谈判情况实质性变动采购需求中的技术、服务要求以及合同草案条款，但不得变动谈判文件中的其他内容。实质性变动的内容，须经采购人代表确认。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（1）谈判文件能够详细列明采购需求的技术、服务要求的，谈判结束后，谈判小组应当要求所有继续参加谈判的供应商在规定时间内</w:t>
      </w:r>
      <w:r>
        <w:rPr>
          <w:rFonts w:hint="eastAsia" w:ascii="宋体" w:hAnsi="宋体" w:eastAsia="宋体" w:cs="宋体"/>
          <w:color w:val="auto"/>
          <w:kern w:val="0"/>
          <w:sz w:val="24"/>
          <w:szCs w:val="24"/>
          <w:highlight w:val="none"/>
          <w:lang w:eastAsia="zh-CN"/>
        </w:rPr>
        <w:t>提交</w:t>
      </w:r>
      <w:r>
        <w:rPr>
          <w:rFonts w:hint="eastAsia" w:ascii="宋体" w:hAnsi="宋体" w:cs="宋体"/>
          <w:color w:val="auto"/>
          <w:kern w:val="0"/>
          <w:sz w:val="24"/>
          <w:szCs w:val="24"/>
          <w:highlight w:val="none"/>
        </w:rPr>
        <w:t>最后</w:t>
      </w:r>
      <w:r>
        <w:rPr>
          <w:rFonts w:hint="eastAsia" w:ascii="宋体" w:hAnsi="宋体" w:eastAsia="宋体" w:cs="宋体"/>
          <w:color w:val="auto"/>
          <w:kern w:val="0"/>
          <w:sz w:val="24"/>
          <w:szCs w:val="24"/>
          <w:highlight w:val="none"/>
          <w:lang w:eastAsia="zh-CN"/>
        </w:rPr>
        <w:t>报价，提交最后报价的供应商不得少于</w:t>
      </w:r>
      <w:r>
        <w:rPr>
          <w:rFonts w:hint="eastAsia" w:ascii="宋体" w:hAnsi="宋体" w:eastAsia="宋体" w:cs="宋体"/>
          <w:color w:val="auto"/>
          <w:kern w:val="0"/>
          <w:sz w:val="24"/>
          <w:szCs w:val="24"/>
          <w:highlight w:val="none"/>
          <w:lang w:val="en-US" w:eastAsia="zh-CN"/>
        </w:rPr>
        <w:t>3家</w:t>
      </w:r>
      <w:r>
        <w:rPr>
          <w:rFonts w:hint="eastAsia" w:ascii="宋体" w:hAnsi="宋体" w:cs="宋体"/>
          <w:color w:val="auto"/>
          <w:kern w:val="0"/>
          <w:sz w:val="24"/>
          <w:szCs w:val="24"/>
          <w:highlight w:val="none"/>
        </w:rPr>
        <w:t>。</w:t>
      </w:r>
    </w:p>
    <w:p>
      <w:pPr>
        <w:pageBreakBefore w:val="0"/>
        <w:widowControl/>
        <w:kinsoku/>
        <w:wordWrap/>
        <w:overflowPunct/>
        <w:topLinePunct w:val="0"/>
        <w:autoSpaceDE/>
        <w:autoSpaceDN/>
        <w:bidi w:val="0"/>
        <w:adjustRightInd/>
        <w:snapToGrid/>
        <w:spacing w:line="440" w:lineRule="exact"/>
        <w:ind w:firstLine="42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2）谈判文件不能详细列明采购需求的技术、服务要求，需经谈判由供应商提供最终设计方案或解决方案的，谈判结束后，谈判小组应当按照少数服从多数的原则投票推荐3家以上供应商的设计方案或者解决方案，并要求其在规定时间内</w:t>
      </w:r>
      <w:r>
        <w:rPr>
          <w:rFonts w:hint="eastAsia" w:ascii="宋体" w:hAnsi="宋体" w:eastAsia="宋体" w:cs="宋体"/>
          <w:color w:val="auto"/>
          <w:kern w:val="0"/>
          <w:sz w:val="24"/>
          <w:szCs w:val="24"/>
          <w:highlight w:val="none"/>
          <w:lang w:eastAsia="zh-CN"/>
        </w:rPr>
        <w:t>提交</w:t>
      </w:r>
      <w:r>
        <w:rPr>
          <w:rFonts w:hint="eastAsia" w:ascii="宋体" w:hAnsi="宋体" w:cs="宋体"/>
          <w:color w:val="auto"/>
          <w:kern w:val="0"/>
          <w:sz w:val="24"/>
          <w:szCs w:val="24"/>
          <w:highlight w:val="none"/>
        </w:rPr>
        <w:t>最后</w:t>
      </w:r>
      <w:r>
        <w:rPr>
          <w:rFonts w:hint="eastAsia" w:ascii="宋体" w:hAnsi="宋体" w:eastAsia="宋体" w:cs="宋体"/>
          <w:color w:val="auto"/>
          <w:kern w:val="0"/>
          <w:sz w:val="24"/>
          <w:szCs w:val="24"/>
          <w:highlight w:val="none"/>
          <w:lang w:eastAsia="zh-CN"/>
        </w:rPr>
        <w:t>报价</w:t>
      </w:r>
      <w:r>
        <w:rPr>
          <w:rFonts w:hint="eastAsia" w:ascii="宋体" w:hAnsi="宋体" w:cs="宋体"/>
          <w:color w:val="auto"/>
          <w:kern w:val="0"/>
          <w:sz w:val="24"/>
          <w:szCs w:val="24"/>
          <w:highlight w:val="none"/>
        </w:rPr>
        <w:t>。</w:t>
      </w:r>
    </w:p>
    <w:p>
      <w:pPr>
        <w:pageBreakBefore w:val="0"/>
        <w:widowControl/>
        <w:kinsoku/>
        <w:wordWrap/>
        <w:overflowPunct/>
        <w:topLinePunct w:val="0"/>
        <w:autoSpaceDE/>
        <w:autoSpaceDN/>
        <w:bidi w:val="0"/>
        <w:adjustRightInd/>
        <w:snapToGrid/>
        <w:spacing w:line="440" w:lineRule="exact"/>
        <w:ind w:firstLine="420"/>
        <w:jc w:val="left"/>
        <w:textAlignment w:val="auto"/>
        <w:rPr>
          <w:rFonts w:ascii="宋体" w:hAnsi="宋体"/>
          <w:bCs/>
          <w:color w:val="auto"/>
          <w:sz w:val="24"/>
          <w:szCs w:val="24"/>
          <w:highlight w:val="none"/>
        </w:rPr>
      </w:pPr>
      <w:r>
        <w:rPr>
          <w:rFonts w:hint="eastAsia" w:ascii="宋体" w:hAnsi="宋体"/>
          <w:bCs/>
          <w:color w:val="auto"/>
          <w:sz w:val="24"/>
          <w:szCs w:val="24"/>
          <w:highlight w:val="none"/>
        </w:rPr>
        <w:t>30.3</w:t>
      </w:r>
      <w:r>
        <w:rPr>
          <w:rFonts w:hint="eastAsia" w:ascii="宋体" w:hAnsi="宋体"/>
          <w:color w:val="auto"/>
          <w:sz w:val="24"/>
          <w:szCs w:val="24"/>
          <w:highlight w:val="none"/>
        </w:rPr>
        <w:t xml:space="preserve"> </w:t>
      </w:r>
      <w:r>
        <w:rPr>
          <w:rFonts w:hint="eastAsia" w:ascii="宋体" w:hAnsi="宋体"/>
          <w:bCs/>
          <w:color w:val="auto"/>
          <w:sz w:val="24"/>
          <w:szCs w:val="24"/>
          <w:highlight w:val="none"/>
        </w:rPr>
        <w:t>重</w:t>
      </w:r>
      <w:r>
        <w:rPr>
          <w:rFonts w:hint="eastAsia" w:ascii="宋体" w:hAnsi="宋体" w:cs="宋体"/>
          <w:color w:val="auto"/>
          <w:kern w:val="0"/>
          <w:sz w:val="24"/>
          <w:szCs w:val="24"/>
          <w:highlight w:val="none"/>
        </w:rPr>
        <w:t>新提交的响应文件</w:t>
      </w:r>
      <w:r>
        <w:rPr>
          <w:rFonts w:hint="eastAsia" w:ascii="宋体" w:hAnsi="宋体"/>
          <w:color w:val="auto"/>
          <w:sz w:val="24"/>
          <w:szCs w:val="24"/>
          <w:highlight w:val="none"/>
        </w:rPr>
        <w:t>或者最后</w:t>
      </w:r>
      <w:r>
        <w:rPr>
          <w:rFonts w:hint="eastAsia" w:ascii="宋体" w:hAnsi="宋体" w:eastAsia="宋体" w:cs="宋体"/>
          <w:color w:val="auto"/>
          <w:kern w:val="0"/>
          <w:sz w:val="24"/>
          <w:szCs w:val="24"/>
          <w:highlight w:val="none"/>
          <w:lang w:eastAsia="zh-CN"/>
        </w:rPr>
        <w:t>报价</w:t>
      </w:r>
      <w:r>
        <w:rPr>
          <w:rFonts w:hint="eastAsia" w:ascii="宋体" w:hAnsi="宋体"/>
          <w:color w:val="auto"/>
          <w:sz w:val="24"/>
          <w:szCs w:val="24"/>
          <w:highlight w:val="none"/>
        </w:rPr>
        <w:t>应按</w:t>
      </w:r>
      <w:r>
        <w:rPr>
          <w:rFonts w:hint="eastAsia" w:ascii="宋体" w:hAnsi="宋体" w:cs="宋体"/>
          <w:color w:val="auto"/>
          <w:kern w:val="0"/>
          <w:sz w:val="24"/>
          <w:szCs w:val="24"/>
          <w:highlight w:val="none"/>
        </w:rPr>
        <w:t>本章第</w:t>
      </w:r>
      <w:r>
        <w:rPr>
          <w:rFonts w:hint="eastAsia" w:ascii="宋体" w:hAnsi="宋体"/>
          <w:color w:val="auto"/>
          <w:sz w:val="24"/>
          <w:szCs w:val="24"/>
          <w:highlight w:val="none"/>
        </w:rPr>
        <w:t>20.3</w:t>
      </w:r>
      <w:r>
        <w:rPr>
          <w:rFonts w:hint="eastAsia" w:ascii="宋体" w:hAnsi="宋体" w:cs="宋体"/>
          <w:color w:val="auto"/>
          <w:kern w:val="0"/>
          <w:sz w:val="24"/>
          <w:szCs w:val="24"/>
          <w:highlight w:val="none"/>
          <w:lang w:val="zh-CN"/>
        </w:rPr>
        <w:t>款</w:t>
      </w:r>
      <w:r>
        <w:rPr>
          <w:rFonts w:hint="eastAsia" w:ascii="宋体" w:hAnsi="宋体"/>
          <w:color w:val="auto"/>
          <w:sz w:val="24"/>
          <w:szCs w:val="24"/>
          <w:highlight w:val="none"/>
        </w:rPr>
        <w:t>规定，</w:t>
      </w:r>
      <w:r>
        <w:rPr>
          <w:rFonts w:hint="eastAsia" w:ascii="宋体" w:hAnsi="宋体" w:cs="宋体"/>
          <w:color w:val="auto"/>
          <w:kern w:val="0"/>
          <w:sz w:val="24"/>
          <w:szCs w:val="24"/>
          <w:highlight w:val="none"/>
        </w:rPr>
        <w:t>由其法定代表人或其委托代理人签字或者加盖供应商单位章，在规定时间内递交给谈判小组</w:t>
      </w:r>
      <w:r>
        <w:rPr>
          <w:rFonts w:hint="eastAsia" w:ascii="宋体" w:hAnsi="宋体"/>
          <w:bCs/>
          <w:color w:val="auto"/>
          <w:sz w:val="24"/>
          <w:szCs w:val="24"/>
          <w:highlight w:val="none"/>
        </w:rPr>
        <w:t>。</w:t>
      </w:r>
    </w:p>
    <w:p>
      <w:pPr>
        <w:pageBreakBefore w:val="0"/>
        <w:widowControl/>
        <w:kinsoku/>
        <w:wordWrap/>
        <w:overflowPunct/>
        <w:topLinePunct w:val="0"/>
        <w:autoSpaceDE/>
        <w:autoSpaceDN/>
        <w:bidi w:val="0"/>
        <w:adjustRightInd/>
        <w:snapToGrid/>
        <w:spacing w:line="440" w:lineRule="exact"/>
        <w:ind w:firstLine="42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30.4</w:t>
      </w:r>
      <w:r>
        <w:rPr>
          <w:rFonts w:hint="eastAsia" w:ascii="宋体" w:hAnsi="宋体" w:cs="宋体"/>
          <w:color w:val="auto"/>
          <w:kern w:val="0"/>
          <w:sz w:val="24"/>
          <w:szCs w:val="24"/>
          <w:highlight w:val="none"/>
          <w:lang w:val="zh-CN"/>
        </w:rPr>
        <w:t>供应商的</w:t>
      </w:r>
      <w:r>
        <w:rPr>
          <w:rFonts w:hint="eastAsia" w:ascii="宋体" w:hAnsi="宋体"/>
          <w:bCs/>
          <w:color w:val="auto"/>
          <w:sz w:val="24"/>
          <w:szCs w:val="24"/>
          <w:highlight w:val="none"/>
        </w:rPr>
        <w:t>最后</w:t>
      </w:r>
      <w:r>
        <w:rPr>
          <w:rFonts w:hint="eastAsia" w:ascii="宋体" w:hAnsi="宋体" w:eastAsia="宋体" w:cs="宋体"/>
          <w:color w:val="auto"/>
          <w:kern w:val="0"/>
          <w:sz w:val="24"/>
          <w:szCs w:val="24"/>
          <w:highlight w:val="none"/>
          <w:lang w:eastAsia="zh-CN"/>
        </w:rPr>
        <w:t>报价</w:t>
      </w:r>
      <w:r>
        <w:rPr>
          <w:rFonts w:hint="eastAsia" w:ascii="宋体" w:hAnsi="宋体" w:eastAsia="宋体"/>
          <w:bCs/>
          <w:color w:val="auto"/>
          <w:sz w:val="24"/>
          <w:szCs w:val="24"/>
          <w:highlight w:val="none"/>
          <w:lang w:eastAsia="zh-CN"/>
        </w:rPr>
        <w:t>应当</w:t>
      </w:r>
      <w:r>
        <w:rPr>
          <w:rFonts w:hint="eastAsia" w:ascii="宋体" w:hAnsi="宋体"/>
          <w:bCs/>
          <w:color w:val="auto"/>
          <w:sz w:val="24"/>
          <w:szCs w:val="24"/>
          <w:highlight w:val="none"/>
        </w:rPr>
        <w:t>由供应商代表</w:t>
      </w:r>
      <w:r>
        <w:rPr>
          <w:rFonts w:hint="eastAsia" w:ascii="宋体" w:hAnsi="宋体" w:eastAsia="宋体"/>
          <w:bCs/>
          <w:color w:val="auto"/>
          <w:sz w:val="24"/>
          <w:szCs w:val="24"/>
          <w:highlight w:val="none"/>
          <w:lang w:eastAsia="zh-CN"/>
        </w:rPr>
        <w:t>在谈判现场</w:t>
      </w:r>
      <w:r>
        <w:rPr>
          <w:rFonts w:hint="eastAsia" w:ascii="宋体" w:hAnsi="宋体"/>
          <w:bCs/>
          <w:color w:val="auto"/>
          <w:sz w:val="24"/>
          <w:szCs w:val="24"/>
          <w:highlight w:val="none"/>
        </w:rPr>
        <w:t>签字确认。</w:t>
      </w:r>
    </w:p>
    <w:p>
      <w:pPr>
        <w:pageBreakBefore w:val="0"/>
        <w:widowControl/>
        <w:kinsoku/>
        <w:wordWrap/>
        <w:overflowPunct/>
        <w:topLinePunct w:val="0"/>
        <w:autoSpaceDE/>
        <w:autoSpaceDN/>
        <w:bidi w:val="0"/>
        <w:adjustRightInd/>
        <w:snapToGrid/>
        <w:spacing w:line="440" w:lineRule="exact"/>
        <w:ind w:firstLine="42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30.5提交首次响应文件的供应商，在最后</w:t>
      </w:r>
      <w:r>
        <w:rPr>
          <w:rFonts w:hint="eastAsia" w:ascii="宋体" w:hAnsi="宋体" w:eastAsia="宋体" w:cs="宋体"/>
          <w:color w:val="auto"/>
          <w:kern w:val="0"/>
          <w:sz w:val="24"/>
          <w:szCs w:val="24"/>
          <w:highlight w:val="none"/>
          <w:lang w:eastAsia="zh-CN"/>
        </w:rPr>
        <w:t>报价</w:t>
      </w:r>
      <w:r>
        <w:rPr>
          <w:rFonts w:hint="eastAsia" w:ascii="宋体" w:hAnsi="宋体" w:cs="宋体"/>
          <w:color w:val="auto"/>
          <w:kern w:val="0"/>
          <w:sz w:val="24"/>
          <w:szCs w:val="24"/>
          <w:highlight w:val="none"/>
        </w:rPr>
        <w:t>之前，可以根据谈判情况退出谈判，并书面通知采购代理机构或者谈判小组。</w:t>
      </w:r>
      <w:r>
        <w:rPr>
          <w:rFonts w:hint="eastAsia" w:ascii="宋体" w:hAnsi="宋体"/>
          <w:color w:val="auto"/>
          <w:sz w:val="24"/>
          <w:szCs w:val="24"/>
          <w:highlight w:val="none"/>
        </w:rPr>
        <w:t>该通知由供应商法定代表人或其委托代理人签字。</w:t>
      </w:r>
      <w:r>
        <w:rPr>
          <w:rFonts w:hint="eastAsia" w:ascii="宋体" w:hAnsi="宋体" w:cs="宋体"/>
          <w:color w:val="auto"/>
          <w:kern w:val="0"/>
          <w:sz w:val="24"/>
          <w:szCs w:val="24"/>
          <w:highlight w:val="none"/>
        </w:rPr>
        <w:t>采购代理机构按本章第</w:t>
      </w:r>
      <w:r>
        <w:rPr>
          <w:rFonts w:hint="eastAsia" w:ascii="宋体" w:hAnsi="宋体"/>
          <w:color w:val="auto"/>
          <w:sz w:val="24"/>
          <w:szCs w:val="24"/>
          <w:highlight w:val="none"/>
        </w:rPr>
        <w:t>18.4</w:t>
      </w:r>
      <w:r>
        <w:rPr>
          <w:rFonts w:hint="eastAsia" w:ascii="宋体" w:hAnsi="宋体" w:cs="宋体"/>
          <w:color w:val="auto"/>
          <w:kern w:val="0"/>
          <w:sz w:val="24"/>
          <w:szCs w:val="24"/>
          <w:highlight w:val="none"/>
          <w:lang w:val="zh-CN"/>
        </w:rPr>
        <w:t>款</w:t>
      </w:r>
      <w:r>
        <w:rPr>
          <w:rFonts w:hint="eastAsia" w:ascii="宋体" w:hAnsi="宋体"/>
          <w:color w:val="auto"/>
          <w:sz w:val="24"/>
          <w:szCs w:val="24"/>
          <w:highlight w:val="none"/>
        </w:rPr>
        <w:t>规定</w:t>
      </w:r>
      <w:r>
        <w:rPr>
          <w:rFonts w:hint="eastAsia" w:ascii="宋体" w:hAnsi="宋体" w:cs="宋体"/>
          <w:color w:val="auto"/>
          <w:kern w:val="0"/>
          <w:sz w:val="24"/>
          <w:szCs w:val="24"/>
          <w:highlight w:val="none"/>
        </w:rPr>
        <w:t>退还退出谈判的供应商的保证金。</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bCs/>
          <w:color w:val="auto"/>
          <w:sz w:val="24"/>
          <w:szCs w:val="24"/>
          <w:highlight w:val="none"/>
        </w:rPr>
        <w:t>30.6</w:t>
      </w:r>
      <w:r>
        <w:rPr>
          <w:rFonts w:hint="eastAsia" w:ascii="宋体" w:hAnsi="宋体" w:cs="宋体"/>
          <w:color w:val="auto"/>
          <w:kern w:val="0"/>
          <w:sz w:val="24"/>
          <w:szCs w:val="24"/>
          <w:highlight w:val="none"/>
        </w:rPr>
        <w:t>提交首次响应文件的供应商，未按谈判文件规定及谈判小组要求最后</w:t>
      </w:r>
      <w:r>
        <w:rPr>
          <w:rFonts w:hint="eastAsia" w:ascii="宋体" w:hAnsi="宋体" w:eastAsia="宋体" w:cs="宋体"/>
          <w:color w:val="auto"/>
          <w:kern w:val="0"/>
          <w:sz w:val="24"/>
          <w:szCs w:val="24"/>
          <w:highlight w:val="none"/>
          <w:lang w:eastAsia="zh-CN"/>
        </w:rPr>
        <w:t>报价</w:t>
      </w:r>
      <w:r>
        <w:rPr>
          <w:rFonts w:hint="eastAsia" w:ascii="宋体" w:hAnsi="宋体" w:cs="宋体"/>
          <w:color w:val="auto"/>
          <w:kern w:val="0"/>
          <w:sz w:val="24"/>
          <w:szCs w:val="24"/>
          <w:highlight w:val="none"/>
        </w:rPr>
        <w:t>(或者</w:t>
      </w:r>
      <w:r>
        <w:rPr>
          <w:rFonts w:hint="eastAsia" w:ascii="宋体" w:hAnsi="宋体"/>
          <w:bCs/>
          <w:color w:val="auto"/>
          <w:sz w:val="24"/>
          <w:szCs w:val="24"/>
          <w:highlight w:val="none"/>
        </w:rPr>
        <w:t>重</w:t>
      </w:r>
      <w:r>
        <w:rPr>
          <w:rFonts w:hint="eastAsia" w:ascii="宋体" w:hAnsi="宋体" w:cs="宋体"/>
          <w:color w:val="auto"/>
          <w:kern w:val="0"/>
          <w:sz w:val="24"/>
          <w:szCs w:val="24"/>
          <w:highlight w:val="none"/>
        </w:rPr>
        <w:t>新提交的响应文件和最后</w:t>
      </w:r>
      <w:r>
        <w:rPr>
          <w:rFonts w:hint="eastAsia" w:ascii="宋体" w:hAnsi="宋体" w:eastAsia="宋体" w:cs="宋体"/>
          <w:color w:val="auto"/>
          <w:kern w:val="0"/>
          <w:sz w:val="24"/>
          <w:szCs w:val="24"/>
          <w:highlight w:val="none"/>
          <w:lang w:eastAsia="zh-CN"/>
        </w:rPr>
        <w:t>报价</w:t>
      </w:r>
      <w:r>
        <w:rPr>
          <w:rFonts w:hint="eastAsia" w:ascii="宋体" w:hAnsi="宋体" w:cs="宋体"/>
          <w:color w:val="auto"/>
          <w:kern w:val="0"/>
          <w:sz w:val="24"/>
          <w:szCs w:val="24"/>
          <w:highlight w:val="none"/>
        </w:rPr>
        <w:t>)，且又未按本章第</w:t>
      </w:r>
      <w:r>
        <w:rPr>
          <w:rFonts w:hint="eastAsia" w:ascii="宋体" w:hAnsi="宋体"/>
          <w:color w:val="auto"/>
          <w:sz w:val="24"/>
          <w:szCs w:val="24"/>
          <w:highlight w:val="none"/>
        </w:rPr>
        <w:t>30.5</w:t>
      </w:r>
      <w:r>
        <w:rPr>
          <w:rFonts w:hint="eastAsia" w:ascii="宋体" w:hAnsi="宋体" w:cs="宋体"/>
          <w:color w:val="auto"/>
          <w:kern w:val="0"/>
          <w:sz w:val="24"/>
          <w:szCs w:val="24"/>
          <w:highlight w:val="none"/>
          <w:lang w:val="zh-CN"/>
        </w:rPr>
        <w:t>款</w:t>
      </w:r>
      <w:r>
        <w:rPr>
          <w:rFonts w:hint="eastAsia" w:ascii="宋体" w:hAnsi="宋体"/>
          <w:color w:val="auto"/>
          <w:sz w:val="24"/>
          <w:szCs w:val="24"/>
          <w:highlight w:val="none"/>
        </w:rPr>
        <w:t>规定</w:t>
      </w:r>
      <w:r>
        <w:rPr>
          <w:rFonts w:hint="eastAsia" w:ascii="宋体" w:hAnsi="宋体" w:cs="宋体"/>
          <w:color w:val="auto"/>
          <w:kern w:val="0"/>
          <w:sz w:val="24"/>
          <w:szCs w:val="24"/>
          <w:highlight w:val="none"/>
        </w:rPr>
        <w:t>退出谈判的，供应商的保证金不予退还。</w:t>
      </w:r>
    </w:p>
    <w:p>
      <w:pPr>
        <w:pageBreakBefore w:val="0"/>
        <w:widowControl/>
        <w:kinsoku/>
        <w:wordWrap/>
        <w:overflowPunct/>
        <w:topLinePunct w:val="0"/>
        <w:autoSpaceDE/>
        <w:autoSpaceDN/>
        <w:bidi w:val="0"/>
        <w:adjustRightInd/>
        <w:snapToGrid/>
        <w:spacing w:line="440" w:lineRule="exact"/>
        <w:jc w:val="left"/>
        <w:textAlignment w:val="auto"/>
        <w:rPr>
          <w:rFonts w:ascii="宋体" w:hAnsi="宋体"/>
          <w:b/>
          <w:bCs/>
          <w:color w:val="auto"/>
          <w:sz w:val="24"/>
          <w:szCs w:val="24"/>
          <w:highlight w:val="none"/>
        </w:rPr>
      </w:pPr>
      <w:r>
        <w:rPr>
          <w:rFonts w:hint="eastAsia" w:ascii="宋体" w:hAnsi="宋体" w:cs="宋体"/>
          <w:b/>
          <w:color w:val="auto"/>
          <w:kern w:val="0"/>
          <w:sz w:val="24"/>
          <w:szCs w:val="24"/>
          <w:highlight w:val="none"/>
        </w:rPr>
        <w:t>31.</w:t>
      </w:r>
      <w:r>
        <w:rPr>
          <w:rFonts w:hint="eastAsia" w:ascii="宋体" w:hAnsi="宋体"/>
          <w:b/>
          <w:bCs/>
          <w:color w:val="auto"/>
          <w:sz w:val="24"/>
          <w:szCs w:val="24"/>
          <w:highlight w:val="none"/>
        </w:rPr>
        <w:t>提出成交供应商</w:t>
      </w:r>
    </w:p>
    <w:p>
      <w:pPr>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bCs/>
          <w:color w:val="auto"/>
          <w:sz w:val="24"/>
          <w:szCs w:val="24"/>
          <w:highlight w:val="none"/>
        </w:rPr>
      </w:pPr>
      <w:r>
        <w:rPr>
          <w:rFonts w:hint="eastAsia" w:ascii="宋体" w:hAnsi="宋体"/>
          <w:bCs/>
          <w:color w:val="auto"/>
          <w:sz w:val="24"/>
          <w:szCs w:val="24"/>
          <w:highlight w:val="none"/>
        </w:rPr>
        <w:t>31.1</w:t>
      </w:r>
      <w:r>
        <w:rPr>
          <w:rFonts w:hint="eastAsia" w:ascii="宋体" w:hAnsi="宋体" w:cs="宋体"/>
          <w:color w:val="auto"/>
          <w:kern w:val="0"/>
          <w:sz w:val="24"/>
          <w:szCs w:val="24"/>
          <w:highlight w:val="none"/>
        </w:rPr>
        <w:t>谈判小组应当从质量和服务均能满足采购文件实质性响应要求的供应商中，按照最后</w:t>
      </w:r>
      <w:r>
        <w:rPr>
          <w:rFonts w:hint="eastAsia" w:ascii="宋体" w:hAnsi="宋体" w:eastAsia="宋体" w:cs="宋体"/>
          <w:color w:val="auto"/>
          <w:kern w:val="0"/>
          <w:sz w:val="24"/>
          <w:szCs w:val="24"/>
          <w:highlight w:val="none"/>
          <w:lang w:eastAsia="zh-CN"/>
        </w:rPr>
        <w:t>报价</w:t>
      </w:r>
      <w:r>
        <w:rPr>
          <w:rFonts w:hint="eastAsia" w:ascii="宋体" w:hAnsi="宋体" w:cs="宋体"/>
          <w:color w:val="auto"/>
          <w:kern w:val="0"/>
          <w:sz w:val="24"/>
          <w:szCs w:val="24"/>
          <w:highlight w:val="none"/>
        </w:rPr>
        <w:t>由低到高的顺序提出3名以上成交候选人，编写评审报告</w:t>
      </w:r>
      <w:r>
        <w:rPr>
          <w:rFonts w:hint="eastAsia" w:ascii="宋体" w:hAnsi="宋体" w:eastAsia="宋体" w:cs="宋体"/>
          <w:color w:val="auto"/>
          <w:kern w:val="0"/>
          <w:sz w:val="24"/>
          <w:szCs w:val="24"/>
          <w:highlight w:val="none"/>
          <w:lang w:eastAsia="zh-CN"/>
        </w:rPr>
        <w:t>并签字确认</w:t>
      </w:r>
      <w:r>
        <w:rPr>
          <w:rFonts w:hint="eastAsia" w:ascii="宋体" w:hAnsi="宋体" w:cs="宋体"/>
          <w:color w:val="auto"/>
          <w:kern w:val="0"/>
          <w:sz w:val="24"/>
          <w:szCs w:val="24"/>
          <w:highlight w:val="none"/>
        </w:rPr>
        <w:t>。供应商符合本章第9.2</w:t>
      </w:r>
      <w:r>
        <w:rPr>
          <w:rFonts w:hint="eastAsia" w:ascii="宋体" w:hAnsi="宋体" w:cs="宋体"/>
          <w:color w:val="auto"/>
          <w:kern w:val="0"/>
          <w:sz w:val="24"/>
          <w:szCs w:val="24"/>
          <w:highlight w:val="none"/>
          <w:lang w:val="zh-CN"/>
        </w:rPr>
        <w:t>款</w:t>
      </w:r>
      <w:r>
        <w:rPr>
          <w:rFonts w:hint="eastAsia" w:ascii="宋体" w:hAnsi="宋体" w:cs="宋体"/>
          <w:color w:val="auto"/>
          <w:kern w:val="0"/>
          <w:sz w:val="24"/>
          <w:szCs w:val="24"/>
          <w:highlight w:val="none"/>
        </w:rPr>
        <w:t>关于政府采购政策规定的，最后</w:t>
      </w:r>
      <w:r>
        <w:rPr>
          <w:rFonts w:hint="eastAsia" w:ascii="宋体" w:hAnsi="宋体" w:eastAsia="宋体" w:cs="宋体"/>
          <w:color w:val="auto"/>
          <w:kern w:val="0"/>
          <w:sz w:val="24"/>
          <w:szCs w:val="24"/>
          <w:highlight w:val="none"/>
          <w:lang w:eastAsia="zh-CN"/>
        </w:rPr>
        <w:t>报价</w:t>
      </w:r>
      <w:r>
        <w:rPr>
          <w:rFonts w:hint="eastAsia" w:ascii="宋体" w:hAnsi="宋体" w:cs="宋体"/>
          <w:color w:val="auto"/>
          <w:kern w:val="0"/>
          <w:sz w:val="24"/>
          <w:szCs w:val="24"/>
          <w:highlight w:val="none"/>
        </w:rPr>
        <w:t>按本章第9.2</w:t>
      </w:r>
      <w:r>
        <w:rPr>
          <w:rFonts w:hint="eastAsia" w:ascii="宋体" w:hAnsi="宋体" w:cs="宋体"/>
          <w:color w:val="auto"/>
          <w:kern w:val="0"/>
          <w:sz w:val="24"/>
          <w:szCs w:val="24"/>
          <w:highlight w:val="none"/>
          <w:lang w:val="zh-CN"/>
        </w:rPr>
        <w:t>款、</w:t>
      </w:r>
      <w:r>
        <w:rPr>
          <w:rFonts w:hint="eastAsia" w:ascii="宋体" w:hAnsi="宋体" w:cs="宋体"/>
          <w:color w:val="auto"/>
          <w:kern w:val="0"/>
          <w:sz w:val="24"/>
          <w:szCs w:val="24"/>
          <w:highlight w:val="none"/>
        </w:rPr>
        <w:t>第9.3</w:t>
      </w:r>
      <w:r>
        <w:rPr>
          <w:rFonts w:hint="eastAsia" w:ascii="宋体" w:hAnsi="宋体" w:cs="宋体"/>
          <w:color w:val="auto"/>
          <w:kern w:val="0"/>
          <w:sz w:val="24"/>
          <w:szCs w:val="24"/>
          <w:highlight w:val="none"/>
          <w:lang w:val="zh-CN"/>
        </w:rPr>
        <w:t>款、第</w:t>
      </w:r>
      <w:r>
        <w:rPr>
          <w:rFonts w:hint="eastAsia" w:ascii="宋体" w:hAnsi="宋体" w:cs="宋体"/>
          <w:color w:val="auto"/>
          <w:kern w:val="0"/>
          <w:sz w:val="24"/>
          <w:szCs w:val="24"/>
          <w:highlight w:val="none"/>
        </w:rPr>
        <w:t>9.4款规定进行价格扣除，并按价格扣除后的最后</w:t>
      </w:r>
      <w:r>
        <w:rPr>
          <w:rFonts w:hint="eastAsia" w:ascii="宋体" w:hAnsi="宋体" w:eastAsia="宋体" w:cs="宋体"/>
          <w:color w:val="auto"/>
          <w:kern w:val="0"/>
          <w:sz w:val="24"/>
          <w:szCs w:val="24"/>
          <w:highlight w:val="none"/>
          <w:lang w:eastAsia="zh-CN"/>
        </w:rPr>
        <w:t>报价</w:t>
      </w:r>
      <w:r>
        <w:rPr>
          <w:rFonts w:hint="eastAsia" w:ascii="宋体" w:hAnsi="宋体" w:cs="宋体"/>
          <w:color w:val="auto"/>
          <w:kern w:val="0"/>
          <w:sz w:val="24"/>
          <w:szCs w:val="24"/>
          <w:highlight w:val="none"/>
        </w:rPr>
        <w:t>排序</w:t>
      </w:r>
      <w:r>
        <w:rPr>
          <w:rFonts w:hint="eastAsia" w:ascii="宋体" w:hAnsi="宋体"/>
          <w:bCs/>
          <w:color w:val="auto"/>
          <w:sz w:val="24"/>
          <w:szCs w:val="24"/>
          <w:highlight w:val="none"/>
        </w:rPr>
        <w:t>。</w:t>
      </w:r>
    </w:p>
    <w:p>
      <w:pPr>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31.2按本章第31.1条按价格扣除后的最后</w:t>
      </w:r>
      <w:r>
        <w:rPr>
          <w:rFonts w:hint="eastAsia" w:ascii="宋体" w:hAnsi="宋体" w:eastAsia="宋体" w:cs="宋体"/>
          <w:color w:val="auto"/>
          <w:kern w:val="0"/>
          <w:sz w:val="24"/>
          <w:szCs w:val="24"/>
          <w:highlight w:val="none"/>
          <w:lang w:eastAsia="zh-CN"/>
        </w:rPr>
        <w:t>报价</w:t>
      </w:r>
      <w:r>
        <w:rPr>
          <w:rFonts w:hint="eastAsia" w:ascii="宋体" w:hAnsi="宋体"/>
          <w:color w:val="auto"/>
          <w:sz w:val="24"/>
          <w:szCs w:val="24"/>
          <w:highlight w:val="none"/>
        </w:rPr>
        <w:t>排序</w:t>
      </w:r>
      <w:r>
        <w:rPr>
          <w:rFonts w:ascii="宋体" w:hAnsi="宋体"/>
          <w:color w:val="auto"/>
          <w:sz w:val="24"/>
          <w:szCs w:val="24"/>
          <w:highlight w:val="none"/>
        </w:rPr>
        <w:t>相同的，</w:t>
      </w:r>
      <w:r>
        <w:rPr>
          <w:rFonts w:hint="eastAsia" w:ascii="宋体" w:hAnsi="宋体"/>
          <w:color w:val="auto"/>
          <w:sz w:val="24"/>
          <w:szCs w:val="24"/>
          <w:highlight w:val="none"/>
        </w:rPr>
        <w:t>由采购人确定</w:t>
      </w:r>
      <w:r>
        <w:rPr>
          <w:rFonts w:hint="eastAsia" w:ascii="宋体" w:hAnsi="宋体"/>
          <w:bCs/>
          <w:color w:val="auto"/>
          <w:sz w:val="24"/>
          <w:szCs w:val="24"/>
          <w:highlight w:val="none"/>
        </w:rPr>
        <w:t>成交供应商。</w:t>
      </w:r>
    </w:p>
    <w:p>
      <w:pPr>
        <w:pageBreakBefore w:val="0"/>
        <w:tabs>
          <w:tab w:val="left" w:pos="0"/>
        </w:tabs>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32.确定成交供应商</w:t>
      </w:r>
    </w:p>
    <w:p>
      <w:pPr>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32.1采购代理机构应当在评审结束之日起2个工作日内将评审报告送采购人确认。</w:t>
      </w:r>
    </w:p>
    <w:p>
      <w:pPr>
        <w:pageBreakBefore w:val="0"/>
        <w:widowControl/>
        <w:kinsoku/>
        <w:wordWrap/>
        <w:overflowPunct/>
        <w:topLinePunct w:val="0"/>
        <w:autoSpaceDE/>
        <w:autoSpaceDN/>
        <w:bidi w:val="0"/>
        <w:adjustRightInd/>
        <w:snapToGrid/>
        <w:spacing w:line="440" w:lineRule="exact"/>
        <w:ind w:firstLine="42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32.2采购人应当在收到评审报告之日起5个工作日内，从评审报告提出的成交候选人中，根据质量和服务均能满足采购文件实质性响应要求且最后</w:t>
      </w:r>
      <w:r>
        <w:rPr>
          <w:rFonts w:hint="eastAsia" w:ascii="宋体" w:hAnsi="宋体" w:eastAsia="宋体" w:cs="宋体"/>
          <w:color w:val="auto"/>
          <w:kern w:val="0"/>
          <w:sz w:val="24"/>
          <w:szCs w:val="24"/>
          <w:highlight w:val="none"/>
          <w:lang w:eastAsia="zh-CN"/>
        </w:rPr>
        <w:t>报价</w:t>
      </w:r>
      <w:r>
        <w:rPr>
          <w:rFonts w:hint="eastAsia" w:ascii="宋体" w:hAnsi="宋体" w:cs="宋体"/>
          <w:color w:val="auto"/>
          <w:kern w:val="0"/>
          <w:sz w:val="24"/>
          <w:szCs w:val="24"/>
          <w:highlight w:val="none"/>
        </w:rPr>
        <w:t>最低的原则确定成交供应商，也可以书面授权谈判小组直接确定成交供应商。</w:t>
      </w:r>
    </w:p>
    <w:p>
      <w:pPr>
        <w:pageBreakBefore w:val="0"/>
        <w:widowControl/>
        <w:kinsoku/>
        <w:wordWrap/>
        <w:overflowPunct/>
        <w:topLinePunct w:val="0"/>
        <w:autoSpaceDE/>
        <w:autoSpaceDN/>
        <w:bidi w:val="0"/>
        <w:adjustRightInd/>
        <w:snapToGrid/>
        <w:spacing w:line="440" w:lineRule="exact"/>
        <w:ind w:firstLine="420"/>
        <w:jc w:val="left"/>
        <w:textAlignment w:val="auto"/>
        <w:rPr>
          <w:rFonts w:ascii="宋体" w:hAnsi="宋体"/>
          <w:bCs/>
          <w:color w:val="auto"/>
          <w:sz w:val="24"/>
          <w:szCs w:val="24"/>
          <w:highlight w:val="none"/>
        </w:rPr>
      </w:pPr>
      <w:r>
        <w:rPr>
          <w:rFonts w:hint="eastAsia" w:ascii="宋体" w:hAnsi="宋体" w:cs="宋体"/>
          <w:color w:val="auto"/>
          <w:kern w:val="0"/>
          <w:sz w:val="24"/>
          <w:szCs w:val="24"/>
          <w:highlight w:val="none"/>
        </w:rPr>
        <w:t>32.3最后</w:t>
      </w:r>
      <w:r>
        <w:rPr>
          <w:rFonts w:hint="eastAsia" w:ascii="宋体" w:hAnsi="宋体" w:eastAsia="宋体" w:cs="宋体"/>
          <w:color w:val="auto"/>
          <w:kern w:val="0"/>
          <w:sz w:val="24"/>
          <w:szCs w:val="24"/>
          <w:highlight w:val="none"/>
          <w:lang w:eastAsia="zh-CN"/>
        </w:rPr>
        <w:t>报价</w:t>
      </w:r>
      <w:r>
        <w:rPr>
          <w:rFonts w:hint="eastAsia" w:ascii="宋体" w:hAnsi="宋体" w:cs="宋体"/>
          <w:color w:val="auto"/>
          <w:kern w:val="0"/>
          <w:sz w:val="24"/>
          <w:szCs w:val="24"/>
          <w:highlight w:val="none"/>
        </w:rPr>
        <w:t>确定遵守本章第31</w:t>
      </w:r>
      <w:r>
        <w:rPr>
          <w:rFonts w:hint="eastAsia" w:ascii="宋体" w:hAnsi="宋体"/>
          <w:bCs/>
          <w:color w:val="auto"/>
          <w:sz w:val="24"/>
          <w:szCs w:val="24"/>
          <w:highlight w:val="none"/>
        </w:rPr>
        <w:t>条</w:t>
      </w:r>
      <w:r>
        <w:rPr>
          <w:rFonts w:hint="eastAsia" w:ascii="宋体" w:hAnsi="宋体" w:cs="宋体"/>
          <w:color w:val="auto"/>
          <w:kern w:val="0"/>
          <w:sz w:val="24"/>
          <w:szCs w:val="24"/>
          <w:highlight w:val="none"/>
        </w:rPr>
        <w:t>的</w:t>
      </w:r>
      <w:r>
        <w:rPr>
          <w:rFonts w:hint="eastAsia" w:ascii="宋体" w:hAnsi="宋体"/>
          <w:bCs/>
          <w:color w:val="auto"/>
          <w:sz w:val="24"/>
          <w:szCs w:val="24"/>
          <w:highlight w:val="none"/>
        </w:rPr>
        <w:t>规定。</w:t>
      </w:r>
    </w:p>
    <w:p>
      <w:pPr>
        <w:pStyle w:val="18"/>
        <w:pageBreakBefore w:val="0"/>
        <w:kinsoku/>
        <w:wordWrap/>
        <w:overflowPunct/>
        <w:topLinePunct w:val="0"/>
        <w:autoSpaceDE/>
        <w:autoSpaceDN/>
        <w:bidi w:val="0"/>
        <w:adjustRightInd/>
        <w:snapToGrid/>
        <w:spacing w:line="440" w:lineRule="exact"/>
        <w:ind w:left="720" w:hanging="723" w:hangingChars="300"/>
        <w:textAlignment w:val="auto"/>
        <w:rPr>
          <w:rFonts w:hAnsi="宋体"/>
          <w:b/>
          <w:color w:val="auto"/>
          <w:sz w:val="24"/>
          <w:szCs w:val="24"/>
          <w:highlight w:val="none"/>
        </w:rPr>
      </w:pPr>
      <w:r>
        <w:rPr>
          <w:rFonts w:hint="eastAsia" w:hAnsi="宋体"/>
          <w:b/>
          <w:color w:val="auto"/>
          <w:sz w:val="24"/>
          <w:szCs w:val="24"/>
          <w:highlight w:val="none"/>
        </w:rPr>
        <w:t>33.谈判的特殊情形</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olor w:val="auto"/>
          <w:kern w:val="0"/>
          <w:sz w:val="24"/>
          <w:szCs w:val="24"/>
          <w:highlight w:val="none"/>
          <w:lang w:val="zh-CN"/>
        </w:rPr>
        <w:t>33.1</w:t>
      </w:r>
      <w:r>
        <w:rPr>
          <w:rFonts w:hint="eastAsia" w:ascii="宋体" w:hAnsi="宋体" w:cs="宋体"/>
          <w:color w:val="auto"/>
          <w:kern w:val="0"/>
          <w:sz w:val="24"/>
          <w:szCs w:val="24"/>
          <w:highlight w:val="none"/>
        </w:rPr>
        <w:t>公开招标的货物、服务采购项目，招标过程中提交投标文件或者经评审实质性响应招标文件要求的供应商只有两家时，采购人、采购代理机构按照</w:t>
      </w:r>
      <w:r>
        <w:rPr>
          <w:rFonts w:hint="eastAsia" w:ascii="宋体" w:hAnsi="宋体"/>
          <w:color w:val="auto"/>
          <w:sz w:val="24"/>
          <w:szCs w:val="24"/>
          <w:highlight w:val="none"/>
        </w:rPr>
        <w:t>省级以上财政部门相关规定，</w:t>
      </w:r>
      <w:r>
        <w:rPr>
          <w:rFonts w:hint="eastAsia" w:ascii="宋体" w:hAnsi="宋体" w:cs="宋体"/>
          <w:color w:val="auto"/>
          <w:kern w:val="0"/>
          <w:sz w:val="24"/>
          <w:szCs w:val="24"/>
          <w:highlight w:val="none"/>
        </w:rPr>
        <w:t>经本级财政部门批准后可以与该两家供应商进行竞争性谈判采购。符合本款情形的，本章第</w:t>
      </w:r>
      <w:r>
        <w:rPr>
          <w:rFonts w:hint="eastAsia" w:ascii="宋体" w:hAnsi="宋体"/>
          <w:color w:val="auto"/>
          <w:kern w:val="0"/>
          <w:sz w:val="24"/>
          <w:szCs w:val="24"/>
          <w:highlight w:val="none"/>
          <w:lang w:val="zh-CN"/>
        </w:rPr>
        <w:t>30.1款、第30.2款、第31.1款、第34.1款</w:t>
      </w:r>
      <w:r>
        <w:rPr>
          <w:rFonts w:hint="eastAsia" w:ascii="宋体" w:hAnsi="宋体" w:cs="宋体"/>
          <w:color w:val="auto"/>
          <w:kern w:val="0"/>
          <w:sz w:val="24"/>
          <w:szCs w:val="24"/>
          <w:highlight w:val="none"/>
        </w:rPr>
        <w:t>中规定的供应商最低数量可以为两家。</w:t>
      </w:r>
    </w:p>
    <w:p>
      <w:pPr>
        <w:pStyle w:val="18"/>
        <w:pageBreakBefore w:val="0"/>
        <w:kinsoku/>
        <w:wordWrap/>
        <w:overflowPunct/>
        <w:topLinePunct w:val="0"/>
        <w:autoSpaceDE/>
        <w:autoSpaceDN/>
        <w:bidi w:val="0"/>
        <w:adjustRightInd/>
        <w:snapToGrid/>
        <w:spacing w:line="440" w:lineRule="exact"/>
        <w:ind w:left="720" w:hanging="723" w:hangingChars="300"/>
        <w:textAlignment w:val="auto"/>
        <w:rPr>
          <w:rFonts w:hAnsi="宋体"/>
          <w:b/>
          <w:color w:val="auto"/>
          <w:sz w:val="24"/>
          <w:szCs w:val="24"/>
          <w:highlight w:val="none"/>
        </w:rPr>
      </w:pPr>
      <w:r>
        <w:rPr>
          <w:rFonts w:hint="eastAsia" w:hAnsi="宋体"/>
          <w:b/>
          <w:color w:val="auto"/>
          <w:sz w:val="24"/>
          <w:szCs w:val="24"/>
          <w:highlight w:val="none"/>
        </w:rPr>
        <w:t>34.谈判终止</w:t>
      </w:r>
    </w:p>
    <w:p>
      <w:pPr>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cs="宋体"/>
          <w:color w:val="auto"/>
          <w:kern w:val="0"/>
          <w:sz w:val="24"/>
          <w:szCs w:val="24"/>
          <w:highlight w:val="none"/>
        </w:rPr>
      </w:pPr>
      <w:r>
        <w:rPr>
          <w:rFonts w:hint="eastAsia" w:ascii="宋体" w:hAnsi="宋体"/>
          <w:bCs/>
          <w:color w:val="auto"/>
          <w:sz w:val="24"/>
          <w:szCs w:val="24"/>
          <w:highlight w:val="none"/>
        </w:rPr>
        <w:t>34.1</w:t>
      </w:r>
      <w:r>
        <w:rPr>
          <w:rFonts w:hint="eastAsia" w:ascii="宋体" w:hAnsi="宋体" w:cs="宋体"/>
          <w:color w:val="auto"/>
          <w:kern w:val="0"/>
          <w:sz w:val="24"/>
          <w:szCs w:val="24"/>
          <w:highlight w:val="none"/>
        </w:rPr>
        <w:t>出现下列情形之一的，采购人或者采购代理机构应当终止竞争性谈判采购活动，</w:t>
      </w:r>
      <w:r>
        <w:rPr>
          <w:rFonts w:hint="eastAsia" w:ascii="宋体" w:hAnsi="宋体"/>
          <w:color w:val="auto"/>
          <w:sz w:val="24"/>
          <w:szCs w:val="24"/>
          <w:highlight w:val="none"/>
        </w:rPr>
        <w:t>在省级以上财政部门指定的媒体上</w:t>
      </w:r>
      <w:r>
        <w:rPr>
          <w:rFonts w:hint="eastAsia" w:ascii="宋体" w:hAnsi="宋体" w:cs="宋体"/>
          <w:color w:val="auto"/>
          <w:kern w:val="0"/>
          <w:sz w:val="24"/>
          <w:szCs w:val="24"/>
          <w:highlight w:val="none"/>
        </w:rPr>
        <w:t xml:space="preserve">发布项目终止公告并说明原因，重新开展采购活动： </w:t>
      </w:r>
    </w:p>
    <w:p>
      <w:pPr>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（1）因情况变化，不再符合规定的竞争性谈判采购方式适用情形的；</w:t>
      </w:r>
    </w:p>
    <w:p>
      <w:pPr>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（2）出现影响采购公正的违法、违规行为的；</w:t>
      </w:r>
    </w:p>
    <w:p>
      <w:pPr>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（3）谈判邀请公告期满后,报名供应商不足3家的；</w:t>
      </w:r>
    </w:p>
    <w:p>
      <w:pPr>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（4）在采购过程中符合竞争要求的供应商或者报价未超过采购预算的供应商不足3家的，或者最后</w:t>
      </w:r>
      <w:r>
        <w:rPr>
          <w:rFonts w:hint="eastAsia" w:ascii="宋体" w:hAnsi="宋体" w:eastAsia="宋体" w:cs="宋体"/>
          <w:color w:val="auto"/>
          <w:kern w:val="0"/>
          <w:sz w:val="24"/>
          <w:szCs w:val="24"/>
          <w:highlight w:val="none"/>
          <w:lang w:eastAsia="zh-CN"/>
        </w:rPr>
        <w:t>报价</w:t>
      </w:r>
      <w:r>
        <w:rPr>
          <w:rFonts w:hint="eastAsia" w:ascii="宋体" w:hAnsi="宋体" w:cs="宋体"/>
          <w:color w:val="auto"/>
          <w:kern w:val="0"/>
          <w:sz w:val="24"/>
          <w:szCs w:val="24"/>
          <w:highlight w:val="none"/>
        </w:rPr>
        <w:t>的供应商少于3家的；</w:t>
      </w:r>
    </w:p>
    <w:p>
      <w:pPr>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b/>
          <w:bCs/>
          <w:color w:val="auto"/>
          <w:sz w:val="24"/>
          <w:szCs w:val="24"/>
          <w:highlight w:val="none"/>
        </w:rPr>
      </w:pPr>
      <w:r>
        <w:rPr>
          <w:rFonts w:hint="eastAsia" w:ascii="宋体" w:hAnsi="宋体" w:cs="宋体"/>
          <w:color w:val="auto"/>
          <w:kern w:val="0"/>
          <w:sz w:val="24"/>
          <w:szCs w:val="24"/>
          <w:highlight w:val="none"/>
        </w:rPr>
        <w:t>（5）</w:t>
      </w:r>
      <w:r>
        <w:rPr>
          <w:rFonts w:hint="eastAsia" w:ascii="宋体" w:hAnsi="宋体"/>
          <w:bCs/>
          <w:color w:val="auto"/>
          <w:sz w:val="24"/>
          <w:szCs w:val="24"/>
          <w:highlight w:val="none"/>
        </w:rPr>
        <w:t>因重大变故，采购任务取消的。</w:t>
      </w:r>
    </w:p>
    <w:p>
      <w:pPr>
        <w:pageBreakBefore w:val="0"/>
        <w:widowControl/>
        <w:kinsoku/>
        <w:wordWrap/>
        <w:overflowPunct/>
        <w:topLinePunct w:val="0"/>
        <w:autoSpaceDE/>
        <w:autoSpaceDN/>
        <w:bidi w:val="0"/>
        <w:adjustRightInd/>
        <w:snapToGrid/>
        <w:spacing w:line="440" w:lineRule="exact"/>
        <w:jc w:val="left"/>
        <w:textAlignment w:val="auto"/>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35．重新评审</w:t>
      </w:r>
    </w:p>
    <w:p>
      <w:pPr>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35.1除资格性审查认定错误和价格计算错误外，采购人或者采购代理机构不以任何理由组织重新评审。采购人、采购代理机构发现谈判小组未按照采购文件规定的评定成交的标准进行评审的，应当重新开展采购活动，并同时书面报告本级财政部门。</w:t>
      </w:r>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36.保密及串通行为</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36.1谈判小组成员以及与评审工作有关的人员不得泄露评审情况以及评审过程中获悉的国家秘密、商业秘密。</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36.2</w:t>
      </w:r>
      <w:r>
        <w:rPr>
          <w:rFonts w:hint="eastAsia" w:ascii="宋体" w:hAnsi="宋体" w:cs="宋体"/>
          <w:color w:val="auto"/>
          <w:kern w:val="0"/>
          <w:sz w:val="24"/>
          <w:szCs w:val="24"/>
          <w:highlight w:val="none"/>
        </w:rPr>
        <w:t>供应商</w:t>
      </w:r>
      <w:r>
        <w:rPr>
          <w:rFonts w:hint="eastAsia" w:ascii="宋体" w:hAnsi="宋体"/>
          <w:color w:val="auto"/>
          <w:sz w:val="24"/>
          <w:szCs w:val="24"/>
          <w:highlight w:val="none"/>
        </w:rPr>
        <w:t>不得与</w:t>
      </w:r>
      <w:r>
        <w:rPr>
          <w:rFonts w:hint="eastAsia" w:ascii="宋体" w:hAnsi="宋体" w:cs="宋体"/>
          <w:color w:val="auto"/>
          <w:kern w:val="0"/>
          <w:sz w:val="24"/>
          <w:szCs w:val="24"/>
          <w:highlight w:val="none"/>
        </w:rPr>
        <w:t>采购人、采购代理机构、其他供应商恶意</w:t>
      </w:r>
      <w:r>
        <w:rPr>
          <w:rFonts w:hint="eastAsia" w:ascii="宋体" w:hAnsi="宋体"/>
          <w:color w:val="auto"/>
          <w:sz w:val="24"/>
          <w:szCs w:val="24"/>
          <w:highlight w:val="none"/>
        </w:rPr>
        <w:t>串通；不得向</w:t>
      </w:r>
      <w:r>
        <w:rPr>
          <w:rFonts w:hint="eastAsia" w:ascii="宋体" w:hAnsi="宋体" w:cs="宋体"/>
          <w:color w:val="auto"/>
          <w:kern w:val="0"/>
          <w:sz w:val="24"/>
          <w:szCs w:val="24"/>
          <w:highlight w:val="none"/>
        </w:rPr>
        <w:t>采购人、采购代理机构</w:t>
      </w:r>
      <w:r>
        <w:rPr>
          <w:rFonts w:hint="eastAsia" w:ascii="宋体" w:hAnsi="宋体"/>
          <w:color w:val="auto"/>
          <w:sz w:val="24"/>
          <w:szCs w:val="24"/>
          <w:highlight w:val="none"/>
        </w:rPr>
        <w:t>或者谈判小组成员行贿或者提供其他不正当利益；不得提供虚假材料谋取成交；不得以任何方式干扰、影响采购工作。</w:t>
      </w:r>
    </w:p>
    <w:p>
      <w:pPr>
        <w:pStyle w:val="30"/>
        <w:pageBreakBefore w:val="0"/>
        <w:kinsoku/>
        <w:wordWrap/>
        <w:overflowPunct/>
        <w:topLinePunct w:val="0"/>
        <w:autoSpaceDE/>
        <w:autoSpaceDN/>
        <w:bidi w:val="0"/>
        <w:adjustRightInd/>
        <w:snapToGrid/>
        <w:spacing w:before="0" w:beforeLines="0" w:beforeAutospacing="0" w:after="0" w:afterLines="0" w:afterAutospacing="0" w:line="440" w:lineRule="exact"/>
        <w:ind w:firstLine="480" w:firstLineChars="200"/>
        <w:textAlignment w:val="auto"/>
        <w:rPr>
          <w:color w:val="auto"/>
          <w:highlight w:val="none"/>
          <w:lang w:val="zh-CN"/>
        </w:rPr>
      </w:pPr>
      <w:r>
        <w:rPr>
          <w:rFonts w:hint="eastAsia" w:cs="Arial"/>
          <w:color w:val="auto"/>
          <w:highlight w:val="none"/>
        </w:rPr>
        <w:t>36.3</w:t>
      </w:r>
      <w:r>
        <w:rPr>
          <w:rFonts w:cs="Arial"/>
          <w:color w:val="auto"/>
          <w:highlight w:val="none"/>
        </w:rPr>
        <w:t>有下列情形之一的，</w:t>
      </w:r>
      <w:r>
        <w:rPr>
          <w:color w:val="auto"/>
          <w:highlight w:val="none"/>
          <w:lang w:val="zh-CN"/>
        </w:rPr>
        <w:t>属于恶意串通，</w:t>
      </w:r>
      <w:r>
        <w:rPr>
          <w:color w:val="auto"/>
          <w:highlight w:val="none"/>
        </w:rPr>
        <w:t>成交无效，并</w:t>
      </w:r>
      <w:r>
        <w:rPr>
          <w:color w:val="auto"/>
          <w:highlight w:val="none"/>
          <w:lang w:val="zh-CN"/>
        </w:rPr>
        <w:t>依照《政府采购法》第七十七条的规定追究法律责任：</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（1）供应商直接或者间接从</w:t>
      </w:r>
      <w:r>
        <w:rPr>
          <w:rFonts w:hint="eastAsia" w:ascii="宋体" w:hAnsi="宋体"/>
          <w:bCs/>
          <w:color w:val="auto"/>
          <w:sz w:val="24"/>
          <w:szCs w:val="24"/>
          <w:highlight w:val="none"/>
        </w:rPr>
        <w:t>采购人、采购代理机构</w:t>
      </w:r>
      <w:r>
        <w:rPr>
          <w:rFonts w:hint="eastAsia" w:ascii="宋体" w:hAnsi="宋体"/>
          <w:color w:val="auto"/>
          <w:sz w:val="24"/>
          <w:szCs w:val="24"/>
          <w:highlight w:val="none"/>
        </w:rPr>
        <w:t>获得其他供应商的响应情况，并修改其响应文件的；</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（2）</w:t>
      </w:r>
      <w:r>
        <w:rPr>
          <w:rFonts w:hint="eastAsia" w:ascii="宋体" w:hAnsi="宋体"/>
          <w:bCs/>
          <w:color w:val="auto"/>
          <w:sz w:val="24"/>
          <w:szCs w:val="24"/>
          <w:highlight w:val="none"/>
        </w:rPr>
        <w:t>采购人、采购代理机构</w:t>
      </w:r>
      <w:r>
        <w:rPr>
          <w:rFonts w:hint="eastAsia" w:ascii="宋体" w:hAnsi="宋体"/>
          <w:color w:val="auto"/>
          <w:sz w:val="24"/>
          <w:szCs w:val="24"/>
          <w:highlight w:val="none"/>
        </w:rPr>
        <w:t>授意供应商撤换、修改响应文件的；</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（3）供应商之间协商技术方案、合同条款以及报价等响应文件实质性内容的；</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（4）属于同一集团、协会、商会等组织成员的供应商按照该组织要求协同参加竞争性谈判政府采购活动的；</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（5）供应商之间事先约定由某一特定供应商成交的；</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（6）供应商之间商定部分供应商放弃提交响应文件或者退出谈判或者放弃成交的；</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b/>
          <w:color w:val="auto"/>
          <w:sz w:val="24"/>
          <w:szCs w:val="24"/>
          <w:highlight w:val="none"/>
        </w:rPr>
      </w:pPr>
      <w:r>
        <w:rPr>
          <w:rFonts w:hint="eastAsia" w:ascii="宋体" w:hAnsi="宋体"/>
          <w:color w:val="auto"/>
          <w:sz w:val="24"/>
          <w:szCs w:val="24"/>
          <w:highlight w:val="none"/>
        </w:rPr>
        <w:t>（7）供应商与</w:t>
      </w:r>
      <w:r>
        <w:rPr>
          <w:rFonts w:hint="eastAsia" w:ascii="宋体" w:hAnsi="宋体"/>
          <w:bCs/>
          <w:color w:val="auto"/>
          <w:sz w:val="24"/>
          <w:szCs w:val="24"/>
          <w:highlight w:val="none"/>
        </w:rPr>
        <w:t>采购人、采购代理机构以及</w:t>
      </w:r>
      <w:r>
        <w:rPr>
          <w:rFonts w:hint="eastAsia" w:ascii="宋体" w:hAnsi="宋体"/>
          <w:color w:val="auto"/>
          <w:sz w:val="24"/>
          <w:szCs w:val="24"/>
          <w:highlight w:val="none"/>
        </w:rPr>
        <w:t>谈判小组成员之间、供应商相互之间，为谋求特定供应商成交或者排斥其他供应商的其他串通行为的。</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ascii="宋体" w:hAnsi="宋体" w:cs="Arial"/>
          <w:color w:val="auto"/>
          <w:sz w:val="24"/>
          <w:szCs w:val="24"/>
          <w:highlight w:val="none"/>
        </w:rPr>
        <w:t>（</w:t>
      </w:r>
      <w:r>
        <w:rPr>
          <w:rFonts w:hint="eastAsia" w:ascii="宋体" w:hAnsi="宋体" w:cs="Arial"/>
          <w:color w:val="auto"/>
          <w:sz w:val="24"/>
          <w:szCs w:val="24"/>
          <w:highlight w:val="none"/>
        </w:rPr>
        <w:t>8</w:t>
      </w:r>
      <w:r>
        <w:rPr>
          <w:rFonts w:ascii="宋体" w:hAnsi="宋体" w:cs="Arial"/>
          <w:color w:val="auto"/>
          <w:sz w:val="24"/>
          <w:szCs w:val="24"/>
          <w:highlight w:val="none"/>
        </w:rPr>
        <w:t>）</w:t>
      </w:r>
      <w:r>
        <w:rPr>
          <w:rFonts w:ascii="宋体" w:hAnsi="宋体"/>
          <w:color w:val="auto"/>
          <w:sz w:val="24"/>
          <w:szCs w:val="24"/>
          <w:highlight w:val="none"/>
        </w:rPr>
        <w:t>法律、行政法规或规章规定的其他串通行为。</w:t>
      </w:r>
    </w:p>
    <w:p>
      <w:pPr>
        <w:pStyle w:val="3"/>
        <w:pageBreakBefore w:val="0"/>
        <w:kinsoku/>
        <w:wordWrap/>
        <w:overflowPunct/>
        <w:topLinePunct w:val="0"/>
        <w:autoSpaceDE/>
        <w:autoSpaceDN/>
        <w:bidi w:val="0"/>
        <w:adjustRightInd/>
        <w:snapToGrid/>
        <w:spacing w:before="0" w:beforeLines="0" w:after="0" w:afterLines="0" w:line="440" w:lineRule="exact"/>
        <w:textAlignment w:val="auto"/>
        <w:rPr>
          <w:rFonts w:ascii="宋体" w:hAnsi="宋体"/>
          <w:color w:val="auto"/>
          <w:sz w:val="24"/>
          <w:szCs w:val="24"/>
          <w:highlight w:val="none"/>
        </w:rPr>
      </w:pPr>
      <w:bookmarkStart w:id="11" w:name="_Toc18200"/>
      <w:r>
        <w:rPr>
          <w:rFonts w:hint="eastAsia" w:ascii="宋体" w:hAnsi="宋体"/>
          <w:color w:val="auto"/>
          <w:sz w:val="24"/>
          <w:szCs w:val="24"/>
          <w:highlight w:val="none"/>
        </w:rPr>
        <w:t>六、成交结果信息公布与授予合同</w:t>
      </w:r>
      <w:bookmarkEnd w:id="11"/>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37.成交信息的公布</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37.1成交供应商确定</w:t>
      </w:r>
      <w:r>
        <w:rPr>
          <w:rFonts w:hint="eastAsia" w:hAnsi="宋体"/>
          <w:color w:val="auto"/>
          <w:sz w:val="24"/>
          <w:szCs w:val="24"/>
          <w:highlight w:val="none"/>
          <w:lang w:eastAsia="zh-CN"/>
        </w:rPr>
        <w:t>之日起</w:t>
      </w:r>
      <w:r>
        <w:rPr>
          <w:rFonts w:hint="eastAsia" w:hAnsi="宋体"/>
          <w:color w:val="auto"/>
          <w:sz w:val="24"/>
          <w:szCs w:val="24"/>
          <w:highlight w:val="none"/>
        </w:rPr>
        <w:t>2个工作日内，采购人或者采购代理机构应将成交结果信息在</w:t>
      </w:r>
      <w:r>
        <w:rPr>
          <w:rFonts w:hint="eastAsia" w:hAnsi="宋体"/>
          <w:b/>
          <w:color w:val="auto"/>
          <w:sz w:val="24"/>
          <w:szCs w:val="24"/>
          <w:highlight w:val="none"/>
        </w:rPr>
        <w:t>谈判须知前附表</w:t>
      </w:r>
      <w:r>
        <w:rPr>
          <w:rFonts w:hint="eastAsia" w:hAnsi="宋体"/>
          <w:color w:val="auto"/>
          <w:sz w:val="24"/>
          <w:szCs w:val="24"/>
          <w:highlight w:val="none"/>
        </w:rPr>
        <w:t>指定的媒体上公布。</w:t>
      </w:r>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38.询问及质疑</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38.1供应商对政府采购活动事项有疑问的，可以向采购人或采购代理机构提出询问。</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38.2质疑的提出 </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（1）供应商认为采购文件、采购过程、成交结果使自己的权益受到损害的，可以在知道或者应知其权益受到损害之日起7个工作日内，向采购人、采购代理机构提出质疑。</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（2）供应商提出质疑应当坚持依法依规、诚实信用原则。</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（3）提出质疑的供应商应当是参与所质疑项目采购活动的供应商。</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（4）潜在供应商已依法获取其可质疑的采购文件的，可以对该文件提出质疑，对采购文件提出质疑的，应当在获取采购文件或者采购文件公告期限届满之日起7个工作日内提出。</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（5）供应商提出质疑应当提交质疑函和必要的证明材料。质疑函应当包括下列内容：</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①供应商的姓名或者名称、地址、邮编、联系人及联系电话；</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②质疑项目的名称、编号；</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③具体、明确的质疑事项和与质疑事项相关的请求；</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④事实依据；</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⑤必要的法律依据；</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⑥提出质疑的日期。</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供应商为自然人的，应当由本人签字；供应商为法人或者其他组织的，应当由法定代表人、主要负责人，或者其授权代表签字或者盖章，并加盖公章。</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（6）接收质疑函的方式：供应商应当以书面形式向采购人、采购代理机构提出质疑。</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联系人：李经理</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联系电话：</w:t>
      </w:r>
      <w:r>
        <w:rPr>
          <w:rFonts w:hint="eastAsia" w:ascii="宋体" w:hAnsi="宋体" w:eastAsia="Calibri" w:cs="Times New Roman"/>
          <w:color w:val="auto"/>
          <w:sz w:val="24"/>
          <w:szCs w:val="24"/>
          <w:highlight w:val="none"/>
        </w:rPr>
        <w:t>0898-27714881</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地址：海南省白沙黎族自治县牙叉镇牙叉东路二轻厂综合楼106号</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38.3采购人在签订合同时可视情况是否缴纳履约保证金。</w:t>
      </w:r>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39.成交通知</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39.1成交供应商确定后，采购人或采购代理机构将以书面形式向成交供应商发出成交通知书。成交通知书对采购人和成交供应商具有同等法律效力。</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39.2 成交通知书是合同文件的组成部分。</w:t>
      </w:r>
    </w:p>
    <w:p>
      <w:pPr>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39.3 </w:t>
      </w:r>
      <w:r>
        <w:rPr>
          <w:rFonts w:ascii="宋体" w:hAnsi="宋体" w:cs="宋体"/>
          <w:color w:val="auto"/>
          <w:kern w:val="0"/>
          <w:sz w:val="24"/>
          <w:szCs w:val="24"/>
          <w:highlight w:val="none"/>
        </w:rPr>
        <w:t>成交供应商在收到采购代理机构的成交通知书后10日内，应按照谈判须知前附表的规定，向采购人提交履约担保。</w:t>
      </w:r>
      <w:r>
        <w:rPr>
          <w:rFonts w:hint="eastAsia" w:ascii="宋体" w:hAnsi="宋体"/>
          <w:color w:val="auto"/>
          <w:sz w:val="24"/>
          <w:szCs w:val="24"/>
          <w:highlight w:val="none"/>
        </w:rPr>
        <w:t>联合体成交的，履约担保由联合体各方或联合体中牵头人的名义提交。</w:t>
      </w:r>
    </w:p>
    <w:p>
      <w:pPr>
        <w:pageBreakBefore w:val="0"/>
        <w:kinsoku/>
        <w:wordWrap/>
        <w:overflowPunct/>
        <w:topLinePunct w:val="0"/>
        <w:autoSpaceDE/>
        <w:autoSpaceDN/>
        <w:bidi w:val="0"/>
        <w:adjustRightInd/>
        <w:snapToGrid/>
        <w:spacing w:line="440" w:lineRule="exact"/>
        <w:textAlignment w:val="auto"/>
        <w:rPr>
          <w:rFonts w:ascii="宋体" w:hAnsi="宋体"/>
          <w:b/>
          <w:bCs/>
          <w:color w:val="auto"/>
          <w:sz w:val="24"/>
          <w:szCs w:val="24"/>
          <w:highlight w:val="none"/>
        </w:rPr>
      </w:pPr>
      <w:r>
        <w:rPr>
          <w:rFonts w:hint="eastAsia" w:ascii="宋体" w:hAnsi="宋体"/>
          <w:b/>
          <w:bCs/>
          <w:color w:val="auto"/>
          <w:sz w:val="24"/>
          <w:szCs w:val="24"/>
          <w:highlight w:val="none"/>
        </w:rPr>
        <w:t>40.签订合同</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40.1 谈判文件、成交供应商的响应文件及其补充的响应文件等均为签订政府采购合同的依据。</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40.2 成交供应商应当在成交通知书发出之日起30日内与采购人签订政府采购合同。</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40.3 成交供应商应当按照合同约定履行义务。</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40.4 成交供应商有下列情形之一的，责令限期改正，情节严重的，列入不良行为记录名单，在1至3年内禁止参加政府采购活动，并予以通报：</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（一）成交后无正当理由不与采购人签订合同的；</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（二）未按照采购文件确定的事项签订政府采购合同，或者与采购人另行订立背离合同实质性内容的协议的；</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olor w:val="auto"/>
          <w:sz w:val="24"/>
          <w:szCs w:val="24"/>
          <w:highlight w:val="none"/>
        </w:rPr>
      </w:pPr>
      <w:r>
        <w:rPr>
          <w:rFonts w:hint="eastAsia" w:hAnsi="宋体"/>
          <w:color w:val="auto"/>
          <w:sz w:val="24"/>
          <w:szCs w:val="24"/>
          <w:highlight w:val="none"/>
        </w:rPr>
        <w:t>（三）拒绝履行合同义务的；</w:t>
      </w:r>
    </w:p>
    <w:p>
      <w:pPr>
        <w:pStyle w:val="18"/>
        <w:pageBreakBefore w:val="0"/>
        <w:kinsoku/>
        <w:wordWrap/>
        <w:overflowPunct/>
        <w:topLinePunct w:val="0"/>
        <w:autoSpaceDE/>
        <w:autoSpaceDN/>
        <w:bidi w:val="0"/>
        <w:adjustRightInd/>
        <w:snapToGrid/>
        <w:spacing w:line="440" w:lineRule="exact"/>
        <w:ind w:firstLine="480" w:firstLineChars="200"/>
        <w:textAlignment w:val="auto"/>
        <w:rPr>
          <w:rFonts w:hAnsi="宋体" w:cs="宋体"/>
          <w:color w:val="auto"/>
          <w:sz w:val="24"/>
          <w:szCs w:val="24"/>
          <w:highlight w:val="none"/>
        </w:rPr>
      </w:pPr>
      <w:r>
        <w:rPr>
          <w:rFonts w:hint="eastAsia" w:hAnsi="宋体"/>
          <w:color w:val="auto"/>
          <w:sz w:val="24"/>
          <w:szCs w:val="24"/>
          <w:highlight w:val="none"/>
        </w:rPr>
        <w:t>（四）</w:t>
      </w:r>
      <w:r>
        <w:rPr>
          <w:rFonts w:hint="eastAsia" w:hAnsi="宋体" w:cs="宋体"/>
          <w:color w:val="auto"/>
          <w:sz w:val="24"/>
          <w:szCs w:val="24"/>
          <w:highlight w:val="none"/>
        </w:rPr>
        <w:t>违反法律、规章、规范性文件规定的。</w:t>
      </w:r>
    </w:p>
    <w:p>
      <w:pPr>
        <w:pStyle w:val="3"/>
        <w:pageBreakBefore w:val="0"/>
        <w:kinsoku/>
        <w:wordWrap/>
        <w:overflowPunct/>
        <w:topLinePunct w:val="0"/>
        <w:autoSpaceDE/>
        <w:autoSpaceDN/>
        <w:bidi w:val="0"/>
        <w:adjustRightInd/>
        <w:snapToGrid/>
        <w:spacing w:before="0" w:beforeLines="0" w:after="0" w:afterLines="0" w:line="440" w:lineRule="exact"/>
        <w:textAlignment w:val="auto"/>
        <w:rPr>
          <w:rFonts w:ascii="宋体" w:hAnsi="宋体"/>
          <w:color w:val="auto"/>
          <w:sz w:val="24"/>
          <w:szCs w:val="24"/>
          <w:highlight w:val="none"/>
        </w:rPr>
      </w:pPr>
      <w:bookmarkStart w:id="12" w:name="_Toc27599"/>
      <w:r>
        <w:rPr>
          <w:rFonts w:hint="eastAsia" w:ascii="宋体" w:hAnsi="宋体"/>
          <w:color w:val="auto"/>
          <w:sz w:val="24"/>
          <w:szCs w:val="24"/>
          <w:highlight w:val="none"/>
        </w:rPr>
        <w:t>七、其他规定</w:t>
      </w:r>
      <w:bookmarkEnd w:id="12"/>
    </w:p>
    <w:p>
      <w:pPr>
        <w:pageBreakBefore w:val="0"/>
        <w:kinsoku/>
        <w:wordWrap/>
        <w:overflowPunct/>
        <w:topLinePunct w:val="0"/>
        <w:autoSpaceDE/>
        <w:autoSpaceDN/>
        <w:bidi w:val="0"/>
        <w:adjustRightInd/>
        <w:snapToGrid/>
        <w:spacing w:line="440" w:lineRule="exact"/>
        <w:jc w:val="left"/>
        <w:textAlignment w:val="auto"/>
        <w:rPr>
          <w:rFonts w:ascii="宋体" w:hAnsi="宋体"/>
          <w:b/>
          <w:color w:val="auto"/>
          <w:sz w:val="24"/>
          <w:szCs w:val="24"/>
          <w:highlight w:val="none"/>
        </w:rPr>
      </w:pPr>
      <w:r>
        <w:rPr>
          <w:rFonts w:hint="eastAsia" w:ascii="宋体" w:hAnsi="宋体"/>
          <w:b/>
          <w:color w:val="auto"/>
          <w:sz w:val="24"/>
          <w:szCs w:val="24"/>
          <w:highlight w:val="none"/>
        </w:rPr>
        <w:t>41.采购代理服务费</w:t>
      </w:r>
    </w:p>
    <w:p>
      <w:pPr>
        <w:pageBreakBefore w:val="0"/>
        <w:tabs>
          <w:tab w:val="left" w:pos="420"/>
          <w:tab w:val="left" w:pos="7560"/>
          <w:tab w:val="left" w:pos="7740"/>
          <w:tab w:val="left" w:pos="7920"/>
        </w:tabs>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41.1成交供应商应按</w:t>
      </w:r>
      <w:r>
        <w:rPr>
          <w:rFonts w:hint="eastAsia" w:ascii="宋体" w:hAnsi="宋体"/>
          <w:b/>
          <w:color w:val="auto"/>
          <w:sz w:val="24"/>
          <w:szCs w:val="24"/>
          <w:highlight w:val="none"/>
        </w:rPr>
        <w:t>谈判须知前附表</w:t>
      </w:r>
      <w:r>
        <w:rPr>
          <w:rFonts w:hint="eastAsia" w:ascii="宋体" w:hAnsi="宋体"/>
          <w:color w:val="auto"/>
          <w:sz w:val="24"/>
          <w:szCs w:val="24"/>
          <w:highlight w:val="none"/>
        </w:rPr>
        <w:t>规定交纳采购代理服务费。</w:t>
      </w:r>
    </w:p>
    <w:p>
      <w:pPr>
        <w:pageBreakBefore w:val="0"/>
        <w:tabs>
          <w:tab w:val="left" w:pos="420"/>
          <w:tab w:val="left" w:pos="7560"/>
          <w:tab w:val="left" w:pos="7740"/>
          <w:tab w:val="left" w:pos="7920"/>
        </w:tabs>
        <w:kinsoku/>
        <w:wordWrap/>
        <w:overflowPunct/>
        <w:topLinePunct w:val="0"/>
        <w:autoSpaceDE/>
        <w:autoSpaceDN/>
        <w:bidi w:val="0"/>
        <w:adjustRightInd/>
        <w:snapToGrid/>
        <w:spacing w:line="440" w:lineRule="exact"/>
        <w:textAlignment w:val="auto"/>
        <w:rPr>
          <w:rFonts w:ascii="宋体" w:hAnsi="宋体"/>
          <w:b/>
          <w:color w:val="auto"/>
          <w:sz w:val="24"/>
          <w:szCs w:val="24"/>
          <w:highlight w:val="none"/>
        </w:rPr>
      </w:pPr>
      <w:r>
        <w:rPr>
          <w:rFonts w:hint="eastAsia" w:ascii="宋体" w:hAnsi="宋体"/>
          <w:b/>
          <w:color w:val="auto"/>
          <w:sz w:val="24"/>
          <w:szCs w:val="24"/>
          <w:highlight w:val="none"/>
        </w:rPr>
        <w:t>42. 其他规定</w:t>
      </w:r>
    </w:p>
    <w:p>
      <w:pPr>
        <w:pageBreakBefore w:val="0"/>
        <w:tabs>
          <w:tab w:val="left" w:pos="420"/>
          <w:tab w:val="left" w:pos="7560"/>
          <w:tab w:val="left" w:pos="7740"/>
          <w:tab w:val="left" w:pos="7920"/>
        </w:tabs>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42.1谈判文件的其他规定见</w:t>
      </w:r>
      <w:r>
        <w:rPr>
          <w:rFonts w:hint="eastAsia" w:ascii="宋体" w:hAnsi="宋体"/>
          <w:b/>
          <w:color w:val="auto"/>
          <w:sz w:val="24"/>
          <w:szCs w:val="24"/>
          <w:highlight w:val="none"/>
        </w:rPr>
        <w:t>谈判须知前附表</w:t>
      </w:r>
      <w:r>
        <w:rPr>
          <w:rFonts w:hint="eastAsia" w:ascii="宋体" w:hAnsi="宋体"/>
          <w:color w:val="auto"/>
          <w:sz w:val="24"/>
          <w:szCs w:val="24"/>
          <w:highlight w:val="none"/>
        </w:rPr>
        <w:t>。</w:t>
      </w: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rPr>
          <w:rFonts w:hint="eastAsia"/>
          <w:color w:val="auto"/>
          <w:highlight w:val="none"/>
        </w:rPr>
      </w:pPr>
    </w:p>
    <w:p>
      <w:pPr>
        <w:rPr>
          <w:rFonts w:hint="eastAsia"/>
          <w:color w:val="auto"/>
          <w:highlight w:val="none"/>
        </w:rPr>
      </w:pPr>
    </w:p>
    <w:p>
      <w:pPr>
        <w:pStyle w:val="31"/>
        <w:spacing w:before="0" w:beforeLines="0" w:after="0" w:afterLines="0" w:line="360" w:lineRule="auto"/>
        <w:rPr>
          <w:rFonts w:hint="eastAsia"/>
          <w:color w:val="auto"/>
          <w:sz w:val="24"/>
          <w:szCs w:val="24"/>
          <w:highlight w:val="none"/>
        </w:rPr>
        <w:sectPr>
          <w:pgSz w:w="11906" w:h="16838"/>
          <w:pgMar w:top="1361" w:right="1587" w:bottom="1361" w:left="1587" w:header="851" w:footer="992" w:gutter="0"/>
          <w:cols w:space="708" w:num="1"/>
          <w:docGrid w:type="lines" w:linePitch="332" w:charSpace="0"/>
        </w:sectPr>
      </w:pPr>
    </w:p>
    <w:p>
      <w:pPr>
        <w:pStyle w:val="31"/>
        <w:spacing w:before="0" w:beforeLines="0" w:after="0" w:afterLines="0" w:line="360" w:lineRule="auto"/>
        <w:rPr>
          <w:color w:val="auto"/>
          <w:sz w:val="24"/>
          <w:szCs w:val="24"/>
          <w:highlight w:val="none"/>
        </w:rPr>
      </w:pPr>
      <w:bookmarkStart w:id="13" w:name="_Toc6627"/>
      <w:r>
        <w:rPr>
          <w:rFonts w:hint="eastAsia"/>
          <w:color w:val="auto"/>
          <w:sz w:val="24"/>
          <w:szCs w:val="24"/>
          <w:highlight w:val="none"/>
        </w:rPr>
        <w:t>第三章  政府采购合同格式条款</w:t>
      </w:r>
      <w:bookmarkEnd w:id="13"/>
    </w:p>
    <w:p>
      <w:pPr>
        <w:autoSpaceDE w:val="0"/>
        <w:autoSpaceDN w:val="0"/>
        <w:adjustRightInd w:val="0"/>
        <w:spacing w:line="360" w:lineRule="auto"/>
        <w:ind w:firstLine="480" w:firstLineChars="200"/>
        <w:rPr>
          <w:rFonts w:hint="eastAsia" w:ascii="宋体" w:hAnsi="宋体" w:cs="Calibri"/>
          <w:color w:val="auto"/>
          <w:kern w:val="0"/>
          <w:sz w:val="24"/>
          <w:highlight w:val="none"/>
        </w:rPr>
      </w:pPr>
    </w:p>
    <w:p>
      <w:pPr>
        <w:autoSpaceDE w:val="0"/>
        <w:autoSpaceDN w:val="0"/>
        <w:adjustRightInd w:val="0"/>
        <w:spacing w:line="360" w:lineRule="auto"/>
        <w:ind w:firstLine="480" w:firstLineChars="200"/>
        <w:rPr>
          <w:rFonts w:ascii="宋体" w:cs="Calibri"/>
          <w:color w:val="auto"/>
          <w:kern w:val="0"/>
          <w:sz w:val="24"/>
          <w:highlight w:val="none"/>
        </w:rPr>
      </w:pPr>
      <w:r>
        <w:rPr>
          <w:rFonts w:hint="eastAsia" w:ascii="宋体" w:hAnsi="宋体" w:cs="Calibri"/>
          <w:color w:val="auto"/>
          <w:kern w:val="0"/>
          <w:sz w:val="24"/>
          <w:highlight w:val="none"/>
        </w:rPr>
        <w:t>根据《中华人民共和国政府采购法实施条例》第四十七条的规定：“国务院财政部门应当会同国务院有关部门制定政府采购合同标准文本。”</w:t>
      </w:r>
    </w:p>
    <w:p>
      <w:pPr>
        <w:autoSpaceDE w:val="0"/>
        <w:autoSpaceDN w:val="0"/>
        <w:adjustRightInd w:val="0"/>
        <w:spacing w:line="360" w:lineRule="auto"/>
        <w:ind w:firstLine="480" w:firstLineChars="200"/>
        <w:rPr>
          <w:rFonts w:ascii="宋体" w:cs="Calibri"/>
          <w:color w:val="auto"/>
          <w:kern w:val="0"/>
          <w:sz w:val="24"/>
          <w:highlight w:val="none"/>
        </w:rPr>
      </w:pPr>
      <w:r>
        <w:rPr>
          <w:rFonts w:hint="eastAsia" w:ascii="宋体" w:hAnsi="宋体" w:cs="Calibri"/>
          <w:color w:val="auto"/>
          <w:kern w:val="0"/>
          <w:sz w:val="24"/>
          <w:highlight w:val="none"/>
        </w:rPr>
        <w:t>目前，由于尚未有统一的政府采购合同标准文本，甲、乙双方可以参照本示范文本订立采购合同。</w:t>
      </w:r>
    </w:p>
    <w:p>
      <w:pPr>
        <w:spacing w:line="360" w:lineRule="auto"/>
        <w:rPr>
          <w:rFonts w:ascii="宋体" w:hAnsi="宋体"/>
          <w:b/>
          <w:bCs/>
          <w:color w:val="auto"/>
          <w:sz w:val="24"/>
          <w:szCs w:val="24"/>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pStyle w:val="3"/>
        <w:spacing w:line="360" w:lineRule="auto"/>
        <w:jc w:val="center"/>
        <w:rPr>
          <w:rFonts w:hint="eastAsia" w:ascii="Cambria" w:hAnsi="Cambria" w:eastAsia="宋体" w:cs="Times New Roman"/>
          <w:b/>
          <w:bCs/>
          <w:color w:val="auto"/>
          <w:kern w:val="28"/>
          <w:sz w:val="24"/>
          <w:szCs w:val="24"/>
          <w:highlight w:val="none"/>
          <w:lang w:val="en-US" w:eastAsia="zh-CN" w:bidi="ar-SA"/>
        </w:rPr>
      </w:pPr>
      <w:r>
        <w:rPr>
          <w:color w:val="auto"/>
          <w:highlight w:val="none"/>
        </w:rPr>
        <w:br w:type="page"/>
      </w:r>
      <w:bookmarkStart w:id="14" w:name="_Toc25958"/>
      <w:bookmarkStart w:id="15" w:name="_Toc24303"/>
      <w:r>
        <w:rPr>
          <w:rFonts w:hint="eastAsia" w:ascii="Cambria" w:hAnsi="Cambria" w:eastAsia="宋体" w:cs="Times New Roman"/>
          <w:b/>
          <w:bCs/>
          <w:color w:val="auto"/>
          <w:kern w:val="28"/>
          <w:sz w:val="24"/>
          <w:szCs w:val="24"/>
          <w:highlight w:val="none"/>
          <w:lang w:val="en-US" w:eastAsia="zh-CN" w:bidi="ar-SA"/>
        </w:rPr>
        <w:t>一、政府采购合同协议书</w:t>
      </w:r>
      <w:bookmarkEnd w:id="14"/>
      <w:bookmarkEnd w:id="15"/>
    </w:p>
    <w:p>
      <w:pPr>
        <w:jc w:val="center"/>
        <w:rPr>
          <w:rFonts w:hint="eastAsia"/>
          <w:color w:val="auto"/>
          <w:sz w:val="24"/>
          <w:szCs w:val="28"/>
          <w:highlight w:val="none"/>
          <w:lang w:eastAsia="zh-CN"/>
        </w:rPr>
      </w:pPr>
      <w:r>
        <w:rPr>
          <w:rFonts w:hint="eastAsia"/>
          <w:color w:val="auto"/>
          <w:sz w:val="24"/>
          <w:szCs w:val="28"/>
          <w:highlight w:val="none"/>
          <w:lang w:eastAsia="zh-CN"/>
        </w:rPr>
        <w:t>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highlight w:val="none"/>
          <w:lang w:eastAsia="zh-CN"/>
        </w:rPr>
      </w:pPr>
      <w:r>
        <w:rPr>
          <w:rFonts w:hint="eastAsia"/>
          <w:color w:val="auto"/>
          <w:sz w:val="24"/>
          <w:szCs w:val="28"/>
          <w:highlight w:val="none"/>
          <w:lang w:eastAsia="zh-CN"/>
        </w:rPr>
        <w:t>合同编号：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highlight w:val="none"/>
          <w:lang w:eastAsia="zh-CN"/>
        </w:rPr>
      </w:pPr>
      <w:r>
        <w:rPr>
          <w:rFonts w:hint="eastAsia"/>
          <w:color w:val="auto"/>
          <w:sz w:val="24"/>
          <w:szCs w:val="28"/>
          <w:highlight w:val="none"/>
          <w:lang w:eastAsia="zh-CN"/>
        </w:rPr>
        <w:t>签订地点：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highlight w:val="none"/>
          <w:lang w:eastAsia="zh-CN"/>
        </w:rPr>
      </w:pPr>
      <w:r>
        <w:rPr>
          <w:rFonts w:hint="eastAsia"/>
          <w:color w:val="auto"/>
          <w:sz w:val="24"/>
          <w:szCs w:val="28"/>
          <w:highlight w:val="none"/>
          <w:lang w:eastAsia="zh-CN"/>
        </w:rPr>
        <w:t>签订时间：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highlight w:val="none"/>
          <w:lang w:eastAsia="zh-CN"/>
        </w:rPr>
      </w:pPr>
      <w:r>
        <w:rPr>
          <w:rFonts w:hint="eastAsia"/>
          <w:color w:val="auto"/>
          <w:sz w:val="24"/>
          <w:szCs w:val="28"/>
          <w:highlight w:val="none"/>
          <w:lang w:eastAsia="zh-CN"/>
        </w:rPr>
        <w:t>采购人（甲方）：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highlight w:val="none"/>
          <w:lang w:eastAsia="zh-CN"/>
        </w:rPr>
      </w:pPr>
      <w:r>
        <w:rPr>
          <w:rFonts w:hint="eastAsia"/>
          <w:color w:val="auto"/>
          <w:sz w:val="24"/>
          <w:szCs w:val="28"/>
          <w:highlight w:val="none"/>
          <w:lang w:eastAsia="zh-CN"/>
        </w:rPr>
        <w:t>供应商（乙方）：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lang w:eastAsia="zh-CN"/>
        </w:rPr>
        <w:t>根据《中华人民共和国政府采购法》《中华人民共和国民法典》及</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采购项目（编号：</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的《竞争性谈判文件》、乙方的《响应文件》及项目的成交通知书，甲、乙双方同意签订本合同。详细技术说明及其他有关合同项目的特定信息由合同附件予以说明，合同附件及本项目的竞争性谈判文件、响应文件、成交通知书均为本合同不可分割的部分。双方同意共同遵守如下条款：</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合同货物</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38"/>
        <w:gridCol w:w="562"/>
        <w:gridCol w:w="625"/>
        <w:gridCol w:w="1125"/>
        <w:gridCol w:w="1188"/>
        <w:gridCol w:w="775"/>
        <w:gridCol w:w="987"/>
        <w:gridCol w:w="488"/>
        <w:gridCol w:w="437"/>
        <w:gridCol w:w="400"/>
        <w:gridCol w:w="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numPr>
                <w:ilvl w:val="0"/>
                <w:numId w:val="0"/>
              </w:numPr>
              <w:jc w:val="center"/>
              <w:rPr>
                <w:rFonts w:hint="default"/>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货物品名</w:t>
            </w:r>
          </w:p>
        </w:tc>
        <w:tc>
          <w:tcPr>
            <w:tcW w:w="738" w:type="dxa"/>
            <w:vAlign w:val="center"/>
          </w:tcPr>
          <w:p>
            <w:pPr>
              <w:numPr>
                <w:ilvl w:val="0"/>
                <w:numId w:val="0"/>
              </w:numPr>
              <w:jc w:val="center"/>
              <w:rPr>
                <w:rFonts w:hint="default"/>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规格型号</w:t>
            </w:r>
          </w:p>
        </w:tc>
        <w:tc>
          <w:tcPr>
            <w:tcW w:w="562" w:type="dxa"/>
            <w:vAlign w:val="center"/>
          </w:tcPr>
          <w:p>
            <w:pPr>
              <w:numPr>
                <w:ilvl w:val="0"/>
                <w:numId w:val="0"/>
              </w:numPr>
              <w:jc w:val="center"/>
              <w:rPr>
                <w:rFonts w:hint="default"/>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单位</w:t>
            </w:r>
          </w:p>
        </w:tc>
        <w:tc>
          <w:tcPr>
            <w:tcW w:w="625" w:type="dxa"/>
            <w:vAlign w:val="center"/>
          </w:tcPr>
          <w:p>
            <w:pPr>
              <w:numPr>
                <w:ilvl w:val="0"/>
                <w:numId w:val="0"/>
              </w:numPr>
              <w:jc w:val="center"/>
              <w:rPr>
                <w:rFonts w:hint="default"/>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数量</w:t>
            </w:r>
          </w:p>
        </w:tc>
        <w:tc>
          <w:tcPr>
            <w:tcW w:w="1125" w:type="dxa"/>
            <w:vAlign w:val="center"/>
          </w:tcPr>
          <w:p>
            <w:pPr>
              <w:numPr>
                <w:ilvl w:val="0"/>
                <w:numId w:val="0"/>
              </w:numPr>
              <w:jc w:val="center"/>
              <w:rPr>
                <w:rFonts w:hint="eastAsia"/>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单价</w:t>
            </w:r>
          </w:p>
          <w:p>
            <w:pPr>
              <w:numPr>
                <w:ilvl w:val="0"/>
                <w:numId w:val="0"/>
              </w:numPr>
              <w:jc w:val="center"/>
              <w:rPr>
                <w:rFonts w:hint="default"/>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（万元）</w:t>
            </w:r>
          </w:p>
        </w:tc>
        <w:tc>
          <w:tcPr>
            <w:tcW w:w="1188" w:type="dxa"/>
            <w:vAlign w:val="center"/>
          </w:tcPr>
          <w:p>
            <w:pPr>
              <w:numPr>
                <w:ilvl w:val="0"/>
                <w:numId w:val="0"/>
              </w:numPr>
              <w:jc w:val="center"/>
              <w:rPr>
                <w:rFonts w:hint="eastAsia"/>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总价</w:t>
            </w:r>
          </w:p>
          <w:p>
            <w:pPr>
              <w:numPr>
                <w:ilvl w:val="0"/>
                <w:numId w:val="0"/>
              </w:numPr>
              <w:jc w:val="both"/>
              <w:rPr>
                <w:rFonts w:hint="default"/>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（万元）</w:t>
            </w:r>
          </w:p>
        </w:tc>
        <w:tc>
          <w:tcPr>
            <w:tcW w:w="775" w:type="dxa"/>
            <w:vAlign w:val="center"/>
          </w:tcPr>
          <w:p>
            <w:pPr>
              <w:numPr>
                <w:ilvl w:val="0"/>
                <w:numId w:val="0"/>
              </w:numPr>
              <w:jc w:val="center"/>
              <w:rPr>
                <w:rFonts w:hint="default"/>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随机配件</w:t>
            </w:r>
          </w:p>
        </w:tc>
        <w:tc>
          <w:tcPr>
            <w:tcW w:w="987" w:type="dxa"/>
            <w:vAlign w:val="center"/>
          </w:tcPr>
          <w:p>
            <w:pPr>
              <w:numPr>
                <w:ilvl w:val="0"/>
                <w:numId w:val="0"/>
              </w:numPr>
              <w:jc w:val="center"/>
              <w:rPr>
                <w:rFonts w:hint="default"/>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交货期</w:t>
            </w:r>
          </w:p>
        </w:tc>
        <w:tc>
          <w:tcPr>
            <w:tcW w:w="1778" w:type="dxa"/>
            <w:gridSpan w:val="4"/>
            <w:vAlign w:val="center"/>
          </w:tcPr>
          <w:p>
            <w:pPr>
              <w:numPr>
                <w:ilvl w:val="0"/>
                <w:numId w:val="0"/>
              </w:numPr>
              <w:jc w:val="center"/>
              <w:rPr>
                <w:rFonts w:hint="eastAsia"/>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41" w:type="dxa"/>
            <w:vMerge w:val="restart"/>
            <w:vAlign w:val="center"/>
          </w:tcPr>
          <w:p>
            <w:pPr>
              <w:numPr>
                <w:ilvl w:val="0"/>
                <w:numId w:val="0"/>
              </w:numPr>
              <w:jc w:val="center"/>
              <w:rPr>
                <w:rFonts w:hint="default"/>
                <w:color w:val="auto"/>
                <w:sz w:val="24"/>
                <w:szCs w:val="24"/>
                <w:highlight w:val="none"/>
                <w:u w:val="none"/>
                <w:vertAlign w:val="baseline"/>
                <w:lang w:val="en-US" w:eastAsia="zh-CN"/>
              </w:rPr>
            </w:pPr>
          </w:p>
        </w:tc>
        <w:tc>
          <w:tcPr>
            <w:tcW w:w="738" w:type="dxa"/>
            <w:vMerge w:val="restart"/>
            <w:vAlign w:val="center"/>
          </w:tcPr>
          <w:p>
            <w:pPr>
              <w:numPr>
                <w:ilvl w:val="0"/>
                <w:numId w:val="0"/>
              </w:numPr>
              <w:jc w:val="center"/>
              <w:rPr>
                <w:rFonts w:hint="default"/>
                <w:color w:val="auto"/>
                <w:sz w:val="24"/>
                <w:szCs w:val="24"/>
                <w:highlight w:val="none"/>
                <w:u w:val="none"/>
                <w:vertAlign w:val="baseline"/>
                <w:lang w:val="en-US" w:eastAsia="zh-CN"/>
              </w:rPr>
            </w:pPr>
          </w:p>
        </w:tc>
        <w:tc>
          <w:tcPr>
            <w:tcW w:w="562" w:type="dxa"/>
            <w:vMerge w:val="restart"/>
            <w:vAlign w:val="center"/>
          </w:tcPr>
          <w:p>
            <w:pPr>
              <w:numPr>
                <w:ilvl w:val="0"/>
                <w:numId w:val="0"/>
              </w:numPr>
              <w:jc w:val="center"/>
              <w:rPr>
                <w:rFonts w:hint="default"/>
                <w:color w:val="auto"/>
                <w:sz w:val="24"/>
                <w:szCs w:val="24"/>
                <w:highlight w:val="none"/>
                <w:u w:val="none"/>
                <w:vertAlign w:val="baseline"/>
                <w:lang w:val="en-US" w:eastAsia="zh-CN"/>
              </w:rPr>
            </w:pPr>
          </w:p>
        </w:tc>
        <w:tc>
          <w:tcPr>
            <w:tcW w:w="625" w:type="dxa"/>
            <w:vMerge w:val="restart"/>
            <w:vAlign w:val="center"/>
          </w:tcPr>
          <w:p>
            <w:pPr>
              <w:numPr>
                <w:ilvl w:val="0"/>
                <w:numId w:val="0"/>
              </w:numPr>
              <w:jc w:val="center"/>
              <w:rPr>
                <w:rFonts w:hint="default"/>
                <w:color w:val="auto"/>
                <w:sz w:val="24"/>
                <w:szCs w:val="24"/>
                <w:highlight w:val="none"/>
                <w:u w:val="none"/>
                <w:vertAlign w:val="baseline"/>
                <w:lang w:val="en-US" w:eastAsia="zh-CN"/>
              </w:rPr>
            </w:pPr>
          </w:p>
        </w:tc>
        <w:tc>
          <w:tcPr>
            <w:tcW w:w="1125" w:type="dxa"/>
            <w:vMerge w:val="restart"/>
            <w:vAlign w:val="center"/>
          </w:tcPr>
          <w:p>
            <w:pPr>
              <w:numPr>
                <w:ilvl w:val="0"/>
                <w:numId w:val="0"/>
              </w:numPr>
              <w:jc w:val="center"/>
              <w:rPr>
                <w:rFonts w:hint="default"/>
                <w:color w:val="auto"/>
                <w:sz w:val="24"/>
                <w:szCs w:val="24"/>
                <w:highlight w:val="none"/>
                <w:u w:val="none"/>
                <w:vertAlign w:val="baseline"/>
                <w:lang w:val="en-US" w:eastAsia="zh-CN"/>
              </w:rPr>
            </w:pPr>
          </w:p>
        </w:tc>
        <w:tc>
          <w:tcPr>
            <w:tcW w:w="1188" w:type="dxa"/>
            <w:vMerge w:val="restart"/>
            <w:vAlign w:val="center"/>
          </w:tcPr>
          <w:p>
            <w:pPr>
              <w:numPr>
                <w:ilvl w:val="0"/>
                <w:numId w:val="0"/>
              </w:numPr>
              <w:jc w:val="center"/>
              <w:rPr>
                <w:rFonts w:hint="default"/>
                <w:color w:val="auto"/>
                <w:sz w:val="24"/>
                <w:szCs w:val="24"/>
                <w:highlight w:val="none"/>
                <w:u w:val="none"/>
                <w:vertAlign w:val="baseline"/>
                <w:lang w:val="en-US" w:eastAsia="zh-CN"/>
              </w:rPr>
            </w:pPr>
          </w:p>
        </w:tc>
        <w:tc>
          <w:tcPr>
            <w:tcW w:w="775" w:type="dxa"/>
            <w:vMerge w:val="restart"/>
            <w:vAlign w:val="center"/>
          </w:tcPr>
          <w:p>
            <w:pPr>
              <w:numPr>
                <w:ilvl w:val="0"/>
                <w:numId w:val="0"/>
              </w:numPr>
              <w:jc w:val="center"/>
              <w:rPr>
                <w:rFonts w:hint="default"/>
                <w:color w:val="auto"/>
                <w:sz w:val="24"/>
                <w:szCs w:val="24"/>
                <w:highlight w:val="none"/>
                <w:u w:val="none"/>
                <w:vertAlign w:val="baseline"/>
                <w:lang w:val="en-US" w:eastAsia="zh-CN"/>
              </w:rPr>
            </w:pPr>
          </w:p>
        </w:tc>
        <w:tc>
          <w:tcPr>
            <w:tcW w:w="987" w:type="dxa"/>
            <w:vMerge w:val="restart"/>
            <w:vAlign w:val="center"/>
          </w:tcPr>
          <w:p>
            <w:pPr>
              <w:numPr>
                <w:ilvl w:val="0"/>
                <w:numId w:val="0"/>
              </w:numPr>
              <w:jc w:val="center"/>
              <w:rPr>
                <w:rFonts w:hint="default"/>
                <w:color w:val="auto"/>
                <w:sz w:val="24"/>
                <w:szCs w:val="24"/>
                <w:highlight w:val="none"/>
                <w:u w:val="none"/>
                <w:vertAlign w:val="baseline"/>
                <w:lang w:val="en-US" w:eastAsia="zh-CN"/>
              </w:rPr>
            </w:pPr>
          </w:p>
        </w:tc>
        <w:tc>
          <w:tcPr>
            <w:tcW w:w="488" w:type="dxa"/>
            <w:vAlign w:val="center"/>
          </w:tcPr>
          <w:p>
            <w:pPr>
              <w:numPr>
                <w:ilvl w:val="0"/>
                <w:numId w:val="0"/>
              </w:numPr>
              <w:jc w:val="center"/>
              <w:rPr>
                <w:rFonts w:hint="eastAsia"/>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预</w:t>
            </w:r>
          </w:p>
          <w:p>
            <w:pPr>
              <w:numPr>
                <w:ilvl w:val="0"/>
                <w:numId w:val="0"/>
              </w:numPr>
              <w:jc w:val="center"/>
              <w:rPr>
                <w:rFonts w:hint="eastAsia"/>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算</w:t>
            </w:r>
          </w:p>
          <w:p>
            <w:pPr>
              <w:numPr>
                <w:ilvl w:val="0"/>
                <w:numId w:val="0"/>
              </w:numPr>
              <w:jc w:val="center"/>
              <w:rPr>
                <w:rFonts w:hint="default"/>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内</w:t>
            </w:r>
          </w:p>
        </w:tc>
        <w:tc>
          <w:tcPr>
            <w:tcW w:w="437" w:type="dxa"/>
            <w:vAlign w:val="center"/>
          </w:tcPr>
          <w:p>
            <w:pPr>
              <w:numPr>
                <w:ilvl w:val="0"/>
                <w:numId w:val="0"/>
              </w:numPr>
              <w:jc w:val="center"/>
              <w:rPr>
                <w:rFonts w:hint="eastAsia"/>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预</w:t>
            </w:r>
          </w:p>
          <w:p>
            <w:pPr>
              <w:numPr>
                <w:ilvl w:val="0"/>
                <w:numId w:val="0"/>
              </w:numPr>
              <w:jc w:val="center"/>
              <w:rPr>
                <w:rFonts w:hint="eastAsia"/>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算</w:t>
            </w:r>
          </w:p>
          <w:p>
            <w:pPr>
              <w:numPr>
                <w:ilvl w:val="0"/>
                <w:numId w:val="0"/>
              </w:numPr>
              <w:jc w:val="center"/>
              <w:rPr>
                <w:rFonts w:hint="default"/>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外</w:t>
            </w:r>
          </w:p>
        </w:tc>
        <w:tc>
          <w:tcPr>
            <w:tcW w:w="400" w:type="dxa"/>
            <w:vAlign w:val="center"/>
          </w:tcPr>
          <w:p>
            <w:pPr>
              <w:numPr>
                <w:ilvl w:val="0"/>
                <w:numId w:val="0"/>
              </w:numPr>
              <w:jc w:val="center"/>
              <w:rPr>
                <w:rFonts w:hint="eastAsia"/>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自</w:t>
            </w:r>
          </w:p>
          <w:p>
            <w:pPr>
              <w:numPr>
                <w:ilvl w:val="0"/>
                <w:numId w:val="0"/>
              </w:numPr>
              <w:jc w:val="center"/>
              <w:rPr>
                <w:rFonts w:hint="default"/>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筹</w:t>
            </w:r>
          </w:p>
        </w:tc>
        <w:tc>
          <w:tcPr>
            <w:tcW w:w="453" w:type="dxa"/>
            <w:vAlign w:val="center"/>
          </w:tcPr>
          <w:p>
            <w:pPr>
              <w:numPr>
                <w:ilvl w:val="0"/>
                <w:numId w:val="0"/>
              </w:numPr>
              <w:jc w:val="center"/>
              <w:rPr>
                <w:rFonts w:hint="eastAsia"/>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其</w:t>
            </w:r>
          </w:p>
          <w:p>
            <w:pPr>
              <w:numPr>
                <w:ilvl w:val="0"/>
                <w:numId w:val="0"/>
              </w:numPr>
              <w:jc w:val="center"/>
              <w:rPr>
                <w:rFonts w:hint="default"/>
                <w:color w:val="auto"/>
                <w:sz w:val="24"/>
                <w:szCs w:val="24"/>
                <w:highlight w:val="none"/>
                <w:u w:val="none"/>
                <w:vertAlign w:val="baseline"/>
                <w:lang w:val="en-US" w:eastAsia="zh-CN"/>
              </w:rPr>
            </w:pPr>
            <w:r>
              <w:rPr>
                <w:rFonts w:hint="eastAsia"/>
                <w:color w:val="auto"/>
                <w:sz w:val="24"/>
                <w:szCs w:val="24"/>
                <w:highlight w:val="none"/>
                <w:u w:val="none"/>
                <w:vertAlign w:val="baseline"/>
                <w:lang w:val="en-US"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jc w:val="center"/>
        </w:trPr>
        <w:tc>
          <w:tcPr>
            <w:tcW w:w="741" w:type="dxa"/>
            <w:vMerge w:val="continue"/>
            <w:vAlign w:val="center"/>
          </w:tcPr>
          <w:p>
            <w:pPr>
              <w:numPr>
                <w:ilvl w:val="0"/>
                <w:numId w:val="0"/>
              </w:numPr>
              <w:jc w:val="center"/>
              <w:rPr>
                <w:rFonts w:hint="default"/>
                <w:color w:val="auto"/>
                <w:sz w:val="24"/>
                <w:szCs w:val="24"/>
                <w:highlight w:val="none"/>
                <w:u w:val="none"/>
                <w:vertAlign w:val="baseline"/>
                <w:lang w:val="en-US" w:eastAsia="zh-CN"/>
              </w:rPr>
            </w:pPr>
          </w:p>
        </w:tc>
        <w:tc>
          <w:tcPr>
            <w:tcW w:w="738" w:type="dxa"/>
            <w:vMerge w:val="continue"/>
            <w:vAlign w:val="center"/>
          </w:tcPr>
          <w:p>
            <w:pPr>
              <w:numPr>
                <w:ilvl w:val="0"/>
                <w:numId w:val="0"/>
              </w:numPr>
              <w:jc w:val="center"/>
              <w:rPr>
                <w:rFonts w:hint="default"/>
                <w:color w:val="auto"/>
                <w:sz w:val="24"/>
                <w:szCs w:val="24"/>
                <w:highlight w:val="none"/>
                <w:u w:val="none"/>
                <w:vertAlign w:val="baseline"/>
                <w:lang w:val="en-US" w:eastAsia="zh-CN"/>
              </w:rPr>
            </w:pPr>
          </w:p>
        </w:tc>
        <w:tc>
          <w:tcPr>
            <w:tcW w:w="562" w:type="dxa"/>
            <w:vMerge w:val="continue"/>
            <w:vAlign w:val="center"/>
          </w:tcPr>
          <w:p>
            <w:pPr>
              <w:numPr>
                <w:ilvl w:val="0"/>
                <w:numId w:val="0"/>
              </w:numPr>
              <w:jc w:val="center"/>
              <w:rPr>
                <w:rFonts w:hint="default"/>
                <w:color w:val="auto"/>
                <w:sz w:val="24"/>
                <w:szCs w:val="24"/>
                <w:highlight w:val="none"/>
                <w:u w:val="none"/>
                <w:vertAlign w:val="baseline"/>
                <w:lang w:val="en-US" w:eastAsia="zh-CN"/>
              </w:rPr>
            </w:pPr>
          </w:p>
        </w:tc>
        <w:tc>
          <w:tcPr>
            <w:tcW w:w="625" w:type="dxa"/>
            <w:vMerge w:val="continue"/>
            <w:vAlign w:val="center"/>
          </w:tcPr>
          <w:p>
            <w:pPr>
              <w:numPr>
                <w:ilvl w:val="0"/>
                <w:numId w:val="0"/>
              </w:numPr>
              <w:jc w:val="center"/>
              <w:rPr>
                <w:rFonts w:hint="default"/>
                <w:color w:val="auto"/>
                <w:sz w:val="24"/>
                <w:szCs w:val="24"/>
                <w:highlight w:val="none"/>
                <w:u w:val="none"/>
                <w:vertAlign w:val="baseline"/>
                <w:lang w:val="en-US" w:eastAsia="zh-CN"/>
              </w:rPr>
            </w:pPr>
          </w:p>
        </w:tc>
        <w:tc>
          <w:tcPr>
            <w:tcW w:w="1125" w:type="dxa"/>
            <w:vMerge w:val="continue"/>
            <w:vAlign w:val="center"/>
          </w:tcPr>
          <w:p>
            <w:pPr>
              <w:numPr>
                <w:ilvl w:val="0"/>
                <w:numId w:val="0"/>
              </w:numPr>
              <w:jc w:val="center"/>
              <w:rPr>
                <w:rFonts w:hint="default"/>
                <w:color w:val="auto"/>
                <w:sz w:val="24"/>
                <w:szCs w:val="24"/>
                <w:highlight w:val="none"/>
                <w:u w:val="none"/>
                <w:vertAlign w:val="baseline"/>
                <w:lang w:val="en-US" w:eastAsia="zh-CN"/>
              </w:rPr>
            </w:pPr>
          </w:p>
        </w:tc>
        <w:tc>
          <w:tcPr>
            <w:tcW w:w="1188" w:type="dxa"/>
            <w:vMerge w:val="continue"/>
            <w:vAlign w:val="center"/>
          </w:tcPr>
          <w:p>
            <w:pPr>
              <w:numPr>
                <w:ilvl w:val="0"/>
                <w:numId w:val="0"/>
              </w:numPr>
              <w:jc w:val="center"/>
              <w:rPr>
                <w:rFonts w:hint="default"/>
                <w:color w:val="auto"/>
                <w:sz w:val="24"/>
                <w:szCs w:val="24"/>
                <w:highlight w:val="none"/>
                <w:u w:val="none"/>
                <w:vertAlign w:val="baseline"/>
                <w:lang w:val="en-US" w:eastAsia="zh-CN"/>
              </w:rPr>
            </w:pPr>
          </w:p>
        </w:tc>
        <w:tc>
          <w:tcPr>
            <w:tcW w:w="775" w:type="dxa"/>
            <w:vMerge w:val="continue"/>
            <w:vAlign w:val="center"/>
          </w:tcPr>
          <w:p>
            <w:pPr>
              <w:numPr>
                <w:ilvl w:val="0"/>
                <w:numId w:val="0"/>
              </w:numPr>
              <w:jc w:val="center"/>
              <w:rPr>
                <w:rFonts w:hint="default"/>
                <w:color w:val="auto"/>
                <w:sz w:val="24"/>
                <w:szCs w:val="24"/>
                <w:highlight w:val="none"/>
                <w:u w:val="none"/>
                <w:vertAlign w:val="baseline"/>
                <w:lang w:val="en-US" w:eastAsia="zh-CN"/>
              </w:rPr>
            </w:pPr>
          </w:p>
        </w:tc>
        <w:tc>
          <w:tcPr>
            <w:tcW w:w="987" w:type="dxa"/>
            <w:vMerge w:val="continue"/>
            <w:vAlign w:val="center"/>
          </w:tcPr>
          <w:p>
            <w:pPr>
              <w:numPr>
                <w:ilvl w:val="0"/>
                <w:numId w:val="0"/>
              </w:numPr>
              <w:jc w:val="center"/>
              <w:rPr>
                <w:rFonts w:hint="default"/>
                <w:color w:val="auto"/>
                <w:sz w:val="24"/>
                <w:szCs w:val="24"/>
                <w:highlight w:val="none"/>
                <w:u w:val="none"/>
                <w:vertAlign w:val="baseline"/>
                <w:lang w:val="en-US" w:eastAsia="zh-CN"/>
              </w:rPr>
            </w:pPr>
          </w:p>
        </w:tc>
        <w:tc>
          <w:tcPr>
            <w:tcW w:w="488" w:type="dxa"/>
            <w:vAlign w:val="center"/>
          </w:tcPr>
          <w:p>
            <w:pPr>
              <w:numPr>
                <w:ilvl w:val="0"/>
                <w:numId w:val="0"/>
              </w:numPr>
              <w:jc w:val="center"/>
              <w:rPr>
                <w:rFonts w:hint="default"/>
                <w:color w:val="auto"/>
                <w:sz w:val="24"/>
                <w:szCs w:val="24"/>
                <w:highlight w:val="none"/>
                <w:u w:val="none"/>
                <w:vertAlign w:val="baseline"/>
                <w:lang w:val="en-US" w:eastAsia="zh-CN"/>
              </w:rPr>
            </w:pPr>
          </w:p>
        </w:tc>
        <w:tc>
          <w:tcPr>
            <w:tcW w:w="437" w:type="dxa"/>
            <w:vAlign w:val="center"/>
          </w:tcPr>
          <w:p>
            <w:pPr>
              <w:numPr>
                <w:ilvl w:val="0"/>
                <w:numId w:val="0"/>
              </w:numPr>
              <w:jc w:val="center"/>
              <w:rPr>
                <w:rFonts w:hint="default"/>
                <w:color w:val="auto"/>
                <w:sz w:val="24"/>
                <w:szCs w:val="24"/>
                <w:highlight w:val="none"/>
                <w:u w:val="none"/>
                <w:vertAlign w:val="baseline"/>
                <w:lang w:val="en-US" w:eastAsia="zh-CN"/>
              </w:rPr>
            </w:pPr>
          </w:p>
        </w:tc>
        <w:tc>
          <w:tcPr>
            <w:tcW w:w="400" w:type="dxa"/>
            <w:vAlign w:val="center"/>
          </w:tcPr>
          <w:p>
            <w:pPr>
              <w:numPr>
                <w:ilvl w:val="0"/>
                <w:numId w:val="0"/>
              </w:numPr>
              <w:jc w:val="center"/>
              <w:rPr>
                <w:rFonts w:hint="default"/>
                <w:color w:val="auto"/>
                <w:sz w:val="24"/>
                <w:szCs w:val="24"/>
                <w:highlight w:val="none"/>
                <w:u w:val="none"/>
                <w:vertAlign w:val="baseline"/>
                <w:lang w:val="en-US" w:eastAsia="zh-CN"/>
              </w:rPr>
            </w:pPr>
          </w:p>
        </w:tc>
        <w:tc>
          <w:tcPr>
            <w:tcW w:w="453" w:type="dxa"/>
            <w:vAlign w:val="center"/>
          </w:tcPr>
          <w:p>
            <w:pPr>
              <w:numPr>
                <w:ilvl w:val="0"/>
                <w:numId w:val="0"/>
              </w:numPr>
              <w:jc w:val="center"/>
              <w:rPr>
                <w:rFonts w:hint="default"/>
                <w:color w:val="auto"/>
                <w:sz w:val="24"/>
                <w:szCs w:val="24"/>
                <w:highlight w:val="none"/>
                <w:u w:val="none"/>
                <w:vertAlign w:val="baseline"/>
                <w:lang w:val="en-US" w:eastAsia="zh-CN"/>
              </w:rPr>
            </w:pPr>
          </w:p>
        </w:tc>
      </w:tr>
    </w:tbl>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合同总价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合同总价为人民币大写：   元，即RMB   ，该合同总价已包括货物设计、材料制造、包装、运输、安装、调试、检测、验收合格交付使用之前及保修期内保修服务及备用物件等所有其他各项的含税费用。本合同执行期间合同总价不变，甲方无须另向乙方支付本合同规定以外的其他费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质量要求</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乙方须提供全新的货物（含配件、零部件等），表面无划伤，无碰撞痕迹，且权属清楚，不得侵害他人的知识产权。</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货物必须符合或优于国家、行业标准，以及本项目竞争性谈判文件的质量要求和技术指标与出厂标准。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乙方须在本合同签订之日起</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日内送交货物成品样品给甲方确认，在甲方出具样品确认书并封存成品样品外观尺寸后，乙方才能按样生产，并以此样品作为验收样品，每台货物上均应有产品质量检验合格标志。</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货物制造质量出现问题，乙方应负责三包（包修、包换、包退），费用由乙方负担，甲方有权到乙方生产产地检查货物质量和生产进度。</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货物到现场后由于甲方保管不当造成的质量问题，乙方应负责修理，费用由甲方负担。</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交货及验收</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乙方交货期限为合同签订生效的</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日内，在合同签订生效之日起</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天内交货到甲方指定地点，在</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日内全部完成安装调试验收合格交付使用（如由于采购人的原因造成合同延迟签订或验收的，时间顺延）。交货验收时须提供产品质检部门从同类产品中抽样检查合格的检测报告。</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80" w:firstLineChars="200"/>
        <w:textAlignment w:val="auto"/>
        <w:rPr>
          <w:rFonts w:hint="default"/>
          <w:color w:val="auto"/>
          <w:sz w:val="24"/>
          <w:szCs w:val="28"/>
          <w:highlight w:val="none"/>
          <w:u w:val="none"/>
          <w:lang w:val="en-US" w:eastAsia="zh-CN"/>
        </w:rPr>
      </w:pPr>
      <w:r>
        <w:rPr>
          <w:rFonts w:hint="eastAsia"/>
          <w:color w:val="auto"/>
          <w:sz w:val="24"/>
          <w:szCs w:val="28"/>
          <w:highlight w:val="none"/>
          <w:u w:val="none"/>
          <w:lang w:val="en-US" w:eastAsia="zh-CN"/>
        </w:rPr>
        <w:t>验收由甲方组织、乙方配合进行。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u w:val="none"/>
          <w:lang w:val="en-US" w:eastAsia="zh-CN"/>
        </w:rPr>
      </w:pPr>
      <w:r>
        <w:rPr>
          <w:rFonts w:hint="eastAsia"/>
          <w:color w:val="auto"/>
          <w:sz w:val="24"/>
          <w:szCs w:val="24"/>
          <w:u w:val="none"/>
          <w:lang w:val="en-US" w:eastAsia="zh-CN"/>
        </w:rPr>
        <w:t>1、货物在乙方通知安装调试完毕后</w:t>
      </w:r>
      <w:r>
        <w:rPr>
          <w:rFonts w:hint="eastAsia"/>
          <w:color w:val="auto"/>
          <w:sz w:val="24"/>
          <w:szCs w:val="24"/>
          <w:u w:val="single"/>
          <w:lang w:val="en-US" w:eastAsia="zh-CN"/>
        </w:rPr>
        <w:t xml:space="preserve">  </w:t>
      </w:r>
      <w:r>
        <w:rPr>
          <w:rFonts w:hint="eastAsia"/>
          <w:color w:val="auto"/>
          <w:sz w:val="24"/>
          <w:szCs w:val="24"/>
          <w:u w:val="none"/>
          <w:lang w:val="en-US" w:eastAsia="zh-CN"/>
        </w:rPr>
        <w:t>日内初步验收。初步验收合格后，进入</w:t>
      </w:r>
      <w:r>
        <w:rPr>
          <w:rFonts w:hint="eastAsia"/>
          <w:color w:val="auto"/>
          <w:sz w:val="24"/>
          <w:szCs w:val="24"/>
          <w:u w:val="single"/>
          <w:lang w:val="en-US" w:eastAsia="zh-CN"/>
        </w:rPr>
        <w:t xml:space="preserve">  </w:t>
      </w:r>
      <w:r>
        <w:rPr>
          <w:rFonts w:hint="eastAsia"/>
          <w:color w:val="auto"/>
          <w:sz w:val="24"/>
          <w:szCs w:val="24"/>
          <w:u w:val="none"/>
          <w:lang w:val="en-US" w:eastAsia="zh-CN"/>
        </w:rPr>
        <w:t>天试用期，试用期发生一般性质量问题，修复后试用期相应顺延。试用期结束后</w:t>
      </w:r>
      <w:r>
        <w:rPr>
          <w:rFonts w:hint="eastAsia"/>
          <w:color w:val="auto"/>
          <w:sz w:val="24"/>
          <w:szCs w:val="24"/>
          <w:u w:val="single"/>
          <w:lang w:val="en-US" w:eastAsia="zh-CN"/>
        </w:rPr>
        <w:t xml:space="preserve">  </w:t>
      </w:r>
      <w:r>
        <w:rPr>
          <w:rFonts w:hint="eastAsia"/>
          <w:color w:val="auto"/>
          <w:sz w:val="24"/>
          <w:szCs w:val="24"/>
          <w:u w:val="none"/>
          <w:lang w:val="en-US" w:eastAsia="zh-CN"/>
        </w:rPr>
        <w:t>日内完成最终验收，如质量验收合格，双方签署《质量验收合格证明书》。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u w:val="none"/>
          <w:lang w:val="en-US" w:eastAsia="zh-CN"/>
        </w:rPr>
      </w:pPr>
      <w:r>
        <w:rPr>
          <w:rFonts w:hint="eastAsia"/>
          <w:color w:val="auto"/>
          <w:sz w:val="24"/>
          <w:szCs w:val="24"/>
          <w:u w:val="none"/>
          <w:lang w:val="en-US" w:eastAsia="zh-CN"/>
        </w:rPr>
        <w:t>2、履约验收方案：履约验收方案要明确履约验收的主体、时间、方式、程序、内容和验收标准等事项。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olor w:val="auto"/>
          <w:sz w:val="24"/>
          <w:szCs w:val="24"/>
          <w:u w:val="none"/>
          <w:lang w:val="en-US" w:eastAsia="zh-CN"/>
        </w:rPr>
      </w:pPr>
      <w:r>
        <w:rPr>
          <w:rFonts w:hint="eastAsia"/>
          <w:color w:val="auto"/>
          <w:sz w:val="24"/>
          <w:szCs w:val="24"/>
          <w:u w:val="none"/>
          <w:lang w:val="en-US" w:eastAsia="zh-CN"/>
        </w:rPr>
        <w:t>3、验收标准：按国家有关规定以及甲方招标文件的质量要求和技术指标、乙方的投标文件及承诺与本合同约定标准进行验收；甲方双方如对质量要求和技术指标的约定标准有相互抵触或异议的事项，由甲方在招标文件和投标文件中按质量要求和技术指标比较优胜的原则确定该项的约定标准进行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olor w:val="auto"/>
          <w:sz w:val="24"/>
          <w:szCs w:val="24"/>
          <w:u w:val="none"/>
          <w:lang w:val="en-US" w:eastAsia="zh-CN"/>
        </w:rPr>
      </w:pPr>
      <w:r>
        <w:rPr>
          <w:rFonts w:hint="eastAsia"/>
          <w:color w:val="auto"/>
          <w:sz w:val="24"/>
          <w:szCs w:val="24"/>
          <w:u w:val="none"/>
          <w:lang w:val="en-US" w:eastAsia="zh-CN"/>
        </w:rPr>
        <w:t>4、验收时如发现所交付的货物有短装、次品、损坏或其他不符合标准及本合同规定之情形者，甲方应</w:t>
      </w:r>
      <w:r>
        <w:rPr>
          <w:rFonts w:hint="eastAsia"/>
          <w:color w:val="auto"/>
          <w:sz w:val="24"/>
          <w:szCs w:val="24"/>
          <w:highlight w:val="none"/>
          <w:u w:val="none"/>
          <w:lang w:val="en-US" w:eastAsia="zh-CN"/>
        </w:rPr>
        <w:t>做出</w:t>
      </w:r>
      <w:r>
        <w:rPr>
          <w:rFonts w:hint="eastAsia"/>
          <w:color w:val="auto"/>
          <w:sz w:val="24"/>
          <w:szCs w:val="24"/>
          <w:u w:val="none"/>
          <w:lang w:val="en-US" w:eastAsia="zh-CN"/>
        </w:rPr>
        <w:t>详尽的现场记录，或由甲乙双方签署备忘录，此现场记录或备忘录可用作补充、缺失和更换损坏部件的有效证据，由此产生的时间延误及有关费用由乙方承担，验收期限相应顺延。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u w:val="none"/>
          <w:lang w:val="en-US" w:eastAsia="zh-CN"/>
        </w:rPr>
      </w:pPr>
      <w:r>
        <w:rPr>
          <w:rFonts w:hint="eastAsia"/>
          <w:color w:val="auto"/>
          <w:sz w:val="24"/>
          <w:szCs w:val="24"/>
          <w:u w:val="none"/>
          <w:lang w:val="en-US" w:eastAsia="zh-CN"/>
        </w:rPr>
        <w:t>5、如质量验收合格，双方签署质量验收报告。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（三）货物安装调试完毕后</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日内，甲方无故不进行验收工作并已使用货物的，视同验收合格。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（四）乙方应将所提供货物的装箱清单、配件、随机工具、用户使用手册、原厂保修卡等资料交给甲方；乙方不能完整交付货物及本款规定的单证和工具的，必须负责补齐，否则视为未按合同约定交货。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（五）如货物经乙方</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次维修仍不能达到合同约定的质量标准，甲方有权退货，并视作乙方不能交付货物且须支付违约赔偿金给甲方，甲方还可依法追究乙方的违约责任。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（六）其他未尽事宜应严格按照《财政部关于进一步加强政府采购需求和履约验收管理的指导意见》（财库</w:t>
      </w:r>
      <w:r>
        <w:rPr>
          <w:rFonts w:hint="eastAsia" w:ascii="仿宋" w:hAnsi="仿宋" w:eastAsia="仿宋" w:cs="仿宋"/>
          <w:color w:val="auto"/>
          <w:sz w:val="24"/>
          <w:szCs w:val="28"/>
          <w:highlight w:val="none"/>
          <w:u w:val="none"/>
          <w:lang w:val="en-US" w:eastAsia="zh-CN"/>
        </w:rPr>
        <w:t>〔</w:t>
      </w:r>
      <w:r>
        <w:rPr>
          <w:rFonts w:hint="eastAsia" w:ascii="宋体" w:hAnsi="宋体" w:eastAsia="宋体" w:cs="宋体"/>
          <w:color w:val="auto"/>
          <w:sz w:val="24"/>
          <w:szCs w:val="28"/>
          <w:highlight w:val="none"/>
          <w:u w:val="none"/>
          <w:lang w:val="en-US" w:eastAsia="zh-CN"/>
        </w:rPr>
        <w:t>2016</w:t>
      </w:r>
      <w:r>
        <w:rPr>
          <w:rFonts w:hint="eastAsia" w:ascii="仿宋" w:hAnsi="仿宋" w:eastAsia="仿宋" w:cs="仿宋"/>
          <w:color w:val="auto"/>
          <w:sz w:val="24"/>
          <w:szCs w:val="28"/>
          <w:highlight w:val="none"/>
          <w:u w:val="none"/>
          <w:lang w:val="en-US" w:eastAsia="zh-CN"/>
        </w:rPr>
        <w:t>〕</w:t>
      </w:r>
      <w:r>
        <w:rPr>
          <w:rFonts w:hint="eastAsia" w:ascii="宋体" w:hAnsi="宋体" w:eastAsia="宋体" w:cs="宋体"/>
          <w:color w:val="auto"/>
          <w:sz w:val="24"/>
          <w:szCs w:val="28"/>
          <w:highlight w:val="none"/>
          <w:u w:val="none"/>
          <w:lang w:val="en-US" w:eastAsia="zh-CN"/>
        </w:rPr>
        <w:t>205号</w:t>
      </w:r>
      <w:r>
        <w:rPr>
          <w:rFonts w:hint="eastAsia"/>
          <w:color w:val="auto"/>
          <w:sz w:val="24"/>
          <w:szCs w:val="28"/>
          <w:highlight w:val="none"/>
          <w:u w:val="none"/>
          <w:lang w:val="en-US" w:eastAsia="zh-CN"/>
        </w:rPr>
        <w:t>）的要求执行。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五、付款方式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（一）甲乙双方协商一致后，约定采购资金付款的方式和期限等事项：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olor w:val="auto"/>
          <w:sz w:val="24"/>
          <w:szCs w:val="28"/>
          <w:highlight w:val="none"/>
          <w:u w:val="single"/>
          <w:lang w:val="en-US" w:eastAsia="zh-CN"/>
        </w:rPr>
      </w:pPr>
      <w:r>
        <w:rPr>
          <w:rFonts w:hint="eastAsia"/>
          <w:color w:val="auto"/>
          <w:sz w:val="24"/>
          <w:szCs w:val="28"/>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olor w:val="auto"/>
          <w:sz w:val="24"/>
          <w:szCs w:val="28"/>
          <w:highlight w:val="none"/>
          <w:u w:val="single"/>
          <w:lang w:val="en-US" w:eastAsia="zh-CN"/>
        </w:rPr>
      </w:pPr>
      <w:r>
        <w:rPr>
          <w:rFonts w:hint="eastAsia"/>
          <w:color w:val="auto"/>
          <w:sz w:val="24"/>
          <w:szCs w:val="28"/>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olor w:val="auto"/>
          <w:sz w:val="24"/>
          <w:szCs w:val="28"/>
          <w:highlight w:val="none"/>
          <w:u w:val="single"/>
          <w:lang w:val="en-US" w:eastAsia="zh-CN"/>
        </w:rPr>
      </w:pPr>
      <w:r>
        <w:rPr>
          <w:rFonts w:hint="eastAsia"/>
          <w:color w:val="auto"/>
          <w:sz w:val="24"/>
          <w:szCs w:val="28"/>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（二）甲方应当按照本合同规定，及时向乙方支付采购资金。政府采购项目资金支付程序，按照国家有关财政资金支付管理的规定执行。</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default"/>
          <w:color w:val="auto"/>
          <w:sz w:val="24"/>
          <w:szCs w:val="28"/>
          <w:highlight w:val="none"/>
          <w:u w:val="none"/>
          <w:lang w:val="en-US" w:eastAsia="zh-CN"/>
        </w:rPr>
      </w:pPr>
      <w:r>
        <w:rPr>
          <w:rFonts w:hint="eastAsia"/>
          <w:color w:val="auto"/>
          <w:sz w:val="24"/>
          <w:szCs w:val="28"/>
          <w:highlight w:val="none"/>
          <w:u w:val="none"/>
          <w:lang w:val="en-US" w:eastAsia="zh-CN"/>
        </w:rPr>
        <w:t>竞争性谈判文件要求乙方提交履约保证金的，乙方应当以支票、汇票、本票或者金融机构、担保机构出具的保函等非现金形式提交，履约保证金的数额不超过采购合同金额的10%。在货物验收合格</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日后，甲方财务部门在接到乙方通知和支付凭证资料，以及由甲方确认本合同货物质量与服务等约定事项已经履行完毕的正式书面文件后的</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日内，递交结算凭证资料给银行，由其按规定支付相关的价款。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六、售后服务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（一）质保期为验收合格后</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年，质保期内出现质量问题，乙方在接到通知后</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小时内响应到场，</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小时内完成维修或更换，并承担修理调换的费用；如货物经乙方</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次维修仍不能达到本合同约定的质量标准，视作乙方未能按时交货，甲方有权退货并追究乙方的违约责任。货到现场后由于甲方保管不当造成的问题，乙方应负责修复，但费用由甲方负担。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（二）乙方须指派专人负责与甲方联系售后服务事宜。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七、违约责任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（一）甲方责任：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1、甲方无正当理由拒收货物的，甲方应偿付合同总价</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%的违约金。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2、甲方偿付的违约金不足以弥补乙方损失的，还应按乙方损失尚未弥补的部分，支付赔偿金给乙方。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（二）乙方违约责任：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1、乙方交付的货物质量不符合合同规定的，乙方应向甲方支付合同总价的</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%的违约金，并须在合同规定的交货时间内更换合格的货物给甲方，否则，视作乙方不能交付货物而违约，按本条下述第（2）项规定由乙方偿付违约金、赔偿金给甲方。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2、乙方不能交付货物或逾期交付货物而违约的，除应及时交足货物外，应向甲方偿还逾期交货部分货款总额的万分之</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/天的违约金；逾期交货超过</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天，甲方有权终止合同，乙方则按合同总价的</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%的数额向甲方偿付赔偿金，并须全额退还甲方已经付给乙方的货款及其利息。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八、争议解决办法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（一）因货物的质量问题发生争议，经双方认可的权威机构进行质量鉴定后，货物符合质量标准的，鉴定费由甲方承担；货物不符合质量标准的，鉴定费由乙方承担。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（二）合同履行期间，若双方发生争议，可协商或由有关部门调解解决，协商或调解不成的，由当事人依法维护其合法权益。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九、其他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（一）如有未尽事宜，由双方依法订立补充合同，补充合同与本合同的法律效力一致。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（二）本合同双方应加盖骑缝章。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（三）本合同一式</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份，自双方签章并经代理机构见证盖章后生效。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甲方：</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（盖单位章）       乙方：</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（盖单位章）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法定代表人（或授权代表）：</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 xml:space="preserve">        法定代表人（或授权代表）：</w:t>
      </w:r>
      <w:r>
        <w:rPr>
          <w:rFonts w:hint="eastAsia"/>
          <w:color w:val="auto"/>
          <w:sz w:val="24"/>
          <w:szCs w:val="28"/>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地址：                                    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开户银行：                                开户银行：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账户：                                    账户：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电话：                                    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color w:val="auto"/>
          <w:sz w:val="24"/>
          <w:szCs w:val="28"/>
          <w:highlight w:val="none"/>
          <w:u w:val="none"/>
          <w:lang w:val="en-US" w:eastAsia="zh-CN"/>
        </w:rPr>
      </w:pPr>
      <w:r>
        <w:rPr>
          <w:rFonts w:hint="eastAsia"/>
          <w:color w:val="auto"/>
          <w:sz w:val="24"/>
          <w:szCs w:val="28"/>
          <w:highlight w:val="none"/>
          <w:u w:val="none"/>
          <w:lang w:val="en-US" w:eastAsia="zh-CN"/>
        </w:rPr>
        <w:t>传真：                                    传真：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color w:val="auto"/>
          <w:sz w:val="24"/>
          <w:szCs w:val="28"/>
          <w:highlight w:val="none"/>
          <w:u w:val="none"/>
          <w:lang w:val="en-US" w:eastAsia="zh-CN"/>
        </w:rPr>
      </w:pPr>
      <w:r>
        <w:rPr>
          <w:rFonts w:hint="eastAsia"/>
          <w:color w:val="auto"/>
          <w:sz w:val="24"/>
          <w:szCs w:val="28"/>
          <w:highlight w:val="none"/>
          <w:u w:val="none"/>
          <w:lang w:val="en-US" w:eastAsia="zh-CN"/>
        </w:rPr>
        <w:t>签约时间：</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年</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月</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日              签约时间：</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年</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月</w:t>
      </w:r>
      <w:r>
        <w:rPr>
          <w:rFonts w:hint="eastAsia"/>
          <w:color w:val="auto"/>
          <w:sz w:val="24"/>
          <w:szCs w:val="28"/>
          <w:highlight w:val="none"/>
          <w:u w:val="single"/>
          <w:lang w:val="en-US" w:eastAsia="zh-CN"/>
        </w:rPr>
        <w:t xml:space="preserve">   </w:t>
      </w:r>
      <w:r>
        <w:rPr>
          <w:rFonts w:hint="eastAsia"/>
          <w:color w:val="auto"/>
          <w:sz w:val="24"/>
          <w:szCs w:val="28"/>
          <w:highlight w:val="none"/>
          <w:u w:val="none"/>
          <w:lang w:val="en-US" w:eastAsia="zh-CN"/>
        </w:rPr>
        <w:t>日</w:t>
      </w:r>
    </w:p>
    <w:p>
      <w:pPr>
        <w:pStyle w:val="3"/>
        <w:jc w:val="center"/>
        <w:rPr>
          <w:rFonts w:hint="eastAsia" w:ascii="宋体" w:hAnsi="宋体" w:eastAsia="宋体" w:cs="宋体"/>
          <w:color w:val="auto"/>
          <w:sz w:val="30"/>
          <w:szCs w:val="30"/>
          <w:highlight w:val="none"/>
        </w:rPr>
      </w:pPr>
    </w:p>
    <w:p>
      <w:pPr>
        <w:rPr>
          <w:rFonts w:hint="eastAsia" w:ascii="宋体" w:hAnsi="宋体" w:eastAsia="宋体" w:cs="宋体"/>
          <w:color w:val="auto"/>
          <w:sz w:val="30"/>
          <w:szCs w:val="30"/>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Calibri" w:hAnsi="Calibri" w:eastAsia="Calibri" w:cs="Times New Roman"/>
          <w:color w:val="auto"/>
          <w:sz w:val="24"/>
          <w:szCs w:val="28"/>
          <w:highlight w:val="none"/>
          <w:u w:val="none"/>
          <w:lang w:val="en-US" w:eastAsia="zh-CN"/>
        </w:rPr>
      </w:pPr>
      <w:r>
        <w:rPr>
          <w:rFonts w:hint="eastAsia" w:ascii="Calibri" w:hAnsi="Calibri" w:eastAsia="Calibri" w:cs="Times New Roman"/>
          <w:color w:val="auto"/>
          <w:sz w:val="24"/>
          <w:szCs w:val="28"/>
          <w:highlight w:val="none"/>
          <w:u w:val="none"/>
          <w:lang w:val="en-US" w:eastAsia="zh-CN"/>
        </w:rPr>
        <w:t xml:space="preserve">                          代理机构（盖章）：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right"/>
        <w:textAlignment w:val="auto"/>
        <w:rPr>
          <w:rFonts w:hint="eastAsia" w:ascii="Calibri" w:hAnsi="Calibri" w:eastAsia="Calibri" w:cs="Times New Roman"/>
          <w:color w:val="auto"/>
          <w:sz w:val="24"/>
          <w:szCs w:val="28"/>
          <w:highlight w:val="none"/>
          <w:u w:val="none"/>
          <w:lang w:val="en-US" w:eastAsia="zh-CN"/>
        </w:rPr>
        <w:sectPr>
          <w:pgSz w:w="11906" w:h="16838"/>
          <w:pgMar w:top="1361" w:right="1587" w:bottom="1361" w:left="1587" w:header="851" w:footer="992" w:gutter="0"/>
          <w:cols w:space="708" w:num="1"/>
          <w:docGrid w:type="lines" w:linePitch="332" w:charSpace="0"/>
        </w:sectPr>
      </w:pPr>
      <w:r>
        <w:rPr>
          <w:rFonts w:hint="eastAsia" w:ascii="Calibri" w:hAnsi="Calibri" w:eastAsia="Calibri" w:cs="Times New Roman"/>
          <w:color w:val="auto"/>
          <w:sz w:val="24"/>
          <w:szCs w:val="28"/>
          <w:highlight w:val="none"/>
          <w:u w:val="none"/>
          <w:lang w:val="en-US" w:eastAsia="zh-CN"/>
        </w:rPr>
        <w:t xml:space="preserve">      年    月    日</w:t>
      </w:r>
    </w:p>
    <w:p>
      <w:pPr>
        <w:pStyle w:val="25"/>
        <w:spacing w:before="0" w:beforeLines="0" w:after="0" w:afterLines="0" w:line="360" w:lineRule="auto"/>
        <w:jc w:val="center"/>
        <w:rPr>
          <w:color w:val="auto"/>
          <w:sz w:val="24"/>
          <w:szCs w:val="24"/>
          <w:highlight w:val="none"/>
        </w:rPr>
      </w:pPr>
      <w:bookmarkStart w:id="16" w:name="_Toc30244"/>
      <w:r>
        <w:rPr>
          <w:rFonts w:hint="eastAsia"/>
          <w:color w:val="auto"/>
          <w:sz w:val="24"/>
          <w:szCs w:val="24"/>
          <w:highlight w:val="none"/>
        </w:rPr>
        <w:t>二、政府采购合同通用条款</w:t>
      </w:r>
      <w:bookmarkEnd w:id="16"/>
    </w:p>
    <w:p>
      <w:pPr>
        <w:tabs>
          <w:tab w:val="left" w:pos="8820"/>
          <w:tab w:val="left" w:pos="9345"/>
          <w:tab w:val="left" w:pos="9765"/>
        </w:tabs>
        <w:spacing w:line="360" w:lineRule="auto"/>
        <w:rPr>
          <w:rFonts w:ascii="宋体" w:hAnsi="宋体"/>
          <w:b/>
          <w:bCs/>
          <w:color w:val="auto"/>
          <w:sz w:val="24"/>
          <w:szCs w:val="24"/>
          <w:highlight w:val="none"/>
        </w:rPr>
      </w:pPr>
    </w:p>
    <w:p>
      <w:pPr>
        <w:autoSpaceDE w:val="0"/>
        <w:autoSpaceDN w:val="0"/>
        <w:spacing w:line="360" w:lineRule="auto"/>
        <w:jc w:val="center"/>
        <w:rPr>
          <w:rFonts w:ascii="宋体" w:cs="Calibri"/>
          <w:b/>
          <w:color w:val="auto"/>
          <w:kern w:val="0"/>
          <w:sz w:val="24"/>
          <w:highlight w:val="none"/>
        </w:rPr>
      </w:pPr>
      <w:r>
        <w:rPr>
          <w:rFonts w:hint="eastAsia" w:ascii="宋体" w:hAnsi="宋体"/>
          <w:b/>
          <w:color w:val="auto"/>
          <w:kern w:val="0"/>
          <w:sz w:val="24"/>
          <w:highlight w:val="none"/>
        </w:rPr>
        <w:t>合同通用条款</w:t>
      </w:r>
    </w:p>
    <w:p>
      <w:pPr>
        <w:tabs>
          <w:tab w:val="left" w:pos="8820"/>
          <w:tab w:val="left" w:pos="9345"/>
          <w:tab w:val="left" w:pos="9765"/>
        </w:tabs>
        <w:spacing w:line="360" w:lineRule="auto"/>
        <w:ind w:firstLine="480" w:firstLineChars="200"/>
        <w:rPr>
          <w:rFonts w:hint="eastAsia" w:ascii="宋体" w:hAnsi="宋体"/>
          <w:color w:val="auto"/>
          <w:sz w:val="24"/>
          <w:highlight w:val="none"/>
        </w:rPr>
      </w:pPr>
      <w:r>
        <w:rPr>
          <w:rFonts w:hint="eastAsia" w:ascii="宋体" w:hAnsi="宋体" w:eastAsia="宋体"/>
          <w:color w:val="auto"/>
          <w:sz w:val="24"/>
          <w:highlight w:val="none"/>
          <w:lang w:eastAsia="zh-CN"/>
        </w:rPr>
        <w:t>货物</w:t>
      </w:r>
      <w:r>
        <w:rPr>
          <w:rFonts w:hint="eastAsia" w:ascii="宋体" w:hAnsi="宋体"/>
          <w:color w:val="auto"/>
          <w:sz w:val="24"/>
          <w:highlight w:val="none"/>
        </w:rPr>
        <w:t>类</w:t>
      </w:r>
      <w:r>
        <w:rPr>
          <w:rFonts w:hint="eastAsia" w:ascii="宋体" w:hAnsi="宋体" w:eastAsia="宋体"/>
          <w:color w:val="auto"/>
          <w:sz w:val="24"/>
          <w:highlight w:val="none"/>
          <w:lang w:eastAsia="zh-CN"/>
        </w:rPr>
        <w:t>、服务类</w:t>
      </w:r>
      <w:r>
        <w:rPr>
          <w:rFonts w:hint="eastAsia" w:ascii="宋体" w:hAnsi="宋体"/>
          <w:color w:val="auto"/>
          <w:sz w:val="24"/>
          <w:highlight w:val="none"/>
        </w:rPr>
        <w:t>政府采购合同格式文本本省级以上政府部门或行业组织有标准的或示范文本的，应按照其文本确定合同格式。没有文本的，按照《中华人民共和国</w:t>
      </w:r>
      <w:r>
        <w:rPr>
          <w:rFonts w:hint="eastAsia" w:ascii="宋体" w:hAnsi="宋体" w:eastAsia="宋体"/>
          <w:color w:val="auto"/>
          <w:sz w:val="24"/>
          <w:highlight w:val="none"/>
          <w:lang w:eastAsia="zh-CN"/>
        </w:rPr>
        <w:t>民法典</w:t>
      </w:r>
      <w:r>
        <w:rPr>
          <w:rFonts w:hint="eastAsia" w:ascii="宋体" w:hAnsi="宋体"/>
          <w:color w:val="auto"/>
          <w:sz w:val="24"/>
          <w:highlight w:val="none"/>
        </w:rPr>
        <w:t>》及采购项目特点自行拟定文本确定合同格式。</w:t>
      </w:r>
    </w:p>
    <w:p>
      <w:pPr>
        <w:rPr>
          <w:rFonts w:hint="eastAsia"/>
          <w:color w:val="auto"/>
          <w:highlight w:val="none"/>
        </w:rPr>
      </w:pPr>
    </w:p>
    <w:p>
      <w:pPr>
        <w:rPr>
          <w:rFonts w:hint="eastAsia"/>
          <w:color w:val="auto"/>
          <w:highlight w:val="none"/>
        </w:rPr>
      </w:pPr>
    </w:p>
    <w:p>
      <w:pPr>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pStyle w:val="25"/>
        <w:spacing w:before="0" w:beforeLines="0" w:after="0" w:afterLines="0" w:line="360" w:lineRule="auto"/>
        <w:jc w:val="center"/>
        <w:rPr>
          <w:color w:val="auto"/>
          <w:sz w:val="24"/>
          <w:szCs w:val="24"/>
          <w:highlight w:val="none"/>
        </w:rPr>
      </w:pPr>
      <w:bookmarkStart w:id="17" w:name="_Toc16614"/>
      <w:r>
        <w:rPr>
          <w:rFonts w:hint="eastAsia"/>
          <w:color w:val="auto"/>
          <w:sz w:val="24"/>
          <w:szCs w:val="24"/>
          <w:highlight w:val="none"/>
        </w:rPr>
        <w:t>三、政府采购合同专用条款</w:t>
      </w:r>
      <w:bookmarkEnd w:id="17"/>
    </w:p>
    <w:p>
      <w:pPr>
        <w:pStyle w:val="15"/>
        <w:spacing w:after="0" w:afterLines="0" w:line="360" w:lineRule="auto"/>
        <w:rPr>
          <w:rFonts w:ascii="宋体" w:hAnsi="宋体"/>
          <w:b/>
          <w:bCs/>
          <w:color w:val="auto"/>
          <w:sz w:val="24"/>
          <w:highlight w:val="none"/>
        </w:rPr>
      </w:pPr>
    </w:p>
    <w:p>
      <w:pPr>
        <w:pStyle w:val="15"/>
        <w:spacing w:after="0" w:afterLines="0" w:line="360" w:lineRule="auto"/>
        <w:jc w:val="center"/>
        <w:rPr>
          <w:rFonts w:ascii="宋体" w:hAnsi="宋体"/>
          <w:b/>
          <w:bCs/>
          <w:color w:val="auto"/>
          <w:sz w:val="24"/>
          <w:highlight w:val="none"/>
        </w:rPr>
      </w:pPr>
      <w:r>
        <w:rPr>
          <w:rFonts w:hint="eastAsia" w:ascii="宋体" w:hAnsi="宋体"/>
          <w:b/>
          <w:bCs/>
          <w:color w:val="auto"/>
          <w:sz w:val="24"/>
          <w:highlight w:val="none"/>
        </w:rPr>
        <w:t>政府采购合同专用条款</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4251"/>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jc w:val="center"/>
        </w:trPr>
        <w:tc>
          <w:tcPr>
            <w:tcW w:w="1767" w:type="dxa"/>
            <w:vAlign w:val="center"/>
          </w:tcPr>
          <w:p>
            <w:pPr>
              <w:tabs>
                <w:tab w:val="left" w:pos="2466"/>
                <w:tab w:val="left" w:pos="5464"/>
              </w:tabs>
              <w:spacing w:line="360" w:lineRule="auto"/>
              <w:jc w:val="center"/>
              <w:rPr>
                <w:rFonts w:ascii="宋体" w:hAnsi="宋体"/>
                <w:color w:val="auto"/>
                <w:sz w:val="24"/>
                <w:szCs w:val="24"/>
                <w:highlight w:val="none"/>
              </w:rPr>
            </w:pPr>
            <w:r>
              <w:rPr>
                <w:rFonts w:hint="eastAsia" w:ascii="宋体" w:hAnsi="宋体"/>
                <w:b/>
                <w:color w:val="auto"/>
                <w:sz w:val="24"/>
                <w:szCs w:val="24"/>
                <w:highlight w:val="none"/>
              </w:rPr>
              <w:t>条款号</w:t>
            </w:r>
          </w:p>
        </w:tc>
        <w:tc>
          <w:tcPr>
            <w:tcW w:w="4251" w:type="dxa"/>
            <w:vAlign w:val="center"/>
          </w:tcPr>
          <w:p>
            <w:pPr>
              <w:tabs>
                <w:tab w:val="left" w:pos="2466"/>
                <w:tab w:val="left" w:pos="5464"/>
              </w:tabs>
              <w:spacing w:line="360" w:lineRule="auto"/>
              <w:jc w:val="center"/>
              <w:rPr>
                <w:rFonts w:ascii="宋体" w:hAnsi="宋体"/>
                <w:color w:val="auto"/>
                <w:sz w:val="24"/>
                <w:szCs w:val="24"/>
                <w:highlight w:val="none"/>
              </w:rPr>
            </w:pPr>
            <w:r>
              <w:rPr>
                <w:rFonts w:hint="eastAsia" w:ascii="宋体" w:hAnsi="宋体"/>
                <w:b/>
                <w:color w:val="auto"/>
                <w:sz w:val="24"/>
                <w:szCs w:val="24"/>
                <w:highlight w:val="none"/>
              </w:rPr>
              <w:t>条款名称</w:t>
            </w:r>
          </w:p>
        </w:tc>
        <w:tc>
          <w:tcPr>
            <w:tcW w:w="2932" w:type="dxa"/>
            <w:vAlign w:val="center"/>
          </w:tcPr>
          <w:p>
            <w:pPr>
              <w:tabs>
                <w:tab w:val="left" w:pos="2466"/>
                <w:tab w:val="left" w:pos="5464"/>
              </w:tabs>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67" w:type="dxa"/>
            <w:vAlign w:val="center"/>
          </w:tcPr>
          <w:p>
            <w:pPr>
              <w:tabs>
                <w:tab w:val="left" w:pos="2466"/>
                <w:tab w:val="left" w:pos="5464"/>
              </w:tabs>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第1.2（6）款</w:t>
            </w:r>
            <w:r>
              <w:rPr>
                <w:rFonts w:hint="eastAsia" w:ascii="宋体" w:hAnsi="宋体"/>
                <w:color w:val="auto"/>
                <w:sz w:val="24"/>
                <w:szCs w:val="24"/>
                <w:highlight w:val="none"/>
              </w:rPr>
              <w:tab/>
            </w:r>
          </w:p>
        </w:tc>
        <w:tc>
          <w:tcPr>
            <w:tcW w:w="4251" w:type="dxa"/>
            <w:vAlign w:val="center"/>
          </w:tcPr>
          <w:p>
            <w:pPr>
              <w:tabs>
                <w:tab w:val="left" w:pos="2466"/>
                <w:tab w:val="left" w:pos="5464"/>
              </w:tabs>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项目现场</w:t>
            </w:r>
          </w:p>
        </w:tc>
        <w:tc>
          <w:tcPr>
            <w:tcW w:w="2932" w:type="dxa"/>
            <w:vAlign w:val="center"/>
          </w:tcPr>
          <w:p>
            <w:pPr>
              <w:tabs>
                <w:tab w:val="left" w:pos="2466"/>
                <w:tab w:val="left" w:pos="5464"/>
              </w:tabs>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67" w:type="dxa"/>
            <w:vAlign w:val="center"/>
          </w:tcPr>
          <w:p>
            <w:pPr>
              <w:tabs>
                <w:tab w:val="left" w:pos="2466"/>
                <w:tab w:val="left" w:pos="5464"/>
              </w:tabs>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第5.1条</w:t>
            </w:r>
          </w:p>
        </w:tc>
        <w:tc>
          <w:tcPr>
            <w:tcW w:w="4251" w:type="dxa"/>
            <w:vAlign w:val="center"/>
          </w:tcPr>
          <w:p>
            <w:pPr>
              <w:tabs>
                <w:tab w:val="left" w:pos="2466"/>
                <w:tab w:val="left" w:pos="5464"/>
              </w:tabs>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履行合同的时间、地点及方式</w:t>
            </w:r>
          </w:p>
        </w:tc>
        <w:tc>
          <w:tcPr>
            <w:tcW w:w="2932" w:type="dxa"/>
            <w:vAlign w:val="center"/>
          </w:tcPr>
          <w:p>
            <w:pPr>
              <w:tabs>
                <w:tab w:val="left" w:pos="2466"/>
                <w:tab w:val="left" w:pos="5464"/>
              </w:tabs>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签订合同时双方共同商议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67" w:type="dxa"/>
            <w:vAlign w:val="center"/>
          </w:tcPr>
          <w:p>
            <w:pPr>
              <w:tabs>
                <w:tab w:val="left" w:pos="2466"/>
                <w:tab w:val="left" w:pos="5464"/>
              </w:tabs>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第20.2条</w:t>
            </w:r>
          </w:p>
        </w:tc>
        <w:tc>
          <w:tcPr>
            <w:tcW w:w="4251" w:type="dxa"/>
            <w:vAlign w:val="center"/>
          </w:tcPr>
          <w:p>
            <w:pPr>
              <w:tabs>
                <w:tab w:val="left" w:pos="2466"/>
                <w:tab w:val="left" w:pos="5464"/>
              </w:tabs>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解决争议的方式</w:t>
            </w:r>
          </w:p>
        </w:tc>
        <w:tc>
          <w:tcPr>
            <w:tcW w:w="2932" w:type="dxa"/>
            <w:vAlign w:val="center"/>
          </w:tcPr>
          <w:p>
            <w:pPr>
              <w:autoSpaceDE w:val="0"/>
              <w:autoSpaceDN w:val="0"/>
              <w:spacing w:line="360" w:lineRule="auto"/>
              <w:rPr>
                <w:rFonts w:ascii="宋体" w:hAnsi="宋体"/>
                <w:color w:val="auto"/>
                <w:sz w:val="24"/>
                <w:szCs w:val="24"/>
                <w:highlight w:val="none"/>
              </w:rPr>
            </w:pPr>
            <w:r>
              <w:rPr>
                <w:rFonts w:hint="eastAsia" w:ascii="宋体" w:hAnsi="宋体"/>
                <w:color w:val="auto"/>
                <w:sz w:val="24"/>
                <w:szCs w:val="24"/>
                <w:highlight w:val="none"/>
              </w:rPr>
              <w:t>（1）向甲方所在地仲裁机构提起仲裁；</w:t>
            </w:r>
          </w:p>
          <w:p>
            <w:pPr>
              <w:autoSpaceDE w:val="0"/>
              <w:autoSpaceDN w:val="0"/>
              <w:spacing w:line="360" w:lineRule="auto"/>
              <w:rPr>
                <w:rFonts w:ascii="宋体" w:hAnsi="宋体"/>
                <w:color w:val="auto"/>
                <w:sz w:val="24"/>
                <w:szCs w:val="24"/>
                <w:highlight w:val="none"/>
              </w:rPr>
            </w:pPr>
            <w:r>
              <w:rPr>
                <w:rFonts w:hint="eastAsia" w:ascii="宋体" w:hAnsi="宋体"/>
                <w:color w:val="auto"/>
                <w:sz w:val="24"/>
                <w:szCs w:val="24"/>
                <w:highlight w:val="none"/>
              </w:rPr>
              <w:t>（2）向甲方所在地人民法院提起诉讼。</w:t>
            </w:r>
          </w:p>
        </w:tc>
      </w:tr>
    </w:tbl>
    <w:p>
      <w:pPr>
        <w:tabs>
          <w:tab w:val="left" w:pos="2466"/>
          <w:tab w:val="left" w:pos="5464"/>
        </w:tabs>
        <w:spacing w:line="360" w:lineRule="auto"/>
        <w:jc w:val="left"/>
        <w:rPr>
          <w:rFonts w:ascii="宋体" w:hAnsi="宋体"/>
          <w:color w:val="auto"/>
          <w:sz w:val="24"/>
          <w:szCs w:val="24"/>
          <w:highlight w:val="none"/>
        </w:rPr>
      </w:pPr>
    </w:p>
    <w:p>
      <w:pPr>
        <w:tabs>
          <w:tab w:val="left" w:pos="2466"/>
          <w:tab w:val="left" w:pos="5464"/>
        </w:tabs>
        <w:spacing w:line="360" w:lineRule="auto"/>
        <w:jc w:val="left"/>
        <w:rPr>
          <w:rFonts w:ascii="宋体" w:hAnsi="宋体"/>
          <w:color w:val="auto"/>
          <w:sz w:val="24"/>
          <w:szCs w:val="24"/>
          <w:highlight w:val="none"/>
        </w:rPr>
      </w:pP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p>
    <w:p>
      <w:pPr>
        <w:tabs>
          <w:tab w:val="left" w:pos="2466"/>
          <w:tab w:val="left" w:pos="5464"/>
        </w:tabs>
        <w:spacing w:line="360" w:lineRule="auto"/>
        <w:jc w:val="left"/>
        <w:rPr>
          <w:rFonts w:ascii="宋体" w:hAnsi="宋体"/>
          <w:color w:val="auto"/>
          <w:sz w:val="24"/>
          <w:szCs w:val="24"/>
          <w:highlight w:val="none"/>
        </w:rPr>
      </w:pPr>
      <w:r>
        <w:rPr>
          <w:rFonts w:hint="eastAsia" w:ascii="宋体" w:hAnsi="宋体"/>
          <w:color w:val="auto"/>
          <w:sz w:val="24"/>
          <w:szCs w:val="24"/>
          <w:highlight w:val="none"/>
        </w:rPr>
        <w:tab/>
      </w:r>
    </w:p>
    <w:p>
      <w:pPr>
        <w:tabs>
          <w:tab w:val="left" w:pos="2466"/>
          <w:tab w:val="left" w:pos="5464"/>
        </w:tabs>
        <w:spacing w:line="360" w:lineRule="auto"/>
        <w:jc w:val="left"/>
        <w:rPr>
          <w:rFonts w:ascii="宋体" w:hAnsi="宋体"/>
          <w:color w:val="auto"/>
          <w:sz w:val="24"/>
          <w:szCs w:val="24"/>
          <w:highlight w:val="none"/>
        </w:rPr>
      </w:pPr>
      <w:r>
        <w:rPr>
          <w:rFonts w:hint="eastAsia" w:ascii="宋体" w:hAnsi="宋体"/>
          <w:color w:val="auto"/>
          <w:sz w:val="24"/>
          <w:szCs w:val="24"/>
          <w:highlight w:val="none"/>
        </w:rPr>
        <w:tab/>
      </w:r>
    </w:p>
    <w:p>
      <w:pPr>
        <w:tabs>
          <w:tab w:val="left" w:pos="2466"/>
          <w:tab w:val="left" w:pos="5464"/>
        </w:tabs>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ab/>
      </w:r>
      <w:r>
        <w:rPr>
          <w:rFonts w:hint="eastAsia" w:ascii="宋体" w:hAnsi="宋体"/>
          <w:color w:val="auto"/>
          <w:sz w:val="24"/>
          <w:szCs w:val="24"/>
          <w:highlight w:val="none"/>
        </w:rPr>
        <w:tab/>
      </w:r>
    </w:p>
    <w:p>
      <w:pPr>
        <w:tabs>
          <w:tab w:val="left" w:pos="2466"/>
          <w:tab w:val="left" w:pos="5464"/>
        </w:tabs>
        <w:spacing w:line="360" w:lineRule="auto"/>
        <w:jc w:val="left"/>
        <w:rPr>
          <w:rFonts w:ascii="宋体" w:hAnsi="宋体"/>
          <w:color w:val="auto"/>
          <w:sz w:val="24"/>
          <w:szCs w:val="24"/>
          <w:highlight w:val="none"/>
        </w:rPr>
      </w:pPr>
    </w:p>
    <w:p>
      <w:pPr>
        <w:tabs>
          <w:tab w:val="left" w:pos="8820"/>
          <w:tab w:val="left" w:pos="9345"/>
          <w:tab w:val="left" w:pos="9765"/>
        </w:tabs>
        <w:adjustRightInd w:val="0"/>
        <w:snapToGrid w:val="0"/>
        <w:spacing w:before="156" w:beforeLines="50" w:line="360" w:lineRule="auto"/>
        <w:ind w:right="384" w:rightChars="183"/>
        <w:rPr>
          <w:rFonts w:ascii="宋体" w:hAnsi="宋体"/>
          <w:b/>
          <w:bCs/>
          <w:color w:val="auto"/>
          <w:sz w:val="24"/>
          <w:szCs w:val="24"/>
          <w:highlight w:val="none"/>
        </w:rPr>
      </w:pPr>
    </w:p>
    <w:p>
      <w:pPr>
        <w:pStyle w:val="31"/>
        <w:spacing w:before="0" w:beforeLines="0" w:after="0" w:afterLines="0" w:line="360" w:lineRule="auto"/>
        <w:rPr>
          <w:color w:val="auto"/>
          <w:sz w:val="24"/>
          <w:szCs w:val="24"/>
          <w:highlight w:val="none"/>
        </w:rPr>
      </w:pPr>
      <w:bookmarkStart w:id="18" w:name="_Toc9517"/>
      <w:r>
        <w:rPr>
          <w:rFonts w:hint="eastAsia"/>
          <w:color w:val="auto"/>
          <w:sz w:val="24"/>
          <w:szCs w:val="24"/>
          <w:highlight w:val="none"/>
        </w:rPr>
        <w:t xml:space="preserve">第四章 </w:t>
      </w:r>
      <w:r>
        <w:rPr>
          <w:rFonts w:hint="eastAsia"/>
          <w:color w:val="auto"/>
          <w:sz w:val="24"/>
          <w:szCs w:val="24"/>
          <w:highlight w:val="none"/>
          <w:lang w:eastAsia="zh-CN"/>
        </w:rPr>
        <w:t>采购</w:t>
      </w:r>
      <w:r>
        <w:rPr>
          <w:rFonts w:hint="eastAsia"/>
          <w:color w:val="auto"/>
          <w:sz w:val="24"/>
          <w:szCs w:val="24"/>
          <w:highlight w:val="none"/>
        </w:rPr>
        <w:t>需求</w:t>
      </w:r>
      <w:bookmarkEnd w:id="18"/>
    </w:p>
    <w:p>
      <w:pPr>
        <w:pStyle w:val="105"/>
        <w:numPr>
          <w:ilvl w:val="0"/>
          <w:numId w:val="0"/>
        </w:numPr>
        <w:tabs>
          <w:tab w:val="left" w:pos="1800"/>
        </w:tabs>
        <w:spacing w:before="60" w:after="0" w:line="360" w:lineRule="auto"/>
        <w:ind w:right="-92" w:rightChars="-44" w:firstLine="420" w:firstLineChars="200"/>
        <w:jc w:val="both"/>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本项目的采购需求，是指采购人为实现项目目标，拟采购的标的及其需要满足的技术、商务要求。技术要求是指对采购标的的功能和质量要求，包括性能、材料、结构、外观、安全，或者服务内容和标准等。商务要求是指取得采购标的的时间、地点、财务和服务要求，包括交付（实施）的时间（期限）和地点（范围），付款条件（进度和方式），包装和运输，售后服务，保险等。</w:t>
      </w:r>
    </w:p>
    <w:p>
      <w:pPr>
        <w:pStyle w:val="105"/>
        <w:numPr>
          <w:ilvl w:val="0"/>
          <w:numId w:val="0"/>
        </w:numPr>
        <w:tabs>
          <w:tab w:val="left" w:pos="1800"/>
        </w:tabs>
        <w:spacing w:before="60" w:after="0" w:line="360" w:lineRule="auto"/>
        <w:ind w:right="-92" w:rightChars="-44" w:firstLine="420" w:firstLineChars="200"/>
        <w:jc w:val="both"/>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采购需求应当符合法律法规、政府采购政策和国家有关强制性标准、遵循预算、资产和财务等相关管理制度规定，符合采购项目特点和实际需要并依据部门预算（工程项目概预算）确定。</w:t>
      </w:r>
    </w:p>
    <w:p>
      <w:pPr>
        <w:spacing w:line="360" w:lineRule="auto"/>
        <w:ind w:right="-92" w:rightChars="-44"/>
        <w:rPr>
          <w:rFonts w:hint="eastAsia" w:ascii="宋体" w:hAnsi="宋体" w:eastAsia="宋体" w:cs="宋体"/>
          <w:b/>
          <w:color w:val="auto"/>
          <w:kern w:val="0"/>
          <w:sz w:val="21"/>
          <w:szCs w:val="21"/>
          <w:lang w:eastAsia="zh-CN"/>
        </w:rPr>
      </w:pPr>
      <w:r>
        <w:rPr>
          <w:rFonts w:hint="eastAsia" w:ascii="宋体" w:hAnsi="宋体" w:eastAsia="宋体" w:cs="宋体"/>
          <w:b/>
          <w:color w:val="auto"/>
          <w:kern w:val="0"/>
          <w:sz w:val="21"/>
          <w:szCs w:val="21"/>
          <w:lang w:eastAsia="zh-CN"/>
        </w:rPr>
        <w:t>一、服务目的</w:t>
      </w:r>
    </w:p>
    <w:p>
      <w:pPr>
        <w:keepNext w:val="0"/>
        <w:keepLines w:val="0"/>
        <w:pageBreakBefore w:val="0"/>
        <w:numPr>
          <w:ilvl w:val="0"/>
          <w:numId w:val="0"/>
        </w:numPr>
        <w:kinsoku/>
        <w:wordWrap/>
        <w:overflowPunct/>
        <w:topLinePunct w:val="0"/>
        <w:autoSpaceDE/>
        <w:autoSpaceDN/>
        <w:bidi w:val="0"/>
        <w:adjustRightInd/>
        <w:snapToGrid/>
        <w:spacing w:before="7" w:line="360" w:lineRule="auto"/>
        <w:ind w:left="0" w:leftChars="0" w:right="-92" w:rightChars="-44" w:firstLine="420" w:firstLineChars="200"/>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政府采购应当有助于实现国家的经济和社会发展政策目标，</w:t>
      </w:r>
      <w:r>
        <w:rPr>
          <w:rFonts w:hint="eastAsia" w:ascii="宋体" w:hAnsi="宋体" w:eastAsia="宋体" w:cs="宋体"/>
          <w:b w:val="0"/>
          <w:bCs/>
          <w:color w:val="auto"/>
          <w:sz w:val="21"/>
          <w:szCs w:val="21"/>
          <w:highlight w:val="none"/>
          <w:lang w:eastAsia="zh-CN"/>
        </w:rPr>
        <w:t>采购人通过确定供应商资格条件、设定评审规则等措施，落实支持创新、绿色发展、中小企业发展等政府采购政策功能</w:t>
      </w:r>
      <w:r>
        <w:rPr>
          <w:rFonts w:hint="eastAsia" w:ascii="宋体" w:hAnsi="宋体" w:eastAsia="宋体" w:cs="宋体"/>
          <w:b w:val="0"/>
          <w:bCs/>
          <w:color w:val="auto"/>
          <w:sz w:val="21"/>
          <w:szCs w:val="21"/>
          <w:highlight w:val="none"/>
        </w:rPr>
        <w:t>。</w:t>
      </w:r>
    </w:p>
    <w:p>
      <w:pPr>
        <w:keepNext w:val="0"/>
        <w:keepLines w:val="0"/>
        <w:pageBreakBefore w:val="0"/>
        <w:numPr>
          <w:ilvl w:val="0"/>
          <w:numId w:val="0"/>
        </w:numPr>
        <w:kinsoku/>
        <w:wordWrap/>
        <w:overflowPunct/>
        <w:topLinePunct w:val="0"/>
        <w:autoSpaceDE/>
        <w:autoSpaceDN/>
        <w:bidi w:val="0"/>
        <w:adjustRightInd/>
        <w:snapToGrid/>
        <w:spacing w:before="7" w:line="360" w:lineRule="auto"/>
        <w:ind w:left="0" w:leftChars="0" w:right="568" w:rightChars="0" w:firstLine="420" w:firstLineChars="200"/>
        <w:jc w:val="both"/>
        <w:textAlignment w:val="auto"/>
        <w:rPr>
          <w:rFonts w:hint="default" w:ascii="宋体" w:hAnsi="宋体" w:eastAsia="宋体" w:cs="宋体"/>
          <w:b w:val="0"/>
          <w:bCs/>
          <w:color w:val="auto"/>
          <w:sz w:val="21"/>
          <w:szCs w:val="21"/>
          <w:highlight w:val="none"/>
          <w:u w:val="none"/>
          <w:lang w:val="en-US" w:eastAsia="zh-CN"/>
        </w:rPr>
      </w:pPr>
      <w:r>
        <w:rPr>
          <w:rFonts w:hint="eastAsia" w:ascii="宋体" w:hAnsi="宋体" w:eastAsia="宋体" w:cs="宋体"/>
          <w:b w:val="0"/>
          <w:bCs/>
          <w:color w:val="auto"/>
          <w:sz w:val="21"/>
          <w:szCs w:val="21"/>
          <w:highlight w:val="none"/>
          <w:lang w:eastAsia="zh-CN"/>
        </w:rPr>
        <w:t>本项目采购标的对应的中小企业划分标准所属行业：</w:t>
      </w:r>
      <w:r>
        <w:rPr>
          <w:rFonts w:hint="eastAsia" w:ascii="宋体" w:hAnsi="宋体" w:eastAsia="宋体" w:cs="宋体"/>
          <w:b w:val="0"/>
          <w:bCs/>
          <w:color w:val="auto"/>
          <w:sz w:val="21"/>
          <w:szCs w:val="21"/>
          <w:highlight w:val="none"/>
          <w:u w:val="single"/>
          <w:lang w:val="en-US" w:eastAsia="zh-CN"/>
        </w:rPr>
        <w:t>制造业</w:t>
      </w:r>
      <w:r>
        <w:rPr>
          <w:rFonts w:hint="eastAsia" w:ascii="宋体" w:hAnsi="宋体" w:eastAsia="宋体" w:cs="宋体"/>
          <w:b w:val="0"/>
          <w:bCs/>
          <w:color w:val="auto"/>
          <w:sz w:val="21"/>
          <w:szCs w:val="21"/>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0" w:line="360" w:lineRule="auto"/>
        <w:ind w:right="577" w:rightChars="0"/>
        <w:jc w:val="both"/>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lang w:eastAsia="zh-CN"/>
        </w:rPr>
        <w:t>二、</w:t>
      </w:r>
      <w:r>
        <w:rPr>
          <w:rFonts w:hint="eastAsia" w:ascii="宋体" w:hAnsi="宋体" w:eastAsia="宋体" w:cs="宋体"/>
          <w:b/>
          <w:color w:val="auto"/>
          <w:sz w:val="21"/>
          <w:szCs w:val="21"/>
        </w:rPr>
        <w:t>采购清单（含技术要求、采购数量）</w:t>
      </w:r>
    </w:p>
    <w:tbl>
      <w:tblPr>
        <w:tblStyle w:val="34"/>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950"/>
        <w:gridCol w:w="850"/>
        <w:gridCol w:w="850"/>
        <w:gridCol w:w="4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17" w:type="dxa"/>
            <w:vAlign w:val="center"/>
          </w:tcPr>
          <w:p>
            <w:pPr>
              <w:bidi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序号</w:t>
            </w:r>
          </w:p>
        </w:tc>
        <w:tc>
          <w:tcPr>
            <w:tcW w:w="1950" w:type="dxa"/>
            <w:vAlign w:val="center"/>
          </w:tcPr>
          <w:p>
            <w:pPr>
              <w:bidi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产品名称</w:t>
            </w:r>
          </w:p>
        </w:tc>
        <w:tc>
          <w:tcPr>
            <w:tcW w:w="850" w:type="dxa"/>
            <w:vAlign w:val="center"/>
          </w:tcPr>
          <w:p>
            <w:pPr>
              <w:bidi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数量</w:t>
            </w:r>
          </w:p>
        </w:tc>
        <w:tc>
          <w:tcPr>
            <w:tcW w:w="850" w:type="dxa"/>
            <w:vAlign w:val="center"/>
          </w:tcPr>
          <w:p>
            <w:pPr>
              <w:bidi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单位</w:t>
            </w:r>
          </w:p>
        </w:tc>
        <w:tc>
          <w:tcPr>
            <w:tcW w:w="4524" w:type="dxa"/>
            <w:vAlign w:val="center"/>
          </w:tcPr>
          <w:p>
            <w:pPr>
              <w:bidi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817" w:type="dxa"/>
            <w:vAlign w:val="center"/>
          </w:tcPr>
          <w:p>
            <w:pPr>
              <w:bidi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p>
        </w:tc>
        <w:tc>
          <w:tcPr>
            <w:tcW w:w="1950" w:type="dxa"/>
            <w:vAlign w:val="center"/>
          </w:tcPr>
          <w:p>
            <w:pPr>
              <w:bidi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5蹲位环保移动公厕</w:t>
            </w:r>
          </w:p>
        </w:tc>
        <w:tc>
          <w:tcPr>
            <w:tcW w:w="850" w:type="dxa"/>
            <w:vAlign w:val="center"/>
          </w:tcPr>
          <w:p>
            <w:pPr>
              <w:bidi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p>
        </w:tc>
        <w:tc>
          <w:tcPr>
            <w:tcW w:w="850" w:type="dxa"/>
            <w:vAlign w:val="center"/>
          </w:tcPr>
          <w:p>
            <w:pPr>
              <w:bidi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座</w:t>
            </w:r>
          </w:p>
        </w:tc>
        <w:tc>
          <w:tcPr>
            <w:tcW w:w="4524" w:type="dxa"/>
            <w:vAlign w:val="center"/>
          </w:tcPr>
          <w:p>
            <w:pPr>
              <w:bidi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含通用间4个＋残疾间1个＋管理间1个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817" w:type="dxa"/>
            <w:vAlign w:val="center"/>
          </w:tcPr>
          <w:p>
            <w:pPr>
              <w:bidi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950" w:type="dxa"/>
            <w:vAlign w:val="center"/>
          </w:tcPr>
          <w:p>
            <w:pPr>
              <w:bidi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3蹲位环保移动公厕</w:t>
            </w:r>
          </w:p>
        </w:tc>
        <w:tc>
          <w:tcPr>
            <w:tcW w:w="850" w:type="dxa"/>
            <w:vAlign w:val="center"/>
          </w:tcPr>
          <w:p>
            <w:pPr>
              <w:bidi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w:t>
            </w:r>
          </w:p>
        </w:tc>
        <w:tc>
          <w:tcPr>
            <w:tcW w:w="850" w:type="dxa"/>
            <w:vAlign w:val="center"/>
          </w:tcPr>
          <w:p>
            <w:pPr>
              <w:bidi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座</w:t>
            </w:r>
          </w:p>
        </w:tc>
        <w:tc>
          <w:tcPr>
            <w:tcW w:w="4524" w:type="dxa"/>
            <w:vAlign w:val="center"/>
          </w:tcPr>
          <w:p>
            <w:pPr>
              <w:bidi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含通用间2个＋残疾间1个＋管理间1个</w:t>
            </w:r>
          </w:p>
        </w:tc>
      </w:tr>
    </w:tbl>
    <w:p>
      <w:pPr>
        <w:pStyle w:val="2"/>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5蹲位环保移动公厕</w:t>
      </w:r>
    </w:p>
    <w:tbl>
      <w:tblPr>
        <w:tblStyle w:val="34"/>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1988"/>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bidi w:val="0"/>
              <w:jc w:val="center"/>
              <w:rPr>
                <w:rFonts w:hint="eastAsia"/>
                <w:vertAlign w:val="baseline"/>
                <w:lang w:val="en-US" w:eastAsia="zh-CN"/>
              </w:rPr>
            </w:pPr>
            <w:r>
              <w:rPr>
                <w:rFonts w:hint="eastAsia" w:ascii="宋体" w:hAnsi="宋体" w:eastAsia="宋体" w:cs="宋体"/>
                <w:color w:val="000000"/>
                <w:sz w:val="24"/>
                <w:szCs w:val="24"/>
                <w:lang w:val="en-US" w:eastAsia="zh-CN"/>
              </w:rPr>
              <w:t>序号</w:t>
            </w:r>
          </w:p>
        </w:tc>
        <w:tc>
          <w:tcPr>
            <w:tcW w:w="1988" w:type="dxa"/>
          </w:tcPr>
          <w:p>
            <w:pPr>
              <w:bidi w:val="0"/>
              <w:jc w:val="center"/>
              <w:rPr>
                <w:rFonts w:hint="eastAsia"/>
                <w:vertAlign w:val="baseline"/>
                <w:lang w:val="en-US" w:eastAsia="zh-CN"/>
              </w:rPr>
            </w:pPr>
            <w:r>
              <w:rPr>
                <w:rFonts w:hint="eastAsia" w:ascii="宋体" w:hAnsi="宋体" w:eastAsia="宋体" w:cs="宋体"/>
                <w:color w:val="000000"/>
                <w:sz w:val="24"/>
                <w:szCs w:val="24"/>
                <w:lang w:val="en-US" w:eastAsia="zh-CN"/>
              </w:rPr>
              <w:t>名称</w:t>
            </w:r>
          </w:p>
        </w:tc>
        <w:tc>
          <w:tcPr>
            <w:tcW w:w="6225" w:type="dxa"/>
          </w:tcPr>
          <w:p>
            <w:pPr>
              <w:bidi w:val="0"/>
              <w:jc w:val="center"/>
              <w:rPr>
                <w:rFonts w:hint="eastAsia"/>
                <w:vertAlign w:val="baseline"/>
                <w:lang w:val="en-US" w:eastAsia="zh-CN"/>
              </w:rPr>
            </w:pPr>
            <w:r>
              <w:rPr>
                <w:rFonts w:hint="eastAsia" w:ascii="宋体" w:hAnsi="宋体" w:eastAsia="宋体" w:cs="宋体"/>
                <w:color w:val="000000"/>
                <w:sz w:val="24"/>
                <w:szCs w:val="24"/>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1</w:t>
            </w:r>
          </w:p>
        </w:tc>
        <w:tc>
          <w:tcPr>
            <w:tcW w:w="1988"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外墙装饰及主体钢结构</w:t>
            </w:r>
          </w:p>
        </w:tc>
        <w:tc>
          <w:tcPr>
            <w:tcW w:w="6225" w:type="dxa"/>
            <w:vAlign w:val="center"/>
          </w:tcPr>
          <w:p>
            <w:pPr>
              <w:pStyle w:val="30"/>
              <w:numPr>
                <w:ilvl w:val="0"/>
                <w:numId w:val="6"/>
              </w:numPr>
              <w:spacing w:before="0" w:beforeAutospacing="0" w:after="0" w:afterAutospacing="0" w:line="360" w:lineRule="auto"/>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四周支柱</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w:t>
            </w:r>
            <w:r>
              <w:rPr>
                <w:rFonts w:hint="eastAsia" w:ascii="宋体" w:hAnsi="宋体" w:eastAsia="宋体" w:cs="宋体"/>
                <w:kern w:val="2"/>
                <w:sz w:val="24"/>
                <w:szCs w:val="24"/>
                <w:lang w:val="en-US" w:eastAsia="zh-CN" w:bidi="ar-SA"/>
              </w:rPr>
              <w:t>100mm</w:t>
            </w:r>
            <w:r>
              <w:rPr>
                <w:rFonts w:hint="eastAsia" w:ascii="宋体" w:hAnsi="宋体" w:eastAsia="宋体" w:cs="宋体"/>
                <w:color w:val="000000"/>
                <w:sz w:val="24"/>
                <w:szCs w:val="24"/>
              </w:rPr>
              <w:t>*50mm镀锌国标方钢标准件</w:t>
            </w:r>
            <w:r>
              <w:rPr>
                <w:rFonts w:hint="eastAsia" w:ascii="宋体" w:hAnsi="宋体" w:eastAsia="宋体" w:cs="宋体"/>
                <w:color w:val="000000"/>
                <w:sz w:val="24"/>
                <w:szCs w:val="24"/>
                <w:lang w:eastAsia="zh-CN"/>
              </w:rPr>
              <w:t>；</w:t>
            </w:r>
          </w:p>
          <w:p>
            <w:pPr>
              <w:pStyle w:val="30"/>
              <w:numPr>
                <w:ilvl w:val="0"/>
                <w:numId w:val="6"/>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主体底座</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≥16镀锌槽钢或16工字钢国标件</w:t>
            </w:r>
            <w:r>
              <w:rPr>
                <w:rFonts w:hint="eastAsia" w:ascii="宋体" w:hAnsi="宋体" w:eastAsia="宋体" w:cs="宋体"/>
                <w:color w:val="000000"/>
                <w:sz w:val="24"/>
                <w:szCs w:val="24"/>
                <w:lang w:eastAsia="zh-CN"/>
              </w:rPr>
              <w:t>；</w:t>
            </w:r>
          </w:p>
          <w:p>
            <w:pPr>
              <w:pStyle w:val="30"/>
              <w:numPr>
                <w:ilvl w:val="0"/>
                <w:numId w:val="0"/>
              </w:numPr>
              <w:spacing w:before="0" w:beforeAutospacing="0" w:after="0" w:afterAutospacing="0" w:line="360" w:lineRule="auto"/>
              <w:ind w:left="0" w:leftChars="0" w:firstLine="0" w:firstLineChars="0"/>
              <w:jc w:val="left"/>
              <w:rPr>
                <w:rFonts w:hint="eastAsia"/>
                <w:vertAlign w:val="baseline"/>
                <w:lang w:val="en-US" w:eastAsia="zh-CN"/>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中间墙体</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≥50mm*50mm镀锌方钢、≥50mm*50mm镀锌角铁钢国标件</w:t>
            </w:r>
            <w:r>
              <w:rPr>
                <w:rFonts w:hint="eastAsia" w:ascii="宋体" w:hAnsi="宋体" w:eastAsia="宋体" w:cs="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2</w:t>
            </w:r>
          </w:p>
        </w:tc>
        <w:tc>
          <w:tcPr>
            <w:tcW w:w="1988"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厕所内水电配置</w:t>
            </w:r>
          </w:p>
        </w:tc>
        <w:tc>
          <w:tcPr>
            <w:tcW w:w="6225" w:type="dxa"/>
            <w:vAlign w:val="center"/>
          </w:tcPr>
          <w:p>
            <w:pPr>
              <w:numPr>
                <w:ilvl w:val="0"/>
                <w:numId w:val="7"/>
              </w:num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供水管径：</w:t>
            </w:r>
            <w:r>
              <w:rPr>
                <w:rFonts w:hint="eastAsia" w:ascii="宋体" w:hAnsi="宋体" w:eastAsia="宋体" w:cs="宋体"/>
                <w:color w:val="000000"/>
                <w:sz w:val="24"/>
                <w:szCs w:val="24"/>
              </w:rPr>
              <w:t>外接自来水≥De32</w:t>
            </w:r>
            <w:r>
              <w:rPr>
                <w:rFonts w:hint="eastAsia" w:ascii="宋体" w:hAnsi="宋体" w:eastAsia="宋体" w:cs="宋体"/>
                <w:color w:val="000000"/>
                <w:sz w:val="24"/>
                <w:szCs w:val="24"/>
                <w:lang w:eastAsia="zh-CN"/>
              </w:rPr>
              <w:t>；</w:t>
            </w:r>
          </w:p>
          <w:p>
            <w:pPr>
              <w:numPr>
                <w:ilvl w:val="0"/>
                <w:numId w:val="7"/>
              </w:numPr>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供水方式：</w:t>
            </w:r>
            <w:r>
              <w:rPr>
                <w:rFonts w:hint="eastAsia" w:ascii="宋体" w:hAnsi="宋体" w:eastAsia="宋体" w:cs="宋体"/>
                <w:color w:val="000000"/>
                <w:sz w:val="24"/>
                <w:szCs w:val="24"/>
              </w:rPr>
              <w:t>外接水直接供水</w:t>
            </w:r>
            <w:r>
              <w:rPr>
                <w:rFonts w:hint="eastAsia" w:ascii="宋体" w:hAnsi="宋体" w:eastAsia="宋体" w:cs="宋体"/>
                <w:color w:val="000000"/>
                <w:sz w:val="24"/>
                <w:szCs w:val="24"/>
                <w:lang w:eastAsia="zh-CN"/>
              </w:rPr>
              <w:t>；</w:t>
            </w:r>
          </w:p>
          <w:p>
            <w:pPr>
              <w:numPr>
                <w:ilvl w:val="0"/>
                <w:numId w:val="7"/>
              </w:numPr>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冲洗方式：</w:t>
            </w:r>
            <w:r>
              <w:rPr>
                <w:rFonts w:hint="eastAsia" w:ascii="宋体" w:hAnsi="宋体" w:eastAsia="宋体" w:cs="宋体"/>
                <w:color w:val="000000"/>
                <w:sz w:val="24"/>
                <w:szCs w:val="24"/>
              </w:rPr>
              <w:t>采用节水箱冲水</w:t>
            </w:r>
            <w:r>
              <w:rPr>
                <w:rFonts w:hint="eastAsia" w:ascii="宋体" w:hAnsi="宋体" w:eastAsia="宋体" w:cs="宋体"/>
                <w:color w:val="000000"/>
                <w:sz w:val="24"/>
                <w:szCs w:val="24"/>
                <w:lang w:eastAsia="zh-CN"/>
              </w:rPr>
              <w:t>；</w:t>
            </w:r>
          </w:p>
          <w:p>
            <w:pPr>
              <w:numPr>
                <w:ilvl w:val="0"/>
                <w:numId w:val="7"/>
              </w:numPr>
              <w:spacing w:line="360" w:lineRule="auto"/>
              <w:ind w:left="0" w:leftChars="0" w:firstLine="0" w:firstLineChars="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供电方式：</w:t>
            </w:r>
            <w:r>
              <w:rPr>
                <w:rFonts w:hint="eastAsia" w:ascii="宋体" w:hAnsi="宋体" w:eastAsia="宋体" w:cs="宋体"/>
                <w:color w:val="000000"/>
                <w:sz w:val="24"/>
                <w:szCs w:val="24"/>
              </w:rPr>
              <w:t>220V/50Hz</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额定功率：</w:t>
            </w:r>
            <w:r>
              <w:rPr>
                <w:rFonts w:hint="eastAsia" w:ascii="宋体" w:hAnsi="宋体" w:eastAsia="宋体" w:cs="宋体"/>
                <w:color w:val="000000"/>
                <w:sz w:val="24"/>
                <w:szCs w:val="24"/>
              </w:rPr>
              <w:t>≥6KW</w:t>
            </w:r>
            <w:r>
              <w:rPr>
                <w:rFonts w:hint="eastAsia" w:ascii="宋体" w:hAnsi="宋体" w:eastAsia="宋体" w:cs="宋体"/>
                <w:color w:val="000000"/>
                <w:sz w:val="24"/>
                <w:szCs w:val="24"/>
                <w:lang w:eastAsia="zh-CN"/>
              </w:rPr>
              <w:t>；</w:t>
            </w:r>
          </w:p>
          <w:p>
            <w:pPr>
              <w:numPr>
                <w:ilvl w:val="0"/>
                <w:numId w:val="7"/>
              </w:numPr>
              <w:spacing w:line="360" w:lineRule="auto"/>
              <w:ind w:left="0" w:leftChars="0" w:firstLine="0" w:firstLineChars="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电源进户线：①</w:t>
            </w:r>
            <w:r>
              <w:rPr>
                <w:rFonts w:hint="eastAsia" w:ascii="宋体" w:hAnsi="宋体" w:eastAsia="宋体" w:cs="宋体"/>
                <w:color w:val="000000"/>
                <w:sz w:val="24"/>
                <w:szCs w:val="24"/>
              </w:rPr>
              <w:t>进线：进线 4mm2护导线</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②</w:t>
            </w:r>
            <w:r>
              <w:rPr>
                <w:rFonts w:hint="eastAsia" w:ascii="宋体" w:hAnsi="宋体" w:eastAsia="宋体" w:cs="宋体"/>
                <w:color w:val="000000"/>
                <w:sz w:val="24"/>
                <w:szCs w:val="24"/>
              </w:rPr>
              <w:t>、设备控制线：进线 2.5mm2</w:t>
            </w:r>
            <w:r>
              <w:rPr>
                <w:rFonts w:hint="eastAsia" w:ascii="宋体" w:hAnsi="宋体" w:eastAsia="宋体" w:cs="宋体"/>
                <w:color w:val="000000"/>
                <w:sz w:val="24"/>
                <w:szCs w:val="24"/>
                <w:lang w:eastAsia="zh-CN"/>
              </w:rPr>
              <w:t>；</w:t>
            </w:r>
          </w:p>
          <w:p>
            <w:pPr>
              <w:numPr>
                <w:ilvl w:val="0"/>
                <w:numId w:val="7"/>
              </w:numPr>
              <w:spacing w:line="360" w:lineRule="auto"/>
              <w:ind w:left="0" w:leftChars="0"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漏电保护开关：</w:t>
            </w:r>
            <w:r>
              <w:rPr>
                <w:rFonts w:hint="eastAsia" w:ascii="宋体" w:hAnsi="宋体" w:eastAsia="宋体" w:cs="宋体"/>
                <w:sz w:val="24"/>
                <w:szCs w:val="24"/>
              </w:rPr>
              <w:t>2P32安双向漏电空气护开关2P16安漏电保护开关</w:t>
            </w:r>
            <w:r>
              <w:rPr>
                <w:rFonts w:hint="eastAsia" w:ascii="宋体" w:hAnsi="宋体" w:eastAsia="宋体" w:cs="宋体"/>
                <w:sz w:val="24"/>
                <w:szCs w:val="24"/>
                <w:lang w:eastAsia="zh-CN"/>
              </w:rPr>
              <w:t>；</w:t>
            </w:r>
          </w:p>
          <w:p>
            <w:pPr>
              <w:numPr>
                <w:ilvl w:val="0"/>
                <w:numId w:val="0"/>
              </w:numPr>
              <w:spacing w:line="360" w:lineRule="auto"/>
              <w:ind w:left="0" w:leftChars="0" w:firstLine="0" w:firstLineChars="0"/>
              <w:rPr>
                <w:rFonts w:hint="eastAsia"/>
                <w:vertAlign w:val="baseline"/>
                <w:lang w:val="en-US" w:eastAsia="zh-CN"/>
              </w:rPr>
            </w:pPr>
            <w:r>
              <w:rPr>
                <w:rFonts w:hint="eastAsia" w:ascii="宋体" w:hAnsi="宋体" w:eastAsia="宋体" w:cs="宋体"/>
                <w:sz w:val="24"/>
                <w:szCs w:val="24"/>
                <w:lang w:val="en-US" w:eastAsia="zh-CN"/>
              </w:rPr>
              <w:t>7、接电装置：</w:t>
            </w:r>
            <w:r>
              <w:rPr>
                <w:rFonts w:hint="eastAsia" w:ascii="宋体" w:hAnsi="宋体" w:eastAsia="宋体" w:cs="宋体"/>
                <w:sz w:val="24"/>
                <w:szCs w:val="24"/>
              </w:rPr>
              <w:t>物体接地达到接地电阻防止雷击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3</w:t>
            </w:r>
          </w:p>
        </w:tc>
        <w:tc>
          <w:tcPr>
            <w:tcW w:w="1988"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自动控制设备装置</w:t>
            </w:r>
          </w:p>
        </w:tc>
        <w:tc>
          <w:tcPr>
            <w:tcW w:w="6225" w:type="dxa"/>
            <w:vAlign w:val="center"/>
          </w:tcPr>
          <w:p>
            <w:pPr>
              <w:pStyle w:val="30"/>
              <w:numPr>
                <w:ilvl w:val="0"/>
                <w:numId w:val="8"/>
              </w:numPr>
              <w:spacing w:before="0" w:beforeAutospacing="0" w:after="0" w:afterAutospacing="0" w:line="360" w:lineRule="auto"/>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控制电压：</w:t>
            </w:r>
            <w:r>
              <w:rPr>
                <w:rFonts w:hint="eastAsia" w:ascii="宋体" w:hAnsi="宋体" w:eastAsia="宋体" w:cs="宋体"/>
                <w:color w:val="000000"/>
                <w:sz w:val="24"/>
                <w:szCs w:val="24"/>
              </w:rPr>
              <w:t>24V（安全电压）</w:t>
            </w:r>
            <w:r>
              <w:rPr>
                <w:rFonts w:hint="eastAsia" w:ascii="宋体" w:hAnsi="宋体" w:eastAsia="宋体" w:cs="宋体"/>
                <w:color w:val="000000"/>
                <w:sz w:val="24"/>
                <w:szCs w:val="24"/>
                <w:lang w:eastAsia="zh-CN"/>
              </w:rPr>
              <w:t>；</w:t>
            </w:r>
          </w:p>
          <w:p>
            <w:pPr>
              <w:pStyle w:val="30"/>
              <w:numPr>
                <w:ilvl w:val="0"/>
                <w:numId w:val="8"/>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照明：</w:t>
            </w:r>
            <w:r>
              <w:rPr>
                <w:rFonts w:hint="eastAsia" w:ascii="宋体" w:hAnsi="宋体" w:eastAsia="宋体" w:cs="宋体"/>
                <w:color w:val="000000"/>
                <w:sz w:val="24"/>
                <w:szCs w:val="24"/>
              </w:rPr>
              <w:t>自动开关照明</w:t>
            </w:r>
            <w:r>
              <w:rPr>
                <w:rFonts w:hint="eastAsia" w:ascii="宋体" w:hAnsi="宋体" w:eastAsia="宋体" w:cs="宋体"/>
                <w:color w:val="000000"/>
                <w:sz w:val="24"/>
                <w:szCs w:val="24"/>
                <w:lang w:eastAsia="zh-CN"/>
              </w:rPr>
              <w:t>；</w:t>
            </w:r>
          </w:p>
          <w:p>
            <w:pPr>
              <w:pStyle w:val="30"/>
              <w:numPr>
                <w:ilvl w:val="0"/>
                <w:numId w:val="8"/>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排风：</w:t>
            </w:r>
            <w:r>
              <w:rPr>
                <w:rFonts w:hint="eastAsia" w:ascii="宋体" w:hAnsi="宋体" w:eastAsia="宋体" w:cs="宋体"/>
                <w:color w:val="000000"/>
                <w:sz w:val="24"/>
                <w:szCs w:val="24"/>
              </w:rPr>
              <w:t>自动开关排风</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厕所LED有人无人显示：</w:t>
            </w:r>
            <w:r>
              <w:rPr>
                <w:rFonts w:hint="eastAsia" w:ascii="宋体" w:hAnsi="宋体" w:eastAsia="宋体" w:cs="宋体"/>
                <w:color w:val="000000"/>
                <w:sz w:val="24"/>
                <w:szCs w:val="24"/>
              </w:rPr>
              <w:t>不小于300.5mm*100mm</w:t>
            </w:r>
            <w:r>
              <w:rPr>
                <w:rFonts w:hint="eastAsia" w:ascii="宋体" w:hAnsi="宋体" w:eastAsia="宋体" w:cs="宋体"/>
                <w:color w:val="000000"/>
                <w:sz w:val="24"/>
                <w:szCs w:val="24"/>
                <w:lang w:eastAsia="zh-CN"/>
              </w:rPr>
              <w:t>；</w:t>
            </w:r>
          </w:p>
          <w:p>
            <w:pPr>
              <w:pStyle w:val="30"/>
              <w:numPr>
                <w:ilvl w:val="0"/>
                <w:numId w:val="0"/>
              </w:numPr>
              <w:spacing w:before="0" w:beforeAutospacing="0" w:after="0" w:afterAutospacing="0" w:line="360" w:lineRule="auto"/>
              <w:ind w:left="0" w:leftChars="0" w:firstLine="0" w:firstLineChars="0"/>
              <w:jc w:val="left"/>
              <w:rPr>
                <w:rFonts w:hint="eastAsia"/>
                <w:vertAlign w:val="baseline"/>
                <w:lang w:val="en-US" w:eastAsia="zh-CN"/>
              </w:rPr>
            </w:pPr>
            <w:r>
              <w:rPr>
                <w:rFonts w:hint="eastAsia" w:ascii="宋体" w:hAnsi="宋体" w:eastAsia="宋体" w:cs="宋体"/>
                <w:color w:val="000000"/>
                <w:sz w:val="24"/>
                <w:szCs w:val="24"/>
                <w:lang w:val="en-US" w:eastAsia="zh-CN"/>
              </w:rPr>
              <w:t>4、使用求助报警：</w:t>
            </w:r>
            <w:r>
              <w:rPr>
                <w:rFonts w:hint="eastAsia" w:ascii="宋体" w:hAnsi="宋体" w:eastAsia="宋体" w:cs="宋体"/>
                <w:color w:val="000000"/>
                <w:sz w:val="24"/>
                <w:szCs w:val="24"/>
              </w:rPr>
              <w:t>按钮式报警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4</w:t>
            </w:r>
          </w:p>
        </w:tc>
        <w:tc>
          <w:tcPr>
            <w:tcW w:w="1988"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辅助功能配置</w:t>
            </w:r>
          </w:p>
        </w:tc>
        <w:tc>
          <w:tcPr>
            <w:tcW w:w="6225" w:type="dxa"/>
            <w:vAlign w:val="center"/>
          </w:tcPr>
          <w:p>
            <w:pPr>
              <w:pStyle w:val="30"/>
              <w:numPr>
                <w:ilvl w:val="0"/>
                <w:numId w:val="9"/>
              </w:numPr>
              <w:spacing w:before="0" w:beforeAutospacing="0" w:after="0" w:afterAutospacing="0" w:line="360" w:lineRule="auto"/>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厕位间助力扶手：</w:t>
            </w:r>
            <w:r>
              <w:rPr>
                <w:rFonts w:hint="eastAsia" w:ascii="宋体" w:hAnsi="宋体" w:eastAsia="宋体" w:cs="宋体"/>
                <w:color w:val="000000"/>
                <w:sz w:val="24"/>
                <w:szCs w:val="24"/>
              </w:rPr>
              <w:t>材质为不锈钢扶手</w:t>
            </w:r>
            <w:r>
              <w:rPr>
                <w:rFonts w:hint="eastAsia" w:ascii="宋体" w:hAnsi="宋体" w:eastAsia="宋体" w:cs="宋体"/>
                <w:color w:val="000000"/>
                <w:sz w:val="24"/>
                <w:szCs w:val="24"/>
                <w:lang w:eastAsia="zh-CN"/>
              </w:rPr>
              <w:t>；</w:t>
            </w:r>
          </w:p>
          <w:p>
            <w:pPr>
              <w:pStyle w:val="30"/>
              <w:numPr>
                <w:ilvl w:val="0"/>
                <w:numId w:val="9"/>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厕所门锁外部开启：</w:t>
            </w:r>
            <w:r>
              <w:rPr>
                <w:rFonts w:hint="eastAsia" w:ascii="宋体" w:hAnsi="宋体" w:eastAsia="宋体" w:cs="宋体"/>
                <w:color w:val="000000"/>
                <w:sz w:val="24"/>
                <w:szCs w:val="24"/>
              </w:rPr>
              <w:t>钥匙通用</w:t>
            </w:r>
            <w:r>
              <w:rPr>
                <w:rFonts w:hint="eastAsia" w:ascii="宋体" w:hAnsi="宋体" w:eastAsia="宋体" w:cs="宋体"/>
                <w:color w:val="000000"/>
                <w:sz w:val="24"/>
                <w:szCs w:val="24"/>
                <w:lang w:eastAsia="zh-CN"/>
              </w:rPr>
              <w:t>；</w:t>
            </w:r>
          </w:p>
          <w:p>
            <w:pPr>
              <w:pStyle w:val="30"/>
              <w:numPr>
                <w:ilvl w:val="0"/>
                <w:numId w:val="9"/>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室外标识：</w:t>
            </w:r>
            <w:r>
              <w:rPr>
                <w:rFonts w:hint="eastAsia" w:ascii="宋体" w:hAnsi="宋体" w:eastAsia="宋体" w:cs="宋体"/>
                <w:color w:val="000000"/>
                <w:sz w:val="24"/>
                <w:szCs w:val="24"/>
              </w:rPr>
              <w:t>公厕标示，各种指示牌</w:t>
            </w:r>
            <w:r>
              <w:rPr>
                <w:rFonts w:hint="eastAsia" w:ascii="宋体" w:hAnsi="宋体" w:eastAsia="宋体" w:cs="宋体"/>
                <w:color w:val="000000"/>
                <w:sz w:val="24"/>
                <w:szCs w:val="24"/>
                <w:lang w:eastAsia="zh-CN"/>
              </w:rPr>
              <w:t>；</w:t>
            </w:r>
          </w:p>
          <w:p>
            <w:pPr>
              <w:pStyle w:val="30"/>
              <w:numPr>
                <w:ilvl w:val="0"/>
                <w:numId w:val="0"/>
              </w:numPr>
              <w:spacing w:before="0" w:beforeAutospacing="0" w:after="0" w:afterAutospacing="0" w:line="360" w:lineRule="auto"/>
              <w:ind w:left="0" w:leftChars="0" w:firstLine="0" w:firstLineChars="0"/>
              <w:jc w:val="left"/>
              <w:rPr>
                <w:rFonts w:hint="eastAsia"/>
                <w:vertAlign w:val="baseline"/>
                <w:lang w:val="en-US" w:eastAsia="zh-CN"/>
              </w:rPr>
            </w:pPr>
            <w:r>
              <w:rPr>
                <w:rFonts w:hint="eastAsia" w:ascii="宋体" w:hAnsi="宋体" w:eastAsia="宋体" w:cs="宋体"/>
                <w:color w:val="000000"/>
                <w:sz w:val="24"/>
                <w:szCs w:val="24"/>
                <w:lang w:val="en-US" w:eastAsia="zh-CN"/>
              </w:rPr>
              <w:t>4、使用提示标识：</w:t>
            </w:r>
            <w:r>
              <w:rPr>
                <w:rFonts w:hint="eastAsia" w:ascii="宋体" w:hAnsi="宋体" w:eastAsia="宋体" w:cs="宋体"/>
                <w:color w:val="000000"/>
                <w:sz w:val="24"/>
                <w:szCs w:val="24"/>
              </w:rPr>
              <w:t>温馨提示牌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5</w:t>
            </w:r>
          </w:p>
        </w:tc>
        <w:tc>
          <w:tcPr>
            <w:tcW w:w="1988"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厕所内配置间</w:t>
            </w:r>
          </w:p>
        </w:tc>
        <w:tc>
          <w:tcPr>
            <w:tcW w:w="6225" w:type="dxa"/>
            <w:vAlign w:val="center"/>
          </w:tcPr>
          <w:p>
            <w:pPr>
              <w:pStyle w:val="30"/>
              <w:numPr>
                <w:ilvl w:val="0"/>
                <w:numId w:val="10"/>
              </w:numPr>
              <w:spacing w:before="0" w:beforeAutospacing="0" w:after="0" w:afterAutospacing="0"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蹲便器：</w:t>
            </w:r>
            <w:r>
              <w:rPr>
                <w:rFonts w:hint="eastAsia" w:ascii="宋体" w:hAnsi="宋体" w:eastAsia="宋体" w:cs="宋体"/>
                <w:sz w:val="24"/>
                <w:szCs w:val="24"/>
              </w:rPr>
              <w:t>陶瓷蹲便器</w:t>
            </w:r>
            <w:r>
              <w:rPr>
                <w:rFonts w:hint="eastAsia" w:ascii="宋体" w:hAnsi="宋体" w:eastAsia="宋体" w:cs="宋体"/>
                <w:sz w:val="24"/>
                <w:szCs w:val="24"/>
                <w:lang w:eastAsia="zh-CN"/>
              </w:rPr>
              <w:t>；</w:t>
            </w:r>
          </w:p>
          <w:p>
            <w:pPr>
              <w:pStyle w:val="30"/>
              <w:numPr>
                <w:ilvl w:val="0"/>
                <w:numId w:val="10"/>
              </w:numPr>
              <w:spacing w:before="0" w:beforeAutospacing="0" w:after="0" w:afterAutospacing="0" w:line="360" w:lineRule="auto"/>
              <w:ind w:left="0" w:leftChars="0"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rPr>
              <w:t>陶瓷小便器（配置不锈钢无障碍扶手）</w:t>
            </w:r>
            <w:r>
              <w:rPr>
                <w:rFonts w:hint="eastAsia" w:ascii="宋体" w:hAnsi="宋体" w:eastAsia="宋体" w:cs="宋体"/>
                <w:sz w:val="24"/>
                <w:szCs w:val="24"/>
                <w:lang w:eastAsia="zh-CN"/>
              </w:rPr>
              <w:t>；</w:t>
            </w:r>
          </w:p>
          <w:p>
            <w:pPr>
              <w:pStyle w:val="30"/>
              <w:numPr>
                <w:ilvl w:val="0"/>
                <w:numId w:val="10"/>
              </w:numPr>
              <w:spacing w:before="0" w:beforeAutospacing="0" w:after="0" w:afterAutospacing="0" w:line="360" w:lineRule="auto"/>
              <w:ind w:left="0" w:leftChars="0"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洗手台：</w:t>
            </w:r>
            <w:r>
              <w:rPr>
                <w:rFonts w:hint="eastAsia" w:ascii="宋体" w:hAnsi="宋体" w:eastAsia="宋体" w:cs="宋体"/>
                <w:sz w:val="24"/>
                <w:szCs w:val="24"/>
              </w:rPr>
              <w:t>陶瓷盆</w:t>
            </w:r>
            <w:r>
              <w:rPr>
                <w:rFonts w:hint="eastAsia" w:ascii="宋体" w:hAnsi="宋体" w:eastAsia="宋体" w:cs="宋体"/>
                <w:sz w:val="24"/>
                <w:szCs w:val="24"/>
                <w:lang w:eastAsia="zh-CN"/>
              </w:rPr>
              <w:t>；</w:t>
            </w:r>
          </w:p>
          <w:p>
            <w:pPr>
              <w:pStyle w:val="30"/>
              <w:numPr>
                <w:ilvl w:val="0"/>
                <w:numId w:val="0"/>
              </w:numPr>
              <w:spacing w:before="0" w:beforeAutospacing="0" w:after="0" w:afterAutospacing="0" w:line="360" w:lineRule="auto"/>
              <w:ind w:left="0" w:leftChars="0" w:firstLine="0" w:firstLineChars="0"/>
              <w:jc w:val="left"/>
              <w:rPr>
                <w:rFonts w:hint="eastAsia"/>
                <w:vertAlign w:val="baseline"/>
                <w:lang w:val="en-US" w:eastAsia="zh-CN"/>
              </w:rPr>
            </w:pPr>
            <w:r>
              <w:rPr>
                <w:rFonts w:hint="eastAsia" w:ascii="宋体" w:hAnsi="宋体" w:eastAsia="宋体" w:cs="宋体"/>
                <w:sz w:val="24"/>
                <w:szCs w:val="24"/>
                <w:lang w:val="en-US" w:eastAsia="zh-CN"/>
              </w:rPr>
              <w:t>4、不锈钢水龙头</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6</w:t>
            </w:r>
          </w:p>
        </w:tc>
        <w:tc>
          <w:tcPr>
            <w:tcW w:w="1988"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管理间配置</w:t>
            </w:r>
          </w:p>
        </w:tc>
        <w:tc>
          <w:tcPr>
            <w:tcW w:w="6225" w:type="dxa"/>
            <w:vAlign w:val="center"/>
          </w:tcPr>
          <w:p>
            <w:pPr>
              <w:pStyle w:val="30"/>
              <w:numPr>
                <w:ilvl w:val="0"/>
                <w:numId w:val="11"/>
              </w:numPr>
              <w:spacing w:before="0" w:beforeAutospacing="0" w:after="0" w:afterAutospacing="0"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控制系统：</w:t>
            </w:r>
            <w:r>
              <w:rPr>
                <w:rFonts w:hint="eastAsia" w:ascii="宋体" w:hAnsi="宋体" w:eastAsia="宋体" w:cs="宋体"/>
                <w:sz w:val="24"/>
                <w:szCs w:val="24"/>
              </w:rPr>
              <w:t>PLC 全自动操作加手动操作</w:t>
            </w:r>
            <w:r>
              <w:rPr>
                <w:rFonts w:hint="eastAsia" w:ascii="宋体" w:hAnsi="宋体" w:eastAsia="宋体" w:cs="宋体"/>
                <w:sz w:val="24"/>
                <w:szCs w:val="24"/>
                <w:lang w:eastAsia="zh-CN"/>
              </w:rPr>
              <w:t>；</w:t>
            </w:r>
          </w:p>
          <w:p>
            <w:pPr>
              <w:pStyle w:val="30"/>
              <w:numPr>
                <w:ilvl w:val="0"/>
                <w:numId w:val="11"/>
              </w:numPr>
              <w:spacing w:before="0" w:beforeAutospacing="0" w:after="0" w:afterAutospacing="0" w:line="360" w:lineRule="auto"/>
              <w:ind w:left="0" w:leftChars="0" w:firstLine="0" w:firstLineChars="0"/>
              <w:jc w:val="left"/>
              <w:rPr>
                <w:rFonts w:hint="eastAsia" w:ascii="宋体" w:hAnsi="宋体" w:eastAsia="宋体" w:cs="宋体"/>
                <w:color w:val="auto"/>
                <w:sz w:val="24"/>
                <w:szCs w:val="24"/>
                <w:lang w:eastAsia="zh-CN"/>
              </w:rPr>
            </w:pPr>
            <w:r>
              <w:rPr>
                <w:rFonts w:hint="eastAsia" w:ascii="宋体" w:hAnsi="宋体" w:eastAsia="宋体" w:cs="宋体"/>
                <w:sz w:val="24"/>
                <w:szCs w:val="24"/>
                <w:lang w:val="en-US" w:eastAsia="zh-CN"/>
              </w:rPr>
              <w:t>漏电开关：</w:t>
            </w:r>
            <w:r>
              <w:rPr>
                <w:rFonts w:hint="eastAsia" w:ascii="宋体" w:hAnsi="宋体" w:eastAsia="宋体" w:cs="宋体"/>
                <w:color w:val="auto"/>
                <w:sz w:val="24"/>
                <w:szCs w:val="24"/>
                <w:lang w:eastAsia="zh-CN"/>
              </w:rPr>
              <w:t>国标；</w:t>
            </w:r>
          </w:p>
          <w:p>
            <w:pPr>
              <w:pStyle w:val="30"/>
              <w:numPr>
                <w:ilvl w:val="0"/>
                <w:numId w:val="11"/>
              </w:numPr>
              <w:spacing w:before="0" w:beforeAutospacing="0" w:after="0" w:afterAutospacing="0" w:line="360" w:lineRule="auto"/>
              <w:ind w:left="0" w:leftChars="0"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通风窗：铝合金推拉窗；</w:t>
            </w:r>
          </w:p>
          <w:p>
            <w:pPr>
              <w:pStyle w:val="30"/>
              <w:numPr>
                <w:ilvl w:val="0"/>
                <w:numId w:val="11"/>
              </w:numPr>
              <w:spacing w:before="0" w:beforeAutospacing="0" w:after="0" w:afterAutospacing="0" w:line="360" w:lineRule="auto"/>
              <w:ind w:left="0" w:leftChars="0"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照明系统：节能LED感应灯；</w:t>
            </w:r>
          </w:p>
          <w:p>
            <w:pPr>
              <w:pStyle w:val="30"/>
              <w:numPr>
                <w:ilvl w:val="0"/>
                <w:numId w:val="11"/>
              </w:numPr>
              <w:spacing w:before="0" w:beforeAutospacing="0" w:after="0" w:afterAutospacing="0" w:line="360" w:lineRule="auto"/>
              <w:ind w:left="0" w:leftChars="0"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管理室地坪：地面铺设防滑地砖；</w:t>
            </w:r>
          </w:p>
          <w:p>
            <w:pPr>
              <w:pStyle w:val="30"/>
              <w:numPr>
                <w:ilvl w:val="0"/>
                <w:numId w:val="11"/>
              </w:numPr>
              <w:spacing w:before="0" w:beforeAutospacing="0" w:after="0" w:afterAutospacing="0" w:line="360" w:lineRule="auto"/>
              <w:ind w:left="0" w:leftChars="0"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门扇：不锈钢铝塑板门及透气百叶；</w:t>
            </w:r>
          </w:p>
          <w:p>
            <w:pPr>
              <w:pStyle w:val="30"/>
              <w:numPr>
                <w:ilvl w:val="0"/>
                <w:numId w:val="0"/>
              </w:numPr>
              <w:spacing w:before="0" w:beforeAutospacing="0" w:after="0" w:afterAutospacing="0" w:line="360" w:lineRule="auto"/>
              <w:ind w:left="0" w:leftChars="0" w:firstLine="0" w:firstLineChars="0"/>
              <w:jc w:val="left"/>
              <w:rPr>
                <w:rFonts w:hint="eastAsia"/>
                <w:vertAlign w:val="baseline"/>
                <w:lang w:val="en-US" w:eastAsia="zh-CN"/>
              </w:rPr>
            </w:pPr>
            <w:r>
              <w:rPr>
                <w:rFonts w:hint="eastAsia" w:ascii="宋体" w:hAnsi="宋体" w:eastAsia="宋体" w:cs="宋体"/>
                <w:color w:val="auto"/>
                <w:sz w:val="24"/>
                <w:szCs w:val="24"/>
                <w:lang w:val="en-US" w:eastAsia="zh-CN"/>
              </w:rPr>
              <w:t>7、拖把盆陶瓷；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7</w:t>
            </w:r>
          </w:p>
        </w:tc>
        <w:tc>
          <w:tcPr>
            <w:tcW w:w="1988"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外立面配置</w:t>
            </w:r>
          </w:p>
        </w:tc>
        <w:tc>
          <w:tcPr>
            <w:tcW w:w="6225" w:type="dxa"/>
            <w:vAlign w:val="center"/>
          </w:tcPr>
          <w:p>
            <w:pPr>
              <w:pStyle w:val="30"/>
              <w:numPr>
                <w:ilvl w:val="0"/>
                <w:numId w:val="12"/>
              </w:numPr>
              <w:spacing w:before="0" w:beforeAutospacing="0" w:after="0" w:afterAutospacing="0" w:line="360" w:lineRule="auto"/>
              <w:jc w:val="left"/>
              <w:rPr>
                <w:rFonts w:hint="eastAsia" w:ascii="宋体" w:hAnsi="宋体" w:eastAsia="宋体" w:cs="宋体"/>
                <w:sz w:val="24"/>
                <w:szCs w:val="24"/>
                <w:lang w:eastAsia="zh-CN"/>
              </w:rPr>
            </w:pPr>
            <w:r>
              <w:rPr>
                <w:rFonts w:hint="eastAsia" w:ascii="宋体" w:hAnsi="宋体" w:eastAsia="宋体" w:cs="宋体"/>
                <w:color w:val="000000"/>
                <w:sz w:val="24"/>
                <w:szCs w:val="24"/>
                <w:lang w:val="en-US" w:eastAsia="zh-CN"/>
              </w:rPr>
              <w:t>外墙面：</w:t>
            </w:r>
            <w:r>
              <w:rPr>
                <w:rFonts w:hint="eastAsia" w:ascii="宋体" w:hAnsi="宋体" w:eastAsia="宋体" w:cs="宋体"/>
                <w:sz w:val="24"/>
                <w:szCs w:val="24"/>
              </w:rPr>
              <w:t>高档木纹金属雕花板</w:t>
            </w:r>
            <w:r>
              <w:rPr>
                <w:rFonts w:hint="eastAsia" w:ascii="宋体" w:hAnsi="宋体" w:eastAsia="宋体" w:cs="宋体"/>
                <w:sz w:val="24"/>
                <w:szCs w:val="24"/>
                <w:lang w:eastAsia="zh-CN"/>
              </w:rPr>
              <w:t>；</w:t>
            </w:r>
          </w:p>
          <w:p>
            <w:pPr>
              <w:pStyle w:val="30"/>
              <w:numPr>
                <w:ilvl w:val="0"/>
                <w:numId w:val="12"/>
              </w:numPr>
              <w:spacing w:before="0" w:beforeAutospacing="0" w:after="0" w:afterAutospacing="0" w:line="360" w:lineRule="auto"/>
              <w:ind w:left="0" w:leftChars="0"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外墙踏步：</w:t>
            </w:r>
            <w:r>
              <w:rPr>
                <w:rFonts w:hint="eastAsia" w:ascii="宋体" w:hAnsi="宋体" w:eastAsia="宋体" w:cs="宋体"/>
                <w:sz w:val="24"/>
                <w:szCs w:val="24"/>
              </w:rPr>
              <w:t>不锈钢压花防滑台阶边框、铺设防滑砖</w:t>
            </w:r>
            <w:r>
              <w:rPr>
                <w:rFonts w:hint="eastAsia" w:ascii="宋体" w:hAnsi="宋体" w:eastAsia="宋体" w:cs="宋体"/>
                <w:sz w:val="24"/>
                <w:szCs w:val="24"/>
                <w:lang w:eastAsia="zh-CN"/>
              </w:rPr>
              <w:t>；</w:t>
            </w:r>
          </w:p>
          <w:p>
            <w:pPr>
              <w:pStyle w:val="30"/>
              <w:numPr>
                <w:ilvl w:val="0"/>
                <w:numId w:val="12"/>
              </w:numPr>
              <w:spacing w:before="0" w:beforeAutospacing="0" w:after="0" w:afterAutospacing="0" w:line="360" w:lineRule="auto"/>
              <w:ind w:left="0" w:leftChars="0"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门拉手：</w:t>
            </w:r>
            <w:r>
              <w:rPr>
                <w:rFonts w:hint="eastAsia" w:ascii="宋体" w:hAnsi="宋体" w:eastAsia="宋体" w:cs="宋体"/>
                <w:sz w:val="24"/>
                <w:szCs w:val="24"/>
              </w:rPr>
              <w:t>不锈钢</w:t>
            </w:r>
            <w:r>
              <w:rPr>
                <w:rFonts w:hint="eastAsia" w:ascii="宋体" w:hAnsi="宋体" w:eastAsia="宋体" w:cs="宋体"/>
                <w:sz w:val="24"/>
                <w:szCs w:val="24"/>
                <w:lang w:eastAsia="zh-CN"/>
              </w:rPr>
              <w:t>；</w:t>
            </w:r>
          </w:p>
          <w:p>
            <w:pPr>
              <w:pStyle w:val="30"/>
              <w:numPr>
                <w:ilvl w:val="0"/>
                <w:numId w:val="12"/>
              </w:numPr>
              <w:spacing w:before="0" w:beforeAutospacing="0" w:after="0" w:afterAutospacing="0" w:line="360" w:lineRule="auto"/>
              <w:ind w:left="0" w:leftChars="0"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防盗窗：</w:t>
            </w:r>
            <w:r>
              <w:rPr>
                <w:rFonts w:hint="eastAsia" w:ascii="宋体" w:hAnsi="宋体" w:eastAsia="宋体" w:cs="宋体"/>
                <w:sz w:val="24"/>
                <w:szCs w:val="24"/>
              </w:rPr>
              <w:t>铝合金推拿窗加不锈钢的防盗窗</w:t>
            </w:r>
            <w:r>
              <w:rPr>
                <w:rFonts w:hint="eastAsia" w:ascii="宋体" w:hAnsi="宋体" w:eastAsia="宋体" w:cs="宋体"/>
                <w:sz w:val="24"/>
                <w:szCs w:val="24"/>
                <w:lang w:eastAsia="zh-CN"/>
              </w:rPr>
              <w:t>；</w:t>
            </w:r>
          </w:p>
          <w:p>
            <w:pPr>
              <w:pStyle w:val="30"/>
              <w:numPr>
                <w:ilvl w:val="0"/>
                <w:numId w:val="12"/>
              </w:numPr>
              <w:spacing w:before="0" w:beforeAutospacing="0" w:after="0" w:afterAutospacing="0" w:line="360" w:lineRule="auto"/>
              <w:ind w:left="0" w:leftChars="0"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检修门：</w:t>
            </w:r>
            <w:r>
              <w:rPr>
                <w:rFonts w:hint="eastAsia" w:ascii="宋体" w:hAnsi="宋体" w:eastAsia="宋体" w:cs="宋体"/>
                <w:sz w:val="24"/>
                <w:szCs w:val="24"/>
              </w:rPr>
              <w:t>采用不锈钢包边焊接</w:t>
            </w:r>
            <w:r>
              <w:rPr>
                <w:rFonts w:hint="eastAsia" w:ascii="宋体" w:hAnsi="宋体" w:eastAsia="宋体" w:cs="宋体"/>
                <w:sz w:val="24"/>
                <w:szCs w:val="24"/>
                <w:lang w:eastAsia="zh-CN"/>
              </w:rPr>
              <w:t>；</w:t>
            </w:r>
          </w:p>
          <w:p>
            <w:pPr>
              <w:pStyle w:val="30"/>
              <w:numPr>
                <w:ilvl w:val="0"/>
                <w:numId w:val="12"/>
              </w:numPr>
              <w:spacing w:before="0" w:beforeAutospacing="0" w:after="0" w:afterAutospacing="0" w:line="360" w:lineRule="auto"/>
              <w:ind w:left="0" w:leftChars="0"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通风防水：</w:t>
            </w:r>
            <w:r>
              <w:rPr>
                <w:rFonts w:hint="eastAsia" w:ascii="宋体" w:hAnsi="宋体" w:eastAsia="宋体" w:cs="宋体"/>
                <w:sz w:val="24"/>
                <w:szCs w:val="24"/>
              </w:rPr>
              <w:t>铝合金百叶窗</w:t>
            </w:r>
            <w:r>
              <w:rPr>
                <w:rFonts w:hint="eastAsia" w:ascii="宋体" w:hAnsi="宋体" w:eastAsia="宋体" w:cs="宋体"/>
                <w:sz w:val="24"/>
                <w:szCs w:val="24"/>
                <w:lang w:eastAsia="zh-CN"/>
              </w:rPr>
              <w:t>；</w:t>
            </w:r>
          </w:p>
          <w:p>
            <w:pPr>
              <w:pStyle w:val="30"/>
              <w:numPr>
                <w:ilvl w:val="0"/>
                <w:numId w:val="0"/>
              </w:numPr>
              <w:spacing w:before="0" w:beforeAutospacing="0" w:after="0" w:afterAutospacing="0" w:line="360" w:lineRule="auto"/>
              <w:ind w:left="0" w:leftChars="0" w:firstLine="0" w:firstLineChars="0"/>
              <w:jc w:val="left"/>
              <w:rPr>
                <w:rFonts w:hint="eastAsia"/>
                <w:vertAlign w:val="baseline"/>
                <w:lang w:val="en-US" w:eastAsia="zh-CN"/>
              </w:rPr>
            </w:pPr>
            <w:r>
              <w:rPr>
                <w:rFonts w:hint="eastAsia" w:ascii="宋体" w:hAnsi="宋体" w:eastAsia="宋体" w:cs="宋体"/>
                <w:sz w:val="24"/>
                <w:szCs w:val="24"/>
                <w:lang w:val="en-US" w:eastAsia="zh-CN"/>
              </w:rPr>
              <w:t>7、金属雕花板，规格型号：Ⅱ类B1级1200X420X16（mm）米黄色、灰色：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8</w:t>
            </w:r>
          </w:p>
        </w:tc>
        <w:tc>
          <w:tcPr>
            <w:tcW w:w="1988"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屋面装饰配置</w:t>
            </w:r>
          </w:p>
        </w:tc>
        <w:tc>
          <w:tcPr>
            <w:tcW w:w="6225" w:type="dxa"/>
            <w:vAlign w:val="center"/>
          </w:tcPr>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1、屋面：①</w:t>
            </w:r>
            <w:r>
              <w:rPr>
                <w:rFonts w:hint="eastAsia" w:ascii="宋体" w:hAnsi="宋体" w:eastAsia="宋体" w:cs="宋体"/>
                <w:sz w:val="24"/>
                <w:szCs w:val="24"/>
              </w:rPr>
              <w:t>、结构基层板：（1mm 镀锌钢板）</w:t>
            </w:r>
            <w:r>
              <w:rPr>
                <w:rFonts w:hint="eastAsia" w:ascii="宋体" w:hAnsi="宋体" w:eastAsia="宋体" w:cs="宋体"/>
                <w:sz w:val="24"/>
                <w:szCs w:val="24"/>
                <w:lang w:val="en-US" w:eastAsia="zh-CN"/>
              </w:rPr>
              <w:t>②</w:t>
            </w:r>
            <w:r>
              <w:rPr>
                <w:rFonts w:hint="eastAsia" w:ascii="宋体" w:hAnsi="宋体" w:eastAsia="宋体" w:cs="宋体"/>
                <w:sz w:val="24"/>
                <w:szCs w:val="24"/>
              </w:rPr>
              <w:t>、隔热层：12mm 挤塑板</w:t>
            </w:r>
            <w:r>
              <w:rPr>
                <w:rFonts w:hint="eastAsia" w:ascii="宋体" w:hAnsi="宋体" w:eastAsia="宋体" w:cs="宋体"/>
                <w:sz w:val="24"/>
                <w:szCs w:val="24"/>
                <w:lang w:val="en-US" w:eastAsia="zh-CN"/>
              </w:rPr>
              <w:t>③</w:t>
            </w:r>
            <w:r>
              <w:rPr>
                <w:rFonts w:hint="eastAsia" w:ascii="宋体" w:hAnsi="宋体" w:eastAsia="宋体" w:cs="宋体"/>
                <w:sz w:val="24"/>
                <w:szCs w:val="24"/>
              </w:rPr>
              <w:t>、沥瓦：欧文丝、1000*1500*3mm，</w:t>
            </w:r>
            <w:r>
              <w:rPr>
                <w:rFonts w:hint="eastAsia" w:ascii="宋体" w:hAnsi="宋体" w:eastAsia="宋体" w:cs="宋体"/>
                <w:sz w:val="24"/>
                <w:szCs w:val="24"/>
                <w:lang w:val="en-US" w:eastAsia="zh-CN"/>
              </w:rPr>
              <w:t>④</w:t>
            </w:r>
            <w:r>
              <w:rPr>
                <w:rFonts w:hint="eastAsia" w:ascii="宋体" w:hAnsi="宋体" w:eastAsia="宋体" w:cs="宋体"/>
                <w:sz w:val="24"/>
                <w:szCs w:val="24"/>
              </w:rPr>
              <w:t>、屋檐：无指纹玫瑰不锈钢板</w:t>
            </w:r>
            <w:r>
              <w:rPr>
                <w:rFonts w:hint="eastAsia" w:ascii="宋体" w:hAnsi="宋体" w:eastAsia="宋体" w:cs="宋体"/>
                <w:sz w:val="24"/>
                <w:szCs w:val="24"/>
                <w:lang w:eastAsia="zh-CN"/>
              </w:rPr>
              <w:t>；</w:t>
            </w:r>
          </w:p>
          <w:p>
            <w:pPr>
              <w:pStyle w:val="30"/>
              <w:spacing w:before="0" w:beforeAutospacing="0" w:after="0" w:afterAutospacing="0"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2、钢结构：</w:t>
            </w:r>
            <w:r>
              <w:rPr>
                <w:rFonts w:hint="eastAsia" w:ascii="宋体" w:hAnsi="宋体" w:eastAsia="宋体" w:cs="宋体"/>
                <w:sz w:val="24"/>
                <w:szCs w:val="24"/>
              </w:rPr>
              <w:t>厕所的主体结构应采用镀锌钢结构，焊接的方式成型，结构稳固；使用寿命10年以上，抗风等级达到12级以上，抗震等级达到7级以上</w:t>
            </w:r>
            <w:r>
              <w:rPr>
                <w:rFonts w:hint="eastAsia" w:ascii="宋体" w:hAnsi="宋体" w:eastAsia="宋体" w:cs="宋体"/>
                <w:sz w:val="24"/>
                <w:szCs w:val="24"/>
                <w:lang w:eastAsia="zh-CN"/>
              </w:rPr>
              <w:t>；</w:t>
            </w:r>
          </w:p>
          <w:p>
            <w:pPr>
              <w:pStyle w:val="30"/>
              <w:spacing w:before="0" w:beforeAutospacing="0" w:after="0" w:afterAutospacing="0" w:line="360" w:lineRule="auto"/>
              <w:jc w:val="left"/>
              <w:rPr>
                <w:rFonts w:hint="eastAsia"/>
                <w:vertAlign w:val="baseline"/>
                <w:lang w:val="en-US" w:eastAsia="zh-CN"/>
              </w:rPr>
            </w:pPr>
            <w:r>
              <w:rPr>
                <w:rFonts w:hint="eastAsia" w:ascii="宋体" w:hAnsi="宋体" w:eastAsia="宋体" w:cs="宋体"/>
                <w:sz w:val="24"/>
                <w:szCs w:val="24"/>
                <w:lang w:val="en-US" w:eastAsia="zh-CN"/>
              </w:rPr>
              <w:t>3、油漆：</w:t>
            </w:r>
            <w:r>
              <w:rPr>
                <w:rFonts w:hint="eastAsia" w:ascii="宋体" w:hAnsi="宋体" w:eastAsia="宋体" w:cs="宋体"/>
                <w:sz w:val="24"/>
                <w:szCs w:val="24"/>
              </w:rPr>
              <w:t>船用防腐漆</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9</w:t>
            </w:r>
          </w:p>
        </w:tc>
        <w:tc>
          <w:tcPr>
            <w:tcW w:w="1988"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残疾间配置</w:t>
            </w:r>
          </w:p>
        </w:tc>
        <w:tc>
          <w:tcPr>
            <w:tcW w:w="6225" w:type="dxa"/>
            <w:vAlign w:val="center"/>
          </w:tcPr>
          <w:p>
            <w:pPr>
              <w:pStyle w:val="30"/>
              <w:numPr>
                <w:ilvl w:val="0"/>
                <w:numId w:val="13"/>
              </w:numPr>
              <w:spacing w:before="0" w:beforeAutospacing="0" w:after="0" w:afterAutospacing="0"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电器控制系统；</w:t>
            </w:r>
          </w:p>
          <w:p>
            <w:pPr>
              <w:pStyle w:val="30"/>
              <w:numPr>
                <w:ilvl w:val="0"/>
                <w:numId w:val="13"/>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照明控制系统；</w:t>
            </w:r>
          </w:p>
          <w:p>
            <w:pPr>
              <w:pStyle w:val="30"/>
              <w:numPr>
                <w:ilvl w:val="0"/>
                <w:numId w:val="13"/>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设排风系统；</w:t>
            </w:r>
            <w:r>
              <w:rPr>
                <w:rFonts w:hint="eastAsia" w:ascii="宋体" w:hAnsi="宋体" w:eastAsia="宋体" w:cs="宋体"/>
                <w:color w:val="000000"/>
                <w:sz w:val="24"/>
                <w:szCs w:val="24"/>
                <w:lang w:eastAsia="zh-CN"/>
              </w:rPr>
              <w:t>坐便器</w:t>
            </w:r>
            <w:r>
              <w:rPr>
                <w:rFonts w:hint="eastAsia" w:ascii="宋体" w:hAnsi="宋体" w:eastAsia="宋体" w:cs="宋体"/>
                <w:color w:val="000000"/>
                <w:sz w:val="24"/>
                <w:szCs w:val="24"/>
                <w:lang w:val="en-US" w:eastAsia="zh-CN"/>
              </w:rPr>
              <w:t>1个;</w:t>
            </w:r>
          </w:p>
          <w:p>
            <w:pPr>
              <w:pStyle w:val="30"/>
              <w:numPr>
                <w:ilvl w:val="0"/>
                <w:numId w:val="13"/>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照明节能灯</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盏；</w:t>
            </w:r>
          </w:p>
          <w:p>
            <w:pPr>
              <w:pStyle w:val="30"/>
              <w:numPr>
                <w:ilvl w:val="0"/>
                <w:numId w:val="13"/>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不锈钢挂衣钩</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个；</w:t>
            </w:r>
          </w:p>
          <w:p>
            <w:pPr>
              <w:pStyle w:val="30"/>
              <w:numPr>
                <w:ilvl w:val="0"/>
                <w:numId w:val="13"/>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助力扶手</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个；</w:t>
            </w:r>
          </w:p>
          <w:p>
            <w:pPr>
              <w:pStyle w:val="30"/>
              <w:numPr>
                <w:ilvl w:val="0"/>
                <w:numId w:val="13"/>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不锈钢纸巾筒</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个；</w:t>
            </w:r>
          </w:p>
          <w:p>
            <w:pPr>
              <w:pStyle w:val="30"/>
              <w:numPr>
                <w:ilvl w:val="0"/>
                <w:numId w:val="13"/>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高级压花垃圾桶</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个；</w:t>
            </w:r>
          </w:p>
          <w:p>
            <w:pPr>
              <w:pStyle w:val="30"/>
              <w:numPr>
                <w:ilvl w:val="0"/>
                <w:numId w:val="13"/>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水龙头</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个；</w:t>
            </w:r>
          </w:p>
          <w:p>
            <w:pPr>
              <w:pStyle w:val="30"/>
              <w:numPr>
                <w:ilvl w:val="0"/>
                <w:numId w:val="14"/>
              </w:numPr>
              <w:spacing w:before="0" w:beforeAutospacing="0" w:after="0" w:afterAutospacing="0" w:line="360" w:lineRule="auto"/>
              <w:ind w:left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节水箱冲洗</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个；</w:t>
            </w:r>
          </w:p>
          <w:p>
            <w:pPr>
              <w:pStyle w:val="30"/>
              <w:numPr>
                <w:ilvl w:val="0"/>
                <w:numId w:val="0"/>
              </w:numPr>
              <w:spacing w:before="0" w:beforeAutospacing="0" w:after="0" w:afterAutospacing="0" w:line="360" w:lineRule="auto"/>
              <w:ind w:left="0" w:leftChars="0" w:firstLine="0" w:firstLineChars="0"/>
              <w:jc w:val="left"/>
              <w:rPr>
                <w:rFonts w:hint="eastAsia"/>
                <w:vertAlign w:val="baseline"/>
                <w:lang w:val="en-US" w:eastAsia="zh-CN"/>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11</w:t>
            </w:r>
            <w:r>
              <w:rPr>
                <w:rFonts w:hint="eastAsia" w:ascii="宋体" w:hAnsi="宋体" w:eastAsia="宋体" w:cs="宋体"/>
                <w:color w:val="000000"/>
                <w:sz w:val="24"/>
                <w:szCs w:val="24"/>
              </w:rPr>
              <w:t>）存水弯</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个；(</w:t>
            </w:r>
            <w:r>
              <w:rPr>
                <w:rFonts w:hint="eastAsia" w:ascii="宋体" w:hAnsi="宋体" w:eastAsia="宋体" w:cs="宋体"/>
                <w:color w:val="000000"/>
                <w:sz w:val="24"/>
                <w:szCs w:val="24"/>
                <w:lang w:val="en-US" w:eastAsia="zh-CN"/>
              </w:rPr>
              <w:t>12n</w:t>
            </w:r>
            <w:r>
              <w:rPr>
                <w:rFonts w:hint="eastAsia" w:ascii="宋体" w:hAnsi="宋体" w:eastAsia="宋体" w:cs="宋体"/>
                <w:color w:val="000000"/>
                <w:sz w:val="24"/>
                <w:szCs w:val="24"/>
              </w:rPr>
              <w:t>)闭门器</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10</w:t>
            </w:r>
          </w:p>
        </w:tc>
        <w:tc>
          <w:tcPr>
            <w:tcW w:w="1988"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地面硬化材料及人工费</w:t>
            </w:r>
          </w:p>
        </w:tc>
        <w:tc>
          <w:tcPr>
            <w:tcW w:w="62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325水泥、沙子、石子、环保砖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11</w:t>
            </w:r>
          </w:p>
        </w:tc>
        <w:tc>
          <w:tcPr>
            <w:tcW w:w="1988"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运费、卸车费及安装费</w:t>
            </w:r>
          </w:p>
        </w:tc>
        <w:tc>
          <w:tcPr>
            <w:tcW w:w="62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12</w:t>
            </w:r>
          </w:p>
        </w:tc>
        <w:tc>
          <w:tcPr>
            <w:tcW w:w="1988"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化粪池及开挖等费用</w:t>
            </w:r>
          </w:p>
        </w:tc>
        <w:tc>
          <w:tcPr>
            <w:tcW w:w="62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玻璃钢化粪池5立方米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pStyle w:val="30"/>
              <w:spacing w:before="0" w:beforeAutospacing="0" w:after="0" w:afterAutospacing="0"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1988" w:type="dxa"/>
            <w:vAlign w:val="center"/>
          </w:tcPr>
          <w:p>
            <w:pPr>
              <w:pStyle w:val="30"/>
              <w:spacing w:before="0" w:beforeAutospacing="0" w:after="0" w:afterAutospacing="0"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规格</w:t>
            </w:r>
          </w:p>
        </w:tc>
        <w:tc>
          <w:tcPr>
            <w:tcW w:w="6225" w:type="dxa"/>
            <w:vAlign w:val="center"/>
          </w:tcPr>
          <w:p>
            <w:pPr>
              <w:pStyle w:val="30"/>
              <w:spacing w:before="0" w:beforeAutospacing="0" w:after="0" w:afterAutospacing="0" w:line="360" w:lineRule="auto"/>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1、5蹲位加一个管理间尺寸：高3米（地面到顶）宽7.5米（顶上尺寸）；</w:t>
            </w:r>
          </w:p>
          <w:p>
            <w:pPr>
              <w:pStyle w:val="30"/>
              <w:spacing w:before="0" w:beforeAutospacing="0" w:after="0" w:afterAutospacing="0" w:line="360" w:lineRule="auto"/>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2、每间厕所内尺寸：内空高2.1米 宽1.3米 深1.6米 ；</w:t>
            </w:r>
          </w:p>
          <w:p>
            <w:pPr>
              <w:pStyle w:val="30"/>
              <w:spacing w:before="0" w:beforeAutospacing="0" w:after="0" w:afterAutospacing="0" w:line="360" w:lineRule="auto"/>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3、无障碍间内尺寸：内空2.1米 宽1.4米 深1.4米；</w:t>
            </w:r>
          </w:p>
          <w:p>
            <w:pPr>
              <w:pStyle w:val="30"/>
              <w:spacing w:before="0" w:beforeAutospacing="0" w:after="0" w:afterAutospacing="0" w:line="360" w:lineRule="auto"/>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4、管理间内尺寸：内空高2.1米 宽1.4米 深0.9米；</w:t>
            </w:r>
          </w:p>
          <w:p>
            <w:pPr>
              <w:pStyle w:val="30"/>
              <w:spacing w:before="0" w:beforeAutospacing="0" w:after="0" w:afterAutospacing="0" w:line="360" w:lineRule="auto"/>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5、蹲位尺寸：0.42米x0.58米。</w:t>
            </w:r>
          </w:p>
        </w:tc>
      </w:tr>
    </w:tbl>
    <w:p>
      <w:pPr>
        <w:bidi w:val="0"/>
        <w:rPr>
          <w:rFonts w:hint="eastAsia"/>
          <w:lang w:eastAsia="zh-CN"/>
        </w:rPr>
      </w:pPr>
    </w:p>
    <w:p>
      <w:pPr>
        <w:pStyle w:val="2"/>
        <w:rPr>
          <w:rFonts w:hint="eastAsia" w:ascii="宋体" w:hAnsi="宋体" w:eastAsia="宋体" w:cs="宋体"/>
          <w:i w:val="0"/>
          <w:color w:val="auto"/>
          <w:kern w:val="2"/>
          <w:sz w:val="28"/>
          <w:szCs w:val="28"/>
          <w:u w:val="none"/>
          <w:lang w:val="en-US" w:eastAsia="zh-CN" w:bidi="ar-SA"/>
        </w:rPr>
      </w:pPr>
      <w:r>
        <w:rPr>
          <w:rFonts w:hint="eastAsia" w:ascii="宋体" w:hAnsi="宋体" w:eastAsia="宋体" w:cs="宋体"/>
          <w:b/>
          <w:bCs/>
          <w:color w:val="000000"/>
          <w:kern w:val="0"/>
          <w:sz w:val="24"/>
          <w:szCs w:val="24"/>
          <w:lang w:val="en-US" w:eastAsia="zh-CN" w:bidi="ar-SA"/>
        </w:rPr>
        <w:t>3蹲位环保移动公厕</w:t>
      </w:r>
    </w:p>
    <w:tbl>
      <w:tblPr>
        <w:tblStyle w:val="34"/>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2025"/>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序号</w:t>
            </w:r>
          </w:p>
        </w:tc>
        <w:tc>
          <w:tcPr>
            <w:tcW w:w="20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项目</w:t>
            </w:r>
          </w:p>
        </w:tc>
        <w:tc>
          <w:tcPr>
            <w:tcW w:w="62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1</w:t>
            </w:r>
          </w:p>
        </w:tc>
        <w:tc>
          <w:tcPr>
            <w:tcW w:w="20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外墙装饰及主体钢结构</w:t>
            </w:r>
          </w:p>
        </w:tc>
        <w:tc>
          <w:tcPr>
            <w:tcW w:w="6225" w:type="dxa"/>
            <w:vAlign w:val="center"/>
          </w:tcPr>
          <w:p>
            <w:pPr>
              <w:pStyle w:val="30"/>
              <w:numPr>
                <w:ilvl w:val="0"/>
                <w:numId w:val="15"/>
              </w:numPr>
              <w:spacing w:before="0" w:beforeAutospacing="0" w:after="0" w:afterAutospacing="0" w:line="360" w:lineRule="auto"/>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四周支柱</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w:t>
            </w:r>
            <w:r>
              <w:rPr>
                <w:rFonts w:hint="eastAsia" w:ascii="宋体" w:hAnsi="宋体" w:eastAsia="宋体" w:cs="宋体"/>
                <w:kern w:val="2"/>
                <w:sz w:val="24"/>
                <w:szCs w:val="24"/>
                <w:lang w:val="en-US" w:eastAsia="zh-CN" w:bidi="ar-SA"/>
              </w:rPr>
              <w:t>100mm</w:t>
            </w:r>
            <w:r>
              <w:rPr>
                <w:rFonts w:hint="eastAsia" w:ascii="宋体" w:hAnsi="宋体" w:eastAsia="宋体" w:cs="宋体"/>
                <w:color w:val="000000"/>
                <w:sz w:val="24"/>
                <w:szCs w:val="24"/>
              </w:rPr>
              <w:t>*50mm镀锌国标方钢标准件</w:t>
            </w:r>
            <w:r>
              <w:rPr>
                <w:rFonts w:hint="eastAsia" w:ascii="宋体" w:hAnsi="宋体" w:eastAsia="宋体" w:cs="宋体"/>
                <w:color w:val="000000"/>
                <w:sz w:val="24"/>
                <w:szCs w:val="24"/>
                <w:lang w:eastAsia="zh-CN"/>
              </w:rPr>
              <w:t>；</w:t>
            </w:r>
          </w:p>
          <w:p>
            <w:pPr>
              <w:pStyle w:val="30"/>
              <w:numPr>
                <w:ilvl w:val="0"/>
                <w:numId w:val="15"/>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主体底座</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≥16镀锌槽钢或16工字钢国标件</w:t>
            </w:r>
            <w:r>
              <w:rPr>
                <w:rFonts w:hint="eastAsia" w:ascii="宋体" w:hAnsi="宋体" w:eastAsia="宋体" w:cs="宋体"/>
                <w:color w:val="000000"/>
                <w:sz w:val="24"/>
                <w:szCs w:val="24"/>
                <w:lang w:eastAsia="zh-CN"/>
              </w:rPr>
              <w:t>；</w:t>
            </w:r>
          </w:p>
          <w:p>
            <w:pPr>
              <w:pStyle w:val="30"/>
              <w:numPr>
                <w:ilvl w:val="0"/>
                <w:numId w:val="0"/>
              </w:numPr>
              <w:spacing w:before="0" w:beforeAutospacing="0" w:after="0" w:afterAutospacing="0" w:line="360" w:lineRule="auto"/>
              <w:ind w:left="0" w:leftChars="0" w:firstLine="0" w:firstLineChars="0"/>
              <w:jc w:val="left"/>
              <w:rPr>
                <w:rFonts w:hint="eastAsia"/>
                <w:vertAlign w:val="baseline"/>
                <w:lang w:val="en-US" w:eastAsia="zh-CN"/>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中间墙体</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≥50mm*50mm镀锌方钢、≥50mm*50mm镀锌角铁钢国标件</w:t>
            </w:r>
            <w:r>
              <w:rPr>
                <w:rFonts w:hint="eastAsia" w:ascii="宋体" w:hAnsi="宋体" w:eastAsia="宋体" w:cs="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2</w:t>
            </w:r>
          </w:p>
        </w:tc>
        <w:tc>
          <w:tcPr>
            <w:tcW w:w="20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厕所内水电配置</w:t>
            </w:r>
          </w:p>
        </w:tc>
        <w:tc>
          <w:tcPr>
            <w:tcW w:w="6225" w:type="dxa"/>
            <w:vAlign w:val="center"/>
          </w:tcPr>
          <w:p>
            <w:pPr>
              <w:numPr>
                <w:ilvl w:val="0"/>
                <w:numId w:val="16"/>
              </w:num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供水管径：</w:t>
            </w:r>
            <w:r>
              <w:rPr>
                <w:rFonts w:hint="eastAsia" w:ascii="宋体" w:hAnsi="宋体" w:eastAsia="宋体" w:cs="宋体"/>
                <w:color w:val="000000"/>
                <w:sz w:val="24"/>
                <w:szCs w:val="24"/>
              </w:rPr>
              <w:t>外接自来水≥De32</w:t>
            </w:r>
            <w:r>
              <w:rPr>
                <w:rFonts w:hint="eastAsia" w:ascii="宋体" w:hAnsi="宋体" w:eastAsia="宋体" w:cs="宋体"/>
                <w:color w:val="000000"/>
                <w:sz w:val="24"/>
                <w:szCs w:val="24"/>
                <w:lang w:eastAsia="zh-CN"/>
              </w:rPr>
              <w:t>；</w:t>
            </w:r>
          </w:p>
          <w:p>
            <w:pPr>
              <w:numPr>
                <w:ilvl w:val="0"/>
                <w:numId w:val="16"/>
              </w:numPr>
              <w:spacing w:line="360" w:lineRule="auto"/>
              <w:ind w:left="0" w:leftChars="0" w:firstLine="0" w:firstLineChars="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供水方式：</w:t>
            </w:r>
            <w:r>
              <w:rPr>
                <w:rFonts w:hint="eastAsia" w:ascii="宋体" w:hAnsi="宋体" w:eastAsia="宋体" w:cs="宋体"/>
                <w:color w:val="000000"/>
                <w:sz w:val="24"/>
                <w:szCs w:val="24"/>
              </w:rPr>
              <w:t>外接水直接供水</w:t>
            </w:r>
            <w:r>
              <w:rPr>
                <w:rFonts w:hint="eastAsia" w:ascii="宋体" w:hAnsi="宋体" w:eastAsia="宋体" w:cs="宋体"/>
                <w:color w:val="000000"/>
                <w:sz w:val="24"/>
                <w:szCs w:val="24"/>
                <w:lang w:eastAsia="zh-CN"/>
              </w:rPr>
              <w:t>；</w:t>
            </w:r>
          </w:p>
          <w:p>
            <w:pPr>
              <w:numPr>
                <w:ilvl w:val="0"/>
                <w:numId w:val="16"/>
              </w:numPr>
              <w:spacing w:line="360" w:lineRule="auto"/>
              <w:ind w:left="0" w:leftChars="0" w:firstLine="0" w:firstLineChars="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冲洗方式：</w:t>
            </w:r>
            <w:r>
              <w:rPr>
                <w:rFonts w:hint="eastAsia" w:ascii="宋体" w:hAnsi="宋体" w:eastAsia="宋体" w:cs="宋体"/>
                <w:color w:val="000000"/>
                <w:sz w:val="24"/>
                <w:szCs w:val="24"/>
              </w:rPr>
              <w:t>采用节水箱冲水</w:t>
            </w:r>
            <w:r>
              <w:rPr>
                <w:rFonts w:hint="eastAsia" w:ascii="宋体" w:hAnsi="宋体" w:eastAsia="宋体" w:cs="宋体"/>
                <w:color w:val="000000"/>
                <w:sz w:val="24"/>
                <w:szCs w:val="24"/>
                <w:lang w:eastAsia="zh-CN"/>
              </w:rPr>
              <w:t>；</w:t>
            </w:r>
          </w:p>
          <w:p>
            <w:pPr>
              <w:numPr>
                <w:ilvl w:val="0"/>
                <w:numId w:val="16"/>
              </w:numPr>
              <w:spacing w:line="360" w:lineRule="auto"/>
              <w:ind w:left="0" w:leftChars="0" w:firstLine="0" w:firstLineChars="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供电方式：</w:t>
            </w:r>
            <w:r>
              <w:rPr>
                <w:rFonts w:hint="eastAsia" w:ascii="宋体" w:hAnsi="宋体" w:eastAsia="宋体" w:cs="宋体"/>
                <w:color w:val="000000"/>
                <w:sz w:val="24"/>
                <w:szCs w:val="24"/>
              </w:rPr>
              <w:t>220V/50Hz</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额定功率：</w:t>
            </w:r>
            <w:r>
              <w:rPr>
                <w:rFonts w:hint="eastAsia" w:ascii="宋体" w:hAnsi="宋体" w:eastAsia="宋体" w:cs="宋体"/>
                <w:color w:val="000000"/>
                <w:sz w:val="24"/>
                <w:szCs w:val="24"/>
              </w:rPr>
              <w:t>≥6KW</w:t>
            </w:r>
            <w:r>
              <w:rPr>
                <w:rFonts w:hint="eastAsia" w:ascii="宋体" w:hAnsi="宋体" w:eastAsia="宋体" w:cs="宋体"/>
                <w:color w:val="000000"/>
                <w:sz w:val="24"/>
                <w:szCs w:val="24"/>
                <w:lang w:eastAsia="zh-CN"/>
              </w:rPr>
              <w:t>；</w:t>
            </w:r>
          </w:p>
          <w:p>
            <w:pPr>
              <w:numPr>
                <w:ilvl w:val="0"/>
                <w:numId w:val="16"/>
              </w:numPr>
              <w:spacing w:line="360" w:lineRule="auto"/>
              <w:ind w:left="0" w:leftChars="0" w:firstLine="0" w:firstLineChars="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电源进户线：①</w:t>
            </w:r>
            <w:r>
              <w:rPr>
                <w:rFonts w:hint="eastAsia" w:ascii="宋体" w:hAnsi="宋体" w:eastAsia="宋体" w:cs="宋体"/>
                <w:color w:val="000000"/>
                <w:sz w:val="24"/>
                <w:szCs w:val="24"/>
              </w:rPr>
              <w:t>进线：进线 4mm2护导线</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②</w:t>
            </w:r>
            <w:r>
              <w:rPr>
                <w:rFonts w:hint="eastAsia" w:ascii="宋体" w:hAnsi="宋体" w:eastAsia="宋体" w:cs="宋体"/>
                <w:color w:val="000000"/>
                <w:sz w:val="24"/>
                <w:szCs w:val="24"/>
              </w:rPr>
              <w:t>、设备控制线：进线 2.5mm2</w:t>
            </w:r>
            <w:r>
              <w:rPr>
                <w:rFonts w:hint="eastAsia" w:ascii="宋体" w:hAnsi="宋体" w:eastAsia="宋体" w:cs="宋体"/>
                <w:color w:val="000000"/>
                <w:sz w:val="24"/>
                <w:szCs w:val="24"/>
                <w:lang w:eastAsia="zh-CN"/>
              </w:rPr>
              <w:t>；</w:t>
            </w:r>
          </w:p>
          <w:p>
            <w:pPr>
              <w:numPr>
                <w:ilvl w:val="0"/>
                <w:numId w:val="16"/>
              </w:numPr>
              <w:spacing w:line="360" w:lineRule="auto"/>
              <w:ind w:left="0" w:leftChars="0" w:firstLine="0" w:firstLineChars="0"/>
              <w:rPr>
                <w:rFonts w:hint="eastAsia" w:ascii="宋体" w:hAnsi="宋体" w:eastAsia="宋体" w:cs="宋体"/>
                <w:sz w:val="24"/>
                <w:szCs w:val="24"/>
                <w:lang w:eastAsia="zh-CN"/>
              </w:rPr>
            </w:pPr>
            <w:r>
              <w:rPr>
                <w:rFonts w:hint="eastAsia" w:ascii="宋体" w:hAnsi="宋体" w:eastAsia="宋体" w:cs="宋体"/>
                <w:color w:val="000000"/>
                <w:sz w:val="24"/>
                <w:szCs w:val="24"/>
                <w:lang w:val="en-US" w:eastAsia="zh-CN"/>
              </w:rPr>
              <w:t>漏电保护开关：</w:t>
            </w:r>
            <w:r>
              <w:rPr>
                <w:rFonts w:hint="eastAsia" w:ascii="宋体" w:hAnsi="宋体" w:eastAsia="宋体" w:cs="宋体"/>
                <w:sz w:val="24"/>
                <w:szCs w:val="24"/>
              </w:rPr>
              <w:t>2P32安双向漏电空气护开关2P16安漏电保护开关</w:t>
            </w:r>
            <w:r>
              <w:rPr>
                <w:rFonts w:hint="eastAsia" w:ascii="宋体" w:hAnsi="宋体" w:eastAsia="宋体" w:cs="宋体"/>
                <w:sz w:val="24"/>
                <w:szCs w:val="24"/>
                <w:lang w:eastAsia="zh-CN"/>
              </w:rPr>
              <w:t>；</w:t>
            </w:r>
          </w:p>
          <w:p>
            <w:pPr>
              <w:numPr>
                <w:ilvl w:val="0"/>
                <w:numId w:val="0"/>
              </w:numPr>
              <w:spacing w:line="360" w:lineRule="auto"/>
              <w:ind w:left="0" w:leftChars="0" w:firstLine="0" w:firstLineChars="0"/>
              <w:rPr>
                <w:rFonts w:hint="eastAsia"/>
                <w:vertAlign w:val="baseline"/>
                <w:lang w:val="en-US" w:eastAsia="zh-CN"/>
              </w:rPr>
            </w:pPr>
            <w:r>
              <w:rPr>
                <w:rFonts w:hint="eastAsia" w:ascii="宋体" w:hAnsi="宋体" w:eastAsia="宋体" w:cs="宋体"/>
                <w:sz w:val="24"/>
                <w:szCs w:val="24"/>
                <w:lang w:val="en-US" w:eastAsia="zh-CN"/>
              </w:rPr>
              <w:t>7、接电装置：</w:t>
            </w:r>
            <w:r>
              <w:rPr>
                <w:rFonts w:hint="eastAsia" w:ascii="宋体" w:hAnsi="宋体" w:eastAsia="宋体" w:cs="宋体"/>
                <w:sz w:val="24"/>
                <w:szCs w:val="24"/>
              </w:rPr>
              <w:t>物体接地达到接地电阻防止雷击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3</w:t>
            </w:r>
          </w:p>
        </w:tc>
        <w:tc>
          <w:tcPr>
            <w:tcW w:w="20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自动控制设备装置</w:t>
            </w:r>
          </w:p>
        </w:tc>
        <w:tc>
          <w:tcPr>
            <w:tcW w:w="6225" w:type="dxa"/>
            <w:vAlign w:val="center"/>
          </w:tcPr>
          <w:p>
            <w:pPr>
              <w:pStyle w:val="30"/>
              <w:numPr>
                <w:ilvl w:val="0"/>
                <w:numId w:val="17"/>
              </w:numPr>
              <w:spacing w:before="0" w:beforeAutospacing="0" w:after="0" w:afterAutospacing="0" w:line="360" w:lineRule="auto"/>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控制电压：</w:t>
            </w:r>
            <w:r>
              <w:rPr>
                <w:rFonts w:hint="eastAsia" w:ascii="宋体" w:hAnsi="宋体" w:eastAsia="宋体" w:cs="宋体"/>
                <w:color w:val="000000"/>
                <w:sz w:val="24"/>
                <w:szCs w:val="24"/>
              </w:rPr>
              <w:t>24V（安全电压）</w:t>
            </w:r>
            <w:r>
              <w:rPr>
                <w:rFonts w:hint="eastAsia" w:ascii="宋体" w:hAnsi="宋体" w:eastAsia="宋体" w:cs="宋体"/>
                <w:color w:val="000000"/>
                <w:sz w:val="24"/>
                <w:szCs w:val="24"/>
                <w:lang w:eastAsia="zh-CN"/>
              </w:rPr>
              <w:t>；</w:t>
            </w:r>
          </w:p>
          <w:p>
            <w:pPr>
              <w:pStyle w:val="30"/>
              <w:numPr>
                <w:ilvl w:val="0"/>
                <w:numId w:val="17"/>
              </w:numPr>
              <w:spacing w:before="0" w:beforeAutospacing="0" w:after="0" w:afterAutospacing="0" w:line="360" w:lineRule="auto"/>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照明：</w:t>
            </w:r>
            <w:r>
              <w:rPr>
                <w:rFonts w:hint="eastAsia" w:ascii="宋体" w:hAnsi="宋体" w:eastAsia="宋体" w:cs="宋体"/>
                <w:color w:val="000000"/>
                <w:sz w:val="24"/>
                <w:szCs w:val="24"/>
              </w:rPr>
              <w:t>自动开关照明</w:t>
            </w:r>
            <w:r>
              <w:rPr>
                <w:rFonts w:hint="eastAsia" w:ascii="宋体" w:hAnsi="宋体" w:eastAsia="宋体" w:cs="宋体"/>
                <w:color w:val="000000"/>
                <w:sz w:val="24"/>
                <w:szCs w:val="24"/>
                <w:lang w:eastAsia="zh-CN"/>
              </w:rPr>
              <w:t>；</w:t>
            </w:r>
          </w:p>
          <w:p>
            <w:pPr>
              <w:pStyle w:val="30"/>
              <w:numPr>
                <w:ilvl w:val="0"/>
                <w:numId w:val="17"/>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排风：</w:t>
            </w:r>
            <w:r>
              <w:rPr>
                <w:rFonts w:hint="eastAsia" w:ascii="宋体" w:hAnsi="宋体" w:eastAsia="宋体" w:cs="宋体"/>
                <w:color w:val="000000"/>
                <w:sz w:val="24"/>
                <w:szCs w:val="24"/>
              </w:rPr>
              <w:t>自动开关排风</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厕所LED有人无人显示：</w:t>
            </w:r>
            <w:r>
              <w:rPr>
                <w:rFonts w:hint="eastAsia" w:ascii="宋体" w:hAnsi="宋体" w:eastAsia="宋体" w:cs="宋体"/>
                <w:color w:val="000000"/>
                <w:sz w:val="24"/>
                <w:szCs w:val="24"/>
              </w:rPr>
              <w:t>不小于300.5mm*100mm</w:t>
            </w:r>
            <w:r>
              <w:rPr>
                <w:rFonts w:hint="eastAsia" w:ascii="宋体" w:hAnsi="宋体" w:eastAsia="宋体" w:cs="宋体"/>
                <w:color w:val="000000"/>
                <w:sz w:val="24"/>
                <w:szCs w:val="24"/>
                <w:lang w:eastAsia="zh-CN"/>
              </w:rPr>
              <w:t>；</w:t>
            </w:r>
          </w:p>
          <w:p>
            <w:pPr>
              <w:pStyle w:val="30"/>
              <w:numPr>
                <w:ilvl w:val="0"/>
                <w:numId w:val="0"/>
              </w:numPr>
              <w:spacing w:before="0" w:beforeAutospacing="0" w:after="0" w:afterAutospacing="0" w:line="360" w:lineRule="auto"/>
              <w:ind w:left="0" w:leftChars="0" w:firstLine="0" w:firstLineChars="0"/>
              <w:jc w:val="left"/>
              <w:rPr>
                <w:rFonts w:hint="eastAsia"/>
                <w:vertAlign w:val="baseline"/>
                <w:lang w:val="en-US" w:eastAsia="zh-CN"/>
              </w:rPr>
            </w:pPr>
            <w:r>
              <w:rPr>
                <w:rFonts w:hint="eastAsia" w:ascii="宋体" w:hAnsi="宋体" w:eastAsia="宋体" w:cs="宋体"/>
                <w:color w:val="000000"/>
                <w:sz w:val="24"/>
                <w:szCs w:val="24"/>
                <w:lang w:val="en-US" w:eastAsia="zh-CN"/>
              </w:rPr>
              <w:t>4、使用求助报警：</w:t>
            </w:r>
            <w:r>
              <w:rPr>
                <w:rFonts w:hint="eastAsia" w:ascii="宋体" w:hAnsi="宋体" w:eastAsia="宋体" w:cs="宋体"/>
                <w:color w:val="000000"/>
                <w:sz w:val="24"/>
                <w:szCs w:val="24"/>
              </w:rPr>
              <w:t>按钮式报警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4</w:t>
            </w:r>
          </w:p>
        </w:tc>
        <w:tc>
          <w:tcPr>
            <w:tcW w:w="20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辅助功能配置</w:t>
            </w:r>
          </w:p>
        </w:tc>
        <w:tc>
          <w:tcPr>
            <w:tcW w:w="6225" w:type="dxa"/>
            <w:vAlign w:val="center"/>
          </w:tcPr>
          <w:p>
            <w:pPr>
              <w:pStyle w:val="30"/>
              <w:numPr>
                <w:ilvl w:val="0"/>
                <w:numId w:val="18"/>
              </w:numPr>
              <w:spacing w:before="0" w:beforeAutospacing="0" w:after="0" w:afterAutospacing="0" w:line="360" w:lineRule="auto"/>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厕位间助力扶手：</w:t>
            </w:r>
            <w:r>
              <w:rPr>
                <w:rFonts w:hint="eastAsia" w:ascii="宋体" w:hAnsi="宋体" w:eastAsia="宋体" w:cs="宋体"/>
                <w:color w:val="000000"/>
                <w:sz w:val="24"/>
                <w:szCs w:val="24"/>
              </w:rPr>
              <w:t>材质为不锈钢扶手</w:t>
            </w:r>
            <w:r>
              <w:rPr>
                <w:rFonts w:hint="eastAsia" w:ascii="宋体" w:hAnsi="宋体" w:eastAsia="宋体" w:cs="宋体"/>
                <w:color w:val="000000"/>
                <w:sz w:val="24"/>
                <w:szCs w:val="24"/>
                <w:lang w:eastAsia="zh-CN"/>
              </w:rPr>
              <w:t>；</w:t>
            </w:r>
          </w:p>
          <w:p>
            <w:pPr>
              <w:pStyle w:val="30"/>
              <w:numPr>
                <w:ilvl w:val="0"/>
                <w:numId w:val="18"/>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厕所门锁外部开启：</w:t>
            </w:r>
            <w:r>
              <w:rPr>
                <w:rFonts w:hint="eastAsia" w:ascii="宋体" w:hAnsi="宋体" w:eastAsia="宋体" w:cs="宋体"/>
                <w:color w:val="000000"/>
                <w:sz w:val="24"/>
                <w:szCs w:val="24"/>
              </w:rPr>
              <w:t>钥匙通用</w:t>
            </w:r>
            <w:r>
              <w:rPr>
                <w:rFonts w:hint="eastAsia" w:ascii="宋体" w:hAnsi="宋体" w:eastAsia="宋体" w:cs="宋体"/>
                <w:color w:val="000000"/>
                <w:sz w:val="24"/>
                <w:szCs w:val="24"/>
                <w:lang w:eastAsia="zh-CN"/>
              </w:rPr>
              <w:t>；</w:t>
            </w:r>
          </w:p>
          <w:p>
            <w:pPr>
              <w:pStyle w:val="30"/>
              <w:numPr>
                <w:ilvl w:val="0"/>
                <w:numId w:val="18"/>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室外标识：</w:t>
            </w:r>
            <w:r>
              <w:rPr>
                <w:rFonts w:hint="eastAsia" w:ascii="宋体" w:hAnsi="宋体" w:eastAsia="宋体" w:cs="宋体"/>
                <w:color w:val="000000"/>
                <w:sz w:val="24"/>
                <w:szCs w:val="24"/>
              </w:rPr>
              <w:t>公厕标示，各种指示牌</w:t>
            </w:r>
            <w:r>
              <w:rPr>
                <w:rFonts w:hint="eastAsia" w:ascii="宋体" w:hAnsi="宋体" w:eastAsia="宋体" w:cs="宋体"/>
                <w:color w:val="000000"/>
                <w:sz w:val="24"/>
                <w:szCs w:val="24"/>
                <w:lang w:eastAsia="zh-CN"/>
              </w:rPr>
              <w:t>；</w:t>
            </w:r>
          </w:p>
          <w:p>
            <w:pPr>
              <w:pStyle w:val="30"/>
              <w:numPr>
                <w:ilvl w:val="0"/>
                <w:numId w:val="0"/>
              </w:numPr>
              <w:spacing w:before="0" w:beforeAutospacing="0" w:after="0" w:afterAutospacing="0" w:line="360" w:lineRule="auto"/>
              <w:ind w:left="0" w:leftChars="0" w:firstLine="0" w:firstLineChars="0"/>
              <w:jc w:val="left"/>
              <w:rPr>
                <w:rFonts w:hint="eastAsia"/>
                <w:vertAlign w:val="baseline"/>
                <w:lang w:val="en-US" w:eastAsia="zh-CN"/>
              </w:rPr>
            </w:pPr>
            <w:r>
              <w:rPr>
                <w:rFonts w:hint="eastAsia" w:ascii="宋体" w:hAnsi="宋体" w:eastAsia="宋体" w:cs="宋体"/>
                <w:color w:val="000000"/>
                <w:sz w:val="24"/>
                <w:szCs w:val="24"/>
                <w:lang w:val="en-US" w:eastAsia="zh-CN"/>
              </w:rPr>
              <w:t>4、使用提示标识：</w:t>
            </w:r>
            <w:r>
              <w:rPr>
                <w:rFonts w:hint="eastAsia" w:ascii="宋体" w:hAnsi="宋体" w:eastAsia="宋体" w:cs="宋体"/>
                <w:color w:val="000000"/>
                <w:sz w:val="24"/>
                <w:szCs w:val="24"/>
              </w:rPr>
              <w:t>温馨提示牌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5</w:t>
            </w:r>
          </w:p>
        </w:tc>
        <w:tc>
          <w:tcPr>
            <w:tcW w:w="20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厕所内配置间</w:t>
            </w:r>
          </w:p>
        </w:tc>
        <w:tc>
          <w:tcPr>
            <w:tcW w:w="6225" w:type="dxa"/>
            <w:vAlign w:val="center"/>
          </w:tcPr>
          <w:p>
            <w:pPr>
              <w:pStyle w:val="30"/>
              <w:numPr>
                <w:ilvl w:val="0"/>
                <w:numId w:val="19"/>
              </w:numPr>
              <w:spacing w:before="0" w:beforeAutospacing="0" w:after="0" w:afterAutospacing="0"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蹲便器：</w:t>
            </w:r>
            <w:r>
              <w:rPr>
                <w:rFonts w:hint="eastAsia" w:ascii="宋体" w:hAnsi="宋体" w:eastAsia="宋体" w:cs="宋体"/>
                <w:sz w:val="24"/>
                <w:szCs w:val="24"/>
              </w:rPr>
              <w:t>陶瓷蹲便器</w:t>
            </w:r>
            <w:r>
              <w:rPr>
                <w:rFonts w:hint="eastAsia" w:ascii="宋体" w:hAnsi="宋体" w:eastAsia="宋体" w:cs="宋体"/>
                <w:sz w:val="24"/>
                <w:szCs w:val="24"/>
                <w:lang w:eastAsia="zh-CN"/>
              </w:rPr>
              <w:t>；</w:t>
            </w:r>
          </w:p>
          <w:p>
            <w:pPr>
              <w:pStyle w:val="30"/>
              <w:numPr>
                <w:ilvl w:val="0"/>
                <w:numId w:val="19"/>
              </w:numPr>
              <w:spacing w:before="0" w:beforeAutospacing="0" w:after="0" w:afterAutospacing="0" w:line="360" w:lineRule="auto"/>
              <w:ind w:left="0" w:leftChars="0"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rPr>
              <w:t>陶瓷小便器（配置不锈钢无障碍扶手）</w:t>
            </w:r>
            <w:r>
              <w:rPr>
                <w:rFonts w:hint="eastAsia" w:ascii="宋体" w:hAnsi="宋体" w:eastAsia="宋体" w:cs="宋体"/>
                <w:sz w:val="24"/>
                <w:szCs w:val="24"/>
                <w:lang w:eastAsia="zh-CN"/>
              </w:rPr>
              <w:t>；</w:t>
            </w:r>
          </w:p>
          <w:p>
            <w:pPr>
              <w:pStyle w:val="30"/>
              <w:numPr>
                <w:ilvl w:val="0"/>
                <w:numId w:val="19"/>
              </w:numPr>
              <w:spacing w:before="0" w:beforeAutospacing="0" w:after="0" w:afterAutospacing="0" w:line="360" w:lineRule="auto"/>
              <w:ind w:left="0" w:leftChars="0"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洗手台：</w:t>
            </w:r>
            <w:r>
              <w:rPr>
                <w:rFonts w:hint="eastAsia" w:ascii="宋体" w:hAnsi="宋体" w:eastAsia="宋体" w:cs="宋体"/>
                <w:sz w:val="24"/>
                <w:szCs w:val="24"/>
              </w:rPr>
              <w:t>陶瓷盆</w:t>
            </w:r>
            <w:r>
              <w:rPr>
                <w:rFonts w:hint="eastAsia" w:ascii="宋体" w:hAnsi="宋体" w:eastAsia="宋体" w:cs="宋体"/>
                <w:sz w:val="24"/>
                <w:szCs w:val="24"/>
                <w:lang w:eastAsia="zh-CN"/>
              </w:rPr>
              <w:t>；</w:t>
            </w:r>
          </w:p>
          <w:p>
            <w:pPr>
              <w:pStyle w:val="30"/>
              <w:numPr>
                <w:ilvl w:val="0"/>
                <w:numId w:val="0"/>
              </w:numPr>
              <w:spacing w:before="0" w:beforeAutospacing="0" w:after="0" w:afterAutospacing="0" w:line="360" w:lineRule="auto"/>
              <w:ind w:left="0" w:leftChars="0" w:firstLine="0" w:firstLineChars="0"/>
              <w:jc w:val="left"/>
              <w:rPr>
                <w:rFonts w:hint="eastAsia"/>
                <w:vertAlign w:val="baseline"/>
                <w:lang w:val="en-US" w:eastAsia="zh-CN"/>
              </w:rPr>
            </w:pPr>
            <w:r>
              <w:rPr>
                <w:rFonts w:hint="eastAsia" w:ascii="宋体" w:hAnsi="宋体" w:eastAsia="宋体" w:cs="宋体"/>
                <w:sz w:val="24"/>
                <w:szCs w:val="24"/>
                <w:lang w:val="en-US" w:eastAsia="zh-CN"/>
              </w:rPr>
              <w:t>4、不锈钢水龙头</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6</w:t>
            </w:r>
          </w:p>
        </w:tc>
        <w:tc>
          <w:tcPr>
            <w:tcW w:w="20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管理间配置</w:t>
            </w:r>
          </w:p>
        </w:tc>
        <w:tc>
          <w:tcPr>
            <w:tcW w:w="6225" w:type="dxa"/>
            <w:vAlign w:val="center"/>
          </w:tcPr>
          <w:p>
            <w:pPr>
              <w:pStyle w:val="30"/>
              <w:numPr>
                <w:ilvl w:val="0"/>
                <w:numId w:val="20"/>
              </w:numPr>
              <w:spacing w:before="0" w:beforeAutospacing="0" w:after="0" w:afterAutospacing="0"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控制系统：</w:t>
            </w:r>
            <w:r>
              <w:rPr>
                <w:rFonts w:hint="eastAsia" w:ascii="宋体" w:hAnsi="宋体" w:eastAsia="宋体" w:cs="宋体"/>
                <w:sz w:val="24"/>
                <w:szCs w:val="24"/>
              </w:rPr>
              <w:t>PLC 全自动操作加手动操作</w:t>
            </w:r>
            <w:r>
              <w:rPr>
                <w:rFonts w:hint="eastAsia" w:ascii="宋体" w:hAnsi="宋体" w:eastAsia="宋体" w:cs="宋体"/>
                <w:sz w:val="24"/>
                <w:szCs w:val="24"/>
                <w:lang w:eastAsia="zh-CN"/>
              </w:rPr>
              <w:t>；</w:t>
            </w:r>
          </w:p>
          <w:p>
            <w:pPr>
              <w:pStyle w:val="30"/>
              <w:numPr>
                <w:ilvl w:val="0"/>
                <w:numId w:val="20"/>
              </w:numPr>
              <w:spacing w:before="0" w:beforeAutospacing="0" w:after="0" w:afterAutospacing="0" w:line="360" w:lineRule="auto"/>
              <w:ind w:left="0" w:leftChars="0" w:firstLine="0" w:firstLineChars="0"/>
              <w:jc w:val="left"/>
              <w:rPr>
                <w:rFonts w:hint="eastAsia" w:ascii="宋体" w:hAnsi="宋体" w:eastAsia="宋体" w:cs="宋体"/>
                <w:color w:val="auto"/>
                <w:sz w:val="24"/>
                <w:szCs w:val="24"/>
                <w:lang w:eastAsia="zh-CN"/>
              </w:rPr>
            </w:pPr>
            <w:r>
              <w:rPr>
                <w:rFonts w:hint="eastAsia" w:ascii="宋体" w:hAnsi="宋体" w:eastAsia="宋体" w:cs="宋体"/>
                <w:sz w:val="24"/>
                <w:szCs w:val="24"/>
                <w:lang w:val="en-US" w:eastAsia="zh-CN"/>
              </w:rPr>
              <w:t>漏电开关：</w:t>
            </w:r>
            <w:r>
              <w:rPr>
                <w:rFonts w:hint="eastAsia" w:ascii="宋体" w:hAnsi="宋体" w:eastAsia="宋体" w:cs="宋体"/>
                <w:color w:val="auto"/>
                <w:sz w:val="24"/>
                <w:szCs w:val="24"/>
                <w:lang w:eastAsia="zh-CN"/>
              </w:rPr>
              <w:t>国标；</w:t>
            </w:r>
          </w:p>
          <w:p>
            <w:pPr>
              <w:pStyle w:val="30"/>
              <w:numPr>
                <w:ilvl w:val="0"/>
                <w:numId w:val="20"/>
              </w:numPr>
              <w:spacing w:before="0" w:beforeAutospacing="0" w:after="0" w:afterAutospacing="0" w:line="360" w:lineRule="auto"/>
              <w:ind w:left="0" w:leftChars="0"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通风窗：铝合金推拉窗；</w:t>
            </w:r>
          </w:p>
          <w:p>
            <w:pPr>
              <w:pStyle w:val="30"/>
              <w:numPr>
                <w:ilvl w:val="0"/>
                <w:numId w:val="20"/>
              </w:numPr>
              <w:spacing w:before="0" w:beforeAutospacing="0" w:after="0" w:afterAutospacing="0" w:line="360" w:lineRule="auto"/>
              <w:ind w:left="0" w:leftChars="0"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照明系统：节能LED感应灯；</w:t>
            </w:r>
          </w:p>
          <w:p>
            <w:pPr>
              <w:pStyle w:val="30"/>
              <w:numPr>
                <w:ilvl w:val="0"/>
                <w:numId w:val="20"/>
              </w:numPr>
              <w:spacing w:before="0" w:beforeAutospacing="0" w:after="0" w:afterAutospacing="0" w:line="360" w:lineRule="auto"/>
              <w:ind w:left="0" w:leftChars="0"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管理室地坪：地面铺设防滑地砖；</w:t>
            </w:r>
          </w:p>
          <w:p>
            <w:pPr>
              <w:pStyle w:val="30"/>
              <w:numPr>
                <w:ilvl w:val="0"/>
                <w:numId w:val="20"/>
              </w:numPr>
              <w:spacing w:before="0" w:beforeAutospacing="0" w:after="0" w:afterAutospacing="0" w:line="360" w:lineRule="auto"/>
              <w:ind w:left="0" w:leftChars="0"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门扇：不锈钢铝塑板门及透气百叶；</w:t>
            </w:r>
          </w:p>
          <w:p>
            <w:pPr>
              <w:pStyle w:val="30"/>
              <w:numPr>
                <w:ilvl w:val="0"/>
                <w:numId w:val="0"/>
              </w:numPr>
              <w:spacing w:before="0" w:beforeAutospacing="0" w:after="0" w:afterAutospacing="0" w:line="360" w:lineRule="auto"/>
              <w:ind w:left="0" w:leftChars="0" w:firstLine="0" w:firstLineChars="0"/>
              <w:jc w:val="left"/>
              <w:rPr>
                <w:rFonts w:hint="eastAsia"/>
                <w:vertAlign w:val="baseline"/>
                <w:lang w:val="en-US" w:eastAsia="zh-CN"/>
              </w:rPr>
            </w:pPr>
            <w:r>
              <w:rPr>
                <w:rFonts w:hint="eastAsia" w:ascii="宋体" w:hAnsi="宋体" w:eastAsia="宋体" w:cs="宋体"/>
                <w:color w:val="auto"/>
                <w:sz w:val="24"/>
                <w:szCs w:val="24"/>
                <w:lang w:val="en-US" w:eastAsia="zh-CN"/>
              </w:rPr>
              <w:t>7、拖把盆陶瓷；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7</w:t>
            </w:r>
          </w:p>
        </w:tc>
        <w:tc>
          <w:tcPr>
            <w:tcW w:w="20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外立面配置</w:t>
            </w:r>
          </w:p>
        </w:tc>
        <w:tc>
          <w:tcPr>
            <w:tcW w:w="6225" w:type="dxa"/>
            <w:vAlign w:val="center"/>
          </w:tcPr>
          <w:p>
            <w:pPr>
              <w:pStyle w:val="30"/>
              <w:numPr>
                <w:ilvl w:val="0"/>
                <w:numId w:val="21"/>
              </w:numPr>
              <w:spacing w:before="0" w:beforeAutospacing="0" w:after="0" w:afterAutospacing="0" w:line="360" w:lineRule="auto"/>
              <w:jc w:val="left"/>
              <w:rPr>
                <w:rFonts w:hint="eastAsia" w:ascii="宋体" w:hAnsi="宋体" w:eastAsia="宋体" w:cs="宋体"/>
                <w:sz w:val="24"/>
                <w:szCs w:val="24"/>
                <w:lang w:eastAsia="zh-CN"/>
              </w:rPr>
            </w:pPr>
            <w:r>
              <w:rPr>
                <w:rFonts w:hint="eastAsia" w:ascii="宋体" w:hAnsi="宋体" w:eastAsia="宋体" w:cs="宋体"/>
                <w:color w:val="000000"/>
                <w:sz w:val="24"/>
                <w:szCs w:val="24"/>
                <w:lang w:val="en-US" w:eastAsia="zh-CN"/>
              </w:rPr>
              <w:t>外墙面：</w:t>
            </w:r>
            <w:r>
              <w:rPr>
                <w:rFonts w:hint="eastAsia" w:ascii="宋体" w:hAnsi="宋体" w:eastAsia="宋体" w:cs="宋体"/>
                <w:sz w:val="24"/>
                <w:szCs w:val="24"/>
              </w:rPr>
              <w:t>高档木纹金属雕花板</w:t>
            </w:r>
            <w:r>
              <w:rPr>
                <w:rFonts w:hint="eastAsia" w:ascii="宋体" w:hAnsi="宋体" w:eastAsia="宋体" w:cs="宋体"/>
                <w:sz w:val="24"/>
                <w:szCs w:val="24"/>
                <w:lang w:eastAsia="zh-CN"/>
              </w:rPr>
              <w:t>；</w:t>
            </w:r>
          </w:p>
          <w:p>
            <w:pPr>
              <w:pStyle w:val="30"/>
              <w:numPr>
                <w:ilvl w:val="0"/>
                <w:numId w:val="21"/>
              </w:numPr>
              <w:spacing w:before="0" w:beforeAutospacing="0" w:after="0" w:afterAutospacing="0" w:line="360" w:lineRule="auto"/>
              <w:ind w:left="0" w:leftChars="0"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外墙踏步：</w:t>
            </w:r>
            <w:r>
              <w:rPr>
                <w:rFonts w:hint="eastAsia" w:ascii="宋体" w:hAnsi="宋体" w:eastAsia="宋体" w:cs="宋体"/>
                <w:sz w:val="24"/>
                <w:szCs w:val="24"/>
              </w:rPr>
              <w:t>不锈钢压花防滑台阶边框、铺设防滑砖</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3、门拉手：</w:t>
            </w:r>
            <w:r>
              <w:rPr>
                <w:rFonts w:hint="eastAsia" w:ascii="宋体" w:hAnsi="宋体" w:eastAsia="宋体" w:cs="宋体"/>
                <w:sz w:val="24"/>
                <w:szCs w:val="24"/>
              </w:rPr>
              <w:t>不锈钢</w:t>
            </w:r>
            <w:r>
              <w:rPr>
                <w:rFonts w:hint="eastAsia" w:ascii="宋体" w:hAnsi="宋体" w:eastAsia="宋体" w:cs="宋体"/>
                <w:sz w:val="24"/>
                <w:szCs w:val="24"/>
                <w:lang w:eastAsia="zh-CN"/>
              </w:rPr>
              <w:t>；</w:t>
            </w:r>
          </w:p>
          <w:p>
            <w:pPr>
              <w:pStyle w:val="30"/>
              <w:numPr>
                <w:ilvl w:val="0"/>
                <w:numId w:val="0"/>
              </w:numPr>
              <w:spacing w:before="0" w:beforeAutospacing="0" w:after="0" w:afterAutospacing="0" w:line="360" w:lineRule="auto"/>
              <w:ind w:leftChars="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4、防盗窗：</w:t>
            </w:r>
            <w:r>
              <w:rPr>
                <w:rFonts w:hint="eastAsia" w:ascii="宋体" w:hAnsi="宋体" w:eastAsia="宋体" w:cs="宋体"/>
                <w:sz w:val="24"/>
                <w:szCs w:val="24"/>
              </w:rPr>
              <w:t>铝合金推拿窗加不锈钢的防盗窗</w:t>
            </w:r>
            <w:r>
              <w:rPr>
                <w:rFonts w:hint="eastAsia" w:ascii="宋体" w:hAnsi="宋体" w:eastAsia="宋体" w:cs="宋体"/>
                <w:sz w:val="24"/>
                <w:szCs w:val="24"/>
                <w:lang w:eastAsia="zh-CN"/>
              </w:rPr>
              <w:t>；</w:t>
            </w:r>
          </w:p>
          <w:p>
            <w:pPr>
              <w:pStyle w:val="30"/>
              <w:numPr>
                <w:ilvl w:val="0"/>
                <w:numId w:val="0"/>
              </w:numPr>
              <w:spacing w:before="0" w:beforeAutospacing="0" w:after="0" w:afterAutospacing="0" w:line="360" w:lineRule="auto"/>
              <w:ind w:leftChars="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5、检修门：</w:t>
            </w:r>
            <w:r>
              <w:rPr>
                <w:rFonts w:hint="eastAsia" w:ascii="宋体" w:hAnsi="宋体" w:eastAsia="宋体" w:cs="宋体"/>
                <w:sz w:val="24"/>
                <w:szCs w:val="24"/>
              </w:rPr>
              <w:t>采用不锈钢包边焊接</w:t>
            </w:r>
            <w:r>
              <w:rPr>
                <w:rFonts w:hint="eastAsia" w:ascii="宋体" w:hAnsi="宋体" w:eastAsia="宋体" w:cs="宋体"/>
                <w:sz w:val="24"/>
                <w:szCs w:val="24"/>
                <w:lang w:eastAsia="zh-CN"/>
              </w:rPr>
              <w:t>；</w:t>
            </w:r>
          </w:p>
          <w:p>
            <w:pPr>
              <w:pStyle w:val="30"/>
              <w:numPr>
                <w:ilvl w:val="0"/>
                <w:numId w:val="0"/>
              </w:numPr>
              <w:spacing w:before="0" w:beforeAutospacing="0" w:after="0" w:afterAutospacing="0" w:line="360" w:lineRule="auto"/>
              <w:ind w:leftChars="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6、通风防水：</w:t>
            </w:r>
            <w:r>
              <w:rPr>
                <w:rFonts w:hint="eastAsia" w:ascii="宋体" w:hAnsi="宋体" w:eastAsia="宋体" w:cs="宋体"/>
                <w:sz w:val="24"/>
                <w:szCs w:val="24"/>
              </w:rPr>
              <w:t>铝合金百叶窗</w:t>
            </w:r>
            <w:r>
              <w:rPr>
                <w:rFonts w:hint="eastAsia" w:ascii="宋体" w:hAnsi="宋体" w:eastAsia="宋体" w:cs="宋体"/>
                <w:sz w:val="24"/>
                <w:szCs w:val="24"/>
                <w:lang w:eastAsia="zh-CN"/>
              </w:rPr>
              <w:t>；</w:t>
            </w:r>
          </w:p>
          <w:p>
            <w:pPr>
              <w:pStyle w:val="30"/>
              <w:numPr>
                <w:ilvl w:val="0"/>
                <w:numId w:val="0"/>
              </w:numPr>
              <w:spacing w:before="0" w:beforeAutospacing="0" w:after="0" w:afterAutospacing="0" w:line="360" w:lineRule="auto"/>
              <w:ind w:left="0" w:leftChars="0" w:firstLine="0" w:firstLineChars="0"/>
              <w:jc w:val="left"/>
              <w:rPr>
                <w:rFonts w:hint="eastAsia"/>
                <w:vertAlign w:val="baseline"/>
                <w:lang w:val="en-US" w:eastAsia="zh-CN"/>
              </w:rPr>
            </w:pPr>
            <w:r>
              <w:rPr>
                <w:rFonts w:hint="eastAsia" w:ascii="宋体" w:hAnsi="宋体" w:eastAsia="宋体" w:cs="宋体"/>
                <w:sz w:val="24"/>
                <w:szCs w:val="24"/>
                <w:lang w:val="en-US" w:eastAsia="zh-CN"/>
              </w:rPr>
              <w:t>7、金属雕花板，规格型号：Ⅱ类B1级1200X420X16（mm）米黄色、灰色：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8</w:t>
            </w:r>
          </w:p>
        </w:tc>
        <w:tc>
          <w:tcPr>
            <w:tcW w:w="20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屋面装饰配置</w:t>
            </w:r>
          </w:p>
        </w:tc>
        <w:tc>
          <w:tcPr>
            <w:tcW w:w="6225" w:type="dxa"/>
            <w:vAlign w:val="center"/>
          </w:tcPr>
          <w:p>
            <w:pPr>
              <w:numPr>
                <w:ilvl w:val="0"/>
                <w:numId w:val="22"/>
              </w:numPr>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屋面：①</w:t>
            </w:r>
            <w:r>
              <w:rPr>
                <w:rFonts w:hint="eastAsia" w:ascii="宋体" w:hAnsi="宋体" w:eastAsia="宋体" w:cs="宋体"/>
                <w:sz w:val="24"/>
                <w:szCs w:val="24"/>
              </w:rPr>
              <w:t>、结构基层板：（1mm 镀锌钢板）</w:t>
            </w:r>
          </w:p>
          <w:p>
            <w:pPr>
              <w:numPr>
                <w:ilvl w:val="0"/>
                <w:numId w:val="0"/>
              </w:numPr>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②</w:t>
            </w:r>
            <w:r>
              <w:rPr>
                <w:rFonts w:hint="eastAsia" w:ascii="宋体" w:hAnsi="宋体" w:eastAsia="宋体" w:cs="宋体"/>
                <w:sz w:val="24"/>
                <w:szCs w:val="24"/>
              </w:rPr>
              <w:t>、隔热层：12mm 挤塑板</w:t>
            </w:r>
          </w:p>
          <w:p>
            <w:pPr>
              <w:numPr>
                <w:ilvl w:val="0"/>
                <w:numId w:val="0"/>
              </w:numPr>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③</w:t>
            </w:r>
            <w:r>
              <w:rPr>
                <w:rFonts w:hint="eastAsia" w:ascii="宋体" w:hAnsi="宋体" w:eastAsia="宋体" w:cs="宋体"/>
                <w:sz w:val="24"/>
                <w:szCs w:val="24"/>
              </w:rPr>
              <w:t>、沥瓦：欧文丝、1000*1500*3mm，</w:t>
            </w:r>
          </w:p>
          <w:p>
            <w:pPr>
              <w:numPr>
                <w:ilvl w:val="0"/>
                <w:numId w:val="0"/>
              </w:num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④</w:t>
            </w:r>
            <w:r>
              <w:rPr>
                <w:rFonts w:hint="eastAsia" w:ascii="宋体" w:hAnsi="宋体" w:eastAsia="宋体" w:cs="宋体"/>
                <w:sz w:val="24"/>
                <w:szCs w:val="24"/>
              </w:rPr>
              <w:t>、屋檐：无指纹玫瑰不锈钢板</w:t>
            </w:r>
            <w:r>
              <w:rPr>
                <w:rFonts w:hint="eastAsia" w:ascii="宋体" w:hAnsi="宋体" w:eastAsia="宋体" w:cs="宋体"/>
                <w:sz w:val="24"/>
                <w:szCs w:val="24"/>
                <w:lang w:eastAsia="zh-CN"/>
              </w:rPr>
              <w:t>；</w:t>
            </w:r>
          </w:p>
          <w:p>
            <w:pPr>
              <w:pStyle w:val="30"/>
              <w:spacing w:before="0" w:beforeAutospacing="0" w:after="0" w:afterAutospacing="0"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2、钢结构：</w:t>
            </w:r>
            <w:r>
              <w:rPr>
                <w:rFonts w:hint="eastAsia" w:ascii="宋体" w:hAnsi="宋体" w:eastAsia="宋体" w:cs="宋体"/>
                <w:sz w:val="24"/>
                <w:szCs w:val="24"/>
              </w:rPr>
              <w:t>厕所的主体结构应采用镀锌钢结构，焊接的方式成型，结构稳固；使用寿命10年以上，抗风等级达到12级以上，抗震等级达到7级以上</w:t>
            </w:r>
            <w:r>
              <w:rPr>
                <w:rFonts w:hint="eastAsia" w:ascii="宋体" w:hAnsi="宋体" w:eastAsia="宋体" w:cs="宋体"/>
                <w:sz w:val="24"/>
                <w:szCs w:val="24"/>
                <w:lang w:eastAsia="zh-CN"/>
              </w:rPr>
              <w:t>；</w:t>
            </w:r>
          </w:p>
          <w:p>
            <w:pPr>
              <w:pStyle w:val="30"/>
              <w:spacing w:before="0" w:beforeAutospacing="0" w:after="0" w:afterAutospacing="0" w:line="360" w:lineRule="auto"/>
              <w:jc w:val="left"/>
              <w:rPr>
                <w:rFonts w:hint="eastAsia"/>
                <w:vertAlign w:val="baseline"/>
                <w:lang w:val="en-US" w:eastAsia="zh-CN"/>
              </w:rPr>
            </w:pPr>
            <w:r>
              <w:rPr>
                <w:rFonts w:hint="eastAsia" w:ascii="宋体" w:hAnsi="宋体" w:eastAsia="宋体" w:cs="宋体"/>
                <w:sz w:val="24"/>
                <w:szCs w:val="24"/>
                <w:lang w:val="en-US" w:eastAsia="zh-CN"/>
              </w:rPr>
              <w:t>3、油漆：</w:t>
            </w:r>
            <w:r>
              <w:rPr>
                <w:rFonts w:hint="eastAsia" w:ascii="宋体" w:hAnsi="宋体" w:eastAsia="宋体" w:cs="宋体"/>
                <w:sz w:val="24"/>
                <w:szCs w:val="24"/>
              </w:rPr>
              <w:t>船用防腐漆</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9</w:t>
            </w:r>
          </w:p>
        </w:tc>
        <w:tc>
          <w:tcPr>
            <w:tcW w:w="20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残疾间配置</w:t>
            </w:r>
          </w:p>
        </w:tc>
        <w:tc>
          <w:tcPr>
            <w:tcW w:w="6225" w:type="dxa"/>
            <w:vAlign w:val="center"/>
          </w:tcPr>
          <w:p>
            <w:pPr>
              <w:pStyle w:val="30"/>
              <w:numPr>
                <w:ilvl w:val="0"/>
                <w:numId w:val="23"/>
              </w:numPr>
              <w:spacing w:before="0" w:beforeAutospacing="0" w:after="0" w:afterAutospacing="0"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电器控制系统；</w:t>
            </w:r>
          </w:p>
          <w:p>
            <w:pPr>
              <w:pStyle w:val="30"/>
              <w:numPr>
                <w:ilvl w:val="0"/>
                <w:numId w:val="23"/>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照明控制系统；</w:t>
            </w:r>
          </w:p>
          <w:p>
            <w:pPr>
              <w:pStyle w:val="30"/>
              <w:numPr>
                <w:ilvl w:val="0"/>
                <w:numId w:val="23"/>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设排风系统；</w:t>
            </w:r>
            <w:r>
              <w:rPr>
                <w:rFonts w:hint="eastAsia" w:ascii="宋体" w:hAnsi="宋体" w:eastAsia="宋体" w:cs="宋体"/>
                <w:color w:val="000000"/>
                <w:sz w:val="24"/>
                <w:szCs w:val="24"/>
                <w:lang w:eastAsia="zh-CN"/>
              </w:rPr>
              <w:t>坐便器</w:t>
            </w:r>
            <w:r>
              <w:rPr>
                <w:rFonts w:hint="eastAsia" w:ascii="宋体" w:hAnsi="宋体" w:eastAsia="宋体" w:cs="宋体"/>
                <w:color w:val="000000"/>
                <w:sz w:val="24"/>
                <w:szCs w:val="24"/>
                <w:lang w:val="en-US" w:eastAsia="zh-CN"/>
              </w:rPr>
              <w:t>1个；</w:t>
            </w:r>
          </w:p>
          <w:p>
            <w:pPr>
              <w:pStyle w:val="30"/>
              <w:numPr>
                <w:ilvl w:val="0"/>
                <w:numId w:val="23"/>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照明节能灯</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盏；</w:t>
            </w:r>
          </w:p>
          <w:p>
            <w:pPr>
              <w:pStyle w:val="30"/>
              <w:numPr>
                <w:ilvl w:val="0"/>
                <w:numId w:val="23"/>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不锈钢挂衣钩</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个；</w:t>
            </w:r>
          </w:p>
          <w:p>
            <w:pPr>
              <w:pStyle w:val="30"/>
              <w:numPr>
                <w:ilvl w:val="0"/>
                <w:numId w:val="23"/>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助力扶手</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个；</w:t>
            </w:r>
          </w:p>
          <w:p>
            <w:pPr>
              <w:pStyle w:val="30"/>
              <w:numPr>
                <w:ilvl w:val="0"/>
                <w:numId w:val="23"/>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不锈钢纸巾筒</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个；</w:t>
            </w:r>
          </w:p>
          <w:p>
            <w:pPr>
              <w:pStyle w:val="30"/>
              <w:numPr>
                <w:ilvl w:val="0"/>
                <w:numId w:val="23"/>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高级压花垃圾桶</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个；</w:t>
            </w:r>
          </w:p>
          <w:p>
            <w:pPr>
              <w:pStyle w:val="30"/>
              <w:numPr>
                <w:ilvl w:val="0"/>
                <w:numId w:val="23"/>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水龙头</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个；</w:t>
            </w:r>
          </w:p>
          <w:p>
            <w:pPr>
              <w:pStyle w:val="30"/>
              <w:numPr>
                <w:ilvl w:val="0"/>
                <w:numId w:val="14"/>
              </w:numPr>
              <w:spacing w:before="0" w:beforeAutospacing="0" w:after="0" w:afterAutospacing="0" w:line="360" w:lineRule="auto"/>
              <w:ind w:left="0" w:leftChars="0" w:firstLine="0"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节水箱冲洗</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个；</w:t>
            </w:r>
          </w:p>
          <w:p>
            <w:pPr>
              <w:pStyle w:val="30"/>
              <w:numPr>
                <w:ilvl w:val="0"/>
                <w:numId w:val="0"/>
              </w:numPr>
              <w:spacing w:before="0" w:beforeAutospacing="0" w:after="0" w:afterAutospacing="0" w:line="360" w:lineRule="auto"/>
              <w:ind w:left="0" w:leftChars="0" w:firstLine="0" w:firstLineChars="0"/>
              <w:jc w:val="left"/>
              <w:rPr>
                <w:rFonts w:hint="eastAsia"/>
                <w:vertAlign w:val="baseline"/>
                <w:lang w:val="en-US" w:eastAsia="zh-CN"/>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12</w:t>
            </w:r>
            <w:r>
              <w:rPr>
                <w:rFonts w:hint="eastAsia" w:ascii="宋体" w:hAnsi="宋体" w:eastAsia="宋体" w:cs="宋体"/>
                <w:color w:val="000000"/>
                <w:sz w:val="24"/>
                <w:szCs w:val="24"/>
              </w:rPr>
              <w:t>）存水弯</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个；(</w:t>
            </w:r>
            <w:r>
              <w:rPr>
                <w:rFonts w:hint="eastAsia" w:ascii="宋体" w:hAnsi="宋体" w:eastAsia="宋体" w:cs="宋体"/>
                <w:color w:val="000000"/>
                <w:sz w:val="24"/>
                <w:szCs w:val="24"/>
                <w:lang w:val="en-US" w:eastAsia="zh-CN"/>
              </w:rPr>
              <w:t>12n</w:t>
            </w:r>
            <w:r>
              <w:rPr>
                <w:rFonts w:hint="eastAsia" w:ascii="宋体" w:hAnsi="宋体" w:eastAsia="宋体" w:cs="宋体"/>
                <w:color w:val="000000"/>
                <w:sz w:val="24"/>
                <w:szCs w:val="24"/>
              </w:rPr>
              <w:t>)闭门器</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10</w:t>
            </w:r>
          </w:p>
        </w:tc>
        <w:tc>
          <w:tcPr>
            <w:tcW w:w="20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地面硬化材料及人工费</w:t>
            </w:r>
          </w:p>
        </w:tc>
        <w:tc>
          <w:tcPr>
            <w:tcW w:w="62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325水泥、沙子、石子、环保砖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11</w:t>
            </w:r>
          </w:p>
        </w:tc>
        <w:tc>
          <w:tcPr>
            <w:tcW w:w="20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运费、卸车费及安装费</w:t>
            </w:r>
          </w:p>
        </w:tc>
        <w:tc>
          <w:tcPr>
            <w:tcW w:w="62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12</w:t>
            </w:r>
          </w:p>
        </w:tc>
        <w:tc>
          <w:tcPr>
            <w:tcW w:w="20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化粪池及开挖等费用</w:t>
            </w:r>
          </w:p>
        </w:tc>
        <w:tc>
          <w:tcPr>
            <w:tcW w:w="6225" w:type="dxa"/>
            <w:vAlign w:val="center"/>
          </w:tcPr>
          <w:p>
            <w:pPr>
              <w:pStyle w:val="30"/>
              <w:spacing w:before="0" w:beforeAutospacing="0" w:after="0" w:afterAutospacing="0" w:line="360" w:lineRule="auto"/>
              <w:jc w:val="center"/>
              <w:rPr>
                <w:rFonts w:hint="eastAsia"/>
                <w:vertAlign w:val="baseline"/>
                <w:lang w:val="en-US" w:eastAsia="zh-CN"/>
              </w:rPr>
            </w:pPr>
            <w:r>
              <w:rPr>
                <w:rFonts w:hint="eastAsia" w:ascii="宋体" w:hAnsi="宋体" w:eastAsia="宋体" w:cs="宋体"/>
                <w:color w:val="000000"/>
                <w:sz w:val="24"/>
                <w:szCs w:val="24"/>
                <w:lang w:val="en-US" w:eastAsia="zh-CN"/>
              </w:rPr>
              <w:t>玻璃钢化粪池5立方米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30"/>
              <w:spacing w:before="0" w:beforeAutospacing="0" w:after="0" w:afterAutospacing="0"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2025" w:type="dxa"/>
            <w:vAlign w:val="center"/>
          </w:tcPr>
          <w:p>
            <w:pPr>
              <w:pStyle w:val="30"/>
              <w:spacing w:before="0" w:beforeAutospacing="0" w:after="0" w:afterAutospacing="0"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规格</w:t>
            </w:r>
          </w:p>
        </w:tc>
        <w:tc>
          <w:tcPr>
            <w:tcW w:w="6225" w:type="dxa"/>
            <w:vAlign w:val="center"/>
          </w:tcPr>
          <w:p>
            <w:pP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1、3蹲位厕所加一个管理间尺寸：高3米（地面到顶）宽4.7米（顶上尺寸）；</w:t>
            </w:r>
          </w:p>
          <w:p>
            <w:pPr>
              <w:pStyle w:val="30"/>
              <w:spacing w:before="0" w:beforeAutospacing="0" w:after="0" w:afterAutospacing="0" w:line="360" w:lineRule="auto"/>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2、每间厕所内尺寸：内空高2.1米 宽1.3米 深1.6米； </w:t>
            </w:r>
          </w:p>
          <w:p>
            <w:pPr>
              <w:pStyle w:val="30"/>
              <w:spacing w:before="0" w:beforeAutospacing="0" w:after="0" w:afterAutospacing="0" w:line="360" w:lineRule="auto"/>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3、无障碍间内尺寸：内空2.1米 宽1.4米 深1.4米；</w:t>
            </w:r>
          </w:p>
          <w:p>
            <w:pPr>
              <w:pStyle w:val="30"/>
              <w:spacing w:before="0" w:beforeAutospacing="0" w:after="0" w:afterAutospacing="0" w:line="360" w:lineRule="auto"/>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4、管理间内尺寸：内空高2.1米 宽1.4米 深0.9；</w:t>
            </w:r>
          </w:p>
          <w:p>
            <w:pPr>
              <w:pStyle w:val="30"/>
              <w:spacing w:before="0" w:beforeAutospacing="0" w:after="0" w:afterAutospacing="0" w:line="360" w:lineRule="auto"/>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5、蹲位尺寸：0.42米x0.58米。</w:t>
            </w:r>
          </w:p>
        </w:tc>
      </w:tr>
    </w:tbl>
    <w:p>
      <w:pPr>
        <w:bidi w:val="0"/>
        <w:rPr>
          <w:rFonts w:hint="eastAsia"/>
          <w:lang w:val="en-US" w:eastAsia="zh-CN"/>
        </w:rPr>
        <w:sectPr>
          <w:headerReference r:id="rId12" w:type="default"/>
          <w:footerReference r:id="rId13" w:type="default"/>
          <w:footerReference r:id="rId14" w:type="even"/>
          <w:pgSz w:w="11906" w:h="16838"/>
          <w:pgMar w:top="1440" w:right="1800" w:bottom="1440" w:left="1800" w:header="851" w:footer="992" w:gutter="0"/>
          <w:pgNumType w:fmt="decimal"/>
          <w:cols w:space="708" w:num="1"/>
          <w:docGrid w:type="lines" w:linePitch="312" w:charSpace="0"/>
        </w:sectPr>
      </w:pPr>
    </w:p>
    <w:p>
      <w:pPr>
        <w:keepNext w:val="0"/>
        <w:keepLines w:val="0"/>
        <w:pageBreakBefore w:val="0"/>
        <w:widowControl w:val="0"/>
        <w:numPr>
          <w:ilvl w:val="0"/>
          <w:numId w:val="0"/>
        </w:numPr>
        <w:kinsoku/>
        <w:wordWrap/>
        <w:overflowPunct/>
        <w:topLinePunct w:val="0"/>
        <w:bidi w:val="0"/>
        <w:spacing w:before="0" w:line="360" w:lineRule="auto"/>
        <w:ind w:right="0" w:rightChars="0"/>
        <w:jc w:val="left"/>
        <w:textAlignment w:val="auto"/>
        <w:rPr>
          <w:rFonts w:hint="eastAsia" w:ascii="宋体" w:hAnsi="宋体" w:eastAsia="宋体" w:cs="宋体"/>
          <w:b/>
          <w:color w:val="auto"/>
          <w:sz w:val="21"/>
          <w:szCs w:val="21"/>
          <w:lang w:eastAsia="zh-CN"/>
        </w:rPr>
      </w:pPr>
    </w:p>
    <w:p>
      <w:pPr>
        <w:keepNext w:val="0"/>
        <w:keepLines w:val="0"/>
        <w:pageBreakBefore w:val="0"/>
        <w:widowControl w:val="0"/>
        <w:numPr>
          <w:ilvl w:val="0"/>
          <w:numId w:val="0"/>
        </w:numPr>
        <w:kinsoku/>
        <w:wordWrap/>
        <w:overflowPunct/>
        <w:topLinePunct w:val="0"/>
        <w:bidi w:val="0"/>
        <w:spacing w:before="0" w:line="360" w:lineRule="auto"/>
        <w:ind w:right="0" w:rightChars="0"/>
        <w:jc w:val="left"/>
        <w:textAlignment w:val="auto"/>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t>特别说明：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2" w:firstLineChars="200"/>
        <w:jc w:val="both"/>
        <w:textAlignment w:val="auto"/>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t xml:space="preserve">1、采购需求中如果必须引用某一品牌或者生产商才能准确清楚地说明采购项目的技术标准和要求，则视为在引用某一品牌或生产供应商名称前加上“参照或相当于”的字样，并非指向特定供应商或特定产品。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2" w:firstLineChars="200"/>
        <w:jc w:val="both"/>
        <w:textAlignment w:val="auto"/>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t>2、采购需求中非订制的采购标的关于重量、尺寸、体积等的技术参数均为范围值，已列明的固定值均视为约等于（≥或≤）。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三</w:t>
      </w:r>
      <w:r>
        <w:rPr>
          <w:rFonts w:hint="eastAsia" w:ascii="宋体" w:hAnsi="宋体" w:eastAsia="宋体" w:cs="宋体"/>
          <w:b/>
          <w:bCs/>
          <w:color w:val="auto"/>
          <w:sz w:val="21"/>
          <w:szCs w:val="21"/>
          <w:highlight w:val="none"/>
        </w:rPr>
        <w:t>、其它要求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（一）交付时间：合同签订生效之日起</w:t>
      </w:r>
      <w:r>
        <w:rPr>
          <w:rFonts w:hint="eastAsia" w:ascii="宋体" w:hAnsi="宋体" w:eastAsia="宋体" w:cs="宋体"/>
          <w:color w:val="auto"/>
          <w:sz w:val="21"/>
          <w:szCs w:val="21"/>
          <w:highlight w:val="none"/>
          <w:lang w:val="en-US" w:eastAsia="zh-CN"/>
        </w:rPr>
        <w:t>100</w:t>
      </w:r>
      <w:r>
        <w:rPr>
          <w:rFonts w:hint="eastAsia" w:ascii="宋体" w:hAnsi="宋体" w:eastAsia="宋体" w:cs="宋体"/>
          <w:color w:val="auto"/>
          <w:sz w:val="21"/>
          <w:szCs w:val="21"/>
          <w:highlight w:val="none"/>
        </w:rPr>
        <w:t>天内。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eastAsia="zh-CN"/>
        </w:rPr>
        <w:t>（二）</w:t>
      </w:r>
      <w:r>
        <w:rPr>
          <w:rFonts w:hint="eastAsia" w:ascii="宋体" w:hAnsi="宋体" w:eastAsia="宋体" w:cs="宋体"/>
          <w:color w:val="auto"/>
          <w:sz w:val="21"/>
          <w:szCs w:val="21"/>
          <w:highlight w:val="none"/>
          <w:lang w:val="zh-CN"/>
        </w:rPr>
        <w:t>付款方式：签订合同时采购双方另行约定。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lang w:eastAsia="zh-CN"/>
        </w:rPr>
        <w:t>三</w:t>
      </w:r>
      <w:r>
        <w:rPr>
          <w:rFonts w:hint="eastAsia" w:ascii="宋体" w:hAnsi="宋体" w:eastAsia="宋体" w:cs="宋体"/>
          <w:color w:val="auto"/>
          <w:sz w:val="21"/>
          <w:szCs w:val="21"/>
          <w:highlight w:val="none"/>
          <w:lang w:val="zh-CN"/>
        </w:rPr>
        <w:t>）具体安装地点为采购人指定地点。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zh-CN"/>
        </w:rPr>
        <w:t>四</w:t>
      </w:r>
      <w:r>
        <w:rPr>
          <w:rFonts w:hint="eastAsia" w:ascii="宋体" w:hAnsi="宋体" w:eastAsia="宋体" w:cs="宋体"/>
          <w:color w:val="auto"/>
          <w:sz w:val="21"/>
          <w:szCs w:val="21"/>
          <w:highlight w:val="none"/>
        </w:rPr>
        <w:t>）设备保修期限按原厂商标准，但不得低于一年。保修期自双方代表在合格验收单上签字之日起计算。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五</w:t>
      </w:r>
      <w:r>
        <w:rPr>
          <w:rFonts w:hint="eastAsia" w:ascii="宋体" w:hAnsi="宋体" w:eastAsia="宋体" w:cs="宋体"/>
          <w:color w:val="auto"/>
          <w:sz w:val="21"/>
          <w:szCs w:val="21"/>
          <w:highlight w:val="none"/>
        </w:rPr>
        <w:t>）保修期内,供货商提供上门保修，即由供货商派人员到用户现场维护，由此产生的一切费用均由供货商承担。保修期内，供货商必须根据用户要求负责进行售后技术支持和服务，对于非用户人为原因而出现产品质量及安装问题，由供货商负责包修、包换或包退， 并承担因此而产生的一切费用。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六</w:t>
      </w:r>
      <w:r>
        <w:rPr>
          <w:rFonts w:hint="eastAsia" w:ascii="宋体" w:hAnsi="宋体" w:eastAsia="宋体" w:cs="宋体"/>
          <w:color w:val="auto"/>
          <w:sz w:val="21"/>
          <w:szCs w:val="21"/>
          <w:highlight w:val="none"/>
        </w:rPr>
        <w:t>）服务期间，供货商应提供但不限于下述服务：在保修期间提供免费保修， 7×24 小时上门服务，免费更换故障配件。提供 7×24小时技术支持和服务，1小时内响应，通过远程方式无法解决的， 2小时到达故障现场进行处理。故障设备现场无法修复的，在 24 小时内提供相同品质规格的设备备用。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2" w:firstLineChars="200"/>
        <w:jc w:val="both"/>
        <w:textAlignment w:val="auto"/>
        <w:rPr>
          <w:rFonts w:hint="eastAsia" w:ascii="宋体" w:hAnsi="宋体" w:eastAsia="宋体" w:cs="宋体"/>
          <w:b/>
          <w:color w:val="auto"/>
          <w:kern w:val="0"/>
          <w:sz w:val="21"/>
          <w:szCs w:val="21"/>
          <w:lang w:eastAsia="zh-CN"/>
        </w:rPr>
      </w:pPr>
      <w:r>
        <w:rPr>
          <w:rFonts w:hint="eastAsia" w:ascii="宋体" w:hAnsi="宋体" w:eastAsia="宋体" w:cs="宋体"/>
          <w:b/>
          <w:bCs/>
          <w:color w:val="auto"/>
          <w:sz w:val="21"/>
          <w:szCs w:val="21"/>
          <w:highlight w:val="none"/>
          <w:lang w:eastAsia="zh-CN"/>
        </w:rPr>
        <w:t>四</w:t>
      </w:r>
      <w:r>
        <w:rPr>
          <w:rFonts w:hint="eastAsia" w:ascii="宋体" w:hAnsi="宋体" w:eastAsia="宋体" w:cs="宋体"/>
          <w:b/>
          <w:bCs/>
          <w:color w:val="auto"/>
          <w:sz w:val="21"/>
          <w:szCs w:val="21"/>
          <w:highlight w:val="none"/>
        </w:rPr>
        <w:t>、服务及验收标准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本项目由采购人自行组织验收。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1、完整细化编制验收方案。采购人根据项目特点编制验收方案，明确履约验收的主体、时间、方式、程序、内容和验收标准等内容。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2、本项目可以邀请参加本项目的其他供应商或第三方专业机构及专家参与验收，相关验收意见作为验收书的参考材料。政府向社会公众提供的公共服务项目，验收时应当邀请服务对象参与并出具意见，验收结果应当向社会公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3、严格按照采购合同展开履约验收。采购人成立验收小组，按照采购合同的约定对每一项技术、服务、安全标准的履约情况进行确认：验收内容要包括每一项技术和要求履约情况，验收标准要包括所有客观、量化指标。不能明确客观标准、涉及主观判断的，可以通过在采购人、使用人中开展问卷调查方式，转化为客观、量化的验收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分期实施的采购项目，应当结合分期考核的情况，明确分期验收要求。货物类项目可以根据需要设置出厂检验、到货检验、安装调试检验、配套服务检验等多重检验环节。工程类项目的验收方案应当符合各行业管理部门规定的标准、方法和内容。验收结束后，出具验收书，列明各项标准的验收情况及项目总体评价，由验收双方共同签署。验收结果与采购合同约定的资金支付及履约保证金返还条件相挂钩，履约验收的各项资料应当由采购人存档备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4、严格落实履约验收责任。验收合格的项目，采购人应当根据采购合同的约定及时向供应商支付采购资金，退还履约保证金，验收不合格的，采购人依法及时处理。采购合同的履行、违约责任和解决争议的方式等适用《中华人民共和国民法典》，供应商在履约过程中有政府采购法律法规规定的违法违规情形的，采购人及时报告本级政府财政部门。</w:t>
      </w:r>
    </w:p>
    <w:p>
      <w:pPr>
        <w:pStyle w:val="31"/>
        <w:spacing w:before="0" w:beforeLines="0" w:after="0" w:afterLines="0" w:line="360" w:lineRule="auto"/>
        <w:jc w:val="center"/>
        <w:rPr>
          <w:rFonts w:hint="eastAsia"/>
          <w:b/>
          <w:bCs/>
          <w:color w:val="auto"/>
          <w:sz w:val="24"/>
          <w:szCs w:val="24"/>
          <w:highlight w:val="none"/>
        </w:rPr>
        <w:sectPr>
          <w:pgSz w:w="11906" w:h="16838"/>
          <w:pgMar w:top="1440" w:right="1800" w:bottom="1440" w:left="1800" w:header="851" w:footer="992" w:gutter="0"/>
          <w:pgNumType w:fmt="decimal"/>
          <w:cols w:space="708" w:num="1"/>
          <w:docGrid w:type="lines" w:linePitch="312" w:charSpace="0"/>
        </w:sectPr>
      </w:pPr>
      <w:bookmarkStart w:id="19" w:name="_Toc2471"/>
    </w:p>
    <w:p>
      <w:pPr>
        <w:pStyle w:val="31"/>
        <w:spacing w:before="0" w:beforeLines="0" w:after="0" w:afterLines="0" w:line="360" w:lineRule="auto"/>
        <w:jc w:val="center"/>
        <w:rPr>
          <w:rFonts w:hint="eastAsia"/>
          <w:b/>
          <w:bCs/>
          <w:color w:val="auto"/>
          <w:sz w:val="24"/>
          <w:szCs w:val="24"/>
          <w:highlight w:val="none"/>
        </w:rPr>
      </w:pPr>
      <w:r>
        <w:rPr>
          <w:rFonts w:hint="eastAsia"/>
          <w:b/>
          <w:bCs/>
          <w:color w:val="auto"/>
          <w:sz w:val="24"/>
          <w:szCs w:val="24"/>
          <w:highlight w:val="none"/>
        </w:rPr>
        <w:t>第五章 响应文件组成</w:t>
      </w:r>
      <w:bookmarkEnd w:id="19"/>
    </w:p>
    <w:p>
      <w:pPr>
        <w:spacing w:line="360" w:lineRule="auto"/>
        <w:rPr>
          <w:rFonts w:ascii="宋体" w:hAnsi="宋体"/>
          <w:color w:val="auto"/>
          <w:sz w:val="24"/>
          <w:szCs w:val="24"/>
          <w:highlight w:val="none"/>
        </w:rPr>
      </w:pPr>
      <w:r>
        <w:rPr>
          <w:rFonts w:hint="eastAsia" w:ascii="宋体" w:hAnsi="宋体"/>
          <w:color w:val="auto"/>
          <w:sz w:val="24"/>
          <w:szCs w:val="24"/>
          <w:highlight w:val="none"/>
        </w:rPr>
        <w:t>供应商的响应文件应包含以下部分：</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一、谈判响应声明</w:t>
      </w:r>
    </w:p>
    <w:p>
      <w:pPr>
        <w:spacing w:line="360" w:lineRule="auto"/>
        <w:rPr>
          <w:rFonts w:hint="eastAsia" w:ascii="宋体" w:hAnsi="宋体"/>
          <w:color w:val="auto"/>
          <w:sz w:val="24"/>
          <w:szCs w:val="24"/>
          <w:highlight w:val="none"/>
        </w:rPr>
      </w:pPr>
      <w:r>
        <w:rPr>
          <w:rFonts w:hint="eastAsia" w:ascii="宋体" w:hAnsi="宋体"/>
          <w:b/>
          <w:color w:val="auto"/>
          <w:sz w:val="24"/>
          <w:szCs w:val="24"/>
          <w:highlight w:val="none"/>
        </w:rPr>
        <w:t>二、供应商的资格证明材料</w:t>
      </w:r>
    </w:p>
    <w:p>
      <w:pPr>
        <w:spacing w:line="360" w:lineRule="auto"/>
        <w:rPr>
          <w:rFonts w:hint="eastAsia" w:ascii="宋体" w:hAnsi="宋体" w:eastAsia="宋体"/>
          <w:b/>
          <w:color w:val="auto"/>
          <w:sz w:val="24"/>
          <w:highlight w:val="none"/>
          <w:lang w:eastAsia="zh-CN"/>
        </w:rPr>
      </w:pPr>
      <w:r>
        <w:rPr>
          <w:rFonts w:hint="eastAsia" w:hAnsi="宋体"/>
          <w:b/>
          <w:color w:val="auto"/>
          <w:sz w:val="24"/>
          <w:highlight w:val="none"/>
        </w:rPr>
        <w:t>三、技术响应与偏离表</w:t>
      </w:r>
      <w:r>
        <w:rPr>
          <w:rFonts w:hint="eastAsia" w:hAnsi="宋体"/>
          <w:b/>
          <w:color w:val="auto"/>
          <w:sz w:val="24"/>
          <w:highlight w:val="none"/>
          <w:lang w:val="en-US" w:eastAsia="zh-CN"/>
        </w:rPr>
        <w:t xml:space="preserve"> </w:t>
      </w:r>
    </w:p>
    <w:p>
      <w:pPr>
        <w:spacing w:line="360" w:lineRule="auto"/>
        <w:rPr>
          <w:rFonts w:hint="eastAsia" w:ascii="宋体" w:hAnsi="宋体" w:eastAsia="宋体"/>
          <w:b/>
          <w:color w:val="auto"/>
          <w:sz w:val="24"/>
          <w:szCs w:val="24"/>
          <w:highlight w:val="none"/>
          <w:lang w:eastAsia="zh-CN"/>
        </w:rPr>
      </w:pPr>
      <w:r>
        <w:rPr>
          <w:rFonts w:hint="eastAsia" w:ascii="宋体" w:hAnsi="宋体"/>
          <w:b/>
          <w:color w:val="auto"/>
          <w:sz w:val="24"/>
          <w:szCs w:val="24"/>
          <w:highlight w:val="none"/>
        </w:rPr>
        <w:t>四、报价一览表</w:t>
      </w:r>
      <w:r>
        <w:rPr>
          <w:rFonts w:hint="eastAsia" w:ascii="宋体" w:hAnsi="宋体"/>
          <w:b/>
          <w:color w:val="auto"/>
          <w:sz w:val="24"/>
          <w:szCs w:val="24"/>
          <w:highlight w:val="none"/>
          <w:lang w:eastAsia="zh-CN"/>
        </w:rPr>
        <w:t>及分项报价表</w:t>
      </w:r>
    </w:p>
    <w:p>
      <w:pPr>
        <w:spacing w:line="360" w:lineRule="auto"/>
        <w:rPr>
          <w:rFonts w:hint="eastAsia" w:ascii="宋体" w:hAnsi="宋体" w:eastAsia="宋体"/>
          <w:b/>
          <w:color w:val="auto"/>
          <w:sz w:val="24"/>
          <w:szCs w:val="24"/>
          <w:highlight w:val="none"/>
          <w:lang w:eastAsia="zh-CN"/>
        </w:rPr>
      </w:pPr>
      <w:r>
        <w:rPr>
          <w:rFonts w:hint="eastAsia" w:ascii="宋体" w:hAnsi="宋体"/>
          <w:b/>
          <w:color w:val="auto"/>
          <w:sz w:val="24"/>
          <w:szCs w:val="24"/>
          <w:highlight w:val="none"/>
        </w:rPr>
        <w:t>五、</w:t>
      </w:r>
      <w:r>
        <w:rPr>
          <w:rFonts w:hint="eastAsia" w:ascii="宋体" w:hAnsi="宋体" w:eastAsia="宋体"/>
          <w:b/>
          <w:color w:val="auto"/>
          <w:sz w:val="24"/>
          <w:szCs w:val="24"/>
          <w:highlight w:val="none"/>
          <w:lang w:eastAsia="zh-CN"/>
        </w:rPr>
        <w:t>提供政府采购政策产品等证明材料</w:t>
      </w:r>
    </w:p>
    <w:p>
      <w:pPr>
        <w:spacing w:line="360" w:lineRule="auto"/>
        <w:rPr>
          <w:rFonts w:hint="eastAsia"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六、供应商认为需要提供的其它资料</w:t>
      </w:r>
    </w:p>
    <w:p>
      <w:pPr>
        <w:spacing w:line="360" w:lineRule="auto"/>
        <w:rPr>
          <w:rFonts w:hint="eastAsia"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七</w:t>
      </w:r>
      <w:r>
        <w:rPr>
          <w:rFonts w:hint="eastAsia" w:ascii="宋体" w:hAnsi="宋体"/>
          <w:b/>
          <w:color w:val="auto"/>
          <w:sz w:val="24"/>
          <w:szCs w:val="24"/>
          <w:highlight w:val="none"/>
        </w:rPr>
        <w:t>、最后</w:t>
      </w:r>
      <w:r>
        <w:rPr>
          <w:rFonts w:hint="eastAsia" w:ascii="宋体" w:hAnsi="宋体" w:eastAsia="宋体"/>
          <w:b/>
          <w:color w:val="auto"/>
          <w:sz w:val="24"/>
          <w:szCs w:val="24"/>
          <w:highlight w:val="none"/>
          <w:lang w:eastAsia="zh-CN"/>
        </w:rPr>
        <w:t>报价（谈判结束后现场填写）</w:t>
      </w:r>
    </w:p>
    <w:p>
      <w:pPr>
        <w:spacing w:line="360" w:lineRule="exact"/>
        <w:rPr>
          <w:rFonts w:ascii="宋体" w:hAnsi="宋体"/>
          <w:b/>
          <w:color w:val="auto"/>
          <w:sz w:val="24"/>
          <w:szCs w:val="24"/>
          <w:highlight w:val="none"/>
        </w:rPr>
      </w:pPr>
    </w:p>
    <w:p>
      <w:pPr>
        <w:spacing w:line="360" w:lineRule="exact"/>
        <w:rPr>
          <w:rFonts w:ascii="宋体" w:hAnsi="宋体"/>
          <w:b/>
          <w:color w:val="auto"/>
          <w:sz w:val="24"/>
          <w:szCs w:val="24"/>
          <w:highlight w:val="none"/>
        </w:rPr>
      </w:pPr>
    </w:p>
    <w:p>
      <w:pPr>
        <w:bidi w:val="0"/>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jc w:val="center"/>
        <w:rPr>
          <w:rFonts w:hint="eastAsia"/>
          <w:b/>
          <w:color w:val="auto"/>
          <w:sz w:val="24"/>
          <w:szCs w:val="24"/>
          <w:highlight w:val="none"/>
        </w:rPr>
      </w:pPr>
    </w:p>
    <w:p>
      <w:pPr>
        <w:jc w:val="center"/>
        <w:rPr>
          <w:rFonts w:hint="eastAsia"/>
          <w:b/>
          <w:color w:val="auto"/>
          <w:sz w:val="24"/>
          <w:szCs w:val="24"/>
          <w:highlight w:val="none"/>
        </w:rPr>
      </w:pPr>
    </w:p>
    <w:p>
      <w:pPr>
        <w:jc w:val="center"/>
        <w:rPr>
          <w:rFonts w:hint="eastAsia"/>
          <w:b/>
          <w:color w:val="auto"/>
          <w:sz w:val="24"/>
          <w:szCs w:val="24"/>
          <w:highlight w:val="none"/>
        </w:rPr>
      </w:pPr>
    </w:p>
    <w:p>
      <w:pPr>
        <w:jc w:val="center"/>
        <w:rPr>
          <w:rFonts w:hint="eastAsia"/>
          <w:b/>
          <w:color w:val="auto"/>
          <w:sz w:val="24"/>
          <w:szCs w:val="24"/>
          <w:highlight w:val="none"/>
        </w:rPr>
      </w:pPr>
    </w:p>
    <w:p>
      <w:pPr>
        <w:jc w:val="center"/>
        <w:rPr>
          <w:rFonts w:hint="eastAsia"/>
          <w:b/>
          <w:color w:val="auto"/>
          <w:sz w:val="24"/>
          <w:szCs w:val="24"/>
          <w:highlight w:val="none"/>
        </w:rPr>
      </w:pPr>
    </w:p>
    <w:p>
      <w:pPr>
        <w:jc w:val="center"/>
        <w:rPr>
          <w:rFonts w:hint="eastAsia"/>
          <w:b/>
          <w:color w:val="auto"/>
          <w:sz w:val="24"/>
          <w:szCs w:val="24"/>
          <w:highlight w:val="none"/>
        </w:rPr>
      </w:pPr>
    </w:p>
    <w:p>
      <w:pPr>
        <w:jc w:val="center"/>
        <w:rPr>
          <w:rFonts w:hint="eastAsia"/>
          <w:b/>
          <w:color w:val="auto"/>
          <w:sz w:val="24"/>
          <w:szCs w:val="24"/>
          <w:highlight w:val="none"/>
        </w:rPr>
      </w:pPr>
    </w:p>
    <w:p>
      <w:pPr>
        <w:jc w:val="center"/>
        <w:rPr>
          <w:rFonts w:hint="eastAsia"/>
          <w:b/>
          <w:color w:val="auto"/>
          <w:sz w:val="24"/>
          <w:szCs w:val="24"/>
          <w:highlight w:val="none"/>
        </w:rPr>
      </w:pPr>
    </w:p>
    <w:p>
      <w:pPr>
        <w:jc w:val="center"/>
        <w:rPr>
          <w:rFonts w:hint="eastAsia"/>
          <w:b/>
          <w:color w:val="auto"/>
          <w:sz w:val="24"/>
          <w:szCs w:val="24"/>
          <w:highlight w:val="none"/>
        </w:rPr>
      </w:pPr>
    </w:p>
    <w:p>
      <w:pPr>
        <w:adjustRightInd w:val="0"/>
        <w:snapToGrid w:val="0"/>
        <w:spacing w:line="360" w:lineRule="auto"/>
        <w:ind w:right="23" w:rightChars="11"/>
        <w:rPr>
          <w:rFonts w:hint="eastAsia" w:ascii="宋体" w:hAnsi="宋体"/>
          <w:b/>
          <w:color w:val="auto"/>
          <w:sz w:val="32"/>
          <w:szCs w:val="32"/>
          <w:highlight w:val="none"/>
        </w:rPr>
      </w:pPr>
    </w:p>
    <w:p>
      <w:pPr>
        <w:adjustRightInd w:val="0"/>
        <w:snapToGrid w:val="0"/>
        <w:spacing w:line="360" w:lineRule="auto"/>
        <w:ind w:right="23" w:rightChars="11"/>
        <w:rPr>
          <w:rFonts w:hint="eastAsia" w:ascii="宋体" w:hAnsi="宋体"/>
          <w:b/>
          <w:color w:val="auto"/>
          <w:sz w:val="32"/>
          <w:szCs w:val="32"/>
          <w:highlight w:val="none"/>
        </w:rPr>
      </w:pPr>
    </w:p>
    <w:p>
      <w:pPr>
        <w:pStyle w:val="5"/>
        <w:rPr>
          <w:rFonts w:hint="eastAsia"/>
          <w:color w:val="auto"/>
          <w:highlight w:val="none"/>
        </w:rPr>
      </w:pPr>
    </w:p>
    <w:p>
      <w:pPr>
        <w:adjustRightInd w:val="0"/>
        <w:snapToGrid w:val="0"/>
        <w:spacing w:line="360" w:lineRule="auto"/>
        <w:ind w:right="23" w:rightChars="11"/>
        <w:rPr>
          <w:rFonts w:hint="eastAsia" w:ascii="宋体" w:hAnsi="宋体"/>
          <w:b/>
          <w:color w:val="auto"/>
          <w:sz w:val="32"/>
          <w:szCs w:val="32"/>
          <w:highlight w:val="none"/>
        </w:rPr>
      </w:pPr>
    </w:p>
    <w:p>
      <w:pPr>
        <w:adjustRightInd w:val="0"/>
        <w:snapToGrid w:val="0"/>
        <w:spacing w:line="360" w:lineRule="auto"/>
        <w:ind w:right="23" w:rightChars="11"/>
        <w:rPr>
          <w:rFonts w:hint="eastAsia" w:ascii="宋体" w:hAnsi="宋体"/>
          <w:b/>
          <w:color w:val="auto"/>
          <w:sz w:val="32"/>
          <w:szCs w:val="32"/>
          <w:highlight w:val="none"/>
        </w:rPr>
      </w:pPr>
    </w:p>
    <w:p>
      <w:pPr>
        <w:adjustRightInd w:val="0"/>
        <w:snapToGrid w:val="0"/>
        <w:spacing w:line="360" w:lineRule="auto"/>
        <w:ind w:right="23" w:rightChars="11"/>
        <w:jc w:val="center"/>
        <w:rPr>
          <w:rFonts w:hint="eastAsia" w:ascii="宋体" w:hAnsi="宋体"/>
          <w:b/>
          <w:color w:val="auto"/>
          <w:sz w:val="32"/>
          <w:szCs w:val="32"/>
          <w:highlight w:val="none"/>
        </w:rPr>
      </w:pPr>
      <w:r>
        <w:rPr>
          <w:rFonts w:hint="eastAsia" w:ascii="宋体" w:hAnsi="宋体"/>
          <w:b/>
          <w:color w:val="auto"/>
          <w:sz w:val="32"/>
          <w:szCs w:val="32"/>
          <w:highlight w:val="none"/>
        </w:rPr>
        <w:t>一、谈判响应声明</w:t>
      </w:r>
    </w:p>
    <w:p>
      <w:pPr>
        <w:adjustRightInd w:val="0"/>
        <w:snapToGrid w:val="0"/>
        <w:spacing w:line="360" w:lineRule="auto"/>
        <w:ind w:right="23" w:rightChars="11"/>
        <w:rPr>
          <w:rFonts w:hint="eastAsia" w:ascii="宋体" w:hAnsi="宋体"/>
          <w:color w:val="auto"/>
          <w:szCs w:val="21"/>
          <w:highlight w:val="none"/>
        </w:rPr>
      </w:pPr>
    </w:p>
    <w:p>
      <w:pPr>
        <w:adjustRightInd w:val="0"/>
        <w:snapToGrid w:val="0"/>
        <w:spacing w:line="360" w:lineRule="auto"/>
        <w:ind w:right="23" w:rightChars="11"/>
        <w:rPr>
          <w:rFonts w:hint="eastAsia" w:ascii="宋体" w:hAnsi="宋体"/>
          <w:color w:val="auto"/>
          <w:sz w:val="24"/>
          <w:szCs w:val="24"/>
          <w:highlight w:val="none"/>
        </w:rPr>
      </w:pPr>
      <w:r>
        <w:rPr>
          <w:rFonts w:hint="eastAsia" w:ascii="宋体" w:hAnsi="宋体"/>
          <w:color w:val="auto"/>
          <w:sz w:val="24"/>
          <w:szCs w:val="24"/>
          <w:highlight w:val="none"/>
        </w:rPr>
        <w:t>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(采购人或采购代理机构)：</w:t>
      </w:r>
    </w:p>
    <w:p>
      <w:pPr>
        <w:adjustRightInd w:val="0"/>
        <w:snapToGrid w:val="0"/>
        <w:spacing w:line="360" w:lineRule="auto"/>
        <w:ind w:right="23" w:rightChars="11"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我方</w:t>
      </w:r>
      <w:r>
        <w:rPr>
          <w:rFonts w:hint="eastAsia" w:ascii="宋体" w:hAnsi="宋体"/>
          <w:color w:val="auto"/>
          <w:sz w:val="24"/>
          <w:szCs w:val="24"/>
          <w:highlight w:val="none"/>
          <w:lang w:eastAsia="zh-CN"/>
        </w:rPr>
        <w:t>已</w:t>
      </w:r>
      <w:r>
        <w:rPr>
          <w:rFonts w:hint="eastAsia" w:ascii="宋体" w:hAnsi="宋体"/>
          <w:color w:val="auto"/>
          <w:sz w:val="24"/>
          <w:szCs w:val="24"/>
          <w:highlight w:val="none"/>
        </w:rPr>
        <w:t>仔细研究了</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项目名称)的竞争性谈判文件（项目编号：</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）的全部内容，知悉参加竞争性谈判的风险，我方承诺接受谈判文件的全部条款且无任何异议。</w:t>
      </w:r>
    </w:p>
    <w:p>
      <w:pPr>
        <w:pStyle w:val="18"/>
        <w:adjustRightInd w:val="0"/>
        <w:snapToGrid w:val="0"/>
        <w:spacing w:line="360" w:lineRule="auto"/>
        <w:ind w:right="23" w:rightChars="11" w:firstLine="480" w:firstLineChars="200"/>
        <w:rPr>
          <w:rFonts w:hint="eastAsia" w:hAnsi="宋体"/>
          <w:color w:val="auto"/>
          <w:sz w:val="24"/>
          <w:szCs w:val="24"/>
          <w:highlight w:val="none"/>
        </w:rPr>
      </w:pPr>
      <w:r>
        <w:rPr>
          <w:rFonts w:hint="eastAsia" w:hAnsi="宋体"/>
          <w:color w:val="auto"/>
          <w:sz w:val="24"/>
          <w:szCs w:val="24"/>
          <w:highlight w:val="none"/>
        </w:rPr>
        <w:t>一、我方同意在谈判文件中规定的提交首次响应文件截止时间起</w:t>
      </w:r>
      <w:r>
        <w:rPr>
          <w:rFonts w:hint="eastAsia" w:hAnsi="宋体"/>
          <w:color w:val="auto"/>
          <w:sz w:val="24"/>
          <w:szCs w:val="24"/>
          <w:highlight w:val="none"/>
          <w:u w:val="single"/>
        </w:rPr>
        <w:t xml:space="preserve">    </w:t>
      </w:r>
      <w:r>
        <w:rPr>
          <w:rFonts w:hint="eastAsia" w:hAnsi="宋体"/>
          <w:color w:val="auto"/>
          <w:sz w:val="24"/>
          <w:szCs w:val="24"/>
          <w:highlight w:val="none"/>
        </w:rPr>
        <w:t>日内(响应文件有效期)遵守本响应文件中的承诺且在此期限期满之前均具有法律约束力。</w:t>
      </w:r>
    </w:p>
    <w:p>
      <w:pPr>
        <w:pStyle w:val="18"/>
        <w:adjustRightInd w:val="0"/>
        <w:snapToGrid w:val="0"/>
        <w:spacing w:line="360" w:lineRule="auto"/>
        <w:ind w:right="23" w:rightChars="11" w:firstLine="480" w:firstLineChars="200"/>
        <w:rPr>
          <w:rFonts w:hint="eastAsia" w:hAnsi="宋体"/>
          <w:bCs/>
          <w:color w:val="auto"/>
          <w:sz w:val="24"/>
          <w:szCs w:val="24"/>
          <w:highlight w:val="none"/>
        </w:rPr>
      </w:pPr>
      <w:r>
        <w:rPr>
          <w:rFonts w:hint="eastAsia" w:hAnsi="宋体"/>
          <w:color w:val="auto"/>
          <w:sz w:val="24"/>
          <w:szCs w:val="24"/>
          <w:highlight w:val="none"/>
        </w:rPr>
        <w:t>二、我方提交响应文件正本一份和副本一式</w:t>
      </w:r>
      <w:r>
        <w:rPr>
          <w:rFonts w:hint="eastAsia" w:hAnsi="宋体"/>
          <w:color w:val="auto"/>
          <w:sz w:val="24"/>
          <w:szCs w:val="24"/>
          <w:highlight w:val="none"/>
          <w:u w:val="single"/>
        </w:rPr>
        <w:t xml:space="preserve">     </w:t>
      </w:r>
      <w:r>
        <w:rPr>
          <w:rFonts w:hint="eastAsia" w:hAnsi="宋体"/>
          <w:color w:val="auto"/>
          <w:sz w:val="24"/>
          <w:szCs w:val="24"/>
          <w:highlight w:val="none"/>
        </w:rPr>
        <w:t>份，并保证响应文件提供的数据和材料是真实、准确的。否则，愿承担《政府采购法》</w:t>
      </w:r>
      <w:r>
        <w:rPr>
          <w:rFonts w:hint="eastAsia" w:hAnsi="宋体"/>
          <w:bCs/>
          <w:color w:val="auto"/>
          <w:sz w:val="24"/>
          <w:szCs w:val="24"/>
          <w:highlight w:val="none"/>
        </w:rPr>
        <w:t>第七十七条规定的法律责任。</w:t>
      </w:r>
    </w:p>
    <w:p>
      <w:pPr>
        <w:pStyle w:val="18"/>
        <w:adjustRightInd w:val="0"/>
        <w:snapToGrid w:val="0"/>
        <w:spacing w:line="360" w:lineRule="auto"/>
        <w:ind w:right="23" w:rightChars="11" w:firstLine="480" w:firstLineChars="200"/>
        <w:rPr>
          <w:rFonts w:hint="eastAsia" w:hAnsi="宋体"/>
          <w:color w:val="auto"/>
          <w:sz w:val="24"/>
          <w:szCs w:val="24"/>
          <w:highlight w:val="none"/>
        </w:rPr>
      </w:pPr>
      <w:r>
        <w:rPr>
          <w:rFonts w:hint="eastAsia" w:hAnsi="宋体"/>
          <w:color w:val="auto"/>
          <w:sz w:val="24"/>
          <w:szCs w:val="24"/>
          <w:highlight w:val="none"/>
        </w:rPr>
        <w:t>三、我方愿意向贵方提供任何与本项采购有关的数据、情况和技术资料。若贵方需要，我方愿意提供我方作出的一切承诺的证明材料。</w:t>
      </w:r>
    </w:p>
    <w:p>
      <w:pPr>
        <w:pStyle w:val="18"/>
        <w:adjustRightInd w:val="0"/>
        <w:snapToGrid w:val="0"/>
        <w:spacing w:line="360" w:lineRule="auto"/>
        <w:ind w:right="23" w:rightChars="11" w:firstLine="480" w:firstLineChars="200"/>
        <w:rPr>
          <w:rFonts w:hint="eastAsia" w:hAnsi="宋体"/>
          <w:color w:val="auto"/>
          <w:sz w:val="24"/>
          <w:szCs w:val="24"/>
          <w:highlight w:val="none"/>
        </w:rPr>
      </w:pPr>
      <w:r>
        <w:rPr>
          <w:rFonts w:hint="eastAsia" w:hAnsi="宋体"/>
          <w:color w:val="auto"/>
          <w:sz w:val="24"/>
          <w:szCs w:val="24"/>
          <w:highlight w:val="none"/>
        </w:rPr>
        <w:t>四、我方愿意按谈判文件规定和谈判小组要求重新提交响应文件和最后</w:t>
      </w:r>
      <w:r>
        <w:rPr>
          <w:rFonts w:hint="eastAsia" w:hAnsi="宋体"/>
          <w:color w:val="auto"/>
          <w:sz w:val="24"/>
          <w:szCs w:val="24"/>
          <w:highlight w:val="none"/>
          <w:lang w:eastAsia="zh-CN"/>
        </w:rPr>
        <w:t>报价</w:t>
      </w:r>
      <w:r>
        <w:rPr>
          <w:rFonts w:hint="eastAsia" w:hAnsi="宋体"/>
          <w:color w:val="auto"/>
          <w:sz w:val="24"/>
          <w:szCs w:val="24"/>
          <w:highlight w:val="none"/>
        </w:rPr>
        <w:t>。</w:t>
      </w:r>
    </w:p>
    <w:p>
      <w:pPr>
        <w:pStyle w:val="18"/>
        <w:adjustRightInd w:val="0"/>
        <w:snapToGrid w:val="0"/>
        <w:spacing w:line="360" w:lineRule="auto"/>
        <w:ind w:right="23" w:rightChars="11" w:firstLine="480" w:firstLineChars="200"/>
        <w:rPr>
          <w:rFonts w:hint="eastAsia" w:hAnsi="宋体"/>
          <w:color w:val="auto"/>
          <w:sz w:val="24"/>
          <w:szCs w:val="24"/>
          <w:highlight w:val="none"/>
        </w:rPr>
      </w:pPr>
      <w:r>
        <w:rPr>
          <w:rFonts w:hint="eastAsia" w:hAnsi="宋体"/>
          <w:color w:val="auto"/>
          <w:sz w:val="24"/>
          <w:szCs w:val="24"/>
          <w:highlight w:val="none"/>
        </w:rPr>
        <w:t>五、我方承诺遵守《政府采购法》、《政府采购非招标采购方式管理办法》（财政部第74号令）的有关规定，保证在获得成交资格后，按照谈判文件确定的事项签订政府采购合同，履行双方所签订的合同，并承担合同规定的责任和义务。</w:t>
      </w:r>
    </w:p>
    <w:p>
      <w:pPr>
        <w:pStyle w:val="18"/>
        <w:adjustRightInd w:val="0"/>
        <w:snapToGrid w:val="0"/>
        <w:spacing w:line="360" w:lineRule="auto"/>
        <w:ind w:right="23" w:rightChars="11" w:firstLine="480" w:firstLineChars="200"/>
        <w:rPr>
          <w:rFonts w:hint="eastAsia" w:hAnsi="宋体"/>
          <w:color w:val="auto"/>
          <w:sz w:val="24"/>
          <w:szCs w:val="24"/>
          <w:highlight w:val="none"/>
        </w:rPr>
      </w:pPr>
      <w:r>
        <w:rPr>
          <w:rFonts w:hint="eastAsia" w:hAnsi="宋体"/>
          <w:color w:val="auto"/>
          <w:sz w:val="24"/>
          <w:szCs w:val="24"/>
          <w:highlight w:val="none"/>
        </w:rPr>
        <w:t>六、我方承诺在参与竞争性谈判过程中，若出现《政府采购法》第七十七条、《政府采购法实施条例》第七十二条和《政府采购非招标采购方式管理办法》（财政部令第74号）第五十四条规定之情形，我方同意接受条款规定作出的处罚。</w:t>
      </w:r>
    </w:p>
    <w:p>
      <w:pPr>
        <w:pStyle w:val="18"/>
        <w:adjustRightInd w:val="0"/>
        <w:snapToGrid w:val="0"/>
        <w:spacing w:line="360" w:lineRule="auto"/>
        <w:ind w:right="23" w:rightChars="11" w:firstLine="480" w:firstLineChars="200"/>
        <w:rPr>
          <w:rFonts w:hint="eastAsia" w:hAnsi="宋体"/>
          <w:color w:val="auto"/>
          <w:sz w:val="24"/>
          <w:szCs w:val="24"/>
          <w:highlight w:val="none"/>
          <w:lang w:val="en-US" w:eastAsia="zh-CN"/>
        </w:rPr>
      </w:pPr>
      <w:r>
        <w:rPr>
          <w:rFonts w:hint="eastAsia" w:hAnsi="宋体"/>
          <w:color w:val="auto"/>
          <w:sz w:val="24"/>
          <w:szCs w:val="24"/>
          <w:highlight w:val="none"/>
          <w:lang w:eastAsia="zh-CN"/>
        </w:rPr>
        <w:t>附法定代表人（或经营者）授权书</w:t>
      </w:r>
    </w:p>
    <w:p>
      <w:pPr>
        <w:pStyle w:val="18"/>
        <w:adjustRightInd w:val="0"/>
        <w:snapToGrid w:val="0"/>
        <w:spacing w:line="360" w:lineRule="auto"/>
        <w:ind w:right="23" w:rightChars="11"/>
        <w:rPr>
          <w:rFonts w:hint="eastAsia" w:hAnsi="宋体"/>
          <w:color w:val="auto"/>
          <w:sz w:val="24"/>
          <w:szCs w:val="24"/>
          <w:highlight w:val="none"/>
        </w:rPr>
      </w:pPr>
    </w:p>
    <w:p>
      <w:pPr>
        <w:pStyle w:val="18"/>
        <w:adjustRightInd w:val="0"/>
        <w:snapToGrid w:val="0"/>
        <w:spacing w:line="360" w:lineRule="auto"/>
        <w:ind w:right="23" w:rightChars="11" w:firstLine="1680" w:firstLineChars="700"/>
        <w:rPr>
          <w:rFonts w:hint="eastAsia" w:hAnsi="宋体"/>
          <w:color w:val="auto"/>
          <w:sz w:val="24"/>
          <w:szCs w:val="24"/>
          <w:highlight w:val="none"/>
        </w:rPr>
      </w:pPr>
      <w:r>
        <w:rPr>
          <w:rFonts w:hint="eastAsia" w:hAnsi="宋体"/>
          <w:color w:val="auto"/>
          <w:sz w:val="24"/>
          <w:szCs w:val="24"/>
          <w:highlight w:val="none"/>
        </w:rPr>
        <w:t>供应商名称(盖单位章)：</w:t>
      </w:r>
    </w:p>
    <w:p>
      <w:pPr>
        <w:adjustRightInd w:val="0"/>
        <w:snapToGrid w:val="0"/>
        <w:spacing w:line="360" w:lineRule="auto"/>
        <w:ind w:right="23" w:rightChars="11" w:firstLine="1680" w:firstLineChars="700"/>
        <w:rPr>
          <w:rFonts w:hint="eastAsia" w:ascii="宋体" w:hAnsi="宋体"/>
          <w:color w:val="auto"/>
          <w:sz w:val="24"/>
          <w:szCs w:val="24"/>
          <w:highlight w:val="none"/>
        </w:rPr>
      </w:pPr>
      <w:r>
        <w:rPr>
          <w:rFonts w:hint="eastAsia" w:ascii="宋体" w:hAnsi="宋体"/>
          <w:color w:val="auto"/>
          <w:sz w:val="24"/>
          <w:szCs w:val="24"/>
          <w:highlight w:val="none"/>
        </w:rPr>
        <w:t>法定代表人</w:t>
      </w:r>
      <w:r>
        <w:rPr>
          <w:rFonts w:hint="eastAsia" w:ascii="宋体" w:hAnsi="宋体"/>
          <w:color w:val="auto"/>
          <w:kern w:val="0"/>
          <w:sz w:val="24"/>
          <w:highlight w:val="none"/>
        </w:rPr>
        <w:t>（或经营者）</w:t>
      </w:r>
      <w:r>
        <w:rPr>
          <w:rFonts w:hint="eastAsia" w:ascii="宋体" w:hAnsi="宋体"/>
          <w:color w:val="auto"/>
          <w:sz w:val="24"/>
          <w:szCs w:val="24"/>
          <w:highlight w:val="none"/>
        </w:rPr>
        <w:t>或其委托代理人 (签字)：</w:t>
      </w:r>
      <w:r>
        <w:rPr>
          <w:rFonts w:hint="eastAsia" w:ascii="宋体" w:hAnsi="宋体"/>
          <w:color w:val="auto"/>
          <w:sz w:val="24"/>
          <w:szCs w:val="24"/>
          <w:highlight w:val="none"/>
          <w:u w:val="single"/>
        </w:rPr>
        <w:t xml:space="preserve">            </w:t>
      </w:r>
    </w:p>
    <w:p>
      <w:pPr>
        <w:spacing w:line="360" w:lineRule="auto"/>
        <w:jc w:val="right"/>
        <w:rPr>
          <w:rFonts w:hint="eastAsia" w:ascii="宋体" w:hAnsi="宋体"/>
          <w:color w:val="auto"/>
          <w:sz w:val="24"/>
          <w:szCs w:val="24"/>
          <w:highlight w:val="none"/>
        </w:rPr>
      </w:pP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日期：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日</w:t>
      </w:r>
    </w:p>
    <w:p>
      <w:pPr>
        <w:spacing w:line="360" w:lineRule="auto"/>
        <w:jc w:val="center"/>
        <w:rPr>
          <w:rFonts w:hint="eastAsia" w:ascii="宋体" w:hAnsi="宋体"/>
          <w:color w:val="auto"/>
          <w:sz w:val="24"/>
          <w:szCs w:val="24"/>
          <w:highlight w:val="none"/>
        </w:rPr>
      </w:pPr>
    </w:p>
    <w:p>
      <w:pPr>
        <w:spacing w:line="360" w:lineRule="auto"/>
        <w:ind w:right="23"/>
        <w:jc w:val="center"/>
        <w:rPr>
          <w:rFonts w:hint="eastAsia" w:ascii="宋体" w:hAnsi="宋体"/>
          <w:b/>
          <w:color w:val="auto"/>
          <w:sz w:val="28"/>
          <w:szCs w:val="28"/>
          <w:highlight w:val="none"/>
        </w:rPr>
      </w:pPr>
      <w:r>
        <w:rPr>
          <w:rFonts w:hint="eastAsia" w:ascii="宋体" w:hAnsi="宋体"/>
          <w:b/>
          <w:color w:val="auto"/>
          <w:sz w:val="28"/>
          <w:szCs w:val="28"/>
          <w:highlight w:val="none"/>
        </w:rPr>
        <w:t>法定代表人（或经营者）授权书</w:t>
      </w:r>
    </w:p>
    <w:p>
      <w:pPr>
        <w:autoSpaceDE w:val="0"/>
        <w:autoSpaceDN w:val="0"/>
        <w:spacing w:line="360" w:lineRule="auto"/>
        <w:ind w:firstLine="480" w:firstLineChars="200"/>
        <w:jc w:val="left"/>
        <w:rPr>
          <w:rFonts w:hint="eastAsia" w:ascii="宋体" w:hAnsi="宋体" w:cs="宋体"/>
          <w:color w:val="auto"/>
          <w:kern w:val="0"/>
          <w:sz w:val="24"/>
          <w:highlight w:val="none"/>
        </w:rPr>
      </w:pPr>
    </w:p>
    <w:p>
      <w:pPr>
        <w:autoSpaceDE w:val="0"/>
        <w:autoSpaceDN w:val="0"/>
        <w:spacing w:line="360" w:lineRule="auto"/>
        <w:ind w:firstLine="480" w:firstLineChars="200"/>
        <w:jc w:val="left"/>
        <w:rPr>
          <w:rFonts w:hint="eastAsia" w:ascii="宋体" w:cs="宋体"/>
          <w:color w:val="auto"/>
          <w:kern w:val="0"/>
          <w:sz w:val="24"/>
          <w:highlight w:val="none"/>
        </w:rPr>
      </w:pPr>
      <w:r>
        <w:rPr>
          <w:rFonts w:hint="eastAsia" w:ascii="宋体" w:hAnsi="宋体" w:cs="宋体"/>
          <w:color w:val="auto"/>
          <w:kern w:val="0"/>
          <w:sz w:val="24"/>
          <w:highlight w:val="none"/>
        </w:rPr>
        <w:t>本人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（姓名、职务）系</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 xml:space="preserve"> （</w:t>
      </w:r>
      <w:r>
        <w:rPr>
          <w:rFonts w:hint="eastAsia" w:ascii="宋体" w:hAnsi="宋体"/>
          <w:color w:val="auto"/>
          <w:sz w:val="24"/>
          <w:highlight w:val="none"/>
        </w:rPr>
        <w:t>供应商</w:t>
      </w:r>
      <w:r>
        <w:rPr>
          <w:rFonts w:hint="eastAsia" w:ascii="宋体" w:hAnsi="宋体" w:cs="宋体"/>
          <w:color w:val="auto"/>
          <w:kern w:val="0"/>
          <w:sz w:val="24"/>
          <w:highlight w:val="none"/>
        </w:rPr>
        <w:t>名称）的法定代表人(或经营者)，现授权</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（姓名、职务）为我方代理人。代理人根据授权，以我方名义：(1)签署、澄清、补正、修改、撤回、提交</w:t>
      </w:r>
      <w:r>
        <w:rPr>
          <w:rFonts w:hint="eastAsia" w:ascii="宋体" w:hAnsi="宋体" w:cs="宋体"/>
          <w:color w:val="auto"/>
          <w:kern w:val="0"/>
          <w:sz w:val="24"/>
          <w:highlight w:val="none"/>
          <w:u w:val="single"/>
        </w:rPr>
        <w:t xml:space="preserve">                     （项目名称、</w:t>
      </w:r>
      <w:r>
        <w:rPr>
          <w:rFonts w:hint="eastAsia" w:ascii="宋体" w:hAnsi="宋体"/>
          <w:color w:val="auto"/>
          <w:sz w:val="24"/>
          <w:highlight w:val="none"/>
          <w:u w:val="single"/>
        </w:rPr>
        <w:t>项目编号</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响应文件； (2)退出谈判；(3)签订合同和处理有关事宜，其法律后果由我方承担。</w:t>
      </w:r>
    </w:p>
    <w:p>
      <w:pPr>
        <w:autoSpaceDE w:val="0"/>
        <w:autoSpaceDN w:val="0"/>
        <w:spacing w:line="360" w:lineRule="auto"/>
        <w:ind w:firstLine="480" w:firstLineChars="200"/>
        <w:jc w:val="left"/>
        <w:rPr>
          <w:rFonts w:hint="eastAsia" w:ascii="宋体" w:cs="宋体"/>
          <w:color w:val="auto"/>
          <w:kern w:val="0"/>
          <w:sz w:val="24"/>
          <w:highlight w:val="none"/>
        </w:rPr>
      </w:pPr>
      <w:r>
        <w:rPr>
          <w:rFonts w:hint="eastAsia" w:ascii="宋体" w:hAnsi="宋体" w:cs="宋体"/>
          <w:color w:val="auto"/>
          <w:kern w:val="0"/>
          <w:sz w:val="24"/>
          <w:highlight w:val="none"/>
        </w:rPr>
        <w:t>委托期限：</w:t>
      </w:r>
      <w:r>
        <w:rPr>
          <w:rFonts w:hint="eastAsia" w:ascii="宋体" w:hAnsi="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eastAsia="zh-CN"/>
        </w:rPr>
        <w:t>至项目结束之日止</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435"/>
        <w:rPr>
          <w:rFonts w:hint="eastAsia" w:ascii="宋体" w:cs="宋体"/>
          <w:color w:val="auto"/>
          <w:kern w:val="0"/>
          <w:sz w:val="24"/>
          <w:highlight w:val="none"/>
        </w:rPr>
      </w:pPr>
      <w:r>
        <w:rPr>
          <w:rFonts w:hint="eastAsia" w:ascii="宋体" w:hAnsi="宋体" w:cs="宋体"/>
          <w:color w:val="auto"/>
          <w:kern w:val="0"/>
          <w:sz w:val="24"/>
          <w:highlight w:val="none"/>
        </w:rPr>
        <w:t>代理人无转委托权。</w:t>
      </w:r>
    </w:p>
    <w:p>
      <w:pPr>
        <w:spacing w:line="360" w:lineRule="auto"/>
        <w:ind w:firstLine="435"/>
        <w:rPr>
          <w:rFonts w:hint="eastAsia" w:ascii="宋体"/>
          <w:color w:val="auto"/>
          <w:sz w:val="24"/>
          <w:highlight w:val="none"/>
        </w:rPr>
      </w:pPr>
      <w:r>
        <w:rPr>
          <w:rFonts w:hint="eastAsia" w:ascii="宋体" w:hAnsi="宋体"/>
          <w:color w:val="auto"/>
          <w:sz w:val="24"/>
          <w:highlight w:val="none"/>
        </w:rPr>
        <w:t>本授权书于</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日签字生效，特此声明。</w:t>
      </w:r>
    </w:p>
    <w:p>
      <w:pPr>
        <w:spacing w:line="360" w:lineRule="auto"/>
        <w:ind w:firstLine="480" w:firstLineChars="200"/>
        <w:rPr>
          <w:rFonts w:hint="eastAsia" w:ascii="宋体"/>
          <w:color w:val="auto"/>
          <w:sz w:val="24"/>
          <w:highlight w:val="none"/>
        </w:rPr>
      </w:pPr>
      <w:r>
        <w:rPr>
          <w:rFonts w:hint="eastAsia" w:ascii="宋体" w:hAnsi="宋体"/>
          <w:color w:val="auto"/>
          <w:sz w:val="24"/>
          <w:highlight w:val="none"/>
        </w:rPr>
        <w:t>附：委托代理人身份证复印件及法定代表人（或经营者）身份证复印件</w:t>
      </w:r>
    </w:p>
    <w:p>
      <w:pPr>
        <w:spacing w:line="360" w:lineRule="auto"/>
        <w:rPr>
          <w:rFonts w:hint="eastAsia" w:ascii="宋体"/>
          <w:color w:val="auto"/>
          <w:sz w:val="24"/>
          <w:highlight w:val="none"/>
        </w:rPr>
      </w:pPr>
    </w:p>
    <w:p>
      <w:pPr>
        <w:spacing w:line="360" w:lineRule="auto"/>
        <w:rPr>
          <w:rFonts w:hint="eastAsia" w:ascii="宋体"/>
          <w:color w:val="auto"/>
          <w:sz w:val="24"/>
          <w:highlight w:val="none"/>
        </w:rPr>
      </w:pPr>
    </w:p>
    <w:p>
      <w:pPr>
        <w:spacing w:line="360" w:lineRule="auto"/>
        <w:rPr>
          <w:rFonts w:hint="eastAsia" w:ascii="宋体"/>
          <w:color w:val="auto"/>
          <w:sz w:val="24"/>
          <w:szCs w:val="24"/>
          <w:highlight w:val="none"/>
        </w:rPr>
      </w:pPr>
    </w:p>
    <w:p>
      <w:pPr>
        <w:spacing w:line="360" w:lineRule="auto"/>
        <w:rPr>
          <w:rFonts w:hint="eastAsia" w:ascii="宋体"/>
          <w:color w:val="auto"/>
          <w:sz w:val="24"/>
          <w:highlight w:val="none"/>
        </w:rPr>
      </w:pPr>
    </w:p>
    <w:p>
      <w:pPr>
        <w:spacing w:line="360" w:lineRule="auto"/>
        <w:rPr>
          <w:rFonts w:hint="eastAsia" w:ascii="宋体"/>
          <w:color w:val="auto"/>
          <w:sz w:val="24"/>
          <w:highlight w:val="none"/>
        </w:rPr>
      </w:pPr>
    </w:p>
    <w:p>
      <w:pPr>
        <w:spacing w:line="360" w:lineRule="auto"/>
        <w:rPr>
          <w:rFonts w:hint="eastAsia" w:ascii="宋体"/>
          <w:color w:val="auto"/>
          <w:sz w:val="24"/>
          <w:highlight w:val="none"/>
        </w:rPr>
      </w:pPr>
    </w:p>
    <w:p>
      <w:pPr>
        <w:spacing w:line="360" w:lineRule="auto"/>
        <w:rPr>
          <w:rFonts w:hint="eastAsia" w:ascii="宋体"/>
          <w:color w:val="auto"/>
          <w:sz w:val="24"/>
          <w:highlight w:val="none"/>
        </w:rPr>
      </w:pPr>
    </w:p>
    <w:p>
      <w:pPr>
        <w:spacing w:line="360" w:lineRule="auto"/>
        <w:rPr>
          <w:rFonts w:hint="eastAsia" w:ascii="宋体"/>
          <w:color w:val="auto"/>
          <w:sz w:val="24"/>
          <w:highlight w:val="none"/>
        </w:rPr>
      </w:pPr>
    </w:p>
    <w:p>
      <w:pPr>
        <w:spacing w:line="360" w:lineRule="auto"/>
        <w:ind w:firstLine="720" w:firstLineChars="300"/>
        <w:rPr>
          <w:rFonts w:hint="eastAsia" w:ascii="宋体"/>
          <w:color w:val="auto"/>
          <w:sz w:val="24"/>
          <w:highlight w:val="none"/>
        </w:rPr>
      </w:pPr>
      <w:r>
        <w:rPr>
          <w:rFonts w:hint="eastAsia" w:ascii="宋体" w:hAnsi="宋体"/>
          <w:color w:val="auto"/>
          <w:sz w:val="24"/>
          <w:highlight w:val="none"/>
        </w:rPr>
        <w:t>法定代表人</w:t>
      </w:r>
      <w:r>
        <w:rPr>
          <w:rFonts w:hint="eastAsia" w:ascii="宋体" w:hAnsi="宋体"/>
          <w:color w:val="auto"/>
          <w:kern w:val="0"/>
          <w:sz w:val="24"/>
          <w:highlight w:val="none"/>
        </w:rPr>
        <w:t>（或经营者）</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盖单位公章和</w:t>
      </w:r>
      <w:r>
        <w:rPr>
          <w:rFonts w:hint="eastAsia" w:ascii="宋体" w:hAnsi="宋体" w:eastAsia="宋体" w:cs="宋体"/>
          <w:color w:val="auto"/>
          <w:sz w:val="24"/>
          <w:highlight w:val="none"/>
        </w:rPr>
        <w:t>签字）</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pacing w:line="360" w:lineRule="auto"/>
        <w:ind w:firstLine="3600" w:firstLineChars="1500"/>
        <w:rPr>
          <w:rFonts w:hint="eastAsia" w:ascii="宋体"/>
          <w:color w:val="auto"/>
          <w:sz w:val="24"/>
          <w:highlight w:val="none"/>
        </w:rPr>
      </w:pPr>
      <w:r>
        <w:rPr>
          <w:rFonts w:hint="eastAsia" w:ascii="宋体" w:hAnsi="宋体"/>
          <w:color w:val="auto"/>
          <w:sz w:val="24"/>
          <w:highlight w:val="none"/>
        </w:rPr>
        <w:t>委托代理人（签字）：</w:t>
      </w:r>
      <w:r>
        <w:rPr>
          <w:rFonts w:hint="eastAsia" w:ascii="宋体" w:hAnsi="宋体"/>
          <w:color w:val="auto"/>
          <w:sz w:val="24"/>
          <w:highlight w:val="none"/>
          <w:u w:val="single"/>
        </w:rPr>
        <w:t xml:space="preserve">                     </w:t>
      </w:r>
    </w:p>
    <w:p>
      <w:pPr>
        <w:spacing w:line="360" w:lineRule="auto"/>
        <w:ind w:firstLine="4200" w:firstLineChars="1750"/>
        <w:rPr>
          <w:rFonts w:hint="eastAsia" w:asci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jc w:val="center"/>
        <w:rPr>
          <w:rFonts w:hint="eastAsia" w:ascii="宋体" w:hAnsi="宋体"/>
          <w:b/>
          <w:color w:val="auto"/>
          <w:sz w:val="24"/>
          <w:szCs w:val="24"/>
          <w:highlight w:val="none"/>
        </w:rPr>
      </w:pPr>
      <w:r>
        <w:rPr>
          <w:rFonts w:ascii="宋体" w:hAnsi="宋体"/>
          <w:color w:val="auto"/>
          <w:sz w:val="24"/>
          <w:szCs w:val="24"/>
          <w:highlight w:val="none"/>
        </w:rPr>
        <w:br w:type="page"/>
      </w:r>
      <w:r>
        <w:rPr>
          <w:rFonts w:hint="eastAsia" w:ascii="宋体" w:hAnsi="宋体"/>
          <w:b/>
          <w:color w:val="auto"/>
          <w:sz w:val="32"/>
          <w:szCs w:val="32"/>
          <w:highlight w:val="none"/>
        </w:rPr>
        <w:t>二、供应商的资格证明材料</w:t>
      </w:r>
    </w:p>
    <w:p>
      <w:pPr>
        <w:adjustRightInd w:val="0"/>
        <w:snapToGrid w:val="0"/>
        <w:spacing w:line="360" w:lineRule="auto"/>
        <w:ind w:right="23" w:rightChars="11"/>
        <w:rPr>
          <w:rFonts w:hint="eastAsia" w:ascii="宋体" w:hAnsi="宋体"/>
          <w:color w:val="auto"/>
          <w:sz w:val="24"/>
          <w:szCs w:val="24"/>
          <w:highlight w:val="none"/>
        </w:rPr>
      </w:pPr>
    </w:p>
    <w:p>
      <w:pPr>
        <w:spacing w:line="360" w:lineRule="auto"/>
        <w:jc w:val="right"/>
        <w:rPr>
          <w:rFonts w:hint="eastAsia" w:ascii="宋体" w:hAnsi="宋体"/>
          <w:b/>
          <w:color w:val="auto"/>
          <w:sz w:val="24"/>
          <w:szCs w:val="24"/>
          <w:highlight w:val="none"/>
        </w:rPr>
      </w:pPr>
    </w:p>
    <w:p>
      <w:pPr>
        <w:spacing w:line="360" w:lineRule="auto"/>
        <w:jc w:val="center"/>
        <w:rPr>
          <w:rFonts w:hint="eastAsia" w:ascii="宋体" w:hAnsi="宋体"/>
          <w:b/>
          <w:color w:val="auto"/>
          <w:sz w:val="28"/>
          <w:szCs w:val="28"/>
          <w:highlight w:val="none"/>
        </w:rPr>
      </w:pPr>
    </w:p>
    <w:p>
      <w:pPr>
        <w:spacing w:line="360" w:lineRule="auto"/>
        <w:jc w:val="center"/>
        <w:rPr>
          <w:rFonts w:ascii="宋体" w:hAnsi="宋体"/>
          <w:b/>
          <w:color w:val="auto"/>
          <w:sz w:val="28"/>
          <w:szCs w:val="28"/>
          <w:highlight w:val="none"/>
        </w:rPr>
      </w:pPr>
    </w:p>
    <w:p>
      <w:pPr>
        <w:spacing w:line="360" w:lineRule="auto"/>
        <w:jc w:val="center"/>
        <w:rPr>
          <w:rFonts w:hint="eastAsia" w:ascii="宋体" w:hAns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三、技术响应与偏离表</w:t>
      </w:r>
    </w:p>
    <w:p>
      <w:pPr>
        <w:spacing w:line="360" w:lineRule="auto"/>
        <w:jc w:val="center"/>
        <w:rPr>
          <w:rFonts w:hint="eastAsia" w:ascii="宋体" w:hAnsi="宋体"/>
          <w:b/>
          <w:color w:val="auto"/>
          <w:sz w:val="28"/>
          <w:szCs w:val="28"/>
          <w:highlight w:val="none"/>
        </w:rPr>
      </w:pPr>
    </w:p>
    <w:tbl>
      <w:tblPr>
        <w:tblStyle w:val="33"/>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693"/>
        <w:gridCol w:w="425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710" w:type="dxa"/>
            <w:vAlign w:val="center"/>
          </w:tcPr>
          <w:p>
            <w:pPr>
              <w:jc w:val="center"/>
              <w:rPr>
                <w:rFonts w:hint="eastAsia" w:ascii="宋体" w:hAnsi="宋体" w:eastAsia="Calibri" w:cs="Times New Roman"/>
                <w:color w:val="auto"/>
                <w:szCs w:val="21"/>
                <w:highlight w:val="none"/>
              </w:rPr>
            </w:pPr>
            <w:r>
              <w:rPr>
                <w:rFonts w:hint="eastAsia" w:ascii="宋体" w:hAnsi="宋体" w:eastAsia="Calibri" w:cs="Times New Roman"/>
                <w:color w:val="auto"/>
                <w:szCs w:val="21"/>
                <w:highlight w:val="none"/>
              </w:rPr>
              <w:t>序号</w:t>
            </w:r>
          </w:p>
        </w:tc>
        <w:tc>
          <w:tcPr>
            <w:tcW w:w="2693" w:type="dxa"/>
            <w:vAlign w:val="center"/>
          </w:tcPr>
          <w:p>
            <w:pPr>
              <w:jc w:val="center"/>
              <w:rPr>
                <w:rFonts w:hint="eastAsia" w:ascii="宋体" w:hAnsi="宋体" w:eastAsia="Calibri" w:cs="Times New Roman"/>
                <w:color w:val="auto"/>
                <w:szCs w:val="21"/>
                <w:highlight w:val="none"/>
              </w:rPr>
            </w:pPr>
            <w:r>
              <w:rPr>
                <w:rFonts w:hint="eastAsia" w:ascii="宋体" w:hAnsi="宋体" w:eastAsia="Calibri" w:cs="Times New Roman"/>
                <w:color w:val="auto"/>
                <w:szCs w:val="21"/>
                <w:highlight w:val="none"/>
              </w:rPr>
              <w:t>采购需求</w:t>
            </w:r>
          </w:p>
        </w:tc>
        <w:tc>
          <w:tcPr>
            <w:tcW w:w="4252" w:type="dxa"/>
            <w:vAlign w:val="center"/>
          </w:tcPr>
          <w:p>
            <w:pPr>
              <w:jc w:val="center"/>
              <w:rPr>
                <w:rFonts w:hint="eastAsia" w:ascii="宋体" w:hAnsi="宋体" w:eastAsia="Calibri" w:cs="Times New Roman"/>
                <w:color w:val="auto"/>
                <w:szCs w:val="21"/>
                <w:highlight w:val="none"/>
              </w:rPr>
            </w:pPr>
            <w:r>
              <w:rPr>
                <w:rFonts w:hint="eastAsia" w:ascii="宋体" w:hAnsi="宋体" w:eastAsia="Calibri" w:cs="Times New Roman"/>
                <w:color w:val="auto"/>
                <w:szCs w:val="21"/>
                <w:highlight w:val="none"/>
              </w:rPr>
              <w:t>报价响应</w:t>
            </w:r>
          </w:p>
        </w:tc>
        <w:tc>
          <w:tcPr>
            <w:tcW w:w="1276" w:type="dxa"/>
            <w:vAlign w:val="center"/>
          </w:tcPr>
          <w:p>
            <w:pPr>
              <w:jc w:val="center"/>
              <w:rPr>
                <w:rFonts w:hint="eastAsia" w:ascii="宋体" w:hAnsi="宋体" w:eastAsia="Calibri" w:cs="Times New Roman"/>
                <w:color w:val="auto"/>
                <w:szCs w:val="21"/>
                <w:highlight w:val="none"/>
              </w:rPr>
            </w:pPr>
            <w:r>
              <w:rPr>
                <w:rFonts w:hint="eastAsia" w:ascii="宋体" w:hAnsi="宋体" w:eastAsia="Calibri" w:cs="Times New Roman"/>
                <w:color w:val="auto"/>
                <w:szCs w:val="21"/>
                <w:highlight w:val="none"/>
              </w:rPr>
              <w:t>响应与偏离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10" w:type="dxa"/>
            <w:vAlign w:val="center"/>
          </w:tcPr>
          <w:p>
            <w:pPr>
              <w:jc w:val="center"/>
              <w:rPr>
                <w:rFonts w:hint="eastAsia" w:ascii="宋体" w:hAnsi="宋体" w:eastAsia="Calibri" w:cs="Times New Roman"/>
                <w:color w:val="auto"/>
                <w:szCs w:val="21"/>
                <w:highlight w:val="none"/>
              </w:rPr>
            </w:pPr>
            <w:r>
              <w:rPr>
                <w:rFonts w:hint="eastAsia" w:ascii="宋体" w:hAnsi="宋体" w:eastAsia="Calibri" w:cs="Times New Roman"/>
                <w:color w:val="auto"/>
                <w:szCs w:val="21"/>
                <w:highlight w:val="none"/>
              </w:rPr>
              <w:t>1</w:t>
            </w:r>
          </w:p>
        </w:tc>
        <w:tc>
          <w:tcPr>
            <w:tcW w:w="2693" w:type="dxa"/>
            <w:vAlign w:val="center"/>
          </w:tcPr>
          <w:p>
            <w:pPr>
              <w:jc w:val="center"/>
              <w:rPr>
                <w:rFonts w:hint="eastAsia" w:ascii="宋体" w:hAnsi="宋体" w:eastAsia="Calibri" w:cs="Times New Roman"/>
                <w:color w:val="auto"/>
                <w:szCs w:val="21"/>
                <w:highlight w:val="none"/>
              </w:rPr>
            </w:pPr>
          </w:p>
        </w:tc>
        <w:tc>
          <w:tcPr>
            <w:tcW w:w="4252" w:type="dxa"/>
            <w:vAlign w:val="center"/>
          </w:tcPr>
          <w:p>
            <w:pPr>
              <w:jc w:val="center"/>
              <w:rPr>
                <w:rFonts w:hint="eastAsia" w:ascii="宋体" w:hAnsi="宋体" w:eastAsia="Calibri" w:cs="Times New Roman"/>
                <w:color w:val="auto"/>
                <w:szCs w:val="21"/>
                <w:highlight w:val="none"/>
              </w:rPr>
            </w:pPr>
          </w:p>
        </w:tc>
        <w:tc>
          <w:tcPr>
            <w:tcW w:w="1276" w:type="dxa"/>
            <w:vAlign w:val="center"/>
          </w:tcPr>
          <w:p>
            <w:pPr>
              <w:jc w:val="center"/>
              <w:rPr>
                <w:rFonts w:hint="eastAsia" w:ascii="宋体" w:hAnsi="宋体" w:eastAsia="Calibri"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10" w:type="dxa"/>
            <w:vAlign w:val="center"/>
          </w:tcPr>
          <w:p>
            <w:pPr>
              <w:jc w:val="center"/>
              <w:rPr>
                <w:rFonts w:hint="eastAsia" w:ascii="宋体" w:hAnsi="宋体" w:eastAsia="Calibri" w:cs="Times New Roman"/>
                <w:color w:val="auto"/>
                <w:szCs w:val="21"/>
                <w:highlight w:val="none"/>
              </w:rPr>
            </w:pPr>
            <w:r>
              <w:rPr>
                <w:rFonts w:hint="eastAsia" w:ascii="宋体" w:hAnsi="宋体" w:eastAsia="Calibri" w:cs="Times New Roman"/>
                <w:color w:val="auto"/>
                <w:szCs w:val="21"/>
                <w:highlight w:val="none"/>
              </w:rPr>
              <w:t>2</w:t>
            </w:r>
          </w:p>
        </w:tc>
        <w:tc>
          <w:tcPr>
            <w:tcW w:w="2693" w:type="dxa"/>
            <w:vAlign w:val="center"/>
          </w:tcPr>
          <w:p>
            <w:pPr>
              <w:jc w:val="center"/>
              <w:rPr>
                <w:rFonts w:hint="eastAsia" w:ascii="宋体" w:hAnsi="宋体" w:eastAsia="Calibri" w:cs="Times New Roman"/>
                <w:color w:val="auto"/>
                <w:szCs w:val="21"/>
                <w:highlight w:val="none"/>
              </w:rPr>
            </w:pPr>
          </w:p>
        </w:tc>
        <w:tc>
          <w:tcPr>
            <w:tcW w:w="4252" w:type="dxa"/>
            <w:vAlign w:val="center"/>
          </w:tcPr>
          <w:p>
            <w:pPr>
              <w:jc w:val="center"/>
              <w:rPr>
                <w:rFonts w:hint="eastAsia" w:ascii="宋体" w:hAnsi="宋体" w:eastAsia="Calibri" w:cs="Times New Roman"/>
                <w:color w:val="auto"/>
                <w:szCs w:val="21"/>
                <w:highlight w:val="none"/>
              </w:rPr>
            </w:pPr>
          </w:p>
        </w:tc>
        <w:tc>
          <w:tcPr>
            <w:tcW w:w="1276" w:type="dxa"/>
            <w:vAlign w:val="center"/>
          </w:tcPr>
          <w:p>
            <w:pPr>
              <w:jc w:val="center"/>
              <w:rPr>
                <w:rFonts w:hint="eastAsia" w:ascii="宋体" w:hAnsi="宋体" w:eastAsia="Calibri"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10" w:type="dxa"/>
            <w:vAlign w:val="center"/>
          </w:tcPr>
          <w:p>
            <w:pPr>
              <w:jc w:val="center"/>
              <w:rPr>
                <w:rFonts w:hint="eastAsia" w:ascii="宋体" w:hAnsi="宋体" w:eastAsia="Calibri" w:cs="Times New Roman"/>
                <w:color w:val="auto"/>
                <w:szCs w:val="21"/>
                <w:highlight w:val="none"/>
              </w:rPr>
            </w:pPr>
            <w:r>
              <w:rPr>
                <w:rFonts w:hint="eastAsia" w:ascii="宋体" w:hAnsi="宋体" w:eastAsia="Calibri" w:cs="Times New Roman"/>
                <w:color w:val="auto"/>
                <w:szCs w:val="21"/>
                <w:highlight w:val="none"/>
              </w:rPr>
              <w:t>3</w:t>
            </w:r>
          </w:p>
        </w:tc>
        <w:tc>
          <w:tcPr>
            <w:tcW w:w="2693" w:type="dxa"/>
            <w:vAlign w:val="center"/>
          </w:tcPr>
          <w:p>
            <w:pPr>
              <w:jc w:val="center"/>
              <w:rPr>
                <w:rFonts w:hint="eastAsia" w:ascii="宋体" w:hAnsi="宋体" w:eastAsia="Calibri" w:cs="Times New Roman"/>
                <w:color w:val="auto"/>
                <w:szCs w:val="21"/>
                <w:highlight w:val="none"/>
              </w:rPr>
            </w:pPr>
          </w:p>
        </w:tc>
        <w:tc>
          <w:tcPr>
            <w:tcW w:w="4252" w:type="dxa"/>
            <w:vAlign w:val="center"/>
          </w:tcPr>
          <w:p>
            <w:pPr>
              <w:jc w:val="center"/>
              <w:rPr>
                <w:rFonts w:hint="eastAsia" w:ascii="宋体" w:hAnsi="宋体" w:eastAsia="Calibri" w:cs="Times New Roman"/>
                <w:color w:val="auto"/>
                <w:szCs w:val="21"/>
                <w:highlight w:val="none"/>
              </w:rPr>
            </w:pPr>
          </w:p>
        </w:tc>
        <w:tc>
          <w:tcPr>
            <w:tcW w:w="1276" w:type="dxa"/>
            <w:vAlign w:val="center"/>
          </w:tcPr>
          <w:p>
            <w:pPr>
              <w:jc w:val="center"/>
              <w:rPr>
                <w:rFonts w:hint="eastAsia" w:ascii="宋体" w:hAnsi="宋体" w:eastAsia="Calibri"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10" w:type="dxa"/>
            <w:vAlign w:val="center"/>
          </w:tcPr>
          <w:p>
            <w:pPr>
              <w:jc w:val="center"/>
              <w:rPr>
                <w:rFonts w:hint="eastAsia" w:ascii="宋体" w:hAnsi="宋体" w:eastAsia="Calibri" w:cs="Times New Roman"/>
                <w:color w:val="auto"/>
                <w:szCs w:val="21"/>
                <w:highlight w:val="none"/>
              </w:rPr>
            </w:pPr>
            <w:r>
              <w:rPr>
                <w:rFonts w:hint="eastAsia" w:ascii="宋体" w:hAnsi="宋体" w:eastAsia="Calibri" w:cs="Times New Roman"/>
                <w:color w:val="auto"/>
                <w:szCs w:val="21"/>
                <w:highlight w:val="none"/>
              </w:rPr>
              <w:t>4</w:t>
            </w:r>
          </w:p>
        </w:tc>
        <w:tc>
          <w:tcPr>
            <w:tcW w:w="2693" w:type="dxa"/>
            <w:vAlign w:val="center"/>
          </w:tcPr>
          <w:p>
            <w:pPr>
              <w:jc w:val="center"/>
              <w:rPr>
                <w:rFonts w:hint="eastAsia" w:ascii="宋体" w:hAnsi="宋体" w:eastAsia="Calibri" w:cs="Times New Roman"/>
                <w:color w:val="auto"/>
                <w:szCs w:val="21"/>
                <w:highlight w:val="none"/>
              </w:rPr>
            </w:pPr>
          </w:p>
        </w:tc>
        <w:tc>
          <w:tcPr>
            <w:tcW w:w="4252" w:type="dxa"/>
            <w:vAlign w:val="center"/>
          </w:tcPr>
          <w:p>
            <w:pPr>
              <w:jc w:val="center"/>
              <w:rPr>
                <w:rFonts w:hint="eastAsia" w:ascii="宋体" w:hAnsi="宋体" w:eastAsia="Calibri" w:cs="Times New Roman"/>
                <w:color w:val="auto"/>
                <w:szCs w:val="21"/>
                <w:highlight w:val="none"/>
              </w:rPr>
            </w:pPr>
          </w:p>
        </w:tc>
        <w:tc>
          <w:tcPr>
            <w:tcW w:w="1276" w:type="dxa"/>
            <w:vAlign w:val="center"/>
          </w:tcPr>
          <w:p>
            <w:pPr>
              <w:jc w:val="center"/>
              <w:rPr>
                <w:rFonts w:hint="eastAsia" w:ascii="宋体" w:hAnsi="宋体" w:eastAsia="Calibri"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10" w:type="dxa"/>
            <w:vAlign w:val="center"/>
          </w:tcPr>
          <w:p>
            <w:pPr>
              <w:jc w:val="center"/>
              <w:rPr>
                <w:rFonts w:hint="eastAsia" w:ascii="宋体" w:hAnsi="宋体" w:eastAsia="Calibri" w:cs="Times New Roman"/>
                <w:color w:val="auto"/>
                <w:szCs w:val="21"/>
                <w:highlight w:val="none"/>
              </w:rPr>
            </w:pPr>
            <w:r>
              <w:rPr>
                <w:rFonts w:hint="eastAsia" w:ascii="宋体" w:hAnsi="宋体" w:eastAsia="Calibri" w:cs="Times New Roman"/>
                <w:color w:val="auto"/>
                <w:szCs w:val="21"/>
                <w:highlight w:val="none"/>
              </w:rPr>
              <w:t>…</w:t>
            </w:r>
          </w:p>
        </w:tc>
        <w:tc>
          <w:tcPr>
            <w:tcW w:w="2693" w:type="dxa"/>
            <w:vAlign w:val="center"/>
          </w:tcPr>
          <w:p>
            <w:pPr>
              <w:jc w:val="center"/>
              <w:rPr>
                <w:rFonts w:hint="eastAsia" w:ascii="宋体" w:hAnsi="宋体" w:eastAsia="Calibri" w:cs="Times New Roman"/>
                <w:color w:val="auto"/>
                <w:szCs w:val="21"/>
                <w:highlight w:val="none"/>
              </w:rPr>
            </w:pPr>
          </w:p>
        </w:tc>
        <w:tc>
          <w:tcPr>
            <w:tcW w:w="4252" w:type="dxa"/>
            <w:vAlign w:val="center"/>
          </w:tcPr>
          <w:p>
            <w:pPr>
              <w:jc w:val="center"/>
              <w:rPr>
                <w:rFonts w:hint="eastAsia" w:ascii="宋体" w:hAnsi="宋体" w:eastAsia="Calibri" w:cs="Times New Roman"/>
                <w:color w:val="auto"/>
                <w:szCs w:val="21"/>
                <w:highlight w:val="none"/>
              </w:rPr>
            </w:pPr>
          </w:p>
        </w:tc>
        <w:tc>
          <w:tcPr>
            <w:tcW w:w="1276" w:type="dxa"/>
            <w:vAlign w:val="center"/>
          </w:tcPr>
          <w:p>
            <w:pPr>
              <w:jc w:val="center"/>
              <w:rPr>
                <w:rFonts w:hint="eastAsia" w:ascii="宋体" w:hAnsi="宋体" w:eastAsia="Calibri" w:cs="Times New Roman"/>
                <w:color w:val="auto"/>
                <w:szCs w:val="21"/>
                <w:highlight w:val="none"/>
              </w:rPr>
            </w:pPr>
          </w:p>
        </w:tc>
      </w:tr>
    </w:tbl>
    <w:p>
      <w:pPr>
        <w:spacing w:line="360" w:lineRule="auto"/>
        <w:rPr>
          <w:rFonts w:hint="eastAsia" w:ascii="宋体" w:hAnsi="宋体"/>
          <w:color w:val="auto"/>
          <w:sz w:val="24"/>
          <w:highlight w:val="none"/>
        </w:rPr>
      </w:pPr>
      <w:r>
        <w:rPr>
          <w:rFonts w:hint="eastAsia" w:ascii="宋体" w:hAnsi="宋体"/>
          <w:color w:val="auto"/>
          <w:sz w:val="24"/>
          <w:highlight w:val="none"/>
        </w:rPr>
        <w:t>说明：“响应与偏离”应注明“响应”或“偏离”。</w:t>
      </w:r>
    </w:p>
    <w:p>
      <w:pPr>
        <w:adjustRightInd w:val="0"/>
        <w:snapToGrid w:val="0"/>
        <w:spacing w:line="360" w:lineRule="auto"/>
        <w:rPr>
          <w:rFonts w:hint="eastAsia" w:ascii="宋体" w:hAnsi="宋体"/>
          <w:color w:val="auto"/>
          <w:szCs w:val="21"/>
          <w:highlight w:val="none"/>
        </w:rPr>
      </w:pPr>
    </w:p>
    <w:p>
      <w:pPr>
        <w:adjustRightInd w:val="0"/>
        <w:snapToGrid w:val="0"/>
        <w:spacing w:line="360" w:lineRule="auto"/>
        <w:rPr>
          <w:rFonts w:hint="eastAsia" w:ascii="宋体" w:hAnsi="宋体"/>
          <w:color w:val="auto"/>
          <w:szCs w:val="21"/>
          <w:highlight w:val="none"/>
        </w:rPr>
      </w:pPr>
    </w:p>
    <w:p>
      <w:pPr>
        <w:pStyle w:val="4"/>
        <w:rPr>
          <w:rFonts w:hint="eastAsia" w:ascii="宋体" w:hAnsi="宋体"/>
          <w:color w:val="auto"/>
          <w:szCs w:val="21"/>
          <w:highlight w:val="none"/>
        </w:rPr>
      </w:pPr>
    </w:p>
    <w:p>
      <w:pPr>
        <w:rPr>
          <w:rFonts w:hint="eastAsia"/>
          <w:color w:val="auto"/>
          <w:highlight w:val="none"/>
        </w:rPr>
      </w:pPr>
    </w:p>
    <w:p>
      <w:pPr>
        <w:adjustRightInd w:val="0"/>
        <w:snapToGrid w:val="0"/>
        <w:spacing w:line="360" w:lineRule="auto"/>
        <w:rPr>
          <w:rFonts w:hint="eastAsia" w:ascii="宋体" w:hAnsi="宋体"/>
          <w:color w:val="auto"/>
          <w:szCs w:val="21"/>
          <w:highlight w:val="none"/>
        </w:rPr>
      </w:pPr>
    </w:p>
    <w:p>
      <w:pPr>
        <w:spacing w:line="360" w:lineRule="auto"/>
        <w:ind w:firstLine="2310" w:firstLineChars="1100"/>
        <w:rPr>
          <w:rFonts w:hint="eastAsia" w:ascii="宋体" w:hAnsi="宋体" w:eastAsia="宋体"/>
          <w:color w:val="auto"/>
          <w:sz w:val="24"/>
          <w:highlight w:val="none"/>
          <w:lang w:val="en-US" w:eastAsia="zh-CN"/>
        </w:rPr>
      </w:pPr>
      <w:r>
        <w:rPr>
          <w:rFonts w:hint="eastAsia" w:ascii="宋体" w:hAnsi="宋体"/>
          <w:color w:val="auto"/>
          <w:szCs w:val="21"/>
          <w:highlight w:val="none"/>
        </w:rPr>
        <w:t xml:space="preserve">   </w:t>
      </w:r>
      <w:r>
        <w:rPr>
          <w:rFonts w:hint="eastAsia" w:ascii="宋体" w:hAnsi="宋体"/>
          <w:color w:val="auto"/>
          <w:sz w:val="24"/>
          <w:highlight w:val="none"/>
        </w:rPr>
        <w:t>供应商</w:t>
      </w:r>
      <w:r>
        <w:rPr>
          <w:rFonts w:hint="eastAsia" w:ascii="宋体" w:hAnsi="宋体"/>
          <w:color w:val="auto"/>
          <w:sz w:val="24"/>
          <w:highlight w:val="none"/>
          <w:lang w:eastAsia="zh-CN"/>
        </w:rPr>
        <w:t>名称</w:t>
      </w:r>
      <w:r>
        <w:rPr>
          <w:rFonts w:hint="eastAsia" w:ascii="宋体" w:hAnsi="宋体"/>
          <w:color w:val="auto"/>
          <w:sz w:val="24"/>
          <w:highlight w:val="none"/>
        </w:rPr>
        <w:t>（盖单位章）：</w:t>
      </w:r>
      <w:r>
        <w:rPr>
          <w:rFonts w:hint="eastAsia" w:ascii="宋体" w:hAnsi="宋体" w:eastAsia="宋体"/>
          <w:color w:val="auto"/>
          <w:sz w:val="24"/>
          <w:highlight w:val="none"/>
          <w:lang w:val="en-US" w:eastAsia="zh-CN"/>
        </w:rPr>
        <w:t xml:space="preserve"> </w:t>
      </w:r>
    </w:p>
    <w:p>
      <w:pPr>
        <w:spacing w:line="360" w:lineRule="auto"/>
        <w:ind w:firstLine="2640" w:firstLineChars="1100"/>
        <w:rPr>
          <w:rFonts w:hint="eastAsia" w:ascii="宋体" w:hAnsi="宋体"/>
          <w:color w:val="auto"/>
          <w:sz w:val="24"/>
          <w:highlight w:val="none"/>
        </w:rPr>
      </w:pPr>
      <w:r>
        <w:rPr>
          <w:rFonts w:hint="eastAsia" w:ascii="宋体" w:hAnsi="宋体"/>
          <w:color w:val="auto"/>
          <w:sz w:val="24"/>
          <w:highlight w:val="none"/>
        </w:rPr>
        <w:t>法定代表人</w:t>
      </w:r>
      <w:r>
        <w:rPr>
          <w:rFonts w:hint="eastAsia" w:ascii="宋体" w:hAnsi="宋体"/>
          <w:color w:val="auto"/>
          <w:kern w:val="0"/>
          <w:sz w:val="24"/>
          <w:highlight w:val="none"/>
        </w:rPr>
        <w:t>（或经营者）</w:t>
      </w:r>
      <w:r>
        <w:rPr>
          <w:rFonts w:hint="eastAsia" w:ascii="宋体" w:hAnsi="宋体"/>
          <w:color w:val="auto"/>
          <w:sz w:val="24"/>
          <w:highlight w:val="none"/>
        </w:rPr>
        <w:t>或其委托代理人签字：</w:t>
      </w:r>
      <w:r>
        <w:rPr>
          <w:rFonts w:hint="eastAsia" w:ascii="宋体" w:hAnsi="宋体"/>
          <w:color w:val="auto"/>
          <w:sz w:val="24"/>
          <w:highlight w:val="none"/>
          <w:u w:val="single"/>
        </w:rPr>
        <w:t xml:space="preserve">         </w:t>
      </w:r>
    </w:p>
    <w:p>
      <w:pPr>
        <w:spacing w:line="360" w:lineRule="auto"/>
        <w:jc w:val="right"/>
        <w:rPr>
          <w:rFonts w:hint="eastAsia" w:ascii="宋体" w:hAnsi="宋体"/>
          <w:color w:val="auto"/>
          <w:sz w:val="24"/>
          <w:highlight w:val="none"/>
          <w:u w:val="none"/>
          <w:lang w:eastAsia="zh-CN"/>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u w:val="none"/>
          <w:lang w:eastAsia="zh-CN"/>
        </w:rPr>
        <w:t>日</w:t>
      </w:r>
    </w:p>
    <w:p>
      <w:pPr>
        <w:adjustRightInd w:val="0"/>
        <w:snapToGrid w:val="0"/>
        <w:spacing w:line="360" w:lineRule="auto"/>
        <w:rPr>
          <w:rFonts w:hint="eastAsia" w:ascii="宋体" w:hAnsi="宋体"/>
          <w:color w:val="auto"/>
          <w:szCs w:val="21"/>
          <w:highlight w:val="none"/>
        </w:rPr>
      </w:pPr>
    </w:p>
    <w:p>
      <w:pPr>
        <w:adjustRightInd w:val="0"/>
        <w:snapToGrid w:val="0"/>
        <w:spacing w:line="360" w:lineRule="auto"/>
        <w:rPr>
          <w:rFonts w:hint="eastAsia" w:ascii="宋体" w:hAnsi="宋体"/>
          <w:color w:val="auto"/>
          <w:szCs w:val="21"/>
          <w:highlight w:val="none"/>
        </w:rPr>
      </w:pPr>
    </w:p>
    <w:p>
      <w:pPr>
        <w:adjustRightInd w:val="0"/>
        <w:snapToGrid w:val="0"/>
        <w:spacing w:line="360" w:lineRule="auto"/>
        <w:rPr>
          <w:rFonts w:hint="eastAsia" w:ascii="宋体" w:hAnsi="宋体"/>
          <w:color w:val="auto"/>
          <w:szCs w:val="21"/>
          <w:highlight w:val="none"/>
        </w:rPr>
      </w:pPr>
    </w:p>
    <w:p>
      <w:pPr>
        <w:adjustRightInd w:val="0"/>
        <w:snapToGrid w:val="0"/>
        <w:spacing w:line="360" w:lineRule="auto"/>
        <w:rPr>
          <w:rFonts w:hint="eastAsia" w:ascii="宋体" w:hAnsi="宋体"/>
          <w:color w:val="auto"/>
          <w:szCs w:val="21"/>
          <w:highlight w:val="none"/>
        </w:rPr>
      </w:pPr>
    </w:p>
    <w:p>
      <w:pPr>
        <w:adjustRightInd w:val="0"/>
        <w:snapToGrid w:val="0"/>
        <w:spacing w:line="360" w:lineRule="auto"/>
        <w:rPr>
          <w:rFonts w:hint="eastAsia" w:ascii="宋体" w:hAnsi="宋体"/>
          <w:color w:val="auto"/>
          <w:szCs w:val="21"/>
          <w:highlight w:val="none"/>
        </w:rPr>
      </w:pPr>
    </w:p>
    <w:p>
      <w:pPr>
        <w:spacing w:line="360" w:lineRule="auto"/>
        <w:jc w:val="center"/>
        <w:rPr>
          <w:rFonts w:hint="eastAsia" w:ascii="宋体" w:hAnsi="宋体"/>
          <w:b/>
          <w:bCs/>
          <w:color w:val="auto"/>
          <w:sz w:val="28"/>
          <w:szCs w:val="28"/>
          <w:highlight w:val="none"/>
        </w:rPr>
        <w:sectPr>
          <w:pgSz w:w="11906" w:h="16838"/>
          <w:pgMar w:top="1440" w:right="1800" w:bottom="1440" w:left="1800" w:header="851" w:footer="992" w:gutter="0"/>
          <w:pgNumType w:fmt="decimal"/>
          <w:cols w:space="708" w:num="1"/>
          <w:docGrid w:type="lines" w:linePitch="312" w:charSpace="0"/>
        </w:sectPr>
      </w:pPr>
    </w:p>
    <w:p>
      <w:pPr>
        <w:spacing w:line="360" w:lineRule="auto"/>
        <w:jc w:val="center"/>
        <w:rPr>
          <w:rFonts w:hint="eastAsia" w:ascii="宋体" w:hAnsi="宋体"/>
          <w:b/>
          <w:color w:val="auto"/>
          <w:sz w:val="28"/>
          <w:szCs w:val="28"/>
          <w:highlight w:val="none"/>
        </w:rPr>
      </w:pPr>
      <w:r>
        <w:rPr>
          <w:rFonts w:hint="eastAsia" w:ascii="宋体" w:hAnsi="宋体"/>
          <w:b/>
          <w:bCs/>
          <w:color w:val="auto"/>
          <w:sz w:val="28"/>
          <w:szCs w:val="28"/>
          <w:highlight w:val="none"/>
        </w:rPr>
        <w:t>四、</w:t>
      </w:r>
      <w:r>
        <w:rPr>
          <w:rFonts w:hint="eastAsia" w:ascii="宋体" w:hAnsi="宋体"/>
          <w:b/>
          <w:color w:val="auto"/>
          <w:sz w:val="28"/>
          <w:szCs w:val="28"/>
          <w:highlight w:val="none"/>
        </w:rPr>
        <w:t>报价一览表</w:t>
      </w:r>
    </w:p>
    <w:p>
      <w:pPr>
        <w:spacing w:line="360" w:lineRule="auto"/>
        <w:rPr>
          <w:rFonts w:hint="eastAsia" w:ascii="宋体" w:hAnsi="宋体"/>
          <w:color w:val="auto"/>
          <w:sz w:val="28"/>
          <w:szCs w:val="28"/>
          <w:highlight w:val="none"/>
        </w:rPr>
      </w:pPr>
      <w:r>
        <w:rPr>
          <w:rFonts w:hint="eastAsia" w:ascii="宋体" w:hAnsi="宋体"/>
          <w:color w:val="auto"/>
          <w:sz w:val="24"/>
          <w:highlight w:val="none"/>
        </w:rPr>
        <w:t xml:space="preserve">      </w:t>
      </w:r>
    </w:p>
    <w:p>
      <w:pPr>
        <w:spacing w:line="360" w:lineRule="auto"/>
        <w:jc w:val="center"/>
        <w:rPr>
          <w:rFonts w:hint="eastAsia" w:ascii="宋体" w:hAnsi="宋体"/>
          <w:b/>
          <w:color w:val="auto"/>
          <w:sz w:val="24"/>
          <w:highlight w:val="none"/>
        </w:rPr>
      </w:pPr>
      <w:r>
        <w:rPr>
          <w:rFonts w:hint="eastAsia" w:ascii="宋体" w:hAnsi="宋体"/>
          <w:b/>
          <w:bCs/>
          <w:color w:val="auto"/>
          <w:sz w:val="24"/>
          <w:highlight w:val="none"/>
        </w:rPr>
        <w:t>报价一览表</w:t>
      </w:r>
    </w:p>
    <w:tbl>
      <w:tblPr>
        <w:tblStyle w:val="33"/>
        <w:tblW w:w="8837"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493"/>
        <w:gridCol w:w="2051"/>
        <w:gridCol w:w="3047"/>
        <w:gridCol w:w="1511"/>
        <w:gridCol w:w="173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607" w:hRule="atLeast"/>
        </w:trPr>
        <w:tc>
          <w:tcPr>
            <w:tcW w:w="493" w:type="dxa"/>
            <w:tcBorders>
              <w:bottom w:val="single" w:color="auto" w:sz="6" w:space="0"/>
              <w:right w:val="single" w:color="auto" w:sz="6" w:space="0"/>
            </w:tcBorders>
            <w:vAlign w:val="center"/>
          </w:tcPr>
          <w:p>
            <w:pPr>
              <w:widowControl/>
              <w:spacing w:line="360" w:lineRule="auto"/>
              <w:jc w:val="center"/>
              <w:rPr>
                <w:rFonts w:hint="eastAsia" w:ascii="宋体" w:hAnsi="宋体"/>
                <w:color w:val="auto"/>
                <w:sz w:val="24"/>
                <w:highlight w:val="none"/>
              </w:rPr>
            </w:pPr>
            <w:r>
              <w:rPr>
                <w:rFonts w:hint="eastAsia" w:ascii="宋体" w:hAnsi="宋体"/>
                <w:color w:val="auto"/>
                <w:sz w:val="24"/>
                <w:highlight w:val="none"/>
              </w:rPr>
              <w:t>序号</w:t>
            </w:r>
          </w:p>
        </w:tc>
        <w:tc>
          <w:tcPr>
            <w:tcW w:w="2051" w:type="dxa"/>
            <w:tcBorders>
              <w:left w:val="single" w:color="auto" w:sz="6" w:space="0"/>
              <w:bottom w:val="single" w:color="auto" w:sz="6" w:space="0"/>
              <w:right w:val="single" w:color="auto" w:sz="6" w:space="0"/>
            </w:tcBorders>
            <w:vAlign w:val="center"/>
          </w:tcPr>
          <w:p>
            <w:pPr>
              <w:spacing w:line="360" w:lineRule="auto"/>
              <w:jc w:val="center"/>
              <w:rPr>
                <w:rFonts w:hint="eastAsia" w:ascii="宋体" w:hAnsi="宋体"/>
                <w:color w:val="auto"/>
                <w:sz w:val="24"/>
                <w:highlight w:val="none"/>
              </w:rPr>
            </w:pPr>
            <w:r>
              <w:rPr>
                <w:rFonts w:ascii="宋体" w:hAnsi="宋体"/>
                <w:color w:val="auto"/>
                <w:sz w:val="24"/>
                <w:highlight w:val="none"/>
              </w:rPr>
              <w:t>项目名称</w:t>
            </w:r>
          </w:p>
        </w:tc>
        <w:tc>
          <w:tcPr>
            <w:tcW w:w="3047" w:type="dxa"/>
            <w:tcBorders>
              <w:left w:val="single" w:color="auto" w:sz="6" w:space="0"/>
              <w:bottom w:val="single" w:color="auto" w:sz="6" w:space="0"/>
              <w:right w:val="single" w:color="auto" w:sz="6" w:space="0"/>
            </w:tcBorders>
            <w:vAlign w:val="center"/>
          </w:tcPr>
          <w:p>
            <w:pPr>
              <w:widowControl/>
              <w:spacing w:line="360" w:lineRule="auto"/>
              <w:jc w:val="center"/>
              <w:rPr>
                <w:rFonts w:hint="eastAsia" w:ascii="宋体" w:hAnsi="宋体"/>
                <w:color w:val="auto"/>
                <w:sz w:val="24"/>
                <w:highlight w:val="none"/>
              </w:rPr>
            </w:pPr>
          </w:p>
        </w:tc>
        <w:tc>
          <w:tcPr>
            <w:tcW w:w="1511" w:type="dxa"/>
            <w:tcBorders>
              <w:left w:val="single" w:color="auto" w:sz="6" w:space="0"/>
              <w:right w:val="single" w:color="auto" w:sz="6" w:space="0"/>
            </w:tcBorders>
            <w:vAlign w:val="center"/>
          </w:tcPr>
          <w:p>
            <w:pPr>
              <w:widowControl/>
              <w:spacing w:line="360" w:lineRule="auto"/>
              <w:jc w:val="center"/>
              <w:rPr>
                <w:rFonts w:hint="eastAsia" w:ascii="宋体" w:hAnsi="宋体"/>
                <w:color w:val="auto"/>
                <w:sz w:val="24"/>
                <w:highlight w:val="none"/>
              </w:rPr>
            </w:pPr>
            <w:r>
              <w:rPr>
                <w:rFonts w:hint="eastAsia" w:ascii="宋体" w:hAnsi="宋体"/>
                <w:color w:val="auto"/>
                <w:sz w:val="24"/>
                <w:highlight w:val="none"/>
              </w:rPr>
              <w:t>项目编号</w:t>
            </w:r>
          </w:p>
        </w:tc>
        <w:tc>
          <w:tcPr>
            <w:tcW w:w="1735" w:type="dxa"/>
            <w:tcBorders>
              <w:left w:val="single" w:color="auto" w:sz="6" w:space="0"/>
            </w:tcBorders>
            <w:vAlign w:val="center"/>
          </w:tcPr>
          <w:p>
            <w:pPr>
              <w:widowControl/>
              <w:spacing w:line="360" w:lineRule="auto"/>
              <w:jc w:val="center"/>
              <w:rPr>
                <w:rFonts w:hint="eastAsia" w:ascii="宋体" w:hAnsi="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923" w:hRule="atLeast"/>
        </w:trPr>
        <w:tc>
          <w:tcPr>
            <w:tcW w:w="493" w:type="dxa"/>
            <w:tcBorders>
              <w:top w:val="single" w:color="auto" w:sz="6" w:space="0"/>
              <w:bottom w:val="single" w:color="auto" w:sz="6" w:space="0"/>
              <w:right w:val="single" w:color="auto" w:sz="6" w:space="0"/>
            </w:tcBorders>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1</w:t>
            </w:r>
          </w:p>
        </w:tc>
        <w:tc>
          <w:tcPr>
            <w:tcW w:w="205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b/>
                <w:color w:val="auto"/>
                <w:sz w:val="24"/>
                <w:highlight w:val="none"/>
              </w:rPr>
            </w:pPr>
            <w:r>
              <w:rPr>
                <w:rFonts w:hint="eastAsia" w:ascii="宋体" w:hAnsi="宋体"/>
                <w:b/>
                <w:color w:val="auto"/>
                <w:sz w:val="24"/>
                <w:highlight w:val="none"/>
              </w:rPr>
              <w:t>总报价人民币</w:t>
            </w:r>
          </w:p>
        </w:tc>
        <w:tc>
          <w:tcPr>
            <w:tcW w:w="6293" w:type="dxa"/>
            <w:gridSpan w:val="3"/>
            <w:tcBorders>
              <w:top w:val="single" w:color="auto" w:sz="6" w:space="0"/>
              <w:left w:val="single" w:color="auto" w:sz="6" w:space="0"/>
              <w:bottom w:val="single" w:color="auto" w:sz="6" w:space="0"/>
            </w:tcBorders>
            <w:vAlign w:val="center"/>
          </w:tcPr>
          <w:p>
            <w:pPr>
              <w:spacing w:line="480" w:lineRule="auto"/>
              <w:ind w:firstLine="120" w:firstLineChars="50"/>
              <w:rPr>
                <w:rFonts w:hint="eastAsia" w:ascii="宋体" w:hAnsi="宋体"/>
                <w:b/>
                <w:color w:val="auto"/>
                <w:sz w:val="24"/>
                <w:highlight w:val="none"/>
              </w:rPr>
            </w:pPr>
            <w:r>
              <w:rPr>
                <w:rFonts w:hint="eastAsia" w:ascii="宋体" w:hAnsi="宋体"/>
                <w:b/>
                <w:color w:val="auto"/>
                <w:sz w:val="24"/>
                <w:highlight w:val="none"/>
              </w:rPr>
              <w:t xml:space="preserve">大写： </w:t>
            </w:r>
          </w:p>
          <w:p>
            <w:pPr>
              <w:spacing w:line="480" w:lineRule="auto"/>
              <w:ind w:firstLine="120" w:firstLineChars="50"/>
              <w:rPr>
                <w:rFonts w:hint="eastAsia" w:ascii="宋体" w:hAnsi="宋体"/>
                <w:b/>
                <w:color w:val="auto"/>
                <w:sz w:val="24"/>
                <w:highlight w:val="none"/>
              </w:rPr>
            </w:pPr>
            <w:r>
              <w:rPr>
                <w:rFonts w:hint="eastAsia" w:ascii="宋体" w:hAnsi="宋体"/>
                <w:b/>
                <w:color w:val="auto"/>
                <w:sz w:val="24"/>
                <w:highlight w:val="none"/>
              </w:rPr>
              <w:t xml:space="preserve">小写：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493" w:type="dxa"/>
            <w:tcBorders>
              <w:top w:val="single" w:color="auto" w:sz="6" w:space="0"/>
              <w:right w:val="single" w:color="auto" w:sz="6" w:space="0"/>
            </w:tcBorders>
            <w:vAlign w:val="center"/>
          </w:tcPr>
          <w:p>
            <w:pPr>
              <w:spacing w:line="360" w:lineRule="auto"/>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2</w:t>
            </w:r>
          </w:p>
        </w:tc>
        <w:tc>
          <w:tcPr>
            <w:tcW w:w="2051" w:type="dxa"/>
            <w:tcBorders>
              <w:top w:val="single" w:color="auto" w:sz="6" w:space="0"/>
              <w:left w:val="single" w:color="auto" w:sz="6" w:space="0"/>
              <w:right w:val="single" w:color="auto" w:sz="6" w:space="0"/>
            </w:tcBorders>
            <w:vAlign w:val="center"/>
          </w:tcPr>
          <w:p>
            <w:pPr>
              <w:spacing w:line="360" w:lineRule="auto"/>
              <w:jc w:val="center"/>
              <w:rPr>
                <w:rFonts w:hint="eastAsia" w:ascii="宋体" w:hAnsi="宋体" w:eastAsia="宋体"/>
                <w:b/>
                <w:color w:val="auto"/>
                <w:sz w:val="24"/>
                <w:highlight w:val="none"/>
                <w:lang w:eastAsia="zh-CN"/>
              </w:rPr>
            </w:pPr>
            <w:r>
              <w:rPr>
                <w:rFonts w:hint="eastAsia" w:ascii="宋体" w:hAnsi="宋体"/>
                <w:b/>
                <w:color w:val="auto"/>
                <w:sz w:val="24"/>
                <w:highlight w:val="none"/>
                <w:lang w:eastAsia="zh-CN"/>
              </w:rPr>
              <w:t>交付时间</w:t>
            </w:r>
          </w:p>
        </w:tc>
        <w:tc>
          <w:tcPr>
            <w:tcW w:w="6293" w:type="dxa"/>
            <w:gridSpan w:val="3"/>
            <w:tcBorders>
              <w:top w:val="single" w:color="auto" w:sz="6" w:space="0"/>
              <w:left w:val="single" w:color="auto" w:sz="6" w:space="0"/>
            </w:tcBorders>
            <w:vAlign w:val="center"/>
          </w:tcPr>
          <w:p>
            <w:pPr>
              <w:spacing w:line="360" w:lineRule="auto"/>
              <w:ind w:firstLine="120" w:firstLineChars="50"/>
              <w:rPr>
                <w:rFonts w:hint="eastAsia" w:ascii="宋体" w:hAnsi="宋体" w:eastAsia="宋体"/>
                <w:b/>
                <w:color w:val="auto"/>
                <w:sz w:val="24"/>
                <w:highlight w:val="none"/>
                <w:lang w:eastAsia="zh-CN"/>
              </w:rPr>
            </w:pPr>
          </w:p>
        </w:tc>
      </w:tr>
    </w:tbl>
    <w:p>
      <w:pPr>
        <w:autoSpaceDE w:val="0"/>
        <w:autoSpaceDN w:val="0"/>
        <w:spacing w:line="360" w:lineRule="auto"/>
        <w:rPr>
          <w:rFonts w:ascii="宋体" w:cs="宋体"/>
          <w:color w:val="auto"/>
          <w:kern w:val="0"/>
          <w:sz w:val="24"/>
          <w:highlight w:val="none"/>
          <w:lang w:val="zh-CN"/>
        </w:rPr>
      </w:pPr>
      <w:r>
        <w:rPr>
          <w:rFonts w:hint="eastAsia" w:ascii="宋体" w:hAnsi="宋体"/>
          <w:color w:val="auto"/>
          <w:sz w:val="24"/>
          <w:highlight w:val="none"/>
        </w:rPr>
        <w:t>注：</w:t>
      </w:r>
      <w:r>
        <w:rPr>
          <w:rFonts w:ascii="宋体" w:hAnsi="宋体" w:cs="宋体"/>
          <w:color w:val="auto"/>
          <w:kern w:val="0"/>
          <w:sz w:val="24"/>
          <w:highlight w:val="none"/>
          <w:lang w:val="zh-CN"/>
        </w:rPr>
        <w:t>1.</w:t>
      </w:r>
      <w:r>
        <w:rPr>
          <w:rFonts w:hint="eastAsia" w:ascii="宋体" w:hAnsi="宋体" w:cs="宋体"/>
          <w:color w:val="auto"/>
          <w:kern w:val="0"/>
          <w:sz w:val="24"/>
          <w:highlight w:val="none"/>
          <w:lang w:val="zh-CN"/>
        </w:rPr>
        <w:t>填写此表时不得改变表格形式（可按所投包增加行）。</w:t>
      </w:r>
    </w:p>
    <w:p>
      <w:pPr>
        <w:autoSpaceDE w:val="0"/>
        <w:autoSpaceDN w:val="0"/>
        <w:spacing w:line="360" w:lineRule="auto"/>
        <w:ind w:firstLine="480"/>
        <w:rPr>
          <w:rFonts w:hint="eastAsia" w:ascii="宋体" w:eastAsia="宋体" w:cs="宋体"/>
          <w:color w:val="auto"/>
          <w:kern w:val="0"/>
          <w:sz w:val="24"/>
          <w:highlight w:val="none"/>
          <w:lang w:val="zh-CN" w:eastAsia="zh-CN"/>
        </w:rPr>
      </w:pPr>
      <w:r>
        <w:rPr>
          <w:rFonts w:ascii="宋体" w:hAnsi="宋体" w:cs="宋体"/>
          <w:color w:val="auto"/>
          <w:kern w:val="0"/>
          <w:sz w:val="24"/>
          <w:highlight w:val="none"/>
          <w:lang w:val="zh-CN"/>
        </w:rPr>
        <w:t>2.</w:t>
      </w:r>
      <w:r>
        <w:rPr>
          <w:rFonts w:hint="eastAsia" w:ascii="宋体" w:hAnsi="宋体" w:cs="宋体"/>
          <w:color w:val="auto"/>
          <w:kern w:val="0"/>
          <w:sz w:val="24"/>
          <w:highlight w:val="none"/>
          <w:lang w:val="zh-CN"/>
        </w:rPr>
        <w:t>“报价”为总价。包括</w:t>
      </w:r>
      <w:r>
        <w:rPr>
          <w:rFonts w:hint="eastAsia" w:hAnsi="宋体"/>
          <w:color w:val="auto"/>
          <w:sz w:val="24"/>
          <w:szCs w:val="24"/>
          <w:highlight w:val="none"/>
        </w:rPr>
        <w:t>人工费、验收费、各项税费、交易服务费、不可预见费等完成本</w:t>
      </w:r>
      <w:r>
        <w:rPr>
          <w:rFonts w:hint="eastAsia" w:hAnsi="宋体"/>
          <w:color w:val="auto"/>
          <w:sz w:val="24"/>
          <w:szCs w:val="24"/>
          <w:highlight w:val="none"/>
          <w:lang w:eastAsia="zh-CN"/>
        </w:rPr>
        <w:t>采购</w:t>
      </w:r>
      <w:r>
        <w:rPr>
          <w:rFonts w:hint="eastAsia" w:hAnsi="宋体"/>
          <w:color w:val="auto"/>
          <w:sz w:val="24"/>
          <w:szCs w:val="24"/>
          <w:highlight w:val="none"/>
        </w:rPr>
        <w:t>内容所需的一切费用</w:t>
      </w:r>
      <w:r>
        <w:rPr>
          <w:rFonts w:hint="eastAsia" w:hAnsi="宋体"/>
          <w:color w:val="auto"/>
          <w:sz w:val="24"/>
          <w:szCs w:val="24"/>
          <w:highlight w:val="none"/>
          <w:lang w:eastAsia="zh-CN"/>
        </w:rPr>
        <w:t>。</w:t>
      </w:r>
    </w:p>
    <w:p>
      <w:pPr>
        <w:autoSpaceDE w:val="0"/>
        <w:autoSpaceDN w:val="0"/>
        <w:spacing w:line="360" w:lineRule="auto"/>
        <w:ind w:firstLine="480"/>
        <w:rPr>
          <w:rFonts w:ascii="宋体" w:cs="宋体"/>
          <w:color w:val="auto"/>
          <w:kern w:val="0"/>
          <w:sz w:val="24"/>
          <w:highlight w:val="none"/>
          <w:lang w:val="zh-CN"/>
        </w:rPr>
      </w:pPr>
      <w:r>
        <w:rPr>
          <w:rFonts w:hint="eastAsia" w:ascii="宋体" w:hAnsi="宋体" w:cs="宋体"/>
          <w:color w:val="auto"/>
          <w:kern w:val="0"/>
          <w:sz w:val="24"/>
          <w:highlight w:val="none"/>
          <w:lang w:val="en-US" w:eastAsia="zh-CN"/>
        </w:rPr>
        <w:t>3</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除在响应文件中编制此表以外，为方便谈判会宣唱，供应商应单独密封一份</w:t>
      </w:r>
      <w:r>
        <w:rPr>
          <w:rFonts w:hint="eastAsia" w:ascii="宋体" w:cs="宋体"/>
          <w:color w:val="auto"/>
          <w:kern w:val="0"/>
          <w:sz w:val="24"/>
          <w:highlight w:val="none"/>
          <w:lang w:val="zh-CN"/>
        </w:rPr>
        <w:t>“</w:t>
      </w:r>
      <w:r>
        <w:rPr>
          <w:rFonts w:hint="eastAsia" w:ascii="宋体" w:hAnsi="宋体" w:cs="宋体"/>
          <w:color w:val="auto"/>
          <w:kern w:val="0"/>
          <w:sz w:val="24"/>
          <w:highlight w:val="none"/>
          <w:lang w:val="zh-CN"/>
        </w:rPr>
        <w:t>报价一览表</w:t>
      </w:r>
      <w:r>
        <w:rPr>
          <w:rFonts w:hint="eastAsia" w:ascii="宋体" w:cs="宋体"/>
          <w:color w:val="auto"/>
          <w:kern w:val="0"/>
          <w:sz w:val="24"/>
          <w:highlight w:val="none"/>
          <w:lang w:val="zh-CN"/>
        </w:rPr>
        <w:t>”</w:t>
      </w:r>
      <w:r>
        <w:rPr>
          <w:rFonts w:hint="eastAsia" w:ascii="宋体" w:hAnsi="宋体" w:cs="宋体"/>
          <w:color w:val="auto"/>
          <w:kern w:val="0"/>
          <w:sz w:val="24"/>
          <w:highlight w:val="none"/>
          <w:lang w:val="zh-CN"/>
        </w:rPr>
        <w:t>，并标明</w:t>
      </w:r>
      <w:r>
        <w:rPr>
          <w:rFonts w:hint="eastAsia" w:ascii="宋体" w:cs="宋体"/>
          <w:color w:val="auto"/>
          <w:kern w:val="0"/>
          <w:sz w:val="24"/>
          <w:highlight w:val="none"/>
          <w:lang w:val="zh-CN"/>
        </w:rPr>
        <w:t>“</w:t>
      </w:r>
      <w:r>
        <w:rPr>
          <w:rFonts w:hint="eastAsia" w:ascii="宋体" w:hAnsi="宋体" w:cs="宋体"/>
          <w:color w:val="auto"/>
          <w:kern w:val="0"/>
          <w:sz w:val="24"/>
          <w:highlight w:val="none"/>
          <w:lang w:val="zh-CN"/>
        </w:rPr>
        <w:t>报价一览表</w:t>
      </w:r>
      <w:r>
        <w:rPr>
          <w:rFonts w:hint="eastAsia" w:ascii="宋体" w:cs="宋体"/>
          <w:color w:val="auto"/>
          <w:kern w:val="0"/>
          <w:sz w:val="24"/>
          <w:highlight w:val="none"/>
          <w:lang w:val="zh-CN"/>
        </w:rPr>
        <w:t>”</w:t>
      </w:r>
      <w:r>
        <w:rPr>
          <w:rFonts w:hint="eastAsia" w:ascii="宋体" w:hAnsi="宋体" w:cs="宋体"/>
          <w:color w:val="auto"/>
          <w:kern w:val="0"/>
          <w:sz w:val="24"/>
          <w:highlight w:val="none"/>
          <w:lang w:val="zh-CN"/>
        </w:rPr>
        <w:t>字样。该密封的</w:t>
      </w:r>
      <w:r>
        <w:rPr>
          <w:rFonts w:hint="eastAsia" w:ascii="宋体" w:cs="宋体"/>
          <w:color w:val="auto"/>
          <w:kern w:val="0"/>
          <w:sz w:val="24"/>
          <w:highlight w:val="none"/>
          <w:lang w:val="zh-CN"/>
        </w:rPr>
        <w:t>“</w:t>
      </w:r>
      <w:r>
        <w:rPr>
          <w:rFonts w:hint="eastAsia" w:ascii="宋体" w:hAnsi="宋体" w:cs="宋体"/>
          <w:color w:val="auto"/>
          <w:kern w:val="0"/>
          <w:sz w:val="24"/>
          <w:highlight w:val="none"/>
          <w:lang w:val="zh-CN"/>
        </w:rPr>
        <w:t>报价一览表</w:t>
      </w:r>
      <w:r>
        <w:rPr>
          <w:rFonts w:hint="eastAsia" w:ascii="宋体" w:cs="宋体"/>
          <w:color w:val="auto"/>
          <w:kern w:val="0"/>
          <w:sz w:val="24"/>
          <w:highlight w:val="none"/>
          <w:lang w:val="zh-CN"/>
        </w:rPr>
        <w:t>”</w:t>
      </w:r>
      <w:r>
        <w:rPr>
          <w:rFonts w:hint="eastAsia" w:ascii="宋体" w:hAnsi="宋体" w:cs="宋体"/>
          <w:color w:val="auto"/>
          <w:kern w:val="0"/>
          <w:sz w:val="24"/>
          <w:highlight w:val="none"/>
          <w:lang w:val="zh-CN"/>
        </w:rPr>
        <w:t>和响应文件正本中的</w:t>
      </w:r>
      <w:r>
        <w:rPr>
          <w:rFonts w:hint="eastAsia" w:ascii="宋体" w:cs="宋体"/>
          <w:color w:val="auto"/>
          <w:kern w:val="0"/>
          <w:sz w:val="24"/>
          <w:highlight w:val="none"/>
          <w:lang w:val="zh-CN"/>
        </w:rPr>
        <w:t>“</w:t>
      </w:r>
      <w:r>
        <w:rPr>
          <w:rFonts w:hint="eastAsia" w:ascii="宋体" w:hAnsi="宋体" w:cs="宋体"/>
          <w:color w:val="auto"/>
          <w:kern w:val="0"/>
          <w:sz w:val="24"/>
          <w:highlight w:val="none"/>
          <w:lang w:val="zh-CN"/>
        </w:rPr>
        <w:t>报价一览表</w:t>
      </w:r>
      <w:r>
        <w:rPr>
          <w:rFonts w:hint="eastAsia" w:ascii="宋体" w:cs="宋体"/>
          <w:color w:val="auto"/>
          <w:kern w:val="0"/>
          <w:sz w:val="24"/>
          <w:highlight w:val="none"/>
          <w:lang w:val="zh-CN"/>
        </w:rPr>
        <w:t>”</w:t>
      </w:r>
      <w:r>
        <w:rPr>
          <w:rFonts w:hint="eastAsia" w:ascii="宋体" w:hAnsi="宋体" w:cs="宋体"/>
          <w:color w:val="auto"/>
          <w:kern w:val="0"/>
          <w:sz w:val="24"/>
          <w:highlight w:val="none"/>
          <w:lang w:val="zh-CN"/>
        </w:rPr>
        <w:t>应完全一致。</w:t>
      </w:r>
    </w:p>
    <w:p>
      <w:pPr>
        <w:autoSpaceDE w:val="0"/>
        <w:autoSpaceDN w:val="0"/>
        <w:spacing w:line="360" w:lineRule="auto"/>
        <w:ind w:firstLine="48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4</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报价不能有两个或两个以上的报价方案。</w:t>
      </w:r>
    </w:p>
    <w:p>
      <w:pPr>
        <w:autoSpaceDE w:val="0"/>
        <w:autoSpaceDN w:val="0"/>
        <w:spacing w:line="360" w:lineRule="auto"/>
        <w:ind w:firstLine="480"/>
        <w:rPr>
          <w:rFonts w:hint="eastAsia" w:ascii="宋体" w:hAnsi="宋体" w:cs="宋体"/>
          <w:color w:val="auto"/>
          <w:kern w:val="0"/>
          <w:sz w:val="24"/>
          <w:highlight w:val="none"/>
          <w:lang w:val="zh-CN"/>
        </w:rPr>
      </w:pPr>
    </w:p>
    <w:p>
      <w:pPr>
        <w:autoSpaceDE w:val="0"/>
        <w:autoSpaceDN w:val="0"/>
        <w:spacing w:line="360" w:lineRule="auto"/>
        <w:ind w:firstLine="480"/>
        <w:rPr>
          <w:rFonts w:hint="eastAsia" w:ascii="宋体" w:hAnsi="宋体" w:cs="宋体"/>
          <w:color w:val="auto"/>
          <w:kern w:val="0"/>
          <w:sz w:val="24"/>
          <w:highlight w:val="none"/>
          <w:lang w:val="zh-CN"/>
        </w:rPr>
      </w:pPr>
    </w:p>
    <w:p>
      <w:pPr>
        <w:spacing w:line="360" w:lineRule="auto"/>
        <w:rPr>
          <w:rFonts w:hint="eastAsia" w:ascii="宋体" w:hAnsi="宋体"/>
          <w:color w:val="auto"/>
          <w:sz w:val="24"/>
          <w:highlight w:val="none"/>
        </w:rPr>
      </w:pPr>
    </w:p>
    <w:p>
      <w:pPr>
        <w:spacing w:line="360" w:lineRule="auto"/>
        <w:ind w:firstLine="2640" w:firstLineChars="1100"/>
        <w:rPr>
          <w:rFonts w:hint="eastAsia" w:ascii="宋体" w:hAnsi="宋体" w:eastAsia="宋体"/>
          <w:color w:val="auto"/>
          <w:sz w:val="24"/>
          <w:highlight w:val="none"/>
          <w:lang w:val="en-US" w:eastAsia="zh-CN"/>
        </w:rPr>
      </w:pPr>
      <w:r>
        <w:rPr>
          <w:rFonts w:hint="eastAsia" w:ascii="宋体" w:hAnsi="宋体"/>
          <w:color w:val="auto"/>
          <w:sz w:val="24"/>
          <w:highlight w:val="none"/>
        </w:rPr>
        <w:t>供应商</w:t>
      </w:r>
      <w:r>
        <w:rPr>
          <w:rFonts w:hint="eastAsia" w:ascii="宋体" w:hAnsi="宋体"/>
          <w:color w:val="auto"/>
          <w:sz w:val="24"/>
          <w:highlight w:val="none"/>
          <w:lang w:eastAsia="zh-CN"/>
        </w:rPr>
        <w:t>名称</w:t>
      </w:r>
      <w:r>
        <w:rPr>
          <w:rFonts w:hint="eastAsia" w:ascii="宋体" w:hAnsi="宋体"/>
          <w:color w:val="auto"/>
          <w:sz w:val="24"/>
          <w:highlight w:val="none"/>
        </w:rPr>
        <w:t>（盖单位章）：</w:t>
      </w:r>
      <w:r>
        <w:rPr>
          <w:rFonts w:hint="eastAsia" w:ascii="宋体" w:hAnsi="宋体" w:eastAsia="宋体"/>
          <w:color w:val="auto"/>
          <w:sz w:val="24"/>
          <w:highlight w:val="none"/>
          <w:lang w:val="en-US" w:eastAsia="zh-CN"/>
        </w:rPr>
        <w:t xml:space="preserve"> </w:t>
      </w:r>
    </w:p>
    <w:p>
      <w:pPr>
        <w:spacing w:line="360" w:lineRule="auto"/>
        <w:ind w:firstLine="2640" w:firstLineChars="1100"/>
        <w:rPr>
          <w:rFonts w:hint="eastAsia" w:ascii="宋体" w:hAnsi="宋体"/>
          <w:color w:val="auto"/>
          <w:sz w:val="24"/>
          <w:highlight w:val="none"/>
        </w:rPr>
      </w:pPr>
      <w:r>
        <w:rPr>
          <w:rFonts w:hint="eastAsia" w:ascii="宋体" w:hAnsi="宋体"/>
          <w:color w:val="auto"/>
          <w:sz w:val="24"/>
          <w:highlight w:val="none"/>
        </w:rPr>
        <w:t>法定代表人</w:t>
      </w:r>
      <w:r>
        <w:rPr>
          <w:rFonts w:hint="eastAsia" w:ascii="宋体" w:hAnsi="宋体"/>
          <w:color w:val="auto"/>
          <w:kern w:val="0"/>
          <w:sz w:val="24"/>
          <w:highlight w:val="none"/>
        </w:rPr>
        <w:t>（或经营者）</w:t>
      </w:r>
      <w:r>
        <w:rPr>
          <w:rFonts w:hint="eastAsia" w:ascii="宋体" w:hAnsi="宋体"/>
          <w:color w:val="auto"/>
          <w:sz w:val="24"/>
          <w:highlight w:val="none"/>
        </w:rPr>
        <w:t>或其委托代理人签字：</w:t>
      </w:r>
      <w:r>
        <w:rPr>
          <w:rFonts w:hint="eastAsia" w:ascii="宋体" w:hAnsi="宋体"/>
          <w:color w:val="auto"/>
          <w:sz w:val="24"/>
          <w:highlight w:val="none"/>
          <w:u w:val="single"/>
        </w:rPr>
        <w:t xml:space="preserve">         </w:t>
      </w:r>
    </w:p>
    <w:p>
      <w:pPr>
        <w:spacing w:line="360" w:lineRule="auto"/>
        <w:jc w:val="right"/>
        <w:rPr>
          <w:rFonts w:hint="eastAsia" w:ascii="宋体" w:hAnsi="宋体"/>
          <w:color w:val="auto"/>
          <w:sz w:val="24"/>
          <w:highlight w:val="none"/>
          <w:u w:val="none"/>
          <w:lang w:eastAsia="zh-CN"/>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u w:val="none"/>
          <w:lang w:eastAsia="zh-CN"/>
        </w:rPr>
        <w:t>日</w:t>
      </w:r>
    </w:p>
    <w:p>
      <w:pPr>
        <w:spacing w:line="360" w:lineRule="auto"/>
        <w:jc w:val="center"/>
        <w:rPr>
          <w:rFonts w:hint="eastAsia" w:ascii="宋体" w:hAnsi="宋体"/>
          <w:color w:val="auto"/>
          <w:sz w:val="24"/>
          <w:highlight w:val="none"/>
          <w:u w:val="none"/>
          <w:lang w:eastAsia="zh-CN"/>
        </w:rPr>
      </w:pPr>
    </w:p>
    <w:p>
      <w:pPr>
        <w:spacing w:line="360" w:lineRule="auto"/>
        <w:jc w:val="center"/>
        <w:rPr>
          <w:rFonts w:hint="eastAsia" w:ascii="宋体" w:hAnsi="宋体"/>
          <w:color w:val="auto"/>
          <w:sz w:val="24"/>
          <w:highlight w:val="none"/>
          <w:u w:val="none"/>
          <w:lang w:eastAsia="zh-CN"/>
        </w:rPr>
      </w:pPr>
    </w:p>
    <w:p>
      <w:pPr>
        <w:spacing w:line="360" w:lineRule="auto"/>
        <w:jc w:val="center"/>
        <w:rPr>
          <w:rFonts w:hint="eastAsia" w:ascii="宋体" w:hAnsi="宋体"/>
          <w:color w:val="auto"/>
          <w:sz w:val="24"/>
          <w:highlight w:val="none"/>
          <w:u w:val="none"/>
          <w:lang w:eastAsia="zh-CN"/>
        </w:rPr>
        <w:sectPr>
          <w:pgSz w:w="11906" w:h="16838"/>
          <w:pgMar w:top="1440" w:right="1800" w:bottom="1440" w:left="1800" w:header="851" w:footer="992" w:gutter="0"/>
          <w:pgNumType w:fmt="decimal"/>
          <w:cols w:space="708" w:num="1"/>
          <w:docGrid w:type="lines" w:linePitch="312" w:charSpace="0"/>
        </w:sectPr>
      </w:pPr>
    </w:p>
    <w:p>
      <w:pPr>
        <w:spacing w:line="360" w:lineRule="auto"/>
        <w:jc w:val="center"/>
        <w:rPr>
          <w:rFonts w:hint="eastAsia" w:ascii="宋体" w:hAnsi="宋体"/>
          <w:b/>
          <w:color w:val="auto"/>
          <w:sz w:val="24"/>
          <w:highlight w:val="none"/>
        </w:rPr>
      </w:pPr>
      <w:r>
        <w:rPr>
          <w:rFonts w:hint="eastAsia" w:ascii="宋体" w:hAnsi="宋体"/>
          <w:b/>
          <w:color w:val="auto"/>
          <w:sz w:val="24"/>
          <w:highlight w:val="none"/>
        </w:rPr>
        <w:t>分项价格表</w:t>
      </w:r>
    </w:p>
    <w:p>
      <w:pPr>
        <w:spacing w:line="360" w:lineRule="auto"/>
        <w:jc w:val="center"/>
        <w:rPr>
          <w:rFonts w:hint="eastAsia" w:ascii="宋体" w:hAnsi="宋体"/>
          <w:b/>
          <w:color w:val="auto"/>
          <w:sz w:val="24"/>
          <w:highlight w:val="none"/>
        </w:rPr>
      </w:pPr>
    </w:p>
    <w:p>
      <w:pPr>
        <w:spacing w:line="360" w:lineRule="auto"/>
        <w:rPr>
          <w:rFonts w:hint="eastAsia"/>
          <w:color w:val="auto"/>
          <w:sz w:val="24"/>
          <w:highlight w:val="none"/>
        </w:rPr>
      </w:pPr>
      <w:r>
        <w:rPr>
          <w:rFonts w:hint="eastAsia"/>
          <w:color w:val="auto"/>
          <w:sz w:val="24"/>
          <w:highlight w:val="none"/>
        </w:rPr>
        <w:t>项目名称：                                                金额单位：元</w:t>
      </w:r>
    </w:p>
    <w:tbl>
      <w:tblPr>
        <w:tblStyle w:val="33"/>
        <w:tblpPr w:leftFromText="180" w:rightFromText="180" w:vertAnchor="text" w:horzAnchor="page" w:tblpX="1250" w:tblpY="2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90"/>
        <w:gridCol w:w="1235"/>
        <w:gridCol w:w="1311"/>
        <w:gridCol w:w="959"/>
        <w:gridCol w:w="791"/>
        <w:gridCol w:w="1245"/>
        <w:gridCol w:w="1458"/>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0" w:type="dxa"/>
            <w:vAlign w:val="center"/>
          </w:tcPr>
          <w:p>
            <w:pPr>
              <w:jc w:val="center"/>
              <w:rPr>
                <w:rFonts w:hint="eastAsia"/>
                <w:color w:val="auto"/>
                <w:highlight w:val="none"/>
                <w:lang w:val="en-US" w:eastAsia="zh-CN"/>
              </w:rPr>
            </w:pPr>
            <w:r>
              <w:rPr>
                <w:rFonts w:hint="eastAsia"/>
                <w:color w:val="auto"/>
                <w:highlight w:val="none"/>
                <w:lang w:val="en-US" w:eastAsia="zh-CN"/>
              </w:rPr>
              <w:t>序号</w:t>
            </w:r>
          </w:p>
        </w:tc>
        <w:tc>
          <w:tcPr>
            <w:tcW w:w="1390" w:type="dxa"/>
            <w:vAlign w:val="center"/>
          </w:tcPr>
          <w:p>
            <w:pPr>
              <w:jc w:val="center"/>
              <w:rPr>
                <w:rFonts w:hint="eastAsia"/>
                <w:color w:val="auto"/>
                <w:highlight w:val="none"/>
                <w:lang w:val="en-US" w:eastAsia="zh-CN"/>
              </w:rPr>
            </w:pPr>
            <w:r>
              <w:rPr>
                <w:rFonts w:hint="eastAsia"/>
                <w:color w:val="auto"/>
                <w:highlight w:val="none"/>
                <w:lang w:val="en-US" w:eastAsia="zh-CN"/>
              </w:rPr>
              <w:t>名称</w:t>
            </w:r>
          </w:p>
        </w:tc>
        <w:tc>
          <w:tcPr>
            <w:tcW w:w="1235" w:type="dxa"/>
            <w:vAlign w:val="center"/>
          </w:tcPr>
          <w:p>
            <w:pPr>
              <w:jc w:val="center"/>
              <w:rPr>
                <w:rFonts w:hint="eastAsia"/>
                <w:color w:val="auto"/>
                <w:highlight w:val="none"/>
                <w:lang w:val="en-US" w:eastAsia="zh-CN"/>
              </w:rPr>
            </w:pPr>
            <w:r>
              <w:rPr>
                <w:rFonts w:hint="eastAsia"/>
                <w:color w:val="auto"/>
                <w:highlight w:val="none"/>
                <w:lang w:val="en-US" w:eastAsia="zh-CN"/>
              </w:rPr>
              <w:t>品牌型号</w:t>
            </w:r>
          </w:p>
        </w:tc>
        <w:tc>
          <w:tcPr>
            <w:tcW w:w="1311" w:type="dxa"/>
            <w:vAlign w:val="center"/>
          </w:tcPr>
          <w:p>
            <w:pPr>
              <w:jc w:val="center"/>
              <w:rPr>
                <w:rFonts w:hint="eastAsia"/>
                <w:color w:val="auto"/>
                <w:highlight w:val="none"/>
                <w:lang w:val="en-US" w:eastAsia="zh-CN"/>
              </w:rPr>
            </w:pPr>
            <w:r>
              <w:rPr>
                <w:rFonts w:hint="eastAsia"/>
                <w:color w:val="auto"/>
                <w:highlight w:val="none"/>
                <w:lang w:val="en-US" w:eastAsia="zh-CN"/>
              </w:rPr>
              <w:t>规格及技术参数</w:t>
            </w:r>
          </w:p>
        </w:tc>
        <w:tc>
          <w:tcPr>
            <w:tcW w:w="959" w:type="dxa"/>
            <w:vAlign w:val="center"/>
          </w:tcPr>
          <w:p>
            <w:pPr>
              <w:jc w:val="center"/>
              <w:rPr>
                <w:rFonts w:hint="eastAsia"/>
                <w:color w:val="auto"/>
                <w:highlight w:val="none"/>
                <w:lang w:val="en-US" w:eastAsia="zh-CN"/>
              </w:rPr>
            </w:pPr>
            <w:r>
              <w:rPr>
                <w:rFonts w:hint="eastAsia"/>
                <w:color w:val="auto"/>
                <w:highlight w:val="none"/>
                <w:lang w:val="en-US" w:eastAsia="zh-CN"/>
              </w:rPr>
              <w:t>单位</w:t>
            </w:r>
          </w:p>
        </w:tc>
        <w:tc>
          <w:tcPr>
            <w:tcW w:w="791" w:type="dxa"/>
            <w:vAlign w:val="center"/>
          </w:tcPr>
          <w:p>
            <w:pPr>
              <w:jc w:val="center"/>
              <w:rPr>
                <w:rFonts w:hint="eastAsia"/>
                <w:color w:val="auto"/>
                <w:highlight w:val="none"/>
                <w:lang w:val="en-US" w:eastAsia="zh-CN"/>
              </w:rPr>
            </w:pPr>
            <w:r>
              <w:rPr>
                <w:rFonts w:hint="eastAsia"/>
                <w:color w:val="auto"/>
                <w:highlight w:val="none"/>
                <w:lang w:val="en-US" w:eastAsia="zh-CN"/>
              </w:rPr>
              <w:t>数量</w:t>
            </w:r>
          </w:p>
        </w:tc>
        <w:tc>
          <w:tcPr>
            <w:tcW w:w="1245" w:type="dxa"/>
            <w:vAlign w:val="center"/>
          </w:tcPr>
          <w:p>
            <w:pPr>
              <w:jc w:val="center"/>
              <w:rPr>
                <w:rFonts w:hint="eastAsia"/>
                <w:color w:val="auto"/>
                <w:highlight w:val="none"/>
                <w:lang w:val="en-US" w:eastAsia="zh-CN"/>
              </w:rPr>
            </w:pPr>
            <w:r>
              <w:rPr>
                <w:rFonts w:hint="eastAsia"/>
                <w:color w:val="auto"/>
                <w:highlight w:val="none"/>
                <w:lang w:val="en-US" w:eastAsia="zh-CN"/>
              </w:rPr>
              <w:t>单价</w:t>
            </w:r>
          </w:p>
        </w:tc>
        <w:tc>
          <w:tcPr>
            <w:tcW w:w="1458" w:type="dxa"/>
            <w:vAlign w:val="center"/>
          </w:tcPr>
          <w:p>
            <w:pPr>
              <w:jc w:val="center"/>
              <w:rPr>
                <w:rFonts w:hint="eastAsia"/>
                <w:color w:val="auto"/>
                <w:highlight w:val="none"/>
                <w:lang w:val="en-US" w:eastAsia="zh-CN"/>
              </w:rPr>
            </w:pPr>
            <w:r>
              <w:rPr>
                <w:rFonts w:hint="eastAsia"/>
                <w:color w:val="auto"/>
                <w:highlight w:val="none"/>
                <w:lang w:val="en-US" w:eastAsia="zh-CN"/>
              </w:rPr>
              <w:t>总价</w:t>
            </w:r>
          </w:p>
        </w:tc>
        <w:tc>
          <w:tcPr>
            <w:tcW w:w="651" w:type="dxa"/>
            <w:vAlign w:val="center"/>
          </w:tcPr>
          <w:p>
            <w:pPr>
              <w:jc w:val="center"/>
              <w:rPr>
                <w:rFonts w:hint="eastAsia"/>
                <w:color w:val="auto"/>
                <w:highlight w:val="none"/>
                <w:lang w:val="en-US" w:eastAsia="zh-CN"/>
              </w:rPr>
            </w:pPr>
            <w:r>
              <w:rPr>
                <w:rFonts w:hint="eastAsia"/>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40" w:type="dxa"/>
            <w:vAlign w:val="center"/>
          </w:tcPr>
          <w:p>
            <w:pPr>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1</w:t>
            </w:r>
          </w:p>
        </w:tc>
        <w:tc>
          <w:tcPr>
            <w:tcW w:w="1390" w:type="dxa"/>
            <w:vAlign w:val="center"/>
          </w:tcPr>
          <w:p>
            <w:pPr>
              <w:jc w:val="center"/>
              <w:rPr>
                <w:rFonts w:hint="eastAsia" w:ascii="宋体" w:hAnsi="宋体"/>
                <w:color w:val="auto"/>
                <w:sz w:val="24"/>
                <w:highlight w:val="none"/>
              </w:rPr>
            </w:pPr>
          </w:p>
        </w:tc>
        <w:tc>
          <w:tcPr>
            <w:tcW w:w="1235" w:type="dxa"/>
          </w:tcPr>
          <w:p>
            <w:pPr>
              <w:jc w:val="center"/>
              <w:rPr>
                <w:rFonts w:hint="eastAsia" w:ascii="宋体" w:hAnsi="宋体"/>
                <w:color w:val="auto"/>
                <w:sz w:val="24"/>
                <w:highlight w:val="none"/>
              </w:rPr>
            </w:pPr>
          </w:p>
        </w:tc>
        <w:tc>
          <w:tcPr>
            <w:tcW w:w="1311" w:type="dxa"/>
            <w:vAlign w:val="center"/>
          </w:tcPr>
          <w:p>
            <w:pPr>
              <w:jc w:val="center"/>
              <w:rPr>
                <w:rFonts w:hint="eastAsia" w:ascii="宋体" w:hAnsi="宋体"/>
                <w:color w:val="auto"/>
                <w:sz w:val="24"/>
                <w:highlight w:val="none"/>
              </w:rPr>
            </w:pPr>
          </w:p>
        </w:tc>
        <w:tc>
          <w:tcPr>
            <w:tcW w:w="959" w:type="dxa"/>
            <w:vAlign w:val="center"/>
          </w:tcPr>
          <w:p>
            <w:pPr>
              <w:jc w:val="center"/>
              <w:rPr>
                <w:rFonts w:hint="eastAsia" w:ascii="宋体" w:hAnsi="宋体"/>
                <w:color w:val="auto"/>
                <w:sz w:val="24"/>
                <w:highlight w:val="none"/>
              </w:rPr>
            </w:pPr>
          </w:p>
        </w:tc>
        <w:tc>
          <w:tcPr>
            <w:tcW w:w="791" w:type="dxa"/>
            <w:vAlign w:val="center"/>
          </w:tcPr>
          <w:p>
            <w:pPr>
              <w:jc w:val="center"/>
              <w:rPr>
                <w:rFonts w:hint="eastAsia" w:ascii="宋体" w:hAnsi="宋体"/>
                <w:color w:val="auto"/>
                <w:sz w:val="24"/>
                <w:highlight w:val="none"/>
              </w:rPr>
            </w:pPr>
          </w:p>
        </w:tc>
        <w:tc>
          <w:tcPr>
            <w:tcW w:w="1245" w:type="dxa"/>
            <w:vAlign w:val="center"/>
          </w:tcPr>
          <w:p>
            <w:pPr>
              <w:jc w:val="center"/>
              <w:rPr>
                <w:rFonts w:hint="eastAsia" w:ascii="宋体" w:hAnsi="宋体"/>
                <w:color w:val="auto"/>
                <w:sz w:val="24"/>
                <w:highlight w:val="none"/>
              </w:rPr>
            </w:pPr>
          </w:p>
        </w:tc>
        <w:tc>
          <w:tcPr>
            <w:tcW w:w="1458" w:type="dxa"/>
            <w:vAlign w:val="center"/>
          </w:tcPr>
          <w:p>
            <w:pPr>
              <w:jc w:val="center"/>
              <w:rPr>
                <w:rFonts w:hint="eastAsia" w:ascii="宋体" w:hAnsi="宋体"/>
                <w:color w:val="auto"/>
                <w:sz w:val="24"/>
                <w:highlight w:val="none"/>
              </w:rPr>
            </w:pPr>
          </w:p>
        </w:tc>
        <w:tc>
          <w:tcPr>
            <w:tcW w:w="651" w:type="dxa"/>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40" w:type="dxa"/>
            <w:vAlign w:val="center"/>
          </w:tcPr>
          <w:p>
            <w:pPr>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2</w:t>
            </w:r>
          </w:p>
        </w:tc>
        <w:tc>
          <w:tcPr>
            <w:tcW w:w="1390" w:type="dxa"/>
            <w:vAlign w:val="center"/>
          </w:tcPr>
          <w:p>
            <w:pPr>
              <w:jc w:val="center"/>
              <w:rPr>
                <w:rFonts w:hint="eastAsia" w:ascii="宋体" w:hAnsi="宋体"/>
                <w:color w:val="auto"/>
                <w:sz w:val="24"/>
                <w:highlight w:val="none"/>
              </w:rPr>
            </w:pPr>
          </w:p>
        </w:tc>
        <w:tc>
          <w:tcPr>
            <w:tcW w:w="1235" w:type="dxa"/>
          </w:tcPr>
          <w:p>
            <w:pPr>
              <w:jc w:val="center"/>
              <w:rPr>
                <w:rFonts w:hint="eastAsia" w:ascii="宋体" w:hAnsi="宋体"/>
                <w:color w:val="auto"/>
                <w:sz w:val="24"/>
                <w:highlight w:val="none"/>
              </w:rPr>
            </w:pPr>
          </w:p>
        </w:tc>
        <w:tc>
          <w:tcPr>
            <w:tcW w:w="1311" w:type="dxa"/>
            <w:vAlign w:val="center"/>
          </w:tcPr>
          <w:p>
            <w:pPr>
              <w:jc w:val="center"/>
              <w:rPr>
                <w:rFonts w:hint="eastAsia" w:ascii="宋体" w:hAnsi="宋体"/>
                <w:color w:val="auto"/>
                <w:sz w:val="24"/>
                <w:highlight w:val="none"/>
              </w:rPr>
            </w:pPr>
          </w:p>
        </w:tc>
        <w:tc>
          <w:tcPr>
            <w:tcW w:w="959" w:type="dxa"/>
            <w:vAlign w:val="center"/>
          </w:tcPr>
          <w:p>
            <w:pPr>
              <w:jc w:val="center"/>
              <w:rPr>
                <w:rFonts w:hint="eastAsia" w:ascii="宋体" w:hAnsi="宋体"/>
                <w:color w:val="auto"/>
                <w:sz w:val="24"/>
                <w:highlight w:val="none"/>
              </w:rPr>
            </w:pPr>
          </w:p>
        </w:tc>
        <w:tc>
          <w:tcPr>
            <w:tcW w:w="791" w:type="dxa"/>
            <w:vAlign w:val="center"/>
          </w:tcPr>
          <w:p>
            <w:pPr>
              <w:jc w:val="center"/>
              <w:rPr>
                <w:rFonts w:hint="eastAsia" w:ascii="宋体" w:hAnsi="宋体"/>
                <w:color w:val="auto"/>
                <w:sz w:val="24"/>
                <w:highlight w:val="none"/>
              </w:rPr>
            </w:pPr>
          </w:p>
        </w:tc>
        <w:tc>
          <w:tcPr>
            <w:tcW w:w="1245" w:type="dxa"/>
            <w:vAlign w:val="center"/>
          </w:tcPr>
          <w:p>
            <w:pPr>
              <w:jc w:val="center"/>
              <w:rPr>
                <w:rFonts w:hint="eastAsia" w:ascii="宋体" w:hAnsi="宋体"/>
                <w:color w:val="auto"/>
                <w:sz w:val="24"/>
                <w:highlight w:val="none"/>
              </w:rPr>
            </w:pPr>
          </w:p>
        </w:tc>
        <w:tc>
          <w:tcPr>
            <w:tcW w:w="1458" w:type="dxa"/>
            <w:vAlign w:val="center"/>
          </w:tcPr>
          <w:p>
            <w:pPr>
              <w:jc w:val="center"/>
              <w:rPr>
                <w:rFonts w:hint="eastAsia" w:ascii="宋体" w:hAnsi="宋体"/>
                <w:color w:val="auto"/>
                <w:sz w:val="24"/>
                <w:highlight w:val="none"/>
              </w:rPr>
            </w:pPr>
          </w:p>
        </w:tc>
        <w:tc>
          <w:tcPr>
            <w:tcW w:w="651" w:type="dxa"/>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40" w:type="dxa"/>
            <w:vAlign w:val="center"/>
          </w:tcPr>
          <w:p>
            <w:pPr>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3</w:t>
            </w:r>
          </w:p>
        </w:tc>
        <w:tc>
          <w:tcPr>
            <w:tcW w:w="1390" w:type="dxa"/>
            <w:vAlign w:val="center"/>
          </w:tcPr>
          <w:p>
            <w:pPr>
              <w:jc w:val="center"/>
              <w:rPr>
                <w:rFonts w:hint="eastAsia" w:ascii="宋体" w:hAnsi="宋体"/>
                <w:color w:val="auto"/>
                <w:sz w:val="24"/>
                <w:highlight w:val="none"/>
              </w:rPr>
            </w:pPr>
          </w:p>
        </w:tc>
        <w:tc>
          <w:tcPr>
            <w:tcW w:w="1235" w:type="dxa"/>
          </w:tcPr>
          <w:p>
            <w:pPr>
              <w:jc w:val="center"/>
              <w:rPr>
                <w:rFonts w:hint="eastAsia" w:ascii="宋体" w:hAnsi="宋体"/>
                <w:color w:val="auto"/>
                <w:sz w:val="24"/>
                <w:highlight w:val="none"/>
              </w:rPr>
            </w:pPr>
          </w:p>
        </w:tc>
        <w:tc>
          <w:tcPr>
            <w:tcW w:w="1311" w:type="dxa"/>
            <w:vAlign w:val="center"/>
          </w:tcPr>
          <w:p>
            <w:pPr>
              <w:jc w:val="center"/>
              <w:rPr>
                <w:rFonts w:hint="eastAsia" w:ascii="宋体" w:hAnsi="宋体"/>
                <w:color w:val="auto"/>
                <w:sz w:val="24"/>
                <w:highlight w:val="none"/>
              </w:rPr>
            </w:pPr>
          </w:p>
        </w:tc>
        <w:tc>
          <w:tcPr>
            <w:tcW w:w="959" w:type="dxa"/>
            <w:vAlign w:val="center"/>
          </w:tcPr>
          <w:p>
            <w:pPr>
              <w:jc w:val="center"/>
              <w:rPr>
                <w:rFonts w:hint="eastAsia" w:ascii="宋体" w:hAnsi="宋体"/>
                <w:color w:val="auto"/>
                <w:sz w:val="24"/>
                <w:highlight w:val="none"/>
              </w:rPr>
            </w:pPr>
          </w:p>
        </w:tc>
        <w:tc>
          <w:tcPr>
            <w:tcW w:w="791" w:type="dxa"/>
            <w:vAlign w:val="center"/>
          </w:tcPr>
          <w:p>
            <w:pPr>
              <w:jc w:val="center"/>
              <w:rPr>
                <w:rFonts w:hint="eastAsia" w:ascii="宋体" w:hAnsi="宋体"/>
                <w:color w:val="auto"/>
                <w:sz w:val="24"/>
                <w:highlight w:val="none"/>
              </w:rPr>
            </w:pPr>
          </w:p>
        </w:tc>
        <w:tc>
          <w:tcPr>
            <w:tcW w:w="1245" w:type="dxa"/>
            <w:vAlign w:val="center"/>
          </w:tcPr>
          <w:p>
            <w:pPr>
              <w:jc w:val="center"/>
              <w:rPr>
                <w:rFonts w:hint="eastAsia" w:ascii="宋体" w:hAnsi="宋体"/>
                <w:color w:val="auto"/>
                <w:sz w:val="24"/>
                <w:highlight w:val="none"/>
              </w:rPr>
            </w:pPr>
          </w:p>
        </w:tc>
        <w:tc>
          <w:tcPr>
            <w:tcW w:w="1458" w:type="dxa"/>
            <w:vAlign w:val="center"/>
          </w:tcPr>
          <w:p>
            <w:pPr>
              <w:jc w:val="center"/>
              <w:rPr>
                <w:rFonts w:hint="eastAsia" w:ascii="宋体" w:hAnsi="宋体"/>
                <w:color w:val="auto"/>
                <w:sz w:val="24"/>
                <w:highlight w:val="none"/>
              </w:rPr>
            </w:pPr>
          </w:p>
        </w:tc>
        <w:tc>
          <w:tcPr>
            <w:tcW w:w="651" w:type="dxa"/>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40" w:type="dxa"/>
            <w:vAlign w:val="center"/>
          </w:tcPr>
          <w:p>
            <w:pPr>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4</w:t>
            </w:r>
          </w:p>
        </w:tc>
        <w:tc>
          <w:tcPr>
            <w:tcW w:w="1390" w:type="dxa"/>
            <w:vAlign w:val="center"/>
          </w:tcPr>
          <w:p>
            <w:pPr>
              <w:jc w:val="center"/>
              <w:rPr>
                <w:rFonts w:hint="eastAsia" w:ascii="宋体" w:hAnsi="宋体"/>
                <w:color w:val="auto"/>
                <w:sz w:val="24"/>
                <w:highlight w:val="none"/>
              </w:rPr>
            </w:pPr>
          </w:p>
        </w:tc>
        <w:tc>
          <w:tcPr>
            <w:tcW w:w="1235" w:type="dxa"/>
          </w:tcPr>
          <w:p>
            <w:pPr>
              <w:jc w:val="center"/>
              <w:rPr>
                <w:rFonts w:hint="eastAsia" w:ascii="宋体" w:hAnsi="宋体"/>
                <w:color w:val="auto"/>
                <w:sz w:val="24"/>
                <w:highlight w:val="none"/>
              </w:rPr>
            </w:pPr>
          </w:p>
        </w:tc>
        <w:tc>
          <w:tcPr>
            <w:tcW w:w="1311" w:type="dxa"/>
            <w:vAlign w:val="center"/>
          </w:tcPr>
          <w:p>
            <w:pPr>
              <w:jc w:val="center"/>
              <w:rPr>
                <w:rFonts w:hint="eastAsia" w:ascii="宋体" w:hAnsi="宋体"/>
                <w:color w:val="auto"/>
                <w:sz w:val="24"/>
                <w:highlight w:val="none"/>
              </w:rPr>
            </w:pPr>
          </w:p>
        </w:tc>
        <w:tc>
          <w:tcPr>
            <w:tcW w:w="959" w:type="dxa"/>
            <w:vAlign w:val="center"/>
          </w:tcPr>
          <w:p>
            <w:pPr>
              <w:jc w:val="center"/>
              <w:rPr>
                <w:rFonts w:hint="eastAsia" w:ascii="宋体" w:hAnsi="宋体"/>
                <w:color w:val="auto"/>
                <w:sz w:val="24"/>
                <w:highlight w:val="none"/>
              </w:rPr>
            </w:pPr>
          </w:p>
        </w:tc>
        <w:tc>
          <w:tcPr>
            <w:tcW w:w="791" w:type="dxa"/>
            <w:vAlign w:val="center"/>
          </w:tcPr>
          <w:p>
            <w:pPr>
              <w:jc w:val="center"/>
              <w:rPr>
                <w:rFonts w:hint="eastAsia" w:ascii="宋体" w:hAnsi="宋体"/>
                <w:color w:val="auto"/>
                <w:sz w:val="24"/>
                <w:highlight w:val="none"/>
              </w:rPr>
            </w:pPr>
          </w:p>
        </w:tc>
        <w:tc>
          <w:tcPr>
            <w:tcW w:w="1245" w:type="dxa"/>
            <w:vAlign w:val="center"/>
          </w:tcPr>
          <w:p>
            <w:pPr>
              <w:jc w:val="center"/>
              <w:rPr>
                <w:rFonts w:hint="eastAsia" w:ascii="宋体" w:hAnsi="宋体"/>
                <w:color w:val="auto"/>
                <w:sz w:val="24"/>
                <w:highlight w:val="none"/>
              </w:rPr>
            </w:pPr>
          </w:p>
        </w:tc>
        <w:tc>
          <w:tcPr>
            <w:tcW w:w="1458" w:type="dxa"/>
            <w:vAlign w:val="center"/>
          </w:tcPr>
          <w:p>
            <w:pPr>
              <w:jc w:val="center"/>
              <w:rPr>
                <w:rFonts w:hint="eastAsia" w:ascii="宋体" w:hAnsi="宋体"/>
                <w:color w:val="auto"/>
                <w:sz w:val="24"/>
                <w:highlight w:val="none"/>
              </w:rPr>
            </w:pPr>
          </w:p>
        </w:tc>
        <w:tc>
          <w:tcPr>
            <w:tcW w:w="651" w:type="dxa"/>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40" w:type="dxa"/>
            <w:vAlign w:val="center"/>
          </w:tcPr>
          <w:p>
            <w:pPr>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5</w:t>
            </w:r>
          </w:p>
        </w:tc>
        <w:tc>
          <w:tcPr>
            <w:tcW w:w="1390" w:type="dxa"/>
            <w:vAlign w:val="center"/>
          </w:tcPr>
          <w:p>
            <w:pPr>
              <w:jc w:val="center"/>
              <w:rPr>
                <w:rFonts w:hint="eastAsia" w:ascii="宋体" w:hAnsi="宋体"/>
                <w:color w:val="auto"/>
                <w:sz w:val="24"/>
                <w:highlight w:val="none"/>
              </w:rPr>
            </w:pPr>
          </w:p>
        </w:tc>
        <w:tc>
          <w:tcPr>
            <w:tcW w:w="1235" w:type="dxa"/>
          </w:tcPr>
          <w:p>
            <w:pPr>
              <w:jc w:val="center"/>
              <w:rPr>
                <w:rFonts w:hint="eastAsia" w:ascii="宋体" w:hAnsi="宋体"/>
                <w:color w:val="auto"/>
                <w:sz w:val="24"/>
                <w:highlight w:val="none"/>
              </w:rPr>
            </w:pPr>
          </w:p>
        </w:tc>
        <w:tc>
          <w:tcPr>
            <w:tcW w:w="1311" w:type="dxa"/>
            <w:vAlign w:val="center"/>
          </w:tcPr>
          <w:p>
            <w:pPr>
              <w:jc w:val="center"/>
              <w:rPr>
                <w:rFonts w:hint="eastAsia" w:ascii="宋体" w:hAnsi="宋体"/>
                <w:color w:val="auto"/>
                <w:sz w:val="24"/>
                <w:highlight w:val="none"/>
              </w:rPr>
            </w:pPr>
          </w:p>
        </w:tc>
        <w:tc>
          <w:tcPr>
            <w:tcW w:w="959" w:type="dxa"/>
            <w:vAlign w:val="center"/>
          </w:tcPr>
          <w:p>
            <w:pPr>
              <w:jc w:val="center"/>
              <w:rPr>
                <w:rFonts w:hint="eastAsia" w:ascii="宋体" w:hAnsi="宋体"/>
                <w:color w:val="auto"/>
                <w:sz w:val="24"/>
                <w:highlight w:val="none"/>
              </w:rPr>
            </w:pPr>
          </w:p>
        </w:tc>
        <w:tc>
          <w:tcPr>
            <w:tcW w:w="791" w:type="dxa"/>
            <w:vAlign w:val="center"/>
          </w:tcPr>
          <w:p>
            <w:pPr>
              <w:jc w:val="center"/>
              <w:rPr>
                <w:rFonts w:hint="eastAsia" w:ascii="宋体" w:hAnsi="宋体"/>
                <w:color w:val="auto"/>
                <w:sz w:val="24"/>
                <w:highlight w:val="none"/>
              </w:rPr>
            </w:pPr>
          </w:p>
        </w:tc>
        <w:tc>
          <w:tcPr>
            <w:tcW w:w="1245" w:type="dxa"/>
            <w:vAlign w:val="center"/>
          </w:tcPr>
          <w:p>
            <w:pPr>
              <w:jc w:val="center"/>
              <w:rPr>
                <w:rFonts w:hint="eastAsia" w:ascii="宋体" w:hAnsi="宋体"/>
                <w:color w:val="auto"/>
                <w:sz w:val="24"/>
                <w:highlight w:val="none"/>
              </w:rPr>
            </w:pPr>
          </w:p>
        </w:tc>
        <w:tc>
          <w:tcPr>
            <w:tcW w:w="1458" w:type="dxa"/>
            <w:vAlign w:val="center"/>
          </w:tcPr>
          <w:p>
            <w:pPr>
              <w:jc w:val="center"/>
              <w:rPr>
                <w:rFonts w:hint="eastAsia" w:ascii="宋体" w:hAnsi="宋体"/>
                <w:color w:val="auto"/>
                <w:sz w:val="24"/>
                <w:highlight w:val="none"/>
              </w:rPr>
            </w:pPr>
          </w:p>
        </w:tc>
        <w:tc>
          <w:tcPr>
            <w:tcW w:w="651" w:type="dxa"/>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40" w:type="dxa"/>
            <w:vAlign w:val="center"/>
          </w:tcPr>
          <w:p>
            <w:pPr>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6</w:t>
            </w:r>
          </w:p>
        </w:tc>
        <w:tc>
          <w:tcPr>
            <w:tcW w:w="1390" w:type="dxa"/>
            <w:vAlign w:val="center"/>
          </w:tcPr>
          <w:p>
            <w:pPr>
              <w:jc w:val="center"/>
              <w:rPr>
                <w:rFonts w:hint="eastAsia" w:ascii="宋体" w:hAnsi="宋体"/>
                <w:color w:val="auto"/>
                <w:sz w:val="24"/>
                <w:highlight w:val="none"/>
              </w:rPr>
            </w:pPr>
          </w:p>
        </w:tc>
        <w:tc>
          <w:tcPr>
            <w:tcW w:w="1235" w:type="dxa"/>
          </w:tcPr>
          <w:p>
            <w:pPr>
              <w:jc w:val="center"/>
              <w:rPr>
                <w:rFonts w:hint="eastAsia" w:ascii="宋体" w:hAnsi="宋体"/>
                <w:color w:val="auto"/>
                <w:sz w:val="24"/>
                <w:highlight w:val="none"/>
              </w:rPr>
            </w:pPr>
          </w:p>
        </w:tc>
        <w:tc>
          <w:tcPr>
            <w:tcW w:w="1311" w:type="dxa"/>
            <w:vAlign w:val="center"/>
          </w:tcPr>
          <w:p>
            <w:pPr>
              <w:jc w:val="center"/>
              <w:rPr>
                <w:rFonts w:hint="eastAsia" w:ascii="宋体" w:hAnsi="宋体"/>
                <w:color w:val="auto"/>
                <w:sz w:val="24"/>
                <w:highlight w:val="none"/>
              </w:rPr>
            </w:pPr>
          </w:p>
        </w:tc>
        <w:tc>
          <w:tcPr>
            <w:tcW w:w="959" w:type="dxa"/>
            <w:vAlign w:val="center"/>
          </w:tcPr>
          <w:p>
            <w:pPr>
              <w:jc w:val="center"/>
              <w:rPr>
                <w:rFonts w:hint="eastAsia" w:ascii="宋体" w:hAnsi="宋体"/>
                <w:color w:val="auto"/>
                <w:sz w:val="24"/>
                <w:highlight w:val="none"/>
              </w:rPr>
            </w:pPr>
          </w:p>
        </w:tc>
        <w:tc>
          <w:tcPr>
            <w:tcW w:w="791" w:type="dxa"/>
            <w:vAlign w:val="center"/>
          </w:tcPr>
          <w:p>
            <w:pPr>
              <w:jc w:val="center"/>
              <w:rPr>
                <w:rFonts w:hint="eastAsia" w:ascii="宋体" w:hAnsi="宋体"/>
                <w:color w:val="auto"/>
                <w:sz w:val="24"/>
                <w:highlight w:val="none"/>
              </w:rPr>
            </w:pPr>
          </w:p>
        </w:tc>
        <w:tc>
          <w:tcPr>
            <w:tcW w:w="1245" w:type="dxa"/>
            <w:vAlign w:val="center"/>
          </w:tcPr>
          <w:p>
            <w:pPr>
              <w:jc w:val="center"/>
              <w:rPr>
                <w:rFonts w:hint="eastAsia" w:ascii="宋体" w:hAnsi="宋体"/>
                <w:color w:val="auto"/>
                <w:sz w:val="24"/>
                <w:highlight w:val="none"/>
              </w:rPr>
            </w:pPr>
          </w:p>
        </w:tc>
        <w:tc>
          <w:tcPr>
            <w:tcW w:w="1458" w:type="dxa"/>
            <w:vAlign w:val="center"/>
          </w:tcPr>
          <w:p>
            <w:pPr>
              <w:jc w:val="center"/>
              <w:rPr>
                <w:rFonts w:hint="eastAsia" w:ascii="宋体" w:hAnsi="宋体"/>
                <w:color w:val="auto"/>
                <w:sz w:val="24"/>
                <w:highlight w:val="none"/>
              </w:rPr>
            </w:pPr>
          </w:p>
        </w:tc>
        <w:tc>
          <w:tcPr>
            <w:tcW w:w="651" w:type="dxa"/>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40" w:type="dxa"/>
            <w:vAlign w:val="center"/>
          </w:tcPr>
          <w:p>
            <w:pPr>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7</w:t>
            </w:r>
          </w:p>
        </w:tc>
        <w:tc>
          <w:tcPr>
            <w:tcW w:w="1390" w:type="dxa"/>
            <w:vAlign w:val="center"/>
          </w:tcPr>
          <w:p>
            <w:pPr>
              <w:jc w:val="center"/>
              <w:rPr>
                <w:rFonts w:hint="eastAsia" w:ascii="宋体" w:hAnsi="宋体"/>
                <w:color w:val="auto"/>
                <w:sz w:val="24"/>
                <w:highlight w:val="none"/>
              </w:rPr>
            </w:pPr>
          </w:p>
        </w:tc>
        <w:tc>
          <w:tcPr>
            <w:tcW w:w="1235" w:type="dxa"/>
          </w:tcPr>
          <w:p>
            <w:pPr>
              <w:jc w:val="center"/>
              <w:rPr>
                <w:rFonts w:hint="eastAsia" w:ascii="宋体" w:hAnsi="宋体"/>
                <w:color w:val="auto"/>
                <w:sz w:val="24"/>
                <w:highlight w:val="none"/>
              </w:rPr>
            </w:pPr>
          </w:p>
        </w:tc>
        <w:tc>
          <w:tcPr>
            <w:tcW w:w="1311" w:type="dxa"/>
            <w:vAlign w:val="center"/>
          </w:tcPr>
          <w:p>
            <w:pPr>
              <w:jc w:val="center"/>
              <w:rPr>
                <w:rFonts w:hint="eastAsia" w:ascii="宋体" w:hAnsi="宋体"/>
                <w:color w:val="auto"/>
                <w:sz w:val="24"/>
                <w:highlight w:val="none"/>
              </w:rPr>
            </w:pPr>
          </w:p>
        </w:tc>
        <w:tc>
          <w:tcPr>
            <w:tcW w:w="959" w:type="dxa"/>
            <w:vAlign w:val="center"/>
          </w:tcPr>
          <w:p>
            <w:pPr>
              <w:jc w:val="center"/>
              <w:rPr>
                <w:rFonts w:hint="eastAsia" w:ascii="宋体" w:hAnsi="宋体"/>
                <w:color w:val="auto"/>
                <w:sz w:val="24"/>
                <w:highlight w:val="none"/>
              </w:rPr>
            </w:pPr>
          </w:p>
        </w:tc>
        <w:tc>
          <w:tcPr>
            <w:tcW w:w="791" w:type="dxa"/>
            <w:vAlign w:val="center"/>
          </w:tcPr>
          <w:p>
            <w:pPr>
              <w:jc w:val="center"/>
              <w:rPr>
                <w:rFonts w:hint="eastAsia" w:ascii="宋体" w:hAnsi="宋体"/>
                <w:color w:val="auto"/>
                <w:sz w:val="24"/>
                <w:highlight w:val="none"/>
              </w:rPr>
            </w:pPr>
          </w:p>
        </w:tc>
        <w:tc>
          <w:tcPr>
            <w:tcW w:w="1245" w:type="dxa"/>
            <w:vAlign w:val="center"/>
          </w:tcPr>
          <w:p>
            <w:pPr>
              <w:jc w:val="center"/>
              <w:rPr>
                <w:rFonts w:hint="eastAsia" w:ascii="宋体" w:hAnsi="宋体"/>
                <w:color w:val="auto"/>
                <w:sz w:val="24"/>
                <w:highlight w:val="none"/>
              </w:rPr>
            </w:pPr>
          </w:p>
        </w:tc>
        <w:tc>
          <w:tcPr>
            <w:tcW w:w="1458" w:type="dxa"/>
            <w:vAlign w:val="center"/>
          </w:tcPr>
          <w:p>
            <w:pPr>
              <w:jc w:val="center"/>
              <w:rPr>
                <w:rFonts w:hint="eastAsia" w:ascii="宋体" w:hAnsi="宋体"/>
                <w:color w:val="auto"/>
                <w:sz w:val="24"/>
                <w:highlight w:val="none"/>
              </w:rPr>
            </w:pPr>
          </w:p>
        </w:tc>
        <w:tc>
          <w:tcPr>
            <w:tcW w:w="651" w:type="dxa"/>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40" w:type="dxa"/>
            <w:vAlign w:val="center"/>
          </w:tcPr>
          <w:p>
            <w:pPr>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8</w:t>
            </w:r>
          </w:p>
        </w:tc>
        <w:tc>
          <w:tcPr>
            <w:tcW w:w="1390" w:type="dxa"/>
            <w:vAlign w:val="center"/>
          </w:tcPr>
          <w:p>
            <w:pPr>
              <w:jc w:val="center"/>
              <w:rPr>
                <w:rFonts w:hint="eastAsia" w:ascii="宋体" w:hAnsi="宋体"/>
                <w:color w:val="auto"/>
                <w:sz w:val="24"/>
                <w:highlight w:val="none"/>
              </w:rPr>
            </w:pPr>
          </w:p>
        </w:tc>
        <w:tc>
          <w:tcPr>
            <w:tcW w:w="1235" w:type="dxa"/>
          </w:tcPr>
          <w:p>
            <w:pPr>
              <w:jc w:val="center"/>
              <w:rPr>
                <w:rFonts w:hint="eastAsia" w:ascii="宋体" w:hAnsi="宋体"/>
                <w:color w:val="auto"/>
                <w:sz w:val="24"/>
                <w:highlight w:val="none"/>
              </w:rPr>
            </w:pPr>
          </w:p>
        </w:tc>
        <w:tc>
          <w:tcPr>
            <w:tcW w:w="1311" w:type="dxa"/>
            <w:vAlign w:val="center"/>
          </w:tcPr>
          <w:p>
            <w:pPr>
              <w:jc w:val="center"/>
              <w:rPr>
                <w:rFonts w:hint="eastAsia" w:ascii="宋体" w:hAnsi="宋体"/>
                <w:color w:val="auto"/>
                <w:sz w:val="24"/>
                <w:highlight w:val="none"/>
              </w:rPr>
            </w:pPr>
          </w:p>
        </w:tc>
        <w:tc>
          <w:tcPr>
            <w:tcW w:w="959" w:type="dxa"/>
            <w:vAlign w:val="center"/>
          </w:tcPr>
          <w:p>
            <w:pPr>
              <w:jc w:val="center"/>
              <w:rPr>
                <w:rFonts w:hint="eastAsia" w:ascii="宋体" w:hAnsi="宋体"/>
                <w:color w:val="auto"/>
                <w:sz w:val="24"/>
                <w:highlight w:val="none"/>
              </w:rPr>
            </w:pPr>
          </w:p>
        </w:tc>
        <w:tc>
          <w:tcPr>
            <w:tcW w:w="791" w:type="dxa"/>
            <w:vAlign w:val="center"/>
          </w:tcPr>
          <w:p>
            <w:pPr>
              <w:jc w:val="center"/>
              <w:rPr>
                <w:rFonts w:hint="eastAsia" w:ascii="宋体" w:hAnsi="宋体"/>
                <w:color w:val="auto"/>
                <w:sz w:val="24"/>
                <w:highlight w:val="none"/>
              </w:rPr>
            </w:pPr>
          </w:p>
        </w:tc>
        <w:tc>
          <w:tcPr>
            <w:tcW w:w="1245" w:type="dxa"/>
            <w:vAlign w:val="center"/>
          </w:tcPr>
          <w:p>
            <w:pPr>
              <w:jc w:val="center"/>
              <w:rPr>
                <w:rFonts w:hint="eastAsia" w:ascii="宋体" w:hAnsi="宋体"/>
                <w:color w:val="auto"/>
                <w:sz w:val="24"/>
                <w:highlight w:val="none"/>
              </w:rPr>
            </w:pPr>
          </w:p>
        </w:tc>
        <w:tc>
          <w:tcPr>
            <w:tcW w:w="1458" w:type="dxa"/>
            <w:vAlign w:val="center"/>
          </w:tcPr>
          <w:p>
            <w:pPr>
              <w:jc w:val="center"/>
              <w:rPr>
                <w:rFonts w:hint="eastAsia" w:ascii="宋体" w:hAnsi="宋体"/>
                <w:color w:val="auto"/>
                <w:sz w:val="24"/>
                <w:highlight w:val="none"/>
              </w:rPr>
            </w:pPr>
          </w:p>
        </w:tc>
        <w:tc>
          <w:tcPr>
            <w:tcW w:w="651" w:type="dxa"/>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40" w:type="dxa"/>
            <w:vAlign w:val="center"/>
          </w:tcPr>
          <w:p>
            <w:pPr>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9</w:t>
            </w:r>
          </w:p>
        </w:tc>
        <w:tc>
          <w:tcPr>
            <w:tcW w:w="1390" w:type="dxa"/>
            <w:vAlign w:val="center"/>
          </w:tcPr>
          <w:p>
            <w:pPr>
              <w:jc w:val="center"/>
              <w:rPr>
                <w:rFonts w:hint="eastAsia" w:ascii="宋体" w:hAnsi="宋体"/>
                <w:color w:val="auto"/>
                <w:sz w:val="24"/>
                <w:highlight w:val="none"/>
              </w:rPr>
            </w:pPr>
          </w:p>
        </w:tc>
        <w:tc>
          <w:tcPr>
            <w:tcW w:w="1235" w:type="dxa"/>
          </w:tcPr>
          <w:p>
            <w:pPr>
              <w:jc w:val="center"/>
              <w:rPr>
                <w:rFonts w:hint="eastAsia" w:ascii="宋体" w:hAnsi="宋体"/>
                <w:color w:val="auto"/>
                <w:sz w:val="24"/>
                <w:highlight w:val="none"/>
              </w:rPr>
            </w:pPr>
          </w:p>
        </w:tc>
        <w:tc>
          <w:tcPr>
            <w:tcW w:w="1311" w:type="dxa"/>
            <w:vAlign w:val="center"/>
          </w:tcPr>
          <w:p>
            <w:pPr>
              <w:jc w:val="center"/>
              <w:rPr>
                <w:rFonts w:hint="eastAsia" w:ascii="宋体" w:hAnsi="宋体"/>
                <w:color w:val="auto"/>
                <w:sz w:val="24"/>
                <w:highlight w:val="none"/>
              </w:rPr>
            </w:pPr>
          </w:p>
        </w:tc>
        <w:tc>
          <w:tcPr>
            <w:tcW w:w="959" w:type="dxa"/>
            <w:vAlign w:val="center"/>
          </w:tcPr>
          <w:p>
            <w:pPr>
              <w:jc w:val="center"/>
              <w:rPr>
                <w:rFonts w:hint="eastAsia" w:ascii="宋体" w:hAnsi="宋体"/>
                <w:color w:val="auto"/>
                <w:sz w:val="24"/>
                <w:highlight w:val="none"/>
              </w:rPr>
            </w:pPr>
          </w:p>
        </w:tc>
        <w:tc>
          <w:tcPr>
            <w:tcW w:w="791" w:type="dxa"/>
            <w:vAlign w:val="center"/>
          </w:tcPr>
          <w:p>
            <w:pPr>
              <w:jc w:val="center"/>
              <w:rPr>
                <w:rFonts w:hint="eastAsia" w:ascii="宋体" w:hAnsi="宋体"/>
                <w:color w:val="auto"/>
                <w:sz w:val="24"/>
                <w:highlight w:val="none"/>
              </w:rPr>
            </w:pPr>
          </w:p>
        </w:tc>
        <w:tc>
          <w:tcPr>
            <w:tcW w:w="1245" w:type="dxa"/>
            <w:vAlign w:val="center"/>
          </w:tcPr>
          <w:p>
            <w:pPr>
              <w:jc w:val="center"/>
              <w:rPr>
                <w:rFonts w:hint="eastAsia" w:ascii="宋体" w:hAnsi="宋体"/>
                <w:color w:val="auto"/>
                <w:sz w:val="24"/>
                <w:highlight w:val="none"/>
              </w:rPr>
            </w:pPr>
          </w:p>
        </w:tc>
        <w:tc>
          <w:tcPr>
            <w:tcW w:w="1458" w:type="dxa"/>
            <w:vAlign w:val="center"/>
          </w:tcPr>
          <w:p>
            <w:pPr>
              <w:jc w:val="center"/>
              <w:rPr>
                <w:rFonts w:hint="eastAsia" w:ascii="宋体" w:hAnsi="宋体"/>
                <w:color w:val="auto"/>
                <w:sz w:val="24"/>
                <w:highlight w:val="none"/>
              </w:rPr>
            </w:pPr>
          </w:p>
        </w:tc>
        <w:tc>
          <w:tcPr>
            <w:tcW w:w="651" w:type="dxa"/>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40" w:type="dxa"/>
            <w:vAlign w:val="center"/>
          </w:tcPr>
          <w:p>
            <w:pPr>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10</w:t>
            </w:r>
          </w:p>
        </w:tc>
        <w:tc>
          <w:tcPr>
            <w:tcW w:w="1390" w:type="dxa"/>
            <w:vAlign w:val="center"/>
          </w:tcPr>
          <w:p>
            <w:pPr>
              <w:jc w:val="center"/>
              <w:rPr>
                <w:rFonts w:hint="eastAsia" w:ascii="宋体" w:hAnsi="宋体"/>
                <w:color w:val="auto"/>
                <w:sz w:val="24"/>
                <w:highlight w:val="none"/>
              </w:rPr>
            </w:pPr>
          </w:p>
        </w:tc>
        <w:tc>
          <w:tcPr>
            <w:tcW w:w="1235" w:type="dxa"/>
          </w:tcPr>
          <w:p>
            <w:pPr>
              <w:jc w:val="center"/>
              <w:rPr>
                <w:rFonts w:hint="eastAsia" w:ascii="宋体" w:hAnsi="宋体"/>
                <w:color w:val="auto"/>
                <w:sz w:val="24"/>
                <w:highlight w:val="none"/>
              </w:rPr>
            </w:pPr>
          </w:p>
        </w:tc>
        <w:tc>
          <w:tcPr>
            <w:tcW w:w="1311" w:type="dxa"/>
            <w:vAlign w:val="center"/>
          </w:tcPr>
          <w:p>
            <w:pPr>
              <w:jc w:val="center"/>
              <w:rPr>
                <w:rFonts w:hint="eastAsia" w:ascii="宋体" w:hAnsi="宋体"/>
                <w:color w:val="auto"/>
                <w:sz w:val="24"/>
                <w:highlight w:val="none"/>
              </w:rPr>
            </w:pPr>
          </w:p>
        </w:tc>
        <w:tc>
          <w:tcPr>
            <w:tcW w:w="959" w:type="dxa"/>
            <w:vAlign w:val="center"/>
          </w:tcPr>
          <w:p>
            <w:pPr>
              <w:jc w:val="center"/>
              <w:rPr>
                <w:rFonts w:hint="eastAsia" w:ascii="宋体" w:hAnsi="宋体"/>
                <w:color w:val="auto"/>
                <w:sz w:val="24"/>
                <w:highlight w:val="none"/>
              </w:rPr>
            </w:pPr>
          </w:p>
        </w:tc>
        <w:tc>
          <w:tcPr>
            <w:tcW w:w="791" w:type="dxa"/>
            <w:vAlign w:val="center"/>
          </w:tcPr>
          <w:p>
            <w:pPr>
              <w:jc w:val="center"/>
              <w:rPr>
                <w:rFonts w:hint="eastAsia" w:ascii="宋体" w:hAnsi="宋体"/>
                <w:color w:val="auto"/>
                <w:sz w:val="24"/>
                <w:highlight w:val="none"/>
              </w:rPr>
            </w:pPr>
          </w:p>
        </w:tc>
        <w:tc>
          <w:tcPr>
            <w:tcW w:w="1245" w:type="dxa"/>
            <w:vAlign w:val="center"/>
          </w:tcPr>
          <w:p>
            <w:pPr>
              <w:jc w:val="center"/>
              <w:rPr>
                <w:rFonts w:hint="eastAsia" w:ascii="宋体" w:hAnsi="宋体"/>
                <w:color w:val="auto"/>
                <w:sz w:val="24"/>
                <w:highlight w:val="none"/>
              </w:rPr>
            </w:pPr>
          </w:p>
        </w:tc>
        <w:tc>
          <w:tcPr>
            <w:tcW w:w="1458" w:type="dxa"/>
            <w:vAlign w:val="center"/>
          </w:tcPr>
          <w:p>
            <w:pPr>
              <w:jc w:val="center"/>
              <w:rPr>
                <w:rFonts w:hint="eastAsia" w:ascii="宋体" w:hAnsi="宋体"/>
                <w:color w:val="auto"/>
                <w:sz w:val="24"/>
                <w:highlight w:val="none"/>
              </w:rPr>
            </w:pPr>
          </w:p>
        </w:tc>
        <w:tc>
          <w:tcPr>
            <w:tcW w:w="651" w:type="dxa"/>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2230" w:type="dxa"/>
            <w:gridSpan w:val="2"/>
            <w:vAlign w:val="center"/>
          </w:tcPr>
          <w:p>
            <w:pPr>
              <w:jc w:val="center"/>
              <w:rPr>
                <w:rFonts w:hint="eastAsia" w:ascii="宋体" w:hAnsi="宋体"/>
                <w:color w:val="auto"/>
                <w:sz w:val="24"/>
                <w:highlight w:val="none"/>
              </w:rPr>
            </w:pPr>
            <w:r>
              <w:rPr>
                <w:rFonts w:hint="eastAsia" w:ascii="宋体" w:hAnsi="宋体"/>
                <w:color w:val="auto"/>
                <w:sz w:val="24"/>
                <w:highlight w:val="none"/>
              </w:rPr>
              <w:t>报价金额合计</w:t>
            </w:r>
          </w:p>
        </w:tc>
        <w:tc>
          <w:tcPr>
            <w:tcW w:w="7650" w:type="dxa"/>
            <w:gridSpan w:val="7"/>
          </w:tcPr>
          <w:p>
            <w:pPr>
              <w:rPr>
                <w:rFonts w:hint="eastAsia" w:ascii="宋体" w:hAnsi="宋体"/>
                <w:color w:val="auto"/>
                <w:sz w:val="24"/>
                <w:highlight w:val="none"/>
              </w:rPr>
            </w:pPr>
          </w:p>
          <w:p>
            <w:pPr>
              <w:rPr>
                <w:rFonts w:hint="eastAsia" w:ascii="宋体" w:hAnsi="宋体"/>
                <w:color w:val="auto"/>
                <w:sz w:val="24"/>
                <w:highlight w:val="none"/>
                <w:u w:val="single"/>
              </w:rPr>
            </w:pPr>
            <w:r>
              <w:rPr>
                <w:rFonts w:hint="eastAsia" w:ascii="宋体" w:hAnsi="宋体"/>
                <w:color w:val="auto"/>
                <w:sz w:val="24"/>
                <w:highlight w:val="none"/>
              </w:rPr>
              <w:t>大写：</w:t>
            </w:r>
            <w:r>
              <w:rPr>
                <w:rFonts w:hint="eastAsia" w:ascii="宋体" w:hAnsi="宋体"/>
                <w:color w:val="auto"/>
                <w:sz w:val="24"/>
                <w:highlight w:val="none"/>
                <w:u w:val="single"/>
              </w:rPr>
              <w:t xml:space="preserve">                                            </w:t>
            </w:r>
          </w:p>
          <w:p>
            <w:pPr>
              <w:rPr>
                <w:rFonts w:hint="eastAsia" w:ascii="宋体" w:hAnsi="宋体"/>
                <w:color w:val="auto"/>
                <w:sz w:val="24"/>
                <w:highlight w:val="none"/>
                <w:u w:val="single"/>
              </w:rPr>
            </w:pPr>
          </w:p>
          <w:p>
            <w:pPr>
              <w:rPr>
                <w:rFonts w:hint="eastAsia" w:ascii="宋体" w:hAnsi="宋体"/>
                <w:color w:val="auto"/>
                <w:sz w:val="24"/>
                <w:highlight w:val="none"/>
                <w:u w:val="single"/>
              </w:rPr>
            </w:pPr>
            <w:r>
              <w:rPr>
                <w:rFonts w:hint="eastAsia" w:ascii="宋体" w:hAnsi="宋体"/>
                <w:color w:val="auto"/>
                <w:sz w:val="24"/>
                <w:highlight w:val="none"/>
              </w:rPr>
              <w:t>小写：</w:t>
            </w:r>
            <w:r>
              <w:rPr>
                <w:rFonts w:hint="eastAsia" w:ascii="宋体" w:hAnsi="宋体"/>
                <w:color w:val="auto"/>
                <w:sz w:val="24"/>
                <w:highlight w:val="none"/>
                <w:u w:val="single"/>
              </w:rPr>
              <w:t xml:space="preserve">                                            </w:t>
            </w:r>
          </w:p>
          <w:p>
            <w:pPr>
              <w:rPr>
                <w:rFonts w:hint="eastAsia" w:ascii="宋体" w:hAnsi="宋体"/>
                <w:color w:val="auto"/>
                <w:sz w:val="24"/>
                <w:highlight w:val="none"/>
                <w:u w:val="single"/>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宋体" w:hAnsi="宋体"/>
          <w:b/>
          <w:color w:val="auto"/>
          <w:sz w:val="24"/>
          <w:highlight w:val="none"/>
        </w:rPr>
      </w:pPr>
      <w:r>
        <w:rPr>
          <w:rFonts w:hint="eastAsia" w:ascii="宋体" w:hAnsi="宋体"/>
          <w:b/>
          <w:color w:val="auto"/>
          <w:sz w:val="24"/>
          <w:highlight w:val="none"/>
        </w:rPr>
        <w:t xml:space="preserve"> </w:t>
      </w:r>
    </w:p>
    <w:p>
      <w:pPr>
        <w:spacing w:line="360" w:lineRule="auto"/>
        <w:rPr>
          <w:rFonts w:hint="eastAsia"/>
          <w:color w:val="auto"/>
          <w:sz w:val="24"/>
          <w:highlight w:val="none"/>
        </w:rPr>
      </w:pPr>
      <w:r>
        <w:rPr>
          <w:rFonts w:hint="eastAsia"/>
          <w:color w:val="auto"/>
          <w:sz w:val="24"/>
          <w:highlight w:val="none"/>
        </w:rPr>
        <w:t>说明：</w:t>
      </w:r>
    </w:p>
    <w:p>
      <w:pPr>
        <w:spacing w:line="360" w:lineRule="auto"/>
        <w:rPr>
          <w:rFonts w:hint="eastAsia" w:eastAsia="宋体"/>
          <w:color w:val="auto"/>
          <w:sz w:val="24"/>
          <w:highlight w:val="none"/>
          <w:lang w:val="en-US" w:eastAsia="zh-CN"/>
        </w:rPr>
      </w:pPr>
      <w:r>
        <w:rPr>
          <w:rFonts w:hint="eastAsia"/>
          <w:color w:val="auto"/>
          <w:sz w:val="24"/>
          <w:highlight w:val="none"/>
          <w:lang w:val="en-US" w:eastAsia="zh-CN"/>
        </w:rPr>
        <w:t>1、使用产品需填写产品品牌；</w:t>
      </w:r>
    </w:p>
    <w:p>
      <w:pPr>
        <w:spacing w:line="360" w:lineRule="auto"/>
        <w:rPr>
          <w:rFonts w:hint="eastAsia"/>
          <w:color w:val="auto"/>
          <w:sz w:val="24"/>
          <w:highlight w:val="none"/>
        </w:rPr>
      </w:pPr>
      <w:r>
        <w:rPr>
          <w:rFonts w:hint="eastAsia"/>
          <w:color w:val="auto"/>
          <w:sz w:val="24"/>
          <w:highlight w:val="none"/>
          <w:lang w:val="en-US" w:eastAsia="zh-CN"/>
        </w:rPr>
        <w:t>2、</w:t>
      </w:r>
      <w:r>
        <w:rPr>
          <w:rFonts w:hint="eastAsia"/>
          <w:color w:val="auto"/>
          <w:sz w:val="24"/>
          <w:highlight w:val="none"/>
        </w:rPr>
        <w:t>本表为合同包内所有货物的报价明细表。栏目中的“单价”为综合单价，包含货物所有隐含的内容，如运输费、保险费、管理费和利润等。“报价金额合计”应与《报价一览表》“总报价”一致。</w:t>
      </w:r>
    </w:p>
    <w:p>
      <w:pPr>
        <w:spacing w:line="360" w:lineRule="auto"/>
        <w:ind w:firstLine="2640" w:firstLineChars="1100"/>
        <w:rPr>
          <w:rFonts w:hint="eastAsia" w:ascii="宋体" w:hAnsi="宋体"/>
          <w:color w:val="auto"/>
          <w:sz w:val="24"/>
          <w:highlight w:val="none"/>
        </w:rPr>
      </w:pPr>
      <w:r>
        <w:rPr>
          <w:rFonts w:hint="eastAsia" w:ascii="宋体" w:hAnsi="宋体"/>
          <w:color w:val="auto"/>
          <w:sz w:val="24"/>
          <w:highlight w:val="none"/>
        </w:rPr>
        <w:t>供应商</w:t>
      </w:r>
      <w:r>
        <w:rPr>
          <w:rFonts w:hint="eastAsia" w:ascii="宋体" w:hAnsi="宋体"/>
          <w:color w:val="auto"/>
          <w:sz w:val="24"/>
          <w:highlight w:val="none"/>
          <w:lang w:eastAsia="zh-CN"/>
        </w:rPr>
        <w:t>名称</w:t>
      </w:r>
      <w:r>
        <w:rPr>
          <w:rFonts w:hint="eastAsia" w:ascii="宋体" w:hAnsi="宋体"/>
          <w:color w:val="auto"/>
          <w:sz w:val="24"/>
          <w:highlight w:val="none"/>
        </w:rPr>
        <w:t>（盖单位章）：</w:t>
      </w:r>
    </w:p>
    <w:p>
      <w:pPr>
        <w:spacing w:line="360" w:lineRule="auto"/>
        <w:ind w:firstLine="2640" w:firstLineChars="1100"/>
        <w:rPr>
          <w:rFonts w:hint="eastAsia" w:ascii="宋体" w:hAnsi="宋体"/>
          <w:color w:val="auto"/>
          <w:sz w:val="24"/>
          <w:highlight w:val="none"/>
        </w:rPr>
      </w:pPr>
      <w:r>
        <w:rPr>
          <w:rFonts w:hint="eastAsia" w:ascii="宋体" w:hAnsi="宋体"/>
          <w:color w:val="auto"/>
          <w:sz w:val="24"/>
          <w:highlight w:val="none"/>
        </w:rPr>
        <w:t>法定代表人</w:t>
      </w:r>
      <w:r>
        <w:rPr>
          <w:rFonts w:hint="eastAsia" w:ascii="宋体" w:hAnsi="宋体"/>
          <w:color w:val="auto"/>
          <w:kern w:val="0"/>
          <w:sz w:val="24"/>
          <w:highlight w:val="none"/>
        </w:rPr>
        <w:t>（或经营者）</w:t>
      </w:r>
      <w:r>
        <w:rPr>
          <w:rFonts w:hint="eastAsia" w:ascii="宋体" w:hAnsi="宋体"/>
          <w:color w:val="auto"/>
          <w:sz w:val="24"/>
          <w:highlight w:val="none"/>
        </w:rPr>
        <w:t>或其委托代理人签字：</w:t>
      </w:r>
      <w:r>
        <w:rPr>
          <w:rFonts w:hint="eastAsia" w:ascii="宋体" w:hAnsi="宋体"/>
          <w:color w:val="auto"/>
          <w:sz w:val="24"/>
          <w:highlight w:val="none"/>
          <w:u w:val="single"/>
        </w:rPr>
        <w:t xml:space="preserve">         </w:t>
      </w:r>
    </w:p>
    <w:p>
      <w:pPr>
        <w:spacing w:line="360" w:lineRule="auto"/>
        <w:jc w:val="right"/>
        <w:rPr>
          <w:rFonts w:hint="eastAsia" w:ascii="宋体" w:hAnsi="宋体"/>
          <w:color w:val="auto"/>
          <w:sz w:val="24"/>
          <w:highlight w:val="none"/>
          <w:u w:val="none"/>
          <w:lang w:eastAsia="zh-CN"/>
        </w:rPr>
        <w:sectPr>
          <w:pgSz w:w="11900" w:h="16838"/>
          <w:pgMar w:top="1474" w:right="1531" w:bottom="1474" w:left="1531" w:header="0" w:footer="210" w:gutter="0"/>
          <w:pgBorders>
            <w:top w:val="none" w:sz="0" w:space="0"/>
            <w:left w:val="none" w:sz="0" w:space="0"/>
            <w:bottom w:val="none" w:sz="0" w:space="0"/>
            <w:right w:val="none" w:sz="0" w:space="0"/>
          </w:pgBorders>
          <w:cols w:space="708" w:num="1"/>
          <w:rtlGutter w:val="0"/>
          <w:docGrid w:linePitch="1" w:charSpace="0"/>
        </w:sectPr>
      </w:pP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u w:val="none"/>
          <w:lang w:eastAsia="zh-CN"/>
        </w:rPr>
        <w:t>日</w:t>
      </w:r>
    </w:p>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五、</w:t>
      </w:r>
      <w:r>
        <w:rPr>
          <w:rFonts w:hint="eastAsia" w:ascii="宋体" w:hAnsi="宋体" w:eastAsia="宋体"/>
          <w:b/>
          <w:color w:val="auto"/>
          <w:sz w:val="24"/>
          <w:szCs w:val="24"/>
          <w:highlight w:val="none"/>
          <w:lang w:eastAsia="zh-CN"/>
        </w:rPr>
        <w:t>提供政府采购政策产品等证明材料</w:t>
      </w:r>
    </w:p>
    <w:p>
      <w:pPr>
        <w:autoSpaceDE w:val="0"/>
        <w:autoSpaceDN w:val="0"/>
        <w:adjustRightInd w:val="0"/>
        <w:spacing w:line="360" w:lineRule="auto"/>
        <w:jc w:val="left"/>
        <w:rPr>
          <w:rFonts w:hint="eastAsia" w:ascii="宋体" w:hAnsi="宋体"/>
          <w:color w:val="auto"/>
          <w:sz w:val="24"/>
          <w:highlight w:val="none"/>
        </w:rPr>
      </w:pPr>
    </w:p>
    <w:p>
      <w:pPr>
        <w:bidi w:val="0"/>
        <w:jc w:val="center"/>
        <w:rPr>
          <w:b/>
          <w:bCs/>
          <w:color w:val="auto"/>
          <w:sz w:val="28"/>
          <w:szCs w:val="32"/>
          <w:highlight w:val="none"/>
          <w:lang w:val="en-US" w:eastAsia="zh-CN"/>
        </w:rPr>
      </w:pPr>
      <w:r>
        <w:rPr>
          <w:b/>
          <w:bCs/>
          <w:color w:val="auto"/>
          <w:sz w:val="28"/>
          <w:szCs w:val="32"/>
          <w:highlight w:val="none"/>
          <w:lang w:val="en-US" w:eastAsia="zh-CN"/>
        </w:rPr>
        <w:t>中小企业声明函</w:t>
      </w:r>
    </w:p>
    <w:p>
      <w:pPr>
        <w:widowControl w:val="0"/>
        <w:spacing w:after="120" w:line="360" w:lineRule="auto"/>
        <w:ind w:left="0"/>
        <w:jc w:val="both"/>
        <w:rPr>
          <w:rFonts w:ascii="宋体" w:hAnsi="Calibri" w:eastAsia="Calibri" w:cs="Times New Roman"/>
          <w:b/>
          <w:color w:val="auto"/>
          <w:kern w:val="2"/>
          <w:sz w:val="20"/>
          <w:szCs w:val="24"/>
          <w:highlight w:val="none"/>
          <w:lang w:val="en-US" w:eastAsia="zh-CN" w:bidi="ar-SA"/>
        </w:rPr>
      </w:pPr>
    </w:p>
    <w:p>
      <w:pPr>
        <w:widowControl w:val="0"/>
        <w:spacing w:before="2" w:after="120" w:line="360" w:lineRule="auto"/>
        <w:ind w:left="0"/>
        <w:jc w:val="both"/>
        <w:rPr>
          <w:rFonts w:ascii="宋体" w:hAnsi="Calibri" w:eastAsia="Calibri" w:cs="Times New Roman"/>
          <w:b/>
          <w:color w:val="auto"/>
          <w:kern w:val="2"/>
          <w:sz w:val="24"/>
          <w:szCs w:val="24"/>
          <w:highlight w:val="none"/>
          <w:lang w:val="en-US" w:eastAsia="zh-CN" w:bidi="ar-SA"/>
        </w:rPr>
      </w:pPr>
    </w:p>
    <w:p>
      <w:pPr>
        <w:spacing w:line="360" w:lineRule="auto"/>
        <w:ind w:firstLine="480" w:firstLineChars="200"/>
        <w:rPr>
          <w:rFonts w:ascii="Calibri" w:hAnsi="Calibri" w:eastAsia="Calibri"/>
          <w:color w:val="auto"/>
          <w:sz w:val="24"/>
          <w:szCs w:val="24"/>
          <w:highlight w:val="none"/>
        </w:rPr>
      </w:pPr>
      <w:r>
        <w:rPr>
          <w:rFonts w:ascii="Calibri" w:hAnsi="Calibri" w:eastAsia="Calibri"/>
          <w:color w:val="auto"/>
          <w:sz w:val="24"/>
          <w:szCs w:val="24"/>
          <w:highlight w:val="none"/>
        </w:rPr>
        <w:t>本公司（联合体）郑重声明，根据《政府采购促进中小企业发展管理办法》（财库</w:t>
      </w:r>
      <w:r>
        <w:rPr>
          <w:rFonts w:hint="eastAsia" w:ascii="Calibri" w:hAnsi="Calibri" w:eastAsia="Calibri"/>
          <w:color w:val="auto"/>
          <w:sz w:val="24"/>
          <w:szCs w:val="24"/>
          <w:highlight w:val="none"/>
        </w:rPr>
        <w:t>﹝</w:t>
      </w:r>
      <w:r>
        <w:rPr>
          <w:rFonts w:ascii="Calibri" w:hAnsi="Calibri" w:eastAsia="Calibri"/>
          <w:color w:val="auto"/>
          <w:sz w:val="24"/>
          <w:szCs w:val="24"/>
          <w:highlight w:val="none"/>
        </w:rPr>
        <w:t>2020</w:t>
      </w:r>
      <w:r>
        <w:rPr>
          <w:rFonts w:hint="eastAsia" w:ascii="Calibri" w:hAnsi="Calibri" w:eastAsia="Calibri"/>
          <w:color w:val="auto"/>
          <w:sz w:val="24"/>
          <w:szCs w:val="24"/>
          <w:highlight w:val="none"/>
        </w:rPr>
        <w:t>﹞</w:t>
      </w:r>
      <w:r>
        <w:rPr>
          <w:rFonts w:ascii="Calibri" w:hAnsi="Calibri" w:eastAsia="Calibri"/>
          <w:color w:val="auto"/>
          <w:sz w:val="24"/>
          <w:szCs w:val="24"/>
          <w:highlight w:val="none"/>
        </w:rPr>
        <w:t>46 号）的规定，本公司（联合体）参加</w:t>
      </w:r>
      <w:r>
        <w:rPr>
          <w:rFonts w:ascii="Calibri" w:hAnsi="Calibri" w:eastAsia="Calibri"/>
          <w:color w:val="auto"/>
          <w:sz w:val="24"/>
          <w:szCs w:val="24"/>
          <w:highlight w:val="none"/>
          <w:u w:val="single"/>
        </w:rPr>
        <w:t>（单位名称）</w:t>
      </w:r>
      <w:r>
        <w:rPr>
          <w:rFonts w:ascii="Calibri" w:hAnsi="Calibri" w:eastAsia="Calibri"/>
          <w:color w:val="auto"/>
          <w:sz w:val="24"/>
          <w:szCs w:val="24"/>
          <w:highlight w:val="none"/>
        </w:rPr>
        <w:t>的</w:t>
      </w:r>
      <w:r>
        <w:rPr>
          <w:rFonts w:ascii="Calibri" w:hAnsi="Calibri" w:eastAsia="Calibri"/>
          <w:color w:val="auto"/>
          <w:sz w:val="24"/>
          <w:szCs w:val="24"/>
          <w:highlight w:val="none"/>
          <w:u w:val="single"/>
        </w:rPr>
        <w:t>（项目名称）</w:t>
      </w:r>
      <w:r>
        <w:rPr>
          <w:rFonts w:ascii="Calibri" w:hAnsi="Calibri" w:eastAsia="Calibri"/>
          <w:color w:val="auto"/>
          <w:sz w:val="24"/>
          <w:szCs w:val="24"/>
          <w:highlight w:val="none"/>
        </w:rPr>
        <w:t>采购活动，提供的货物全部由符合政策要求的中小企业制造。相关企业（含联合体中的中小企业、签订分包意向协议的中小企业） 的具体情况如下：</w:t>
      </w:r>
    </w:p>
    <w:p>
      <w:pPr>
        <w:spacing w:line="360" w:lineRule="auto"/>
        <w:rPr>
          <w:rFonts w:ascii="Calibri" w:hAnsi="Calibri" w:eastAsia="Calibri"/>
          <w:color w:val="auto"/>
          <w:sz w:val="24"/>
          <w:szCs w:val="24"/>
          <w:highlight w:val="none"/>
        </w:rPr>
      </w:pPr>
      <w:r>
        <w:rPr>
          <w:rFonts w:ascii="Calibri" w:hAnsi="Calibri" w:eastAsia="Calibri"/>
          <w:color w:val="auto"/>
          <w:sz w:val="24"/>
          <w:szCs w:val="24"/>
          <w:highlight w:val="none"/>
        </w:rPr>
        <w:t xml:space="preserve"> </w:t>
      </w:r>
      <w:r>
        <w:rPr>
          <w:rFonts w:hint="eastAsia" w:ascii="Calibri" w:hAnsi="Calibri" w:eastAsia="Calibri"/>
          <w:color w:val="auto"/>
          <w:sz w:val="24"/>
          <w:szCs w:val="24"/>
          <w:highlight w:val="none"/>
          <w:lang w:val="en-US" w:eastAsia="zh-CN"/>
        </w:rPr>
        <w:t xml:space="preserve">  1.</w:t>
      </w:r>
      <w:r>
        <w:rPr>
          <w:rFonts w:ascii="Calibri" w:hAnsi="Calibri" w:eastAsia="Calibri"/>
          <w:color w:val="auto"/>
          <w:sz w:val="24"/>
          <w:szCs w:val="24"/>
          <w:highlight w:val="none"/>
          <w:u w:val="single"/>
        </w:rPr>
        <w:t>（标的名称）</w:t>
      </w:r>
      <w:r>
        <w:rPr>
          <w:rFonts w:ascii="Calibri" w:hAnsi="Calibri" w:eastAsia="Calibri"/>
          <w:color w:val="auto"/>
          <w:sz w:val="24"/>
          <w:szCs w:val="24"/>
          <w:highlight w:val="none"/>
        </w:rPr>
        <w:t>，属于</w:t>
      </w:r>
      <w:r>
        <w:rPr>
          <w:rFonts w:hint="eastAsia" w:ascii="Calibri" w:hAnsi="Calibri" w:eastAsia="Calibri"/>
          <w:color w:val="auto"/>
          <w:sz w:val="24"/>
          <w:szCs w:val="24"/>
          <w:highlight w:val="none"/>
          <w:u w:val="single"/>
          <w:lang w:eastAsia="zh-CN"/>
        </w:rPr>
        <w:t>（</w:t>
      </w:r>
      <w:r>
        <w:rPr>
          <w:rFonts w:ascii="Calibri" w:hAnsi="Calibri" w:eastAsia="Calibri"/>
          <w:color w:val="auto"/>
          <w:sz w:val="24"/>
          <w:szCs w:val="24"/>
          <w:highlight w:val="none"/>
          <w:u w:val="single"/>
        </w:rPr>
        <w:t>采购文件中明确的所属行业）行业</w:t>
      </w:r>
      <w:r>
        <w:rPr>
          <w:rFonts w:ascii="Calibri" w:hAnsi="Calibri" w:eastAsia="Calibri"/>
          <w:color w:val="auto"/>
          <w:sz w:val="24"/>
          <w:szCs w:val="24"/>
          <w:highlight w:val="none"/>
        </w:rPr>
        <w:t>；制造商为</w:t>
      </w:r>
      <w:r>
        <w:rPr>
          <w:rFonts w:ascii="Calibri" w:hAnsi="Calibri" w:eastAsia="Calibri"/>
          <w:color w:val="auto"/>
          <w:sz w:val="24"/>
          <w:szCs w:val="24"/>
          <w:highlight w:val="none"/>
          <w:u w:val="single"/>
        </w:rPr>
        <w:t>（企业名称）</w:t>
      </w:r>
      <w:r>
        <w:rPr>
          <w:rFonts w:ascii="Calibri" w:hAnsi="Calibri" w:eastAsia="Calibri"/>
          <w:color w:val="auto"/>
          <w:sz w:val="24"/>
          <w:szCs w:val="24"/>
          <w:highlight w:val="none"/>
        </w:rPr>
        <w:t>，从业人员</w:t>
      </w:r>
      <w:r>
        <w:rPr>
          <w:rFonts w:ascii="Calibri" w:hAnsi="Calibri" w:eastAsia="Calibri"/>
          <w:color w:val="auto"/>
          <w:sz w:val="24"/>
          <w:szCs w:val="24"/>
          <w:highlight w:val="none"/>
          <w:u w:val="single"/>
        </w:rPr>
        <w:t xml:space="preserve"> </w:t>
      </w:r>
      <w:r>
        <w:rPr>
          <w:rFonts w:ascii="Calibri" w:hAnsi="Calibri" w:eastAsia="Calibri"/>
          <w:color w:val="auto"/>
          <w:sz w:val="24"/>
          <w:szCs w:val="24"/>
          <w:highlight w:val="none"/>
          <w:u w:val="single"/>
        </w:rPr>
        <w:tab/>
      </w:r>
      <w:r>
        <w:rPr>
          <w:rFonts w:ascii="Calibri" w:hAnsi="Calibri" w:eastAsia="Calibri"/>
          <w:color w:val="auto"/>
          <w:sz w:val="24"/>
          <w:szCs w:val="24"/>
          <w:highlight w:val="none"/>
        </w:rPr>
        <w:t>人，营业收入为</w:t>
      </w:r>
      <w:r>
        <w:rPr>
          <w:rFonts w:hint="eastAsia" w:ascii="Calibri" w:hAnsi="Calibri" w:eastAsia="Calibri"/>
          <w:color w:val="auto"/>
          <w:sz w:val="24"/>
          <w:szCs w:val="24"/>
          <w:highlight w:val="none"/>
          <w:u w:val="single"/>
          <w:lang w:val="en-US" w:eastAsia="zh-CN"/>
        </w:rPr>
        <w:t xml:space="preserve">    </w:t>
      </w:r>
      <w:r>
        <w:rPr>
          <w:rFonts w:ascii="Calibri" w:hAnsi="Calibri" w:eastAsia="Calibri"/>
          <w:color w:val="auto"/>
          <w:sz w:val="24"/>
          <w:szCs w:val="24"/>
          <w:highlight w:val="none"/>
        </w:rPr>
        <w:t>万元，资产总额为</w:t>
      </w:r>
      <w:r>
        <w:rPr>
          <w:rFonts w:hint="eastAsia" w:ascii="Times New Roman" w:hAnsi="Times New Roman" w:eastAsia="宋体" w:cs="Times New Roman"/>
          <w:color w:val="auto"/>
          <w:sz w:val="24"/>
          <w:szCs w:val="24"/>
          <w:highlight w:val="none"/>
          <w:u w:val="single"/>
          <w:lang w:val="en-US" w:eastAsia="zh-CN"/>
        </w:rPr>
        <w:t xml:space="preserve">    </w:t>
      </w:r>
      <w:r>
        <w:rPr>
          <w:rFonts w:ascii="Calibri" w:hAnsi="Calibri" w:eastAsia="Calibri"/>
          <w:color w:val="auto"/>
          <w:sz w:val="24"/>
          <w:szCs w:val="24"/>
          <w:highlight w:val="none"/>
        </w:rPr>
        <w:t>万元</w:t>
      </w:r>
      <w:r>
        <w:fldChar w:fldCharType="begin"/>
      </w:r>
      <w:r>
        <w:instrText xml:space="preserve"> HYPERLINK \l "_bookmark0" </w:instrText>
      </w:r>
      <w:r>
        <w:fldChar w:fldCharType="separate"/>
      </w:r>
      <w:r>
        <w:rPr>
          <w:rFonts w:ascii="Calibri" w:hAnsi="Calibri" w:eastAsia="Calibri"/>
          <w:color w:val="auto"/>
          <w:sz w:val="24"/>
          <w:szCs w:val="24"/>
          <w:highlight w:val="none"/>
          <w:vertAlign w:val="superscript"/>
        </w:rPr>
        <w:t>1</w:t>
      </w:r>
      <w:r>
        <w:rPr>
          <w:rFonts w:ascii="Calibri" w:hAnsi="Calibri" w:eastAsia="Calibri"/>
          <w:color w:val="auto"/>
          <w:sz w:val="24"/>
          <w:szCs w:val="24"/>
          <w:highlight w:val="none"/>
          <w:vertAlign w:val="superscript"/>
        </w:rPr>
        <w:fldChar w:fldCharType="end"/>
      </w:r>
      <w:r>
        <w:rPr>
          <w:rFonts w:ascii="Calibri" w:hAnsi="Calibri" w:eastAsia="Calibri"/>
          <w:color w:val="auto"/>
          <w:sz w:val="24"/>
          <w:szCs w:val="24"/>
          <w:highlight w:val="none"/>
        </w:rPr>
        <w:t>，属于</w:t>
      </w:r>
      <w:r>
        <w:rPr>
          <w:rFonts w:hint="eastAsia" w:ascii="Times New Roman" w:hAnsi="Times New Roman" w:eastAsia="宋体" w:cs="Times New Roman"/>
          <w:color w:val="auto"/>
          <w:sz w:val="24"/>
          <w:szCs w:val="24"/>
          <w:highlight w:val="none"/>
          <w:u w:val="single"/>
          <w:lang w:val="en-US" w:eastAsia="zh-CN"/>
        </w:rPr>
        <w:t>（中型企业、小型企业、微型企业）</w:t>
      </w:r>
      <w:r>
        <w:rPr>
          <w:rFonts w:ascii="Calibri" w:hAnsi="Calibri" w:eastAsia="Calibri"/>
          <w:color w:val="auto"/>
          <w:sz w:val="24"/>
          <w:szCs w:val="24"/>
          <w:highlight w:val="none"/>
        </w:rPr>
        <w:t>；</w:t>
      </w:r>
    </w:p>
    <w:p>
      <w:pPr>
        <w:spacing w:line="360" w:lineRule="auto"/>
        <w:rPr>
          <w:rFonts w:ascii="Calibri" w:hAnsi="Calibri" w:eastAsia="Calibri"/>
          <w:color w:val="auto"/>
          <w:sz w:val="24"/>
          <w:szCs w:val="24"/>
          <w:highlight w:val="none"/>
        </w:rPr>
      </w:pPr>
      <w:r>
        <w:rPr>
          <w:rFonts w:ascii="Calibri" w:hAnsi="Calibri" w:eastAsia="Calibri"/>
          <w:color w:val="auto"/>
          <w:sz w:val="24"/>
          <w:szCs w:val="24"/>
          <w:highlight w:val="none"/>
        </w:rPr>
        <w:t xml:space="preserve"> </w:t>
      </w:r>
      <w:r>
        <w:rPr>
          <w:rFonts w:hint="eastAsia" w:ascii="Calibri" w:hAnsi="Calibri" w:eastAsia="Calibri"/>
          <w:color w:val="auto"/>
          <w:sz w:val="24"/>
          <w:szCs w:val="24"/>
          <w:highlight w:val="none"/>
          <w:lang w:val="en-US" w:eastAsia="zh-CN"/>
        </w:rPr>
        <w:t xml:space="preserve">  2.</w:t>
      </w:r>
      <w:r>
        <w:rPr>
          <w:rFonts w:hint="eastAsia" w:ascii="Times New Roman" w:hAnsi="Times New Roman" w:eastAsia="宋体" w:cs="Times New Roman"/>
          <w:color w:val="auto"/>
          <w:sz w:val="24"/>
          <w:szCs w:val="24"/>
          <w:highlight w:val="none"/>
          <w:u w:val="single"/>
          <w:lang w:val="en-US" w:eastAsia="zh-CN"/>
        </w:rPr>
        <w:t>（标的名称）</w:t>
      </w:r>
      <w:r>
        <w:rPr>
          <w:rFonts w:ascii="Calibri" w:hAnsi="Calibri" w:eastAsia="Calibri"/>
          <w:color w:val="auto"/>
          <w:sz w:val="24"/>
          <w:szCs w:val="24"/>
          <w:highlight w:val="none"/>
        </w:rPr>
        <w:t>，属于</w:t>
      </w:r>
      <w:r>
        <w:rPr>
          <w:rFonts w:hint="eastAsia" w:ascii="Times New Roman" w:hAnsi="Times New Roman" w:eastAsia="宋体" w:cs="Times New Roman"/>
          <w:color w:val="auto"/>
          <w:sz w:val="24"/>
          <w:szCs w:val="24"/>
          <w:highlight w:val="none"/>
          <w:u w:val="single"/>
          <w:lang w:val="en-US" w:eastAsia="zh-CN"/>
        </w:rPr>
        <w:t>（采购文件中明确的所属行业）行业</w:t>
      </w:r>
      <w:r>
        <w:rPr>
          <w:rFonts w:ascii="Calibri" w:hAnsi="Calibri" w:eastAsia="Calibri"/>
          <w:color w:val="auto"/>
          <w:sz w:val="24"/>
          <w:szCs w:val="24"/>
          <w:highlight w:val="none"/>
        </w:rPr>
        <w:t>；制造商为</w:t>
      </w:r>
      <w:r>
        <w:rPr>
          <w:rFonts w:hint="eastAsia" w:ascii="Times New Roman" w:hAnsi="Times New Roman" w:eastAsia="宋体" w:cs="Times New Roman"/>
          <w:color w:val="auto"/>
          <w:sz w:val="24"/>
          <w:szCs w:val="24"/>
          <w:highlight w:val="none"/>
          <w:u w:val="single"/>
          <w:lang w:val="en-US" w:eastAsia="zh-CN"/>
        </w:rPr>
        <w:t>（企业名称）</w:t>
      </w:r>
      <w:r>
        <w:rPr>
          <w:rFonts w:ascii="Calibri" w:hAnsi="Calibri" w:eastAsia="Calibri"/>
          <w:color w:val="auto"/>
          <w:sz w:val="24"/>
          <w:szCs w:val="24"/>
          <w:highlight w:val="none"/>
        </w:rPr>
        <w:t>，从业人员</w:t>
      </w:r>
      <w:r>
        <w:rPr>
          <w:rFonts w:hint="eastAsia" w:ascii="Times New Roman" w:hAnsi="Times New Roman" w:eastAsia="宋体" w:cs="Times New Roman"/>
          <w:color w:val="auto"/>
          <w:sz w:val="24"/>
          <w:szCs w:val="24"/>
          <w:highlight w:val="none"/>
          <w:u w:val="single"/>
          <w:lang w:val="en-US" w:eastAsia="zh-CN"/>
        </w:rPr>
        <w:t xml:space="preserve"> </w:t>
      </w:r>
      <w:r>
        <w:rPr>
          <w:rFonts w:hint="eastAsia" w:ascii="Times New Roman" w:hAnsi="Times New Roman" w:eastAsia="宋体" w:cs="Times New Roman"/>
          <w:color w:val="auto"/>
          <w:sz w:val="24"/>
          <w:szCs w:val="24"/>
          <w:highlight w:val="none"/>
          <w:u w:val="single"/>
          <w:lang w:val="en-US" w:eastAsia="zh-CN"/>
        </w:rPr>
        <w:tab/>
      </w:r>
      <w:r>
        <w:rPr>
          <w:rFonts w:ascii="Calibri" w:hAnsi="Calibri" w:eastAsia="Calibri"/>
          <w:color w:val="auto"/>
          <w:sz w:val="24"/>
          <w:szCs w:val="24"/>
          <w:highlight w:val="none"/>
        </w:rPr>
        <w:t>人，营业收入为</w:t>
      </w:r>
      <w:r>
        <w:rPr>
          <w:rFonts w:hint="eastAsia" w:ascii="Times New Roman" w:hAnsi="Times New Roman" w:eastAsia="宋体" w:cs="Times New Roman"/>
          <w:color w:val="auto"/>
          <w:sz w:val="24"/>
          <w:szCs w:val="24"/>
          <w:highlight w:val="none"/>
          <w:u w:val="single"/>
          <w:lang w:val="en-US" w:eastAsia="zh-CN"/>
        </w:rPr>
        <w:t xml:space="preserve"> </w:t>
      </w:r>
      <w:r>
        <w:rPr>
          <w:rFonts w:hint="eastAsia" w:ascii="Times New Roman" w:hAnsi="Times New Roman" w:eastAsia="宋体" w:cs="Times New Roman"/>
          <w:color w:val="auto"/>
          <w:sz w:val="24"/>
          <w:szCs w:val="24"/>
          <w:highlight w:val="none"/>
          <w:u w:val="single"/>
          <w:lang w:val="en-US" w:eastAsia="zh-CN"/>
        </w:rPr>
        <w:tab/>
      </w:r>
      <w:r>
        <w:rPr>
          <w:rFonts w:ascii="Calibri" w:hAnsi="Calibri" w:eastAsia="Calibri"/>
          <w:color w:val="auto"/>
          <w:sz w:val="24"/>
          <w:szCs w:val="24"/>
          <w:highlight w:val="none"/>
        </w:rPr>
        <w:t>万元，资产总额为</w:t>
      </w:r>
      <w:r>
        <w:rPr>
          <w:rFonts w:hint="eastAsia" w:ascii="Times New Roman" w:hAnsi="Times New Roman" w:eastAsia="宋体" w:cs="Times New Roman"/>
          <w:color w:val="auto"/>
          <w:sz w:val="24"/>
          <w:szCs w:val="24"/>
          <w:highlight w:val="none"/>
          <w:u w:val="single"/>
          <w:lang w:val="en-US" w:eastAsia="zh-CN"/>
        </w:rPr>
        <w:t xml:space="preserve">    </w:t>
      </w:r>
      <w:r>
        <w:rPr>
          <w:rFonts w:ascii="Calibri" w:hAnsi="Calibri" w:eastAsia="Calibri"/>
          <w:color w:val="auto"/>
          <w:sz w:val="24"/>
          <w:szCs w:val="24"/>
          <w:highlight w:val="none"/>
        </w:rPr>
        <w:t>万元，属于</w:t>
      </w:r>
      <w:r>
        <w:rPr>
          <w:rFonts w:hint="eastAsia" w:ascii="Times New Roman" w:hAnsi="Times New Roman" w:eastAsia="宋体" w:cs="Times New Roman"/>
          <w:color w:val="auto"/>
          <w:sz w:val="24"/>
          <w:szCs w:val="24"/>
          <w:highlight w:val="none"/>
          <w:u w:val="single"/>
          <w:lang w:val="en-US" w:eastAsia="zh-CN"/>
        </w:rPr>
        <w:t>（中型企业、小型企业、微型企业）</w:t>
      </w:r>
      <w:r>
        <w:rPr>
          <w:rFonts w:ascii="Calibri" w:hAnsi="Calibri" w:eastAsia="Calibri"/>
          <w:color w:val="auto"/>
          <w:sz w:val="24"/>
          <w:szCs w:val="24"/>
          <w:highlight w:val="none"/>
        </w:rPr>
        <w:t>；</w:t>
      </w:r>
    </w:p>
    <w:p>
      <w:pPr>
        <w:spacing w:line="360" w:lineRule="auto"/>
        <w:ind w:firstLine="480" w:firstLineChars="200"/>
        <w:rPr>
          <w:rFonts w:hint="eastAsia" w:ascii="Calibri" w:hAnsi="Calibri" w:eastAsia="Calibri"/>
          <w:color w:val="auto"/>
          <w:sz w:val="24"/>
          <w:szCs w:val="24"/>
          <w:highlight w:val="none"/>
          <w:lang w:eastAsia="zh-CN"/>
        </w:rPr>
      </w:pPr>
      <w:r>
        <w:rPr>
          <w:rFonts w:hint="eastAsia" w:ascii="Calibri" w:hAnsi="Calibri" w:eastAsia="Calibri"/>
          <w:color w:val="auto"/>
          <w:sz w:val="24"/>
          <w:szCs w:val="24"/>
          <w:highlight w:val="none"/>
          <w:lang w:eastAsia="zh-CN"/>
        </w:rPr>
        <w:t>……</w:t>
      </w:r>
    </w:p>
    <w:p>
      <w:pPr>
        <w:spacing w:line="360" w:lineRule="auto"/>
        <w:ind w:firstLine="480" w:firstLineChars="200"/>
        <w:rPr>
          <w:rFonts w:ascii="Calibri" w:hAnsi="Calibri" w:eastAsia="Calibri"/>
          <w:color w:val="auto"/>
          <w:sz w:val="24"/>
          <w:szCs w:val="24"/>
          <w:highlight w:val="none"/>
        </w:rPr>
      </w:pPr>
      <w:r>
        <w:rPr>
          <w:rFonts w:ascii="Calibri" w:hAnsi="Calibri" w:eastAsia="Calibri"/>
          <w:color w:val="auto"/>
          <w:sz w:val="24"/>
          <w:szCs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Calibri" w:hAnsi="Calibri" w:eastAsia="Calibri"/>
          <w:color w:val="auto"/>
          <w:sz w:val="24"/>
          <w:szCs w:val="24"/>
          <w:highlight w:val="none"/>
        </w:rPr>
      </w:pPr>
      <w:r>
        <w:rPr>
          <w:rFonts w:ascii="Calibri" w:hAnsi="Calibri" w:eastAsia="Calibri"/>
          <w:color w:val="auto"/>
          <w:sz w:val="24"/>
          <w:szCs w:val="24"/>
          <w:highlight w:val="none"/>
        </w:rPr>
        <w:t>本企业对上述声明内容的真实性负责。如有虚假，将依法承担相应责任。</w:t>
      </w:r>
    </w:p>
    <w:p>
      <w:pPr>
        <w:spacing w:line="360" w:lineRule="auto"/>
        <w:rPr>
          <w:rFonts w:ascii="Calibri" w:hAnsi="Calibri" w:eastAsia="Calibri"/>
          <w:color w:val="auto"/>
          <w:sz w:val="24"/>
          <w:szCs w:val="24"/>
          <w:highlight w:val="none"/>
        </w:rPr>
      </w:pPr>
    </w:p>
    <w:p>
      <w:pPr>
        <w:spacing w:line="360" w:lineRule="auto"/>
        <w:rPr>
          <w:rFonts w:ascii="Calibri" w:hAnsi="Calibri" w:eastAsia="Calibri"/>
          <w:color w:val="auto"/>
          <w:sz w:val="24"/>
          <w:szCs w:val="24"/>
          <w:highlight w:val="none"/>
        </w:rPr>
      </w:pPr>
    </w:p>
    <w:p>
      <w:pPr>
        <w:spacing w:line="360" w:lineRule="auto"/>
        <w:ind w:firstLine="4560" w:firstLineChars="1900"/>
        <w:rPr>
          <w:rFonts w:ascii="Calibri" w:hAnsi="Calibri" w:eastAsia="Calibri"/>
          <w:color w:val="auto"/>
          <w:sz w:val="24"/>
          <w:szCs w:val="24"/>
          <w:highlight w:val="none"/>
        </w:rPr>
      </w:pPr>
      <w:r>
        <w:rPr>
          <w:rFonts w:ascii="Calibri" w:hAnsi="Calibri" w:eastAsia="Calibri"/>
          <w:color w:val="auto"/>
          <w:sz w:val="24"/>
          <w:szCs w:val="24"/>
          <w:highlight w:val="none"/>
        </w:rPr>
        <w:t>企业名称（盖章）：</w:t>
      </w:r>
    </w:p>
    <w:p>
      <w:pPr>
        <w:spacing w:line="360" w:lineRule="auto"/>
        <w:ind w:firstLine="5760" w:firstLineChars="2400"/>
        <w:rPr>
          <w:rFonts w:ascii="Calibri" w:hAnsi="Calibri" w:eastAsia="Calibri"/>
          <w:color w:val="auto"/>
          <w:sz w:val="24"/>
          <w:szCs w:val="24"/>
          <w:highlight w:val="none"/>
        </w:rPr>
      </w:pPr>
      <w:r>
        <w:rPr>
          <w:rFonts w:ascii="Calibri" w:hAnsi="Calibri" w:eastAsia="Calibri"/>
          <w:color w:val="auto"/>
          <w:sz w:val="24"/>
          <w:szCs w:val="24"/>
          <w:highlight w:val="none"/>
        </w:rPr>
        <w:t>日期：</w:t>
      </w:r>
    </w:p>
    <w:p>
      <w:pPr>
        <w:keepNext/>
        <w:keepLines/>
        <w:widowControl w:val="0"/>
        <w:spacing w:line="360" w:lineRule="auto"/>
        <w:jc w:val="both"/>
        <w:outlineLvl w:val="1"/>
        <w:rPr>
          <w:rFonts w:hint="default" w:ascii="Arial" w:hAnsi="Arial" w:eastAsia="Calibri" w:cs="Times New Roman"/>
          <w:b/>
          <w:bCs/>
          <w:color w:val="auto"/>
          <w:kern w:val="2"/>
          <w:sz w:val="24"/>
          <w:szCs w:val="32"/>
          <w:highlight w:val="none"/>
          <w:lang w:val="en-US" w:eastAsia="zh-CN" w:bidi="ar-SA"/>
        </w:rPr>
      </w:pPr>
    </w:p>
    <w:p>
      <w:pPr>
        <w:bidi w:val="0"/>
        <w:spacing w:line="360" w:lineRule="auto"/>
        <w:rPr>
          <w:rFonts w:hint="default" w:ascii="Calibri" w:hAnsi="Calibri" w:eastAsia="Calibri"/>
          <w:color w:val="auto"/>
          <w:sz w:val="24"/>
          <w:szCs w:val="24"/>
          <w:highlight w:val="none"/>
          <w:lang w:val="en-US" w:eastAsia="zh-CN"/>
        </w:rPr>
      </w:pPr>
    </w:p>
    <w:p>
      <w:pPr>
        <w:bidi w:val="0"/>
        <w:spacing w:line="360" w:lineRule="auto"/>
        <w:rPr>
          <w:rFonts w:hint="default" w:ascii="Calibri" w:hAnsi="Calibri" w:eastAsia="Calibri"/>
          <w:color w:val="auto"/>
          <w:sz w:val="24"/>
          <w:szCs w:val="24"/>
          <w:highlight w:val="none"/>
          <w:lang w:val="en-US" w:eastAsia="zh-CN"/>
        </w:rPr>
      </w:pPr>
    </w:p>
    <w:p>
      <w:pPr>
        <w:bidi w:val="0"/>
        <w:spacing w:line="360" w:lineRule="auto"/>
        <w:rPr>
          <w:rFonts w:hint="default" w:ascii="Calibri" w:hAnsi="Calibri" w:eastAsia="Calibri"/>
          <w:color w:val="auto"/>
          <w:sz w:val="24"/>
          <w:szCs w:val="24"/>
          <w:highlight w:val="none"/>
          <w:lang w:val="en-US" w:eastAsia="zh-CN"/>
        </w:rPr>
      </w:pPr>
    </w:p>
    <w:p>
      <w:pPr>
        <w:bidi w:val="0"/>
        <w:spacing w:line="360" w:lineRule="auto"/>
        <w:rPr>
          <w:rFonts w:hint="default" w:ascii="Calibri" w:hAnsi="Calibri" w:eastAsia="Calibri"/>
          <w:color w:val="auto"/>
          <w:sz w:val="24"/>
          <w:szCs w:val="24"/>
          <w:highlight w:val="none"/>
          <w:lang w:val="en-US" w:eastAsia="zh-CN"/>
        </w:rPr>
      </w:pPr>
    </w:p>
    <w:p>
      <w:pPr>
        <w:bidi w:val="0"/>
        <w:spacing w:line="360" w:lineRule="auto"/>
        <w:rPr>
          <w:rFonts w:hint="default" w:ascii="Calibri" w:hAnsi="Calibri" w:eastAsia="Calibri"/>
          <w:color w:val="auto"/>
          <w:sz w:val="24"/>
          <w:szCs w:val="24"/>
          <w:highlight w:val="none"/>
          <w:lang w:val="en-US" w:eastAsia="zh-CN"/>
        </w:rPr>
      </w:pPr>
    </w:p>
    <w:p>
      <w:pPr>
        <w:tabs>
          <w:tab w:val="center" w:pos="4419"/>
        </w:tabs>
        <w:bidi w:val="0"/>
        <w:jc w:val="left"/>
        <w:rPr>
          <w:rFonts w:hint="default"/>
          <w:color w:val="auto"/>
          <w:sz w:val="22"/>
          <w:szCs w:val="28"/>
          <w:highlight w:val="none"/>
          <w:lang w:val="en-US" w:eastAsia="zh-CN"/>
        </w:rPr>
        <w:sectPr>
          <w:pgSz w:w="11900" w:h="16838"/>
          <w:pgMar w:top="1474" w:right="1531" w:bottom="1474" w:left="1531" w:header="0" w:footer="210" w:gutter="0"/>
          <w:pgBorders>
            <w:top w:val="none" w:sz="0" w:space="0"/>
            <w:left w:val="none" w:sz="0" w:space="0"/>
            <w:bottom w:val="none" w:sz="0" w:space="0"/>
            <w:right w:val="none" w:sz="0" w:space="0"/>
          </w:pgBorders>
          <w:cols w:space="708" w:num="1"/>
          <w:rtlGutter w:val="0"/>
          <w:docGrid w:linePitch="1" w:charSpace="0"/>
        </w:sectPr>
      </w:pPr>
      <w:r>
        <w:rPr>
          <w:rFonts w:hint="eastAsia" w:ascii="Calibri" w:hAnsi="Calibri" w:eastAsia="Calibri"/>
          <w:color w:val="auto"/>
          <w:sz w:val="22"/>
          <w:szCs w:val="28"/>
          <w:highlight w:val="none"/>
          <w:lang w:val="en-US" w:eastAsia="zh-CN"/>
        </w:rPr>
        <w:tab/>
      </w:r>
      <w:r>
        <w:rPr>
          <w:rFonts w:hint="eastAsia" w:ascii="Calibri" w:hAnsi="Calibri" w:eastAsia="Calibri"/>
          <w:color w:val="auto"/>
          <w:sz w:val="22"/>
          <w:szCs w:val="28"/>
          <w:highlight w:val="none"/>
          <w:lang w:val="en-US" w:eastAsia="zh-CN"/>
        </w:rPr>
        <w:t>1</w:t>
      </w:r>
      <w:r>
        <w:rPr>
          <w:rFonts w:hint="eastAsia" w:ascii="宋体" w:hAnsi="Calibri" w:eastAsia="宋体"/>
          <w:color w:val="auto"/>
          <w:sz w:val="20"/>
          <w:szCs w:val="28"/>
          <w:highlight w:val="none"/>
        </w:rPr>
        <w:t>从业人员、营业收入、资产总额填报上一年度数据，无上一年度数据的新成立企业可不填报</w:t>
      </w:r>
    </w:p>
    <w:p>
      <w:pPr>
        <w:spacing w:line="360" w:lineRule="auto"/>
        <w:jc w:val="center"/>
        <w:rPr>
          <w:rFonts w:hint="eastAsia" w:ascii="宋体" w:hAnsi="宋体" w:eastAsia="Calibri"/>
          <w:b/>
          <w:color w:val="auto"/>
          <w:sz w:val="24"/>
          <w:szCs w:val="24"/>
          <w:highlight w:val="none"/>
          <w:lang w:eastAsia="zh-CN"/>
        </w:rPr>
      </w:pPr>
      <w:r>
        <w:rPr>
          <w:rFonts w:hint="eastAsia" w:ascii="宋体" w:hAnsi="宋体" w:eastAsia="Calibri"/>
          <w:b/>
          <w:color w:val="auto"/>
          <w:sz w:val="24"/>
          <w:szCs w:val="24"/>
          <w:highlight w:val="none"/>
          <w:lang w:eastAsia="zh-CN"/>
        </w:rPr>
        <w:t>六、供应商认为需要提供的其它资料</w:t>
      </w:r>
    </w:p>
    <w:p>
      <w:pPr>
        <w:spacing w:line="360" w:lineRule="auto"/>
        <w:jc w:val="center"/>
        <w:rPr>
          <w:rFonts w:hint="eastAsia" w:ascii="宋体" w:hAnsi="宋体" w:eastAsia="Calibri"/>
          <w:b/>
          <w:color w:val="auto"/>
          <w:sz w:val="24"/>
          <w:szCs w:val="24"/>
          <w:highlight w:val="none"/>
          <w:lang w:eastAsia="zh-CN"/>
        </w:rPr>
      </w:pPr>
    </w:p>
    <w:p>
      <w:pPr>
        <w:spacing w:line="360" w:lineRule="auto"/>
        <w:jc w:val="center"/>
        <w:rPr>
          <w:rFonts w:hint="eastAsia" w:ascii="宋体" w:hAnsi="宋体" w:eastAsia="Calibri"/>
          <w:b/>
          <w:color w:val="auto"/>
          <w:sz w:val="24"/>
          <w:szCs w:val="24"/>
          <w:highlight w:val="none"/>
          <w:lang w:eastAsia="zh-CN"/>
        </w:rPr>
      </w:pPr>
    </w:p>
    <w:p>
      <w:pPr>
        <w:spacing w:line="360" w:lineRule="auto"/>
        <w:jc w:val="center"/>
        <w:rPr>
          <w:rFonts w:hint="eastAsia" w:ascii="宋体" w:hAnsi="宋体" w:eastAsia="Calibri"/>
          <w:b/>
          <w:color w:val="auto"/>
          <w:sz w:val="24"/>
          <w:szCs w:val="24"/>
          <w:highlight w:val="none"/>
          <w:lang w:eastAsia="zh-CN"/>
        </w:rPr>
      </w:pPr>
    </w:p>
    <w:p>
      <w:pPr>
        <w:spacing w:line="360" w:lineRule="auto"/>
        <w:jc w:val="center"/>
        <w:rPr>
          <w:rFonts w:hint="eastAsia" w:ascii="宋体" w:hAnsi="宋体" w:eastAsia="Calibri"/>
          <w:b/>
          <w:color w:val="auto"/>
          <w:sz w:val="24"/>
          <w:szCs w:val="24"/>
          <w:highlight w:val="none"/>
          <w:lang w:eastAsia="zh-CN"/>
        </w:rPr>
      </w:pPr>
    </w:p>
    <w:p>
      <w:pPr>
        <w:spacing w:line="360" w:lineRule="auto"/>
        <w:jc w:val="center"/>
        <w:rPr>
          <w:rFonts w:hint="eastAsia" w:ascii="宋体" w:hAnsi="宋体" w:eastAsia="Calibri"/>
          <w:b/>
          <w:color w:val="auto"/>
          <w:sz w:val="24"/>
          <w:szCs w:val="24"/>
          <w:highlight w:val="none"/>
          <w:lang w:eastAsia="zh-CN"/>
        </w:rPr>
      </w:pPr>
    </w:p>
    <w:p>
      <w:pPr>
        <w:spacing w:line="360" w:lineRule="auto"/>
        <w:jc w:val="center"/>
        <w:rPr>
          <w:rFonts w:hint="eastAsia" w:ascii="宋体" w:hAnsi="宋体" w:eastAsia="Calibri"/>
          <w:b/>
          <w:color w:val="auto"/>
          <w:sz w:val="24"/>
          <w:szCs w:val="24"/>
          <w:highlight w:val="none"/>
          <w:lang w:eastAsia="zh-CN"/>
        </w:rPr>
      </w:pPr>
    </w:p>
    <w:p>
      <w:pPr>
        <w:spacing w:line="360" w:lineRule="auto"/>
        <w:jc w:val="center"/>
        <w:rPr>
          <w:rFonts w:hint="eastAsia" w:ascii="宋体" w:hAnsi="宋体" w:eastAsia="Calibri"/>
          <w:b/>
          <w:color w:val="auto"/>
          <w:sz w:val="24"/>
          <w:szCs w:val="24"/>
          <w:highlight w:val="none"/>
          <w:lang w:eastAsia="zh-CN"/>
        </w:rPr>
      </w:pPr>
    </w:p>
    <w:p>
      <w:pPr>
        <w:spacing w:line="360" w:lineRule="auto"/>
        <w:jc w:val="center"/>
        <w:rPr>
          <w:rFonts w:hint="eastAsia" w:ascii="宋体" w:hAnsi="宋体" w:eastAsia="Calibri"/>
          <w:b/>
          <w:color w:val="auto"/>
          <w:sz w:val="24"/>
          <w:szCs w:val="24"/>
          <w:highlight w:val="none"/>
          <w:lang w:eastAsia="zh-CN"/>
        </w:rPr>
      </w:pPr>
    </w:p>
    <w:p>
      <w:pPr>
        <w:spacing w:line="360" w:lineRule="auto"/>
        <w:jc w:val="center"/>
        <w:rPr>
          <w:rFonts w:hint="eastAsia" w:ascii="宋体" w:hAnsi="宋体" w:eastAsia="Calibri"/>
          <w:b/>
          <w:color w:val="auto"/>
          <w:sz w:val="24"/>
          <w:szCs w:val="24"/>
          <w:highlight w:val="none"/>
          <w:lang w:eastAsia="zh-CN"/>
        </w:rPr>
      </w:pPr>
    </w:p>
    <w:p>
      <w:pPr>
        <w:spacing w:line="360" w:lineRule="auto"/>
        <w:jc w:val="center"/>
        <w:rPr>
          <w:rFonts w:hint="eastAsia" w:ascii="宋体" w:hAnsi="宋体" w:eastAsia="Calibri"/>
          <w:b/>
          <w:color w:val="auto"/>
          <w:sz w:val="24"/>
          <w:szCs w:val="24"/>
          <w:highlight w:val="none"/>
          <w:lang w:eastAsia="zh-CN"/>
        </w:rPr>
      </w:pPr>
    </w:p>
    <w:p>
      <w:pPr>
        <w:spacing w:line="360" w:lineRule="auto"/>
        <w:jc w:val="center"/>
        <w:rPr>
          <w:rFonts w:hint="eastAsia" w:ascii="宋体" w:hAnsi="宋体" w:eastAsia="Calibri"/>
          <w:b/>
          <w:color w:val="auto"/>
          <w:sz w:val="24"/>
          <w:szCs w:val="24"/>
          <w:highlight w:val="none"/>
          <w:lang w:eastAsia="zh-CN"/>
        </w:rPr>
      </w:pPr>
    </w:p>
    <w:p>
      <w:pPr>
        <w:spacing w:line="360" w:lineRule="auto"/>
        <w:jc w:val="center"/>
        <w:rPr>
          <w:rFonts w:hint="eastAsia" w:ascii="宋体" w:hAnsi="宋体" w:eastAsia="Calibri"/>
          <w:b/>
          <w:color w:val="auto"/>
          <w:sz w:val="24"/>
          <w:szCs w:val="24"/>
          <w:highlight w:val="none"/>
          <w:lang w:eastAsia="zh-CN"/>
        </w:rPr>
      </w:pPr>
    </w:p>
    <w:p>
      <w:pPr>
        <w:spacing w:line="360" w:lineRule="auto"/>
        <w:jc w:val="center"/>
        <w:rPr>
          <w:rFonts w:hint="eastAsia" w:ascii="宋体" w:hAnsi="宋体" w:eastAsia="Calibri"/>
          <w:b/>
          <w:color w:val="auto"/>
          <w:sz w:val="24"/>
          <w:szCs w:val="24"/>
          <w:highlight w:val="none"/>
          <w:lang w:eastAsia="zh-CN"/>
        </w:rPr>
      </w:pPr>
    </w:p>
    <w:p>
      <w:pPr>
        <w:spacing w:line="360" w:lineRule="auto"/>
        <w:jc w:val="center"/>
        <w:rPr>
          <w:rFonts w:hint="eastAsia" w:ascii="宋体" w:hAnsi="宋体" w:eastAsia="Calibri"/>
          <w:b/>
          <w:color w:val="auto"/>
          <w:sz w:val="24"/>
          <w:szCs w:val="24"/>
          <w:highlight w:val="none"/>
          <w:lang w:eastAsia="zh-CN"/>
        </w:rPr>
      </w:pPr>
    </w:p>
    <w:p>
      <w:pPr>
        <w:spacing w:line="360" w:lineRule="auto"/>
        <w:jc w:val="center"/>
        <w:rPr>
          <w:rFonts w:hint="eastAsia" w:ascii="宋体" w:hAnsi="宋体" w:eastAsia="Calibri"/>
          <w:b/>
          <w:color w:val="auto"/>
          <w:sz w:val="24"/>
          <w:szCs w:val="24"/>
          <w:highlight w:val="none"/>
          <w:lang w:eastAsia="zh-CN"/>
        </w:rPr>
      </w:pPr>
    </w:p>
    <w:p>
      <w:pPr>
        <w:spacing w:line="360" w:lineRule="auto"/>
        <w:jc w:val="center"/>
        <w:rPr>
          <w:rFonts w:hint="eastAsia" w:ascii="宋体" w:hAnsi="宋体" w:eastAsia="Calibri"/>
          <w:b/>
          <w:color w:val="auto"/>
          <w:sz w:val="24"/>
          <w:szCs w:val="24"/>
          <w:highlight w:val="none"/>
          <w:lang w:eastAsia="zh-CN"/>
        </w:rPr>
      </w:pPr>
    </w:p>
    <w:p>
      <w:pPr>
        <w:spacing w:line="360" w:lineRule="auto"/>
        <w:jc w:val="center"/>
        <w:rPr>
          <w:rFonts w:hint="eastAsia" w:ascii="宋体" w:hAnsi="宋体" w:eastAsia="Calibri"/>
          <w:b/>
          <w:color w:val="auto"/>
          <w:sz w:val="24"/>
          <w:szCs w:val="24"/>
          <w:highlight w:val="none"/>
          <w:lang w:eastAsia="zh-CN"/>
        </w:rPr>
      </w:pPr>
    </w:p>
    <w:p>
      <w:pPr>
        <w:spacing w:line="360" w:lineRule="auto"/>
        <w:ind w:firstLine="2640" w:firstLineChars="1100"/>
        <w:rPr>
          <w:rFonts w:hint="eastAsia" w:ascii="宋体" w:hAnsi="宋体"/>
          <w:color w:val="auto"/>
          <w:sz w:val="24"/>
          <w:highlight w:val="none"/>
        </w:rPr>
      </w:pPr>
      <w:r>
        <w:rPr>
          <w:rFonts w:hint="eastAsia" w:ascii="宋体" w:hAnsi="宋体"/>
          <w:color w:val="auto"/>
          <w:sz w:val="24"/>
          <w:highlight w:val="none"/>
        </w:rPr>
        <w:t>供应商</w:t>
      </w:r>
      <w:r>
        <w:rPr>
          <w:rFonts w:hint="eastAsia" w:ascii="宋体" w:hAnsi="宋体"/>
          <w:color w:val="auto"/>
          <w:sz w:val="24"/>
          <w:highlight w:val="none"/>
          <w:lang w:eastAsia="zh-CN"/>
        </w:rPr>
        <w:t>名称</w:t>
      </w:r>
      <w:r>
        <w:rPr>
          <w:rFonts w:hint="eastAsia" w:ascii="宋体" w:hAnsi="宋体"/>
          <w:color w:val="auto"/>
          <w:sz w:val="24"/>
          <w:highlight w:val="none"/>
        </w:rPr>
        <w:t>（盖单位章）：</w:t>
      </w:r>
    </w:p>
    <w:p>
      <w:pPr>
        <w:spacing w:line="360" w:lineRule="auto"/>
        <w:ind w:firstLine="2640" w:firstLineChars="1100"/>
        <w:rPr>
          <w:rFonts w:hint="eastAsia" w:ascii="宋体" w:hAnsi="宋体"/>
          <w:color w:val="auto"/>
          <w:sz w:val="24"/>
          <w:highlight w:val="none"/>
        </w:rPr>
      </w:pPr>
      <w:r>
        <w:rPr>
          <w:rFonts w:hint="eastAsia" w:ascii="宋体" w:hAnsi="宋体"/>
          <w:color w:val="auto"/>
          <w:sz w:val="24"/>
          <w:highlight w:val="none"/>
        </w:rPr>
        <w:t>法定代表人</w:t>
      </w:r>
      <w:r>
        <w:rPr>
          <w:rFonts w:hint="eastAsia" w:ascii="宋体" w:hAnsi="宋体"/>
          <w:color w:val="auto"/>
          <w:kern w:val="0"/>
          <w:sz w:val="24"/>
          <w:highlight w:val="none"/>
        </w:rPr>
        <w:t>（或经营者）</w:t>
      </w:r>
      <w:r>
        <w:rPr>
          <w:rFonts w:hint="eastAsia" w:ascii="宋体" w:hAnsi="宋体"/>
          <w:color w:val="auto"/>
          <w:sz w:val="24"/>
          <w:highlight w:val="none"/>
        </w:rPr>
        <w:t>或其委托代理人签字：</w:t>
      </w:r>
      <w:r>
        <w:rPr>
          <w:rFonts w:hint="eastAsia" w:ascii="宋体" w:hAnsi="宋体"/>
          <w:color w:val="auto"/>
          <w:sz w:val="24"/>
          <w:highlight w:val="none"/>
          <w:u w:val="single"/>
        </w:rPr>
        <w:t xml:space="preserve">         </w:t>
      </w:r>
    </w:p>
    <w:p>
      <w:pPr>
        <w:spacing w:line="360" w:lineRule="auto"/>
        <w:jc w:val="right"/>
        <w:rPr>
          <w:rFonts w:hint="eastAsia" w:ascii="宋体" w:hAnsi="宋体" w:eastAsia="Calibri"/>
          <w:b/>
          <w:color w:val="auto"/>
          <w:sz w:val="24"/>
          <w:szCs w:val="24"/>
          <w:highlight w:val="none"/>
          <w:lang w:eastAsia="zh-CN"/>
        </w:rPr>
        <w:sectPr>
          <w:pgSz w:w="11906" w:h="16838"/>
          <w:pgMar w:top="1440" w:right="1800" w:bottom="1440" w:left="1800" w:header="851" w:footer="992" w:gutter="0"/>
          <w:pgNumType w:fmt="decimal"/>
          <w:cols w:space="708" w:num="1"/>
          <w:docGrid w:type="lines" w:linePitch="312" w:charSpace="0"/>
        </w:sectPr>
      </w:pP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u w:val="none"/>
          <w:lang w:eastAsia="zh-CN"/>
        </w:rPr>
        <w:t>日</w:t>
      </w:r>
    </w:p>
    <w:p>
      <w:pPr>
        <w:spacing w:line="360" w:lineRule="auto"/>
        <w:jc w:val="center"/>
        <w:rPr>
          <w:rFonts w:hint="eastAsia" w:ascii="宋体" w:hAnsi="宋体" w:eastAsia="宋体"/>
          <w:b/>
          <w:color w:val="auto"/>
          <w:sz w:val="24"/>
          <w:szCs w:val="24"/>
          <w:highlight w:val="none"/>
          <w:lang w:eastAsia="zh-CN"/>
        </w:rPr>
      </w:pPr>
      <w:r>
        <w:rPr>
          <w:rFonts w:hint="eastAsia" w:ascii="宋体" w:hAnsi="宋体" w:eastAsia="Calibri"/>
          <w:b/>
          <w:color w:val="auto"/>
          <w:sz w:val="24"/>
          <w:szCs w:val="24"/>
          <w:highlight w:val="none"/>
          <w:lang w:eastAsia="zh-CN"/>
        </w:rPr>
        <w:t>七</w:t>
      </w:r>
      <w:r>
        <w:rPr>
          <w:rFonts w:hint="eastAsia" w:ascii="宋体" w:hAnsi="宋体" w:eastAsia="Calibri"/>
          <w:b/>
          <w:color w:val="auto"/>
          <w:sz w:val="24"/>
          <w:szCs w:val="24"/>
          <w:highlight w:val="none"/>
        </w:rPr>
        <w:t>、最后</w:t>
      </w:r>
      <w:r>
        <w:rPr>
          <w:rFonts w:hint="eastAsia" w:ascii="宋体" w:hAnsi="宋体" w:eastAsia="宋体"/>
          <w:b/>
          <w:color w:val="auto"/>
          <w:sz w:val="24"/>
          <w:szCs w:val="24"/>
          <w:highlight w:val="none"/>
          <w:lang w:eastAsia="zh-CN"/>
        </w:rPr>
        <w:t>报价</w:t>
      </w:r>
    </w:p>
    <w:p>
      <w:pPr>
        <w:spacing w:line="360" w:lineRule="auto"/>
        <w:jc w:val="center"/>
        <w:rPr>
          <w:rFonts w:hint="eastAsia" w:ascii="宋体" w:hAnsi="宋体" w:eastAsia="Calibri"/>
          <w:b/>
          <w:color w:val="auto"/>
          <w:sz w:val="24"/>
          <w:szCs w:val="24"/>
          <w:highlight w:val="none"/>
        </w:rPr>
      </w:pPr>
    </w:p>
    <w:p>
      <w:pPr>
        <w:spacing w:line="360" w:lineRule="auto"/>
        <w:jc w:val="center"/>
        <w:rPr>
          <w:rFonts w:hint="eastAsia" w:ascii="宋体" w:hAnsi="宋体" w:eastAsia="Calibri"/>
          <w:b/>
          <w:color w:val="auto"/>
          <w:sz w:val="24"/>
          <w:szCs w:val="24"/>
          <w:highlight w:val="none"/>
        </w:rPr>
      </w:pPr>
    </w:p>
    <w:tbl>
      <w:tblPr>
        <w:tblStyle w:val="33"/>
        <w:tblW w:w="86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5"/>
        <w:gridCol w:w="2019"/>
        <w:gridCol w:w="2999"/>
        <w:gridCol w:w="1487"/>
        <w:gridCol w:w="17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5" w:hRule="atLeast"/>
        </w:trPr>
        <w:tc>
          <w:tcPr>
            <w:tcW w:w="485" w:type="dxa"/>
            <w:tcBorders>
              <w:bottom w:val="single" w:color="auto" w:sz="6" w:space="0"/>
              <w:right w:val="single" w:color="auto" w:sz="6" w:space="0"/>
            </w:tcBorders>
            <w:vAlign w:val="center"/>
          </w:tcPr>
          <w:p>
            <w:pPr>
              <w:widowControl/>
              <w:spacing w:line="360" w:lineRule="auto"/>
              <w:jc w:val="center"/>
              <w:rPr>
                <w:rFonts w:hint="eastAsia" w:ascii="宋体" w:hAnsi="宋体"/>
                <w:color w:val="auto"/>
                <w:sz w:val="24"/>
                <w:highlight w:val="none"/>
              </w:rPr>
            </w:pPr>
            <w:r>
              <w:rPr>
                <w:rFonts w:hint="eastAsia" w:ascii="宋体" w:hAnsi="宋体"/>
                <w:color w:val="auto"/>
                <w:sz w:val="24"/>
                <w:highlight w:val="none"/>
              </w:rPr>
              <w:t>序号</w:t>
            </w:r>
          </w:p>
        </w:tc>
        <w:tc>
          <w:tcPr>
            <w:tcW w:w="2019" w:type="dxa"/>
            <w:tcBorders>
              <w:left w:val="single" w:color="auto" w:sz="6" w:space="0"/>
              <w:bottom w:val="single" w:color="auto" w:sz="6" w:space="0"/>
              <w:right w:val="single" w:color="auto" w:sz="6" w:space="0"/>
            </w:tcBorders>
            <w:vAlign w:val="center"/>
          </w:tcPr>
          <w:p>
            <w:pPr>
              <w:spacing w:line="360" w:lineRule="auto"/>
              <w:jc w:val="center"/>
              <w:rPr>
                <w:rFonts w:hint="eastAsia" w:ascii="宋体" w:hAnsi="宋体"/>
                <w:color w:val="auto"/>
                <w:sz w:val="24"/>
                <w:highlight w:val="none"/>
              </w:rPr>
            </w:pPr>
            <w:r>
              <w:rPr>
                <w:rFonts w:ascii="宋体" w:hAnsi="宋体"/>
                <w:color w:val="auto"/>
                <w:sz w:val="24"/>
                <w:highlight w:val="none"/>
              </w:rPr>
              <w:t>项目名称</w:t>
            </w:r>
          </w:p>
        </w:tc>
        <w:tc>
          <w:tcPr>
            <w:tcW w:w="2999" w:type="dxa"/>
            <w:tcBorders>
              <w:left w:val="single" w:color="auto" w:sz="6" w:space="0"/>
              <w:bottom w:val="single" w:color="auto" w:sz="6" w:space="0"/>
              <w:right w:val="single" w:color="auto" w:sz="6" w:space="0"/>
            </w:tcBorders>
            <w:vAlign w:val="center"/>
          </w:tcPr>
          <w:p>
            <w:pPr>
              <w:widowControl/>
              <w:spacing w:line="360" w:lineRule="auto"/>
              <w:jc w:val="center"/>
              <w:rPr>
                <w:rFonts w:hint="eastAsia" w:ascii="宋体" w:hAnsi="宋体"/>
                <w:color w:val="auto"/>
                <w:sz w:val="24"/>
                <w:highlight w:val="none"/>
              </w:rPr>
            </w:pPr>
          </w:p>
        </w:tc>
        <w:tc>
          <w:tcPr>
            <w:tcW w:w="1487" w:type="dxa"/>
            <w:tcBorders>
              <w:left w:val="single" w:color="auto" w:sz="6" w:space="0"/>
              <w:right w:val="single" w:color="auto" w:sz="6" w:space="0"/>
            </w:tcBorders>
            <w:vAlign w:val="center"/>
          </w:tcPr>
          <w:p>
            <w:pPr>
              <w:widowControl/>
              <w:spacing w:line="360" w:lineRule="auto"/>
              <w:jc w:val="center"/>
              <w:rPr>
                <w:rFonts w:hint="eastAsia" w:ascii="宋体" w:hAnsi="宋体"/>
                <w:color w:val="auto"/>
                <w:sz w:val="24"/>
                <w:highlight w:val="none"/>
              </w:rPr>
            </w:pPr>
            <w:r>
              <w:rPr>
                <w:rFonts w:hint="eastAsia" w:ascii="宋体" w:hAnsi="宋体"/>
                <w:color w:val="auto"/>
                <w:sz w:val="24"/>
                <w:highlight w:val="none"/>
              </w:rPr>
              <w:t>项目编号</w:t>
            </w:r>
          </w:p>
        </w:tc>
        <w:tc>
          <w:tcPr>
            <w:tcW w:w="1708" w:type="dxa"/>
            <w:tcBorders>
              <w:left w:val="single" w:color="auto" w:sz="6" w:space="0"/>
            </w:tcBorders>
            <w:vAlign w:val="center"/>
          </w:tcPr>
          <w:p>
            <w:pPr>
              <w:widowControl/>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2" w:hRule="atLeast"/>
        </w:trPr>
        <w:tc>
          <w:tcPr>
            <w:tcW w:w="485" w:type="dxa"/>
            <w:tcBorders>
              <w:top w:val="single" w:color="auto" w:sz="6" w:space="0"/>
              <w:bottom w:val="single" w:color="auto" w:sz="6" w:space="0"/>
              <w:right w:val="single" w:color="auto" w:sz="6" w:space="0"/>
            </w:tcBorders>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1</w:t>
            </w:r>
          </w:p>
        </w:tc>
        <w:tc>
          <w:tcPr>
            <w:tcW w:w="20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b/>
                <w:color w:val="auto"/>
                <w:sz w:val="24"/>
                <w:highlight w:val="none"/>
              </w:rPr>
            </w:pPr>
            <w:r>
              <w:rPr>
                <w:rFonts w:hint="eastAsia" w:ascii="宋体" w:hAnsi="宋体"/>
                <w:b/>
                <w:color w:val="auto"/>
                <w:sz w:val="24"/>
                <w:highlight w:val="none"/>
              </w:rPr>
              <w:t>总报价人民币</w:t>
            </w:r>
          </w:p>
        </w:tc>
        <w:tc>
          <w:tcPr>
            <w:tcW w:w="6194" w:type="dxa"/>
            <w:gridSpan w:val="3"/>
            <w:tcBorders>
              <w:top w:val="single" w:color="auto" w:sz="6" w:space="0"/>
              <w:left w:val="single" w:color="auto" w:sz="6" w:space="0"/>
              <w:bottom w:val="single" w:color="auto" w:sz="6" w:space="0"/>
            </w:tcBorders>
            <w:vAlign w:val="center"/>
          </w:tcPr>
          <w:p>
            <w:pPr>
              <w:spacing w:line="600" w:lineRule="auto"/>
              <w:ind w:firstLine="120" w:firstLineChars="50"/>
              <w:rPr>
                <w:rFonts w:hint="eastAsia" w:ascii="宋体" w:hAnsi="宋体"/>
                <w:b/>
                <w:color w:val="auto"/>
                <w:sz w:val="24"/>
                <w:highlight w:val="none"/>
              </w:rPr>
            </w:pPr>
            <w:r>
              <w:rPr>
                <w:rFonts w:hint="eastAsia" w:ascii="宋体" w:hAnsi="宋体"/>
                <w:b/>
                <w:color w:val="auto"/>
                <w:sz w:val="24"/>
                <w:highlight w:val="none"/>
              </w:rPr>
              <w:t xml:space="preserve">大写： </w:t>
            </w:r>
          </w:p>
          <w:p>
            <w:pPr>
              <w:spacing w:line="600" w:lineRule="auto"/>
              <w:ind w:firstLine="120" w:firstLineChars="50"/>
              <w:rPr>
                <w:rFonts w:hint="eastAsia" w:ascii="宋体" w:hAnsi="宋体"/>
                <w:b/>
                <w:color w:val="auto"/>
                <w:sz w:val="24"/>
                <w:highlight w:val="none"/>
              </w:rPr>
            </w:pPr>
            <w:r>
              <w:rPr>
                <w:rFonts w:hint="eastAsia" w:ascii="宋体" w:hAnsi="宋体"/>
                <w:b/>
                <w:color w:val="auto"/>
                <w:sz w:val="24"/>
                <w:highlight w:val="none"/>
              </w:rPr>
              <w:t xml:space="preserve">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1" w:hRule="atLeast"/>
        </w:trPr>
        <w:tc>
          <w:tcPr>
            <w:tcW w:w="485" w:type="dxa"/>
            <w:tcBorders>
              <w:top w:val="single" w:color="auto" w:sz="6" w:space="0"/>
              <w:right w:val="single" w:color="auto" w:sz="6" w:space="0"/>
            </w:tcBorders>
            <w:vAlign w:val="center"/>
          </w:tcPr>
          <w:p>
            <w:pPr>
              <w:spacing w:line="360" w:lineRule="auto"/>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2</w:t>
            </w:r>
          </w:p>
        </w:tc>
        <w:tc>
          <w:tcPr>
            <w:tcW w:w="2019" w:type="dxa"/>
            <w:tcBorders>
              <w:top w:val="single" w:color="auto" w:sz="6" w:space="0"/>
              <w:left w:val="single" w:color="auto" w:sz="6" w:space="0"/>
              <w:right w:val="single" w:color="auto" w:sz="6" w:space="0"/>
            </w:tcBorders>
            <w:vAlign w:val="center"/>
          </w:tcPr>
          <w:p>
            <w:pPr>
              <w:spacing w:line="360" w:lineRule="auto"/>
              <w:jc w:val="center"/>
              <w:rPr>
                <w:rFonts w:hint="eastAsia" w:ascii="宋体" w:hAnsi="宋体" w:eastAsia="宋体"/>
                <w:b/>
                <w:color w:val="auto"/>
                <w:sz w:val="24"/>
                <w:highlight w:val="none"/>
                <w:lang w:eastAsia="zh-CN"/>
              </w:rPr>
            </w:pPr>
            <w:r>
              <w:rPr>
                <w:rFonts w:hint="eastAsia" w:ascii="宋体" w:hAnsi="宋体"/>
                <w:b/>
                <w:color w:val="auto"/>
                <w:sz w:val="24"/>
                <w:highlight w:val="none"/>
                <w:lang w:eastAsia="zh-CN"/>
              </w:rPr>
              <w:t>交付时间</w:t>
            </w:r>
          </w:p>
        </w:tc>
        <w:tc>
          <w:tcPr>
            <w:tcW w:w="6194" w:type="dxa"/>
            <w:gridSpan w:val="3"/>
            <w:tcBorders>
              <w:top w:val="single" w:color="auto" w:sz="6" w:space="0"/>
              <w:left w:val="single" w:color="auto" w:sz="6" w:space="0"/>
            </w:tcBorders>
            <w:vAlign w:val="center"/>
          </w:tcPr>
          <w:p>
            <w:pPr>
              <w:spacing w:line="360" w:lineRule="auto"/>
              <w:ind w:firstLine="120" w:firstLineChars="50"/>
              <w:rPr>
                <w:rFonts w:hint="eastAsia" w:ascii="宋体" w:hAnsi="宋体" w:eastAsia="宋体"/>
                <w:b/>
                <w:color w:val="auto"/>
                <w:sz w:val="24"/>
                <w:highlight w:val="none"/>
                <w:lang w:eastAsia="zh-CN"/>
              </w:rPr>
            </w:pPr>
          </w:p>
        </w:tc>
      </w:tr>
    </w:tbl>
    <w:p>
      <w:pPr>
        <w:spacing w:line="360" w:lineRule="auto"/>
        <w:ind w:firstLine="420" w:firstLineChars="200"/>
        <w:rPr>
          <w:rFonts w:hint="eastAsia" w:eastAsia="宋体"/>
          <w:color w:val="auto"/>
          <w:highlight w:val="none"/>
          <w:lang w:eastAsia="zh-CN"/>
        </w:rPr>
      </w:pPr>
      <w:r>
        <w:rPr>
          <w:rFonts w:hint="eastAsia" w:eastAsia="宋体"/>
          <w:color w:val="auto"/>
          <w:highlight w:val="none"/>
          <w:lang w:eastAsia="zh-CN"/>
        </w:rPr>
        <w:t>说明：“报价”为总价。包括产品、规费、税金、安装、管理、施工及其他不可预见费等完成本采购内容所需的一切费用。</w:t>
      </w:r>
    </w:p>
    <w:p>
      <w:pPr>
        <w:spacing w:line="360" w:lineRule="auto"/>
        <w:rPr>
          <w:rFonts w:hint="eastAsia" w:eastAsia="宋体"/>
          <w:color w:val="auto"/>
          <w:highlight w:val="none"/>
          <w:lang w:eastAsia="zh-CN"/>
        </w:rPr>
      </w:pPr>
    </w:p>
    <w:p>
      <w:pPr>
        <w:spacing w:line="360" w:lineRule="auto"/>
        <w:rPr>
          <w:rFonts w:hint="eastAsia" w:eastAsia="宋体"/>
          <w:color w:val="auto"/>
          <w:highlight w:val="none"/>
          <w:lang w:eastAsia="zh-CN"/>
        </w:rPr>
      </w:pPr>
    </w:p>
    <w:p>
      <w:pPr>
        <w:spacing w:line="360" w:lineRule="auto"/>
        <w:rPr>
          <w:rFonts w:hint="eastAsia" w:eastAsia="宋体"/>
          <w:color w:val="auto"/>
          <w:highlight w:val="none"/>
          <w:lang w:eastAsia="zh-CN"/>
        </w:rPr>
      </w:pPr>
    </w:p>
    <w:p>
      <w:pPr>
        <w:spacing w:line="360" w:lineRule="auto"/>
        <w:ind w:firstLine="4800" w:firstLineChars="2000"/>
        <w:rPr>
          <w:rFonts w:hint="eastAsia" w:ascii="宋体" w:hAnsi="宋体"/>
          <w:color w:val="auto"/>
          <w:sz w:val="24"/>
          <w:highlight w:val="none"/>
        </w:rPr>
      </w:pPr>
      <w:r>
        <w:rPr>
          <w:rFonts w:hint="eastAsia" w:ascii="宋体" w:hAnsi="宋体"/>
          <w:color w:val="auto"/>
          <w:sz w:val="24"/>
          <w:highlight w:val="none"/>
        </w:rPr>
        <w:t>供应商</w:t>
      </w:r>
      <w:r>
        <w:rPr>
          <w:rFonts w:hint="eastAsia" w:ascii="宋体" w:hAnsi="宋体"/>
          <w:color w:val="auto"/>
          <w:sz w:val="24"/>
          <w:highlight w:val="none"/>
          <w:lang w:eastAsia="zh-CN"/>
        </w:rPr>
        <w:t>名称</w:t>
      </w:r>
      <w:r>
        <w:rPr>
          <w:rFonts w:hint="eastAsia" w:ascii="宋体" w:hAnsi="宋体"/>
          <w:color w:val="auto"/>
          <w:sz w:val="24"/>
          <w:highlight w:val="none"/>
        </w:rPr>
        <w:t>：</w:t>
      </w:r>
    </w:p>
    <w:p>
      <w:pPr>
        <w:spacing w:line="360" w:lineRule="auto"/>
        <w:ind w:firstLine="2640" w:firstLineChars="1100"/>
        <w:rPr>
          <w:rFonts w:hint="eastAsia" w:ascii="宋体" w:hAnsi="宋体"/>
          <w:color w:val="auto"/>
          <w:sz w:val="24"/>
          <w:highlight w:val="none"/>
        </w:rPr>
      </w:pPr>
      <w:r>
        <w:rPr>
          <w:rFonts w:hint="eastAsia" w:ascii="宋体" w:hAnsi="宋体"/>
          <w:color w:val="auto"/>
          <w:sz w:val="24"/>
          <w:highlight w:val="none"/>
        </w:rPr>
        <w:t>法定代表人</w:t>
      </w:r>
      <w:r>
        <w:rPr>
          <w:rFonts w:hint="eastAsia" w:ascii="宋体" w:hAnsi="宋体"/>
          <w:color w:val="auto"/>
          <w:kern w:val="0"/>
          <w:sz w:val="24"/>
          <w:highlight w:val="none"/>
        </w:rPr>
        <w:t>（或经营者）</w:t>
      </w:r>
      <w:r>
        <w:rPr>
          <w:rFonts w:hint="eastAsia" w:ascii="宋体" w:hAnsi="宋体"/>
          <w:color w:val="auto"/>
          <w:sz w:val="24"/>
          <w:highlight w:val="none"/>
        </w:rPr>
        <w:t>或其委托代理人签字：</w:t>
      </w:r>
      <w:r>
        <w:rPr>
          <w:rFonts w:hint="eastAsia" w:ascii="宋体" w:hAnsi="宋体"/>
          <w:color w:val="auto"/>
          <w:sz w:val="24"/>
          <w:highlight w:val="none"/>
          <w:u w:val="single"/>
        </w:rPr>
        <w:t xml:space="preserve">  </w:t>
      </w:r>
      <w:r>
        <w:rPr>
          <w:rFonts w:hint="eastAsia" w:ascii="宋体" w:hAnsi="宋体" w:eastAsia="宋体"/>
          <w:color w:val="auto"/>
          <w:sz w:val="24"/>
          <w:highlight w:val="none"/>
          <w:u w:val="single"/>
          <w:lang w:val="en-US" w:eastAsia="zh-CN"/>
        </w:rPr>
        <w:t xml:space="preserve"> </w:t>
      </w:r>
      <w:r>
        <w:rPr>
          <w:rFonts w:hint="eastAsia" w:ascii="宋体" w:hAnsi="宋体"/>
          <w:color w:val="auto"/>
          <w:sz w:val="24"/>
          <w:highlight w:val="none"/>
          <w:u w:val="single"/>
        </w:rPr>
        <w:t xml:space="preserve">       </w:t>
      </w:r>
    </w:p>
    <w:p>
      <w:pPr>
        <w:spacing w:line="360" w:lineRule="auto"/>
        <w:ind w:firstLine="5040" w:firstLineChars="2100"/>
        <w:rPr>
          <w:rFonts w:hint="eastAsia" w:eastAsia="宋体"/>
          <w:color w:val="auto"/>
          <w:highlight w:val="none"/>
          <w:lang w:eastAsia="zh-CN"/>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u w:val="none"/>
          <w:lang w:eastAsia="zh-CN"/>
        </w:rPr>
        <w:t>日</w:t>
      </w:r>
    </w:p>
    <w:sectPr>
      <w:pgSz w:w="11906" w:h="16838"/>
      <w:pgMar w:top="1440" w:right="1800" w:bottom="1440" w:left="1800" w:header="851" w:footer="992" w:gutter="0"/>
      <w:pgNumType w:fmt="decimal"/>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auto"/>
    <w:pitch w:val="default"/>
    <w:sig w:usb0="E1002EFF" w:usb1="C000605B" w:usb2="00000029" w:usb3="00000000" w:csb0="200101FF" w:csb1="20280000"/>
  </w:font>
  <w:font w:name="Î¢ï¿½ï¿½ï¿½Åºï¿½">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jc w:val="center"/>
    </w:pPr>
  </w:p>
  <w:p>
    <w:pPr>
      <w:pStyle w:val="22"/>
      <w:tabs>
        <w:tab w:val="clear" w:pos="4153"/>
        <w:tab w:val="clear" w:pos="8306"/>
      </w:tabs>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tabs>
                              <w:tab w:val="clear" w:pos="4153"/>
                              <w:tab w:val="clear"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drTmJyQEAAJkDAAAOAAAAAAAAAAEAIAAAAB4BAABkcnMvZTJvRG9j&#10;LnhtbFBLBQYAAAAABgAGAFkBAABZBQAAAAA=&#10;">
              <v:fill on="f" focussize="0,0"/>
              <v:stroke on="f"/>
              <v:imagedata o:title=""/>
              <o:lock v:ext="edit" aspectratio="f"/>
              <v:textbox inset="0mm,0mm,0mm,0mm" style="mso-fit-shape-to-text:t;">
                <w:txbxContent>
                  <w:p>
                    <w:pPr>
                      <w:pStyle w:val="22"/>
                      <w:tabs>
                        <w:tab w:val="clear" w:pos="4153"/>
                        <w:tab w:val="clear"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p>
    <w:pPr>
      <w:pStyle w:val="22"/>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tabs>
                              <w:tab w:val="clear" w:pos="4153"/>
                              <w:tab w:val="clear"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bg0ckBAACZ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NBuDRyQEAAJkDAAAOAAAAAAAAAAEAIAAAAB4BAABkcnMvZTJvRG9j&#10;LnhtbFBLBQYAAAAABgAGAFkBAABZBQAAAAA=&#10;">
              <v:fill on="f" focussize="0,0"/>
              <v:stroke on="f"/>
              <v:imagedata o:title=""/>
              <o:lock v:ext="edit" aspectratio="f"/>
              <v:textbox inset="0mm,0mm,0mm,0mm" style="mso-fit-shape-to-text:t;">
                <w:txbxContent>
                  <w:p>
                    <w:pPr>
                      <w:pStyle w:val="22"/>
                      <w:tabs>
                        <w:tab w:val="clear" w:pos="4153"/>
                        <w:tab w:val="clear"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jc w:val="center"/>
    </w:pPr>
  </w:p>
  <w:p>
    <w:pPr>
      <w:pStyle w:val="22"/>
      <w:tabs>
        <w:tab w:val="clear" w:pos="4153"/>
        <w:tab w:val="clear" w:pos="8306"/>
      </w:tabs>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tabs>
                              <w:tab w:val="clear" w:pos="4153"/>
                              <w:tab w:val="clear"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Z09D8gBAACZ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BtKHLc48Mv3b5cfvy4/v5Jl&#10;bk8foMasx4B5abj3Ay7N7Ad0ZtWDijZ/UQ/BODb3fG2uHBIR+dF6tV5XGBIYmy+Iz56ehwjprfSW&#10;ZKOhEadXmspP7yGNqXNKrub8gzamTNC4vxyImT0scx85ZisN+2EStPftGfX0OPiGOtxzSsw7h33N&#10;OzIbcTb2s3EMUR86pLYsvCDcHROSKNxyhRF2KowTK+qm7cor8ee9ZD39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2dPQ/IAQAAmQMAAA4AAAAAAAAAAQAgAAAAHgEAAGRycy9lMm9Eb2Mu&#10;eG1sUEsFBgAAAAAGAAYAWQEAAFgFAAAAAA==&#10;">
              <v:fill on="f" focussize="0,0"/>
              <v:stroke on="f"/>
              <v:imagedata o:title=""/>
              <o:lock v:ext="edit" aspectratio="f"/>
              <v:textbox inset="0mm,0mm,0mm,0mm" style="mso-fit-shape-to-text:t;">
                <w:txbxContent>
                  <w:p>
                    <w:pPr>
                      <w:pStyle w:val="22"/>
                      <w:tabs>
                        <w:tab w:val="clear" w:pos="4153"/>
                        <w:tab w:val="clear"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tabs>
                              <w:tab w:val="clear" w:pos="4153"/>
                              <w:tab w:val="clear"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22"/>
                      <w:tabs>
                        <w:tab w:val="clear" w:pos="4153"/>
                        <w:tab w:val="clear"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p>
    <w:pPr>
      <w:pStyle w:val="22"/>
      <w:tabs>
        <w:tab w:val="clear" w:pos="4153"/>
        <w:tab w:val="clear" w:pos="8306"/>
      </w:tabs>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tabs>
                              <w:tab w:val="clear" w:pos="4153"/>
                              <w:tab w:val="clear"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BUAe8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FQB7yQEAAJkDAAAOAAAAAAAAAAEAIAAAAB4BAABkcnMvZTJvRG9j&#10;LnhtbFBLBQYAAAAABgAGAFkBAABZBQAAAAA=&#10;">
              <v:fill on="f" focussize="0,0"/>
              <v:stroke on="f"/>
              <v:imagedata o:title=""/>
              <o:lock v:ext="edit" aspectratio="f"/>
              <v:textbox inset="0mm,0mm,0mm,0mm" style="mso-fit-shape-to-text:t;">
                <w:txbxContent>
                  <w:p>
                    <w:pPr>
                      <w:pStyle w:val="22"/>
                      <w:tabs>
                        <w:tab w:val="clear" w:pos="4153"/>
                        <w:tab w:val="clear"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tabs>
                              <w:tab w:val="clear" w:pos="4153"/>
                              <w:tab w:val="clear"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6gPDMkBAACZAwAADgAAAGRycy9lMm9Eb2MueG1srVPNjtMwEL4j8Q6W&#10;79RpB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bqA8MyQEAAJkDAAAOAAAAAAAAAAEAIAAAAB4BAABkcnMvZTJvRG9j&#10;LnhtbFBLBQYAAAAABgAGAFkBAABZBQAAAAA=&#10;">
              <v:fill on="f" focussize="0,0"/>
              <v:stroke on="f"/>
              <v:imagedata o:title=""/>
              <o:lock v:ext="edit" aspectratio="f"/>
              <v:textbox inset="0mm,0mm,0mm,0mm" style="mso-fit-shape-to-text:t;">
                <w:txbxContent>
                  <w:p>
                    <w:pPr>
                      <w:pStyle w:val="22"/>
                      <w:tabs>
                        <w:tab w:val="clear" w:pos="4153"/>
                        <w:tab w:val="clear"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tabs>
        <w:tab w:val="clear" w:pos="4153"/>
        <w:tab w:val="clear" w:pos="8306"/>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7CD13"/>
    <w:multiLevelType w:val="singleLevel"/>
    <w:tmpl w:val="8067CD13"/>
    <w:lvl w:ilvl="0" w:tentative="0">
      <w:start w:val="1"/>
      <w:numFmt w:val="decimal"/>
      <w:suff w:val="nothing"/>
      <w:lvlText w:val="%1、"/>
      <w:lvlJc w:val="left"/>
    </w:lvl>
  </w:abstractNum>
  <w:abstractNum w:abstractNumId="1">
    <w:nsid w:val="88A33F71"/>
    <w:multiLevelType w:val="singleLevel"/>
    <w:tmpl w:val="88A33F71"/>
    <w:lvl w:ilvl="0" w:tentative="0">
      <w:start w:val="1"/>
      <w:numFmt w:val="decimal"/>
      <w:suff w:val="nothing"/>
      <w:lvlText w:val="%1、"/>
      <w:lvlJc w:val="left"/>
    </w:lvl>
  </w:abstractNum>
  <w:abstractNum w:abstractNumId="2">
    <w:nsid w:val="A2B491D3"/>
    <w:multiLevelType w:val="singleLevel"/>
    <w:tmpl w:val="A2B491D3"/>
    <w:lvl w:ilvl="0" w:tentative="0">
      <w:start w:val="1"/>
      <w:numFmt w:val="decimal"/>
      <w:suff w:val="nothing"/>
      <w:lvlText w:val="%1、"/>
      <w:lvlJc w:val="left"/>
    </w:lvl>
  </w:abstractNum>
  <w:abstractNum w:abstractNumId="3">
    <w:nsid w:val="B88BC1D4"/>
    <w:multiLevelType w:val="singleLevel"/>
    <w:tmpl w:val="B88BC1D4"/>
    <w:lvl w:ilvl="0" w:tentative="0">
      <w:start w:val="1"/>
      <w:numFmt w:val="decimal"/>
      <w:suff w:val="nothing"/>
      <w:lvlText w:val="%1、"/>
      <w:lvlJc w:val="left"/>
    </w:lvl>
  </w:abstractNum>
  <w:abstractNum w:abstractNumId="4">
    <w:nsid w:val="B9340A82"/>
    <w:multiLevelType w:val="singleLevel"/>
    <w:tmpl w:val="B9340A82"/>
    <w:lvl w:ilvl="0" w:tentative="0">
      <w:start w:val="10"/>
      <w:numFmt w:val="decimal"/>
      <w:suff w:val="nothing"/>
      <w:lvlText w:val="（%1）"/>
      <w:lvlJc w:val="left"/>
    </w:lvl>
  </w:abstractNum>
  <w:abstractNum w:abstractNumId="5">
    <w:nsid w:val="E58AB5BB"/>
    <w:multiLevelType w:val="singleLevel"/>
    <w:tmpl w:val="E58AB5BB"/>
    <w:lvl w:ilvl="0" w:tentative="0">
      <w:start w:val="1"/>
      <w:numFmt w:val="decimal"/>
      <w:suff w:val="nothing"/>
      <w:lvlText w:val="%1、"/>
      <w:lvlJc w:val="left"/>
    </w:lvl>
  </w:abstractNum>
  <w:abstractNum w:abstractNumId="6">
    <w:nsid w:val="E67BB0B9"/>
    <w:multiLevelType w:val="singleLevel"/>
    <w:tmpl w:val="E67BB0B9"/>
    <w:lvl w:ilvl="0" w:tentative="0">
      <w:start w:val="1"/>
      <w:numFmt w:val="decimal"/>
      <w:suff w:val="nothing"/>
      <w:lvlText w:val="%1、"/>
      <w:lvlJc w:val="left"/>
    </w:lvl>
  </w:abstractNum>
  <w:abstractNum w:abstractNumId="7">
    <w:nsid w:val="EA4CC9AE"/>
    <w:multiLevelType w:val="singleLevel"/>
    <w:tmpl w:val="EA4CC9AE"/>
    <w:lvl w:ilvl="0" w:tentative="0">
      <w:start w:val="1"/>
      <w:numFmt w:val="chineseCounting"/>
      <w:suff w:val="nothing"/>
      <w:lvlText w:val="（%1）"/>
      <w:lvlJc w:val="left"/>
      <w:rPr>
        <w:rFonts w:hint="eastAsia"/>
      </w:rPr>
    </w:lvl>
  </w:abstractNum>
  <w:abstractNum w:abstractNumId="8">
    <w:nsid w:val="F05270B7"/>
    <w:multiLevelType w:val="singleLevel"/>
    <w:tmpl w:val="F05270B7"/>
    <w:lvl w:ilvl="0" w:tentative="0">
      <w:start w:val="1"/>
      <w:numFmt w:val="decimal"/>
      <w:suff w:val="nothing"/>
      <w:lvlText w:val="%1、"/>
      <w:lvlJc w:val="left"/>
    </w:lvl>
  </w:abstractNum>
  <w:abstractNum w:abstractNumId="9">
    <w:nsid w:val="F06E60AA"/>
    <w:multiLevelType w:val="singleLevel"/>
    <w:tmpl w:val="F06E60AA"/>
    <w:lvl w:ilvl="0" w:tentative="0">
      <w:start w:val="1"/>
      <w:numFmt w:val="decimal"/>
      <w:suff w:val="nothing"/>
      <w:lvlText w:val="%1、"/>
      <w:lvlJc w:val="left"/>
    </w:lvl>
  </w:abstractNum>
  <w:abstractNum w:abstractNumId="10">
    <w:nsid w:val="00000003"/>
    <w:multiLevelType w:val="singleLevel"/>
    <w:tmpl w:val="00000003"/>
    <w:lvl w:ilvl="0" w:tentative="0">
      <w:start w:val="2"/>
      <w:numFmt w:val="decimal"/>
      <w:suff w:val="space"/>
      <w:lvlText w:val="（%1）"/>
      <w:lvlJc w:val="left"/>
    </w:lvl>
  </w:abstractNum>
  <w:abstractNum w:abstractNumId="11">
    <w:nsid w:val="0A4FBA15"/>
    <w:multiLevelType w:val="singleLevel"/>
    <w:tmpl w:val="0A4FBA15"/>
    <w:lvl w:ilvl="0" w:tentative="0">
      <w:start w:val="1"/>
      <w:numFmt w:val="decimal"/>
      <w:suff w:val="nothing"/>
      <w:lvlText w:val="%1、"/>
      <w:lvlJc w:val="left"/>
    </w:lvl>
  </w:abstractNum>
  <w:abstractNum w:abstractNumId="12">
    <w:nsid w:val="0D42F437"/>
    <w:multiLevelType w:val="singleLevel"/>
    <w:tmpl w:val="0D42F437"/>
    <w:lvl w:ilvl="0" w:tentative="0">
      <w:start w:val="1"/>
      <w:numFmt w:val="decimal"/>
      <w:suff w:val="nothing"/>
      <w:lvlText w:val="%1、"/>
      <w:lvlJc w:val="left"/>
    </w:lvl>
  </w:abstractNum>
  <w:abstractNum w:abstractNumId="13">
    <w:nsid w:val="0E170967"/>
    <w:multiLevelType w:val="singleLevel"/>
    <w:tmpl w:val="0E170967"/>
    <w:lvl w:ilvl="0" w:tentative="0">
      <w:start w:val="1"/>
      <w:numFmt w:val="decimal"/>
      <w:lvlText w:val="(%1)"/>
      <w:lvlJc w:val="left"/>
      <w:pPr>
        <w:tabs>
          <w:tab w:val="left" w:pos="312"/>
        </w:tabs>
      </w:pPr>
    </w:lvl>
  </w:abstractNum>
  <w:abstractNum w:abstractNumId="14">
    <w:nsid w:val="1B19F2D0"/>
    <w:multiLevelType w:val="singleLevel"/>
    <w:tmpl w:val="1B19F2D0"/>
    <w:lvl w:ilvl="0" w:tentative="0">
      <w:start w:val="1"/>
      <w:numFmt w:val="decimal"/>
      <w:suff w:val="nothing"/>
      <w:lvlText w:val="%1、"/>
      <w:lvlJc w:val="left"/>
    </w:lvl>
  </w:abstractNum>
  <w:abstractNum w:abstractNumId="15">
    <w:nsid w:val="347CED5E"/>
    <w:multiLevelType w:val="singleLevel"/>
    <w:tmpl w:val="347CED5E"/>
    <w:lvl w:ilvl="0" w:tentative="0">
      <w:start w:val="1"/>
      <w:numFmt w:val="decimal"/>
      <w:suff w:val="nothing"/>
      <w:lvlText w:val="（%1）"/>
      <w:lvlJc w:val="left"/>
    </w:lvl>
  </w:abstractNum>
  <w:abstractNum w:abstractNumId="16">
    <w:nsid w:val="52698757"/>
    <w:multiLevelType w:val="singleLevel"/>
    <w:tmpl w:val="52698757"/>
    <w:lvl w:ilvl="0" w:tentative="0">
      <w:start w:val="1"/>
      <w:numFmt w:val="decimal"/>
      <w:suff w:val="nothing"/>
      <w:lvlText w:val="%1、"/>
      <w:lvlJc w:val="left"/>
    </w:lvl>
  </w:abstractNum>
  <w:abstractNum w:abstractNumId="17">
    <w:nsid w:val="55707949"/>
    <w:multiLevelType w:val="singleLevel"/>
    <w:tmpl w:val="55707949"/>
    <w:lvl w:ilvl="0" w:tentative="0">
      <w:start w:val="1"/>
      <w:numFmt w:val="chineseCounting"/>
      <w:suff w:val="nothing"/>
      <w:lvlText w:val="（%1）"/>
      <w:lvlJc w:val="left"/>
      <w:rPr>
        <w:rFonts w:hint="eastAsia"/>
      </w:rPr>
    </w:lvl>
  </w:abstractNum>
  <w:abstractNum w:abstractNumId="18">
    <w:nsid w:val="5BED85E0"/>
    <w:multiLevelType w:val="singleLevel"/>
    <w:tmpl w:val="5BED85E0"/>
    <w:lvl w:ilvl="0" w:tentative="0">
      <w:start w:val="1"/>
      <w:numFmt w:val="decimal"/>
      <w:suff w:val="nothing"/>
      <w:lvlText w:val="%1、"/>
      <w:lvlJc w:val="left"/>
    </w:lvl>
  </w:abstractNum>
  <w:abstractNum w:abstractNumId="19">
    <w:nsid w:val="7214D18C"/>
    <w:multiLevelType w:val="singleLevel"/>
    <w:tmpl w:val="7214D18C"/>
    <w:lvl w:ilvl="0" w:tentative="0">
      <w:start w:val="1"/>
      <w:numFmt w:val="decimal"/>
      <w:suff w:val="nothing"/>
      <w:lvlText w:val="%1、"/>
      <w:lvlJc w:val="left"/>
    </w:lvl>
  </w:abstractNum>
  <w:abstractNum w:abstractNumId="20">
    <w:nsid w:val="75B6008A"/>
    <w:multiLevelType w:val="singleLevel"/>
    <w:tmpl w:val="75B6008A"/>
    <w:lvl w:ilvl="0" w:tentative="0">
      <w:start w:val="1"/>
      <w:numFmt w:val="decimal"/>
      <w:suff w:val="nothing"/>
      <w:lvlText w:val="%1、"/>
      <w:lvlJc w:val="left"/>
    </w:lvl>
  </w:abstractNum>
  <w:abstractNum w:abstractNumId="21">
    <w:nsid w:val="79000B23"/>
    <w:multiLevelType w:val="singleLevel"/>
    <w:tmpl w:val="79000B23"/>
    <w:lvl w:ilvl="0" w:tentative="0">
      <w:start w:val="1"/>
      <w:numFmt w:val="decimal"/>
      <w:lvlText w:val="(%1)"/>
      <w:lvlJc w:val="left"/>
      <w:pPr>
        <w:tabs>
          <w:tab w:val="left" w:pos="312"/>
        </w:tabs>
      </w:pPr>
    </w:lvl>
  </w:abstractNum>
  <w:abstractNum w:abstractNumId="22">
    <w:nsid w:val="7FE6B8D1"/>
    <w:multiLevelType w:val="singleLevel"/>
    <w:tmpl w:val="7FE6B8D1"/>
    <w:lvl w:ilvl="0" w:tentative="0">
      <w:start w:val="1"/>
      <w:numFmt w:val="chineseCounting"/>
      <w:suff w:val="nothing"/>
      <w:lvlText w:val="%1、"/>
      <w:lvlJc w:val="left"/>
      <w:rPr>
        <w:rFonts w:hint="eastAsia"/>
      </w:rPr>
    </w:lvl>
  </w:abstractNum>
  <w:num w:numId="1">
    <w:abstractNumId w:val="10"/>
  </w:num>
  <w:num w:numId="2">
    <w:abstractNumId w:val="15"/>
  </w:num>
  <w:num w:numId="3">
    <w:abstractNumId w:val="22"/>
  </w:num>
  <w:num w:numId="4">
    <w:abstractNumId w:val="17"/>
  </w:num>
  <w:num w:numId="5">
    <w:abstractNumId w:val="7"/>
  </w:num>
  <w:num w:numId="6">
    <w:abstractNumId w:val="0"/>
  </w:num>
  <w:num w:numId="7">
    <w:abstractNumId w:val="18"/>
  </w:num>
  <w:num w:numId="8">
    <w:abstractNumId w:val="11"/>
  </w:num>
  <w:num w:numId="9">
    <w:abstractNumId w:val="12"/>
  </w:num>
  <w:num w:numId="10">
    <w:abstractNumId w:val="8"/>
  </w:num>
  <w:num w:numId="11">
    <w:abstractNumId w:val="1"/>
  </w:num>
  <w:num w:numId="12">
    <w:abstractNumId w:val="9"/>
  </w:num>
  <w:num w:numId="13">
    <w:abstractNumId w:val="21"/>
  </w:num>
  <w:num w:numId="14">
    <w:abstractNumId w:val="4"/>
  </w:num>
  <w:num w:numId="15">
    <w:abstractNumId w:val="14"/>
  </w:num>
  <w:num w:numId="16">
    <w:abstractNumId w:val="19"/>
  </w:num>
  <w:num w:numId="17">
    <w:abstractNumId w:val="2"/>
  </w:num>
  <w:num w:numId="18">
    <w:abstractNumId w:val="20"/>
  </w:num>
  <w:num w:numId="19">
    <w:abstractNumId w:val="3"/>
  </w:num>
  <w:num w:numId="20">
    <w:abstractNumId w:val="5"/>
  </w:num>
  <w:num w:numId="21">
    <w:abstractNumId w:val="16"/>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evenAndOddHeaders w:val="1"/>
  <w:drawingGridHorizontalSpacing w:val="105"/>
  <w:drawingGridVerticalSpacing w:val="156"/>
  <w:doNotShadeFormData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mMGI2N2ZkNGU4ZWVlOWYwY2I1Y2Y4ZGFkZmIyODIifQ=="/>
  </w:docVars>
  <w:rsids>
    <w:rsidRoot w:val="00172A27"/>
    <w:rsid w:val="00595407"/>
    <w:rsid w:val="00A479B4"/>
    <w:rsid w:val="00DC783C"/>
    <w:rsid w:val="010D7F55"/>
    <w:rsid w:val="011F016F"/>
    <w:rsid w:val="016061F0"/>
    <w:rsid w:val="02527310"/>
    <w:rsid w:val="039C1DD9"/>
    <w:rsid w:val="03C917F5"/>
    <w:rsid w:val="04314D62"/>
    <w:rsid w:val="04B50862"/>
    <w:rsid w:val="04DA5CBE"/>
    <w:rsid w:val="052F13C5"/>
    <w:rsid w:val="055A592D"/>
    <w:rsid w:val="0576635C"/>
    <w:rsid w:val="05831144"/>
    <w:rsid w:val="05F30D8B"/>
    <w:rsid w:val="064535E9"/>
    <w:rsid w:val="06937469"/>
    <w:rsid w:val="07891B2F"/>
    <w:rsid w:val="07E428A9"/>
    <w:rsid w:val="085371E5"/>
    <w:rsid w:val="08A03ADE"/>
    <w:rsid w:val="08BE6FAD"/>
    <w:rsid w:val="08ED587E"/>
    <w:rsid w:val="095B6DBF"/>
    <w:rsid w:val="0A11464B"/>
    <w:rsid w:val="0B4017DC"/>
    <w:rsid w:val="0B6B7DC6"/>
    <w:rsid w:val="0BF20B7B"/>
    <w:rsid w:val="0C3D63D5"/>
    <w:rsid w:val="0D080E0F"/>
    <w:rsid w:val="0D0A78C0"/>
    <w:rsid w:val="0D12272C"/>
    <w:rsid w:val="0D320378"/>
    <w:rsid w:val="0D701EFB"/>
    <w:rsid w:val="0DEC6367"/>
    <w:rsid w:val="0E0C3EDA"/>
    <w:rsid w:val="0E436BB5"/>
    <w:rsid w:val="0E8F7F63"/>
    <w:rsid w:val="0E963189"/>
    <w:rsid w:val="0F6968B2"/>
    <w:rsid w:val="100E7B88"/>
    <w:rsid w:val="10697FBE"/>
    <w:rsid w:val="108D6E96"/>
    <w:rsid w:val="115F4B57"/>
    <w:rsid w:val="12EC0972"/>
    <w:rsid w:val="12F10338"/>
    <w:rsid w:val="12FF3BAB"/>
    <w:rsid w:val="1363140F"/>
    <w:rsid w:val="13760ED7"/>
    <w:rsid w:val="139B530F"/>
    <w:rsid w:val="14750647"/>
    <w:rsid w:val="14B66426"/>
    <w:rsid w:val="154B09FD"/>
    <w:rsid w:val="16DB642A"/>
    <w:rsid w:val="173004B5"/>
    <w:rsid w:val="18047FE5"/>
    <w:rsid w:val="1836541A"/>
    <w:rsid w:val="18BC02B5"/>
    <w:rsid w:val="19672E37"/>
    <w:rsid w:val="19CF55D0"/>
    <w:rsid w:val="1A1B4E0C"/>
    <w:rsid w:val="1B176BF0"/>
    <w:rsid w:val="1B8575AD"/>
    <w:rsid w:val="1B950268"/>
    <w:rsid w:val="1BD259C0"/>
    <w:rsid w:val="1C636A9B"/>
    <w:rsid w:val="1CF05A12"/>
    <w:rsid w:val="1CF738CA"/>
    <w:rsid w:val="1D5E7F85"/>
    <w:rsid w:val="1D904605"/>
    <w:rsid w:val="1DA172B6"/>
    <w:rsid w:val="1DF46F56"/>
    <w:rsid w:val="1E2C3365"/>
    <w:rsid w:val="1EB61656"/>
    <w:rsid w:val="1EFD6CF2"/>
    <w:rsid w:val="1F0209A8"/>
    <w:rsid w:val="1F05716C"/>
    <w:rsid w:val="1F3E3AB7"/>
    <w:rsid w:val="1F9651CF"/>
    <w:rsid w:val="1FA64AC2"/>
    <w:rsid w:val="1FAB0B9F"/>
    <w:rsid w:val="1FBF242E"/>
    <w:rsid w:val="1FC02B8A"/>
    <w:rsid w:val="209B0EED"/>
    <w:rsid w:val="20BB208F"/>
    <w:rsid w:val="20C97614"/>
    <w:rsid w:val="20D86D8C"/>
    <w:rsid w:val="2112117F"/>
    <w:rsid w:val="2143222B"/>
    <w:rsid w:val="215D5D37"/>
    <w:rsid w:val="21724795"/>
    <w:rsid w:val="21CE01B1"/>
    <w:rsid w:val="21CE369D"/>
    <w:rsid w:val="21D86C8C"/>
    <w:rsid w:val="2221720C"/>
    <w:rsid w:val="224E2468"/>
    <w:rsid w:val="22727CF7"/>
    <w:rsid w:val="22986FAD"/>
    <w:rsid w:val="230E548C"/>
    <w:rsid w:val="23155C33"/>
    <w:rsid w:val="23B06077"/>
    <w:rsid w:val="23D8195D"/>
    <w:rsid w:val="242A7E13"/>
    <w:rsid w:val="24602546"/>
    <w:rsid w:val="24623FF9"/>
    <w:rsid w:val="24E1484E"/>
    <w:rsid w:val="24ED2B2A"/>
    <w:rsid w:val="250D5E6F"/>
    <w:rsid w:val="25330830"/>
    <w:rsid w:val="260F0E36"/>
    <w:rsid w:val="263E7C54"/>
    <w:rsid w:val="26815B29"/>
    <w:rsid w:val="26930183"/>
    <w:rsid w:val="26CE31D6"/>
    <w:rsid w:val="27286E69"/>
    <w:rsid w:val="276814F6"/>
    <w:rsid w:val="27B050F5"/>
    <w:rsid w:val="283B3B4E"/>
    <w:rsid w:val="28572CEB"/>
    <w:rsid w:val="288451DA"/>
    <w:rsid w:val="28DB55B4"/>
    <w:rsid w:val="29907688"/>
    <w:rsid w:val="29B83355"/>
    <w:rsid w:val="29C36237"/>
    <w:rsid w:val="29E62048"/>
    <w:rsid w:val="2A1E24AA"/>
    <w:rsid w:val="2A493060"/>
    <w:rsid w:val="2AA80074"/>
    <w:rsid w:val="2B03380E"/>
    <w:rsid w:val="2B5F6530"/>
    <w:rsid w:val="2BAA2014"/>
    <w:rsid w:val="2BF1733D"/>
    <w:rsid w:val="2C2510FA"/>
    <w:rsid w:val="2C396053"/>
    <w:rsid w:val="2D080E81"/>
    <w:rsid w:val="2D0B40AC"/>
    <w:rsid w:val="2DDB5D48"/>
    <w:rsid w:val="2DF84A69"/>
    <w:rsid w:val="2EC9378E"/>
    <w:rsid w:val="2ED137ED"/>
    <w:rsid w:val="2F1F2C14"/>
    <w:rsid w:val="2F6B0E6B"/>
    <w:rsid w:val="2FCC6F2B"/>
    <w:rsid w:val="30161818"/>
    <w:rsid w:val="30924A23"/>
    <w:rsid w:val="30DC11E3"/>
    <w:rsid w:val="313735D0"/>
    <w:rsid w:val="316D4B4A"/>
    <w:rsid w:val="31D4671E"/>
    <w:rsid w:val="3237465A"/>
    <w:rsid w:val="327E4ECD"/>
    <w:rsid w:val="33E36A21"/>
    <w:rsid w:val="346C62C9"/>
    <w:rsid w:val="34AD5CE3"/>
    <w:rsid w:val="34BA249A"/>
    <w:rsid w:val="34CA346D"/>
    <w:rsid w:val="34EC52BF"/>
    <w:rsid w:val="34EE5CA1"/>
    <w:rsid w:val="35523A2F"/>
    <w:rsid w:val="35E2396B"/>
    <w:rsid w:val="35FA6B3B"/>
    <w:rsid w:val="36067E79"/>
    <w:rsid w:val="36B95B65"/>
    <w:rsid w:val="377D1051"/>
    <w:rsid w:val="37BD1B49"/>
    <w:rsid w:val="37F33362"/>
    <w:rsid w:val="3804341B"/>
    <w:rsid w:val="38695DE0"/>
    <w:rsid w:val="38737116"/>
    <w:rsid w:val="38934237"/>
    <w:rsid w:val="38D83081"/>
    <w:rsid w:val="399D6489"/>
    <w:rsid w:val="39D006F1"/>
    <w:rsid w:val="39D4367F"/>
    <w:rsid w:val="3B126AFC"/>
    <w:rsid w:val="3B245E6D"/>
    <w:rsid w:val="3B2A0900"/>
    <w:rsid w:val="3B3876F2"/>
    <w:rsid w:val="3B671EE2"/>
    <w:rsid w:val="3CD609B4"/>
    <w:rsid w:val="3DB71E53"/>
    <w:rsid w:val="3DC4358F"/>
    <w:rsid w:val="3E172ECC"/>
    <w:rsid w:val="3E4B3592"/>
    <w:rsid w:val="3EA66C2F"/>
    <w:rsid w:val="3EB06DE1"/>
    <w:rsid w:val="3F6536C8"/>
    <w:rsid w:val="3F9A7759"/>
    <w:rsid w:val="3FBD20F7"/>
    <w:rsid w:val="3FFF2440"/>
    <w:rsid w:val="40227051"/>
    <w:rsid w:val="40B57A47"/>
    <w:rsid w:val="414E1911"/>
    <w:rsid w:val="41941D94"/>
    <w:rsid w:val="421A0A70"/>
    <w:rsid w:val="426E77B8"/>
    <w:rsid w:val="427D45D1"/>
    <w:rsid w:val="42830F3C"/>
    <w:rsid w:val="435330F3"/>
    <w:rsid w:val="435E369F"/>
    <w:rsid w:val="437B6C14"/>
    <w:rsid w:val="43A70AB5"/>
    <w:rsid w:val="43EC216A"/>
    <w:rsid w:val="445A3898"/>
    <w:rsid w:val="44F22FBB"/>
    <w:rsid w:val="453F5820"/>
    <w:rsid w:val="4590654D"/>
    <w:rsid w:val="466C3161"/>
    <w:rsid w:val="47375149"/>
    <w:rsid w:val="474F3E85"/>
    <w:rsid w:val="47690579"/>
    <w:rsid w:val="47E0306A"/>
    <w:rsid w:val="487E4AE0"/>
    <w:rsid w:val="48A25B63"/>
    <w:rsid w:val="48E02BFB"/>
    <w:rsid w:val="4956004E"/>
    <w:rsid w:val="49D16F7C"/>
    <w:rsid w:val="49DA555E"/>
    <w:rsid w:val="4A184657"/>
    <w:rsid w:val="4A356336"/>
    <w:rsid w:val="4A621C58"/>
    <w:rsid w:val="4AE378AA"/>
    <w:rsid w:val="4B3F1846"/>
    <w:rsid w:val="4B7775F4"/>
    <w:rsid w:val="4C6F6CC1"/>
    <w:rsid w:val="4DC51800"/>
    <w:rsid w:val="4EDC20A1"/>
    <w:rsid w:val="4F26746D"/>
    <w:rsid w:val="4F43492C"/>
    <w:rsid w:val="4F764432"/>
    <w:rsid w:val="4FA76542"/>
    <w:rsid w:val="50280495"/>
    <w:rsid w:val="50433432"/>
    <w:rsid w:val="506369BC"/>
    <w:rsid w:val="509B3BC7"/>
    <w:rsid w:val="51CC578F"/>
    <w:rsid w:val="51ED2437"/>
    <w:rsid w:val="520B7BD1"/>
    <w:rsid w:val="52442A17"/>
    <w:rsid w:val="529A75FE"/>
    <w:rsid w:val="52F31B39"/>
    <w:rsid w:val="53331BED"/>
    <w:rsid w:val="535C50B3"/>
    <w:rsid w:val="536252A3"/>
    <w:rsid w:val="53D849A4"/>
    <w:rsid w:val="53DE045B"/>
    <w:rsid w:val="54492D60"/>
    <w:rsid w:val="54AA0BCD"/>
    <w:rsid w:val="551A5E90"/>
    <w:rsid w:val="554E3312"/>
    <w:rsid w:val="555B0FAE"/>
    <w:rsid w:val="56423AB3"/>
    <w:rsid w:val="56A413BC"/>
    <w:rsid w:val="570D3F5A"/>
    <w:rsid w:val="573B6CD5"/>
    <w:rsid w:val="576C4C4A"/>
    <w:rsid w:val="57E109A4"/>
    <w:rsid w:val="58473C44"/>
    <w:rsid w:val="59035D8C"/>
    <w:rsid w:val="59847DB8"/>
    <w:rsid w:val="59B27B6C"/>
    <w:rsid w:val="5A2B3574"/>
    <w:rsid w:val="5AB66214"/>
    <w:rsid w:val="5ACC206E"/>
    <w:rsid w:val="5B4C11F5"/>
    <w:rsid w:val="5BFA7F7F"/>
    <w:rsid w:val="5BFC51AC"/>
    <w:rsid w:val="5C760D1B"/>
    <w:rsid w:val="5CB7397A"/>
    <w:rsid w:val="5D177406"/>
    <w:rsid w:val="5D1B02D3"/>
    <w:rsid w:val="5D8152CF"/>
    <w:rsid w:val="5D890AD6"/>
    <w:rsid w:val="5E0C5A24"/>
    <w:rsid w:val="5E522985"/>
    <w:rsid w:val="5EC0617A"/>
    <w:rsid w:val="5ED003C9"/>
    <w:rsid w:val="5FE97A0E"/>
    <w:rsid w:val="6006367E"/>
    <w:rsid w:val="602D6664"/>
    <w:rsid w:val="60B956F4"/>
    <w:rsid w:val="612E74B6"/>
    <w:rsid w:val="61825F1A"/>
    <w:rsid w:val="61A96463"/>
    <w:rsid w:val="61BF5EAF"/>
    <w:rsid w:val="61F96922"/>
    <w:rsid w:val="622B104A"/>
    <w:rsid w:val="629929C1"/>
    <w:rsid w:val="632A6055"/>
    <w:rsid w:val="63603D00"/>
    <w:rsid w:val="63B67FED"/>
    <w:rsid w:val="63ED7DB3"/>
    <w:rsid w:val="641D2CF4"/>
    <w:rsid w:val="64254F1B"/>
    <w:rsid w:val="64E97C1A"/>
    <w:rsid w:val="6591190E"/>
    <w:rsid w:val="661E60E8"/>
    <w:rsid w:val="664906DA"/>
    <w:rsid w:val="6649475F"/>
    <w:rsid w:val="66980C7B"/>
    <w:rsid w:val="66F12E74"/>
    <w:rsid w:val="67250043"/>
    <w:rsid w:val="67A049C0"/>
    <w:rsid w:val="67FF059E"/>
    <w:rsid w:val="686D1279"/>
    <w:rsid w:val="68D30CF9"/>
    <w:rsid w:val="695552AD"/>
    <w:rsid w:val="69724A75"/>
    <w:rsid w:val="69C3746F"/>
    <w:rsid w:val="6A25751A"/>
    <w:rsid w:val="6A3520DF"/>
    <w:rsid w:val="6ABD755E"/>
    <w:rsid w:val="6B3B73FD"/>
    <w:rsid w:val="6B3E2A5A"/>
    <w:rsid w:val="6B6542BF"/>
    <w:rsid w:val="6BCE7AD3"/>
    <w:rsid w:val="6BD1493F"/>
    <w:rsid w:val="6BE5003E"/>
    <w:rsid w:val="6BFB116B"/>
    <w:rsid w:val="6CA31BC6"/>
    <w:rsid w:val="6CBB2243"/>
    <w:rsid w:val="6D001F2C"/>
    <w:rsid w:val="6D533F83"/>
    <w:rsid w:val="6E7C0060"/>
    <w:rsid w:val="6E8C16B3"/>
    <w:rsid w:val="6EF531E4"/>
    <w:rsid w:val="6F0F30BC"/>
    <w:rsid w:val="6FC20EEA"/>
    <w:rsid w:val="6FF7166A"/>
    <w:rsid w:val="718117A3"/>
    <w:rsid w:val="718A09CA"/>
    <w:rsid w:val="71962A09"/>
    <w:rsid w:val="71B63A44"/>
    <w:rsid w:val="722D0D5C"/>
    <w:rsid w:val="726A7902"/>
    <w:rsid w:val="72AF3B08"/>
    <w:rsid w:val="72B17CD2"/>
    <w:rsid w:val="736304E2"/>
    <w:rsid w:val="737D17E4"/>
    <w:rsid w:val="74093BCE"/>
    <w:rsid w:val="748853AE"/>
    <w:rsid w:val="74DF37A2"/>
    <w:rsid w:val="75243DF1"/>
    <w:rsid w:val="7551699B"/>
    <w:rsid w:val="75546CBD"/>
    <w:rsid w:val="75800E37"/>
    <w:rsid w:val="75D065F7"/>
    <w:rsid w:val="75D95EBF"/>
    <w:rsid w:val="76122456"/>
    <w:rsid w:val="7653713E"/>
    <w:rsid w:val="76E7613B"/>
    <w:rsid w:val="775F3386"/>
    <w:rsid w:val="7784620D"/>
    <w:rsid w:val="77CE72BC"/>
    <w:rsid w:val="77D251BE"/>
    <w:rsid w:val="78632C12"/>
    <w:rsid w:val="78A7610E"/>
    <w:rsid w:val="79BE3E18"/>
    <w:rsid w:val="7A18481B"/>
    <w:rsid w:val="7A216167"/>
    <w:rsid w:val="7A414FE9"/>
    <w:rsid w:val="7A610154"/>
    <w:rsid w:val="7AB73A9F"/>
    <w:rsid w:val="7C3D339C"/>
    <w:rsid w:val="7C5F2A31"/>
    <w:rsid w:val="7C8A6431"/>
    <w:rsid w:val="7D2833F2"/>
    <w:rsid w:val="7D977FB3"/>
    <w:rsid w:val="7E2221A4"/>
    <w:rsid w:val="7E910BAF"/>
    <w:rsid w:val="7EFD62A1"/>
    <w:rsid w:val="7F0E7C9F"/>
    <w:rsid w:val="7F386F3A"/>
    <w:rsid w:val="7F537E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Calibri" w:cs="Times New Roman"/>
      <w:kern w:val="2"/>
      <w:sz w:val="21"/>
      <w:szCs w:val="22"/>
      <w:lang w:val="en-US" w:eastAsia="zh-CN" w:bidi="ar-SA"/>
    </w:rPr>
  </w:style>
  <w:style w:type="paragraph" w:styleId="3">
    <w:name w:val="heading 1"/>
    <w:basedOn w:val="1"/>
    <w:next w:val="1"/>
    <w:link w:val="42"/>
    <w:qFormat/>
    <w:uiPriority w:val="0"/>
    <w:pPr>
      <w:keepNext/>
      <w:keepLines/>
      <w:spacing w:before="340" w:beforeLines="0" w:after="330" w:afterLines="0" w:line="576" w:lineRule="auto"/>
      <w:outlineLvl w:val="0"/>
    </w:pPr>
    <w:rPr>
      <w:rFonts w:ascii="Calibri" w:hAnsi="Calibri" w:eastAsia="Calibri" w:cs="Times New Roman"/>
      <w:b/>
      <w:bCs/>
      <w:kern w:val="44"/>
      <w:sz w:val="44"/>
      <w:szCs w:val="44"/>
    </w:rPr>
  </w:style>
  <w:style w:type="paragraph" w:styleId="4">
    <w:name w:val="heading 2"/>
    <w:basedOn w:val="1"/>
    <w:next w:val="1"/>
    <w:link w:val="43"/>
    <w:qFormat/>
    <w:uiPriority w:val="0"/>
    <w:pPr>
      <w:keepNext/>
      <w:keepLines/>
      <w:spacing w:before="260" w:beforeLines="0" w:after="260" w:afterLines="0" w:line="413" w:lineRule="auto"/>
      <w:outlineLvl w:val="1"/>
    </w:pPr>
    <w:rPr>
      <w:rFonts w:ascii="Cambria" w:hAnsi="Cambria" w:eastAsia="宋体" w:cs="Times New Roman"/>
      <w:b/>
      <w:bCs/>
      <w:sz w:val="32"/>
      <w:szCs w:val="32"/>
    </w:rPr>
  </w:style>
  <w:style w:type="paragraph" w:styleId="2">
    <w:name w:val="heading 3"/>
    <w:basedOn w:val="1"/>
    <w:next w:val="1"/>
    <w:link w:val="41"/>
    <w:uiPriority w:val="0"/>
    <w:pPr>
      <w:keepNext/>
      <w:keepLines/>
      <w:spacing w:before="260" w:beforeLines="0" w:after="260" w:afterLines="0" w:line="413" w:lineRule="auto"/>
      <w:outlineLvl w:val="2"/>
    </w:pPr>
    <w:rPr>
      <w:rFonts w:ascii="Calibri" w:hAnsi="Calibri" w:eastAsia="Calibri" w:cs="Times New Roman"/>
      <w:b/>
      <w:bCs/>
      <w:sz w:val="32"/>
      <w:szCs w:val="32"/>
    </w:rPr>
  </w:style>
  <w:style w:type="paragraph" w:styleId="5">
    <w:name w:val="heading 4"/>
    <w:basedOn w:val="1"/>
    <w:next w:val="1"/>
    <w:link w:val="44"/>
    <w:qFormat/>
    <w:uiPriority w:val="0"/>
    <w:pPr>
      <w:keepNext/>
      <w:keepLines/>
      <w:spacing w:before="280" w:beforeLines="0" w:after="290" w:afterLines="0" w:line="372" w:lineRule="auto"/>
      <w:outlineLvl w:val="3"/>
    </w:pPr>
    <w:rPr>
      <w:rFonts w:ascii="Cambria" w:hAnsi="Cambria" w:eastAsia="宋体" w:cs="Times New Roman"/>
      <w:b/>
      <w:bCs/>
      <w:sz w:val="28"/>
      <w:szCs w:val="28"/>
    </w:rPr>
  </w:style>
  <w:style w:type="paragraph" w:styleId="6">
    <w:name w:val="heading 5"/>
    <w:basedOn w:val="1"/>
    <w:next w:val="1"/>
    <w:link w:val="45"/>
    <w:qFormat/>
    <w:uiPriority w:val="0"/>
    <w:pPr>
      <w:keepNext/>
      <w:keepLines/>
      <w:spacing w:before="280" w:beforeLines="0" w:after="290" w:afterLines="0" w:line="372" w:lineRule="auto"/>
      <w:outlineLvl w:val="4"/>
    </w:pPr>
    <w:rPr>
      <w:rFonts w:ascii="Calibri" w:hAnsi="Calibri" w:eastAsia="Calibri" w:cs="Times New Roman"/>
      <w:b/>
      <w:bCs/>
      <w:sz w:val="28"/>
      <w:szCs w:val="28"/>
    </w:rPr>
  </w:style>
  <w:style w:type="paragraph" w:styleId="7">
    <w:name w:val="heading 6"/>
    <w:basedOn w:val="1"/>
    <w:next w:val="1"/>
    <w:link w:val="46"/>
    <w:qFormat/>
    <w:uiPriority w:val="0"/>
    <w:pPr>
      <w:keepNext/>
      <w:keepLines/>
      <w:spacing w:before="240" w:beforeLines="0" w:after="64" w:afterLines="0" w:line="317" w:lineRule="auto"/>
      <w:outlineLvl w:val="5"/>
    </w:pPr>
    <w:rPr>
      <w:rFonts w:ascii="Cambria" w:hAnsi="Cambria" w:eastAsia="宋体" w:cs="Times New Roman"/>
      <w:b/>
      <w:bCs/>
      <w:sz w:val="24"/>
      <w:szCs w:val="24"/>
    </w:rPr>
  </w:style>
  <w:style w:type="paragraph" w:styleId="8">
    <w:name w:val="heading 7"/>
    <w:basedOn w:val="1"/>
    <w:next w:val="1"/>
    <w:link w:val="47"/>
    <w:qFormat/>
    <w:uiPriority w:val="0"/>
    <w:pPr>
      <w:keepNext/>
      <w:keepLines/>
      <w:spacing w:before="240" w:beforeLines="0" w:after="64" w:afterLines="0" w:line="317" w:lineRule="auto"/>
      <w:outlineLvl w:val="6"/>
    </w:pPr>
    <w:rPr>
      <w:rFonts w:ascii="Calibri" w:hAnsi="Calibri" w:eastAsia="Calibri" w:cs="Times New Roman"/>
      <w:b/>
      <w:bCs/>
      <w:sz w:val="24"/>
      <w:szCs w:val="24"/>
    </w:rPr>
  </w:style>
  <w:style w:type="paragraph" w:styleId="9">
    <w:name w:val="heading 8"/>
    <w:basedOn w:val="1"/>
    <w:next w:val="1"/>
    <w:link w:val="48"/>
    <w:qFormat/>
    <w:uiPriority w:val="0"/>
    <w:pPr>
      <w:keepNext/>
      <w:keepLines/>
      <w:spacing w:before="240" w:beforeLines="0" w:after="64" w:afterLines="0" w:line="317" w:lineRule="auto"/>
      <w:outlineLvl w:val="7"/>
    </w:pPr>
    <w:rPr>
      <w:rFonts w:ascii="Cambria" w:hAnsi="Cambria" w:eastAsia="宋体" w:cs="Times New Roman"/>
      <w:sz w:val="24"/>
      <w:szCs w:val="24"/>
    </w:rPr>
  </w:style>
  <w:style w:type="paragraph" w:styleId="10">
    <w:name w:val="heading 9"/>
    <w:basedOn w:val="1"/>
    <w:next w:val="1"/>
    <w:link w:val="49"/>
    <w:qFormat/>
    <w:uiPriority w:val="0"/>
    <w:pPr>
      <w:keepNext/>
      <w:keepLines/>
      <w:spacing w:before="240" w:beforeLines="0" w:after="64" w:afterLines="0" w:line="317" w:lineRule="auto"/>
      <w:outlineLvl w:val="8"/>
    </w:pPr>
    <w:rPr>
      <w:rFonts w:ascii="Cambria" w:hAnsi="Cambria" w:eastAsia="宋体" w:cs="Times New Roman"/>
      <w:szCs w:val="21"/>
    </w:rPr>
  </w:style>
  <w:style w:type="character" w:default="1" w:styleId="35">
    <w:name w:val="Default Paragraph Font"/>
    <w:qFormat/>
    <w:uiPriority w:val="0"/>
    <w:rPr>
      <w:rFonts w:ascii="Calibri" w:hAnsi="Calibri" w:eastAsia="Calibri" w:cs="Times New Roman"/>
    </w:rPr>
  </w:style>
  <w:style w:type="table" w:default="1" w:styleId="33">
    <w:name w:val="Normal Table"/>
    <w:qFormat/>
    <w:uiPriority w:val="0"/>
    <w:tblPr>
      <w:tblCellMar>
        <w:top w:w="0" w:type="dxa"/>
        <w:left w:w="108" w:type="dxa"/>
        <w:bottom w:w="0" w:type="dxa"/>
        <w:right w:w="108" w:type="dxa"/>
      </w:tblCellMar>
    </w:tblPr>
  </w:style>
  <w:style w:type="paragraph" w:styleId="11">
    <w:name w:val="Document Map"/>
    <w:basedOn w:val="1"/>
    <w:link w:val="50"/>
    <w:qFormat/>
    <w:uiPriority w:val="0"/>
    <w:pPr>
      <w:shd w:val="clear" w:color="auto" w:fill="000080"/>
    </w:pPr>
    <w:rPr>
      <w:rFonts w:ascii="Times New Roman" w:hAnsi="Times New Roman" w:eastAsia="宋体" w:cs="Times New Roman"/>
      <w:szCs w:val="24"/>
      <w:shd w:val="clear" w:color="auto" w:fill="000080"/>
    </w:rPr>
  </w:style>
  <w:style w:type="paragraph" w:styleId="12">
    <w:name w:val="annotation text"/>
    <w:basedOn w:val="1"/>
    <w:link w:val="51"/>
    <w:qFormat/>
    <w:uiPriority w:val="0"/>
    <w:pPr>
      <w:jc w:val="left"/>
    </w:pPr>
    <w:rPr>
      <w:rFonts w:ascii="Times New Roman" w:hAnsi="Times New Roman" w:eastAsia="宋体" w:cs="Times New Roman"/>
      <w:szCs w:val="24"/>
    </w:rPr>
  </w:style>
  <w:style w:type="paragraph" w:styleId="13">
    <w:name w:val="Salutation"/>
    <w:basedOn w:val="1"/>
    <w:next w:val="1"/>
    <w:link w:val="52"/>
    <w:qFormat/>
    <w:uiPriority w:val="0"/>
    <w:rPr>
      <w:rFonts w:ascii="仿宋_GB2312" w:hAnsi="Times New Roman" w:eastAsia="仿宋_GB2312" w:cs="Times New Roman"/>
      <w:sz w:val="24"/>
      <w:szCs w:val="24"/>
    </w:rPr>
  </w:style>
  <w:style w:type="paragraph" w:styleId="14">
    <w:name w:val="Body Text 3"/>
    <w:basedOn w:val="1"/>
    <w:link w:val="53"/>
    <w:qFormat/>
    <w:uiPriority w:val="0"/>
    <w:pPr>
      <w:autoSpaceDE w:val="0"/>
      <w:autoSpaceDN w:val="0"/>
      <w:adjustRightInd w:val="0"/>
      <w:spacing w:line="410" w:lineRule="atLeast"/>
      <w:jc w:val="left"/>
    </w:pPr>
    <w:rPr>
      <w:rFonts w:ascii="宋体" w:hAnsi="Times New Roman" w:eastAsia="宋体" w:cs="Times New Roman"/>
      <w:color w:val="000000"/>
      <w:kern w:val="0"/>
      <w:sz w:val="24"/>
      <w:szCs w:val="20"/>
    </w:rPr>
  </w:style>
  <w:style w:type="paragraph" w:styleId="15">
    <w:name w:val="Body Text"/>
    <w:basedOn w:val="1"/>
    <w:link w:val="54"/>
    <w:qFormat/>
    <w:uiPriority w:val="0"/>
    <w:pPr>
      <w:spacing w:after="120" w:afterLines="0"/>
    </w:pPr>
    <w:rPr>
      <w:rFonts w:ascii="Times New Roman" w:hAnsi="Times New Roman" w:eastAsia="宋体" w:cs="Times New Roman"/>
      <w:szCs w:val="24"/>
    </w:rPr>
  </w:style>
  <w:style w:type="paragraph" w:styleId="16">
    <w:name w:val="Body Text Indent"/>
    <w:basedOn w:val="1"/>
    <w:link w:val="55"/>
    <w:qFormat/>
    <w:uiPriority w:val="0"/>
    <w:pPr>
      <w:spacing w:after="120" w:afterLines="0"/>
      <w:ind w:left="420" w:leftChars="200"/>
    </w:pPr>
    <w:rPr>
      <w:rFonts w:ascii="Times New Roman" w:hAnsi="Times New Roman" w:eastAsia="宋体" w:cs="Times New Roman"/>
      <w:szCs w:val="24"/>
    </w:rPr>
  </w:style>
  <w:style w:type="paragraph" w:styleId="17">
    <w:name w:val="toc 3"/>
    <w:basedOn w:val="1"/>
    <w:next w:val="1"/>
    <w:qFormat/>
    <w:uiPriority w:val="0"/>
    <w:pPr>
      <w:ind w:left="840" w:leftChars="400"/>
    </w:pPr>
    <w:rPr>
      <w:rFonts w:ascii="Calibri" w:hAnsi="Calibri" w:eastAsia="Calibri" w:cs="Times New Roman"/>
    </w:rPr>
  </w:style>
  <w:style w:type="paragraph" w:styleId="18">
    <w:name w:val="Plain Text"/>
    <w:basedOn w:val="1"/>
    <w:link w:val="56"/>
    <w:qFormat/>
    <w:uiPriority w:val="0"/>
    <w:rPr>
      <w:rFonts w:ascii="宋体" w:hAnsi="Courier New" w:eastAsia="宋体" w:cs="Times New Roman"/>
      <w:kern w:val="0"/>
      <w:sz w:val="20"/>
      <w:szCs w:val="21"/>
    </w:rPr>
  </w:style>
  <w:style w:type="paragraph" w:styleId="19">
    <w:name w:val="Date"/>
    <w:basedOn w:val="1"/>
    <w:next w:val="1"/>
    <w:link w:val="57"/>
    <w:qFormat/>
    <w:uiPriority w:val="0"/>
    <w:rPr>
      <w:rFonts w:ascii="Times New Roman" w:hAnsi="Times New Roman" w:eastAsia="宋体" w:cs="Times New Roman"/>
      <w:sz w:val="24"/>
      <w:szCs w:val="20"/>
    </w:rPr>
  </w:style>
  <w:style w:type="paragraph" w:styleId="20">
    <w:name w:val="Body Text Indent 2"/>
    <w:basedOn w:val="1"/>
    <w:link w:val="58"/>
    <w:qFormat/>
    <w:uiPriority w:val="0"/>
    <w:pPr>
      <w:spacing w:after="120" w:afterLines="0" w:line="480" w:lineRule="auto"/>
      <w:ind w:left="420" w:leftChars="200"/>
    </w:pPr>
    <w:rPr>
      <w:rFonts w:ascii="Times New Roman" w:hAnsi="Times New Roman" w:eastAsia="宋体" w:cs="Times New Roman"/>
      <w:szCs w:val="24"/>
    </w:rPr>
  </w:style>
  <w:style w:type="paragraph" w:styleId="21">
    <w:name w:val="Balloon Text"/>
    <w:basedOn w:val="1"/>
    <w:link w:val="59"/>
    <w:qFormat/>
    <w:uiPriority w:val="0"/>
    <w:rPr>
      <w:rFonts w:ascii="Calibri" w:hAnsi="Calibri" w:eastAsia="宋体" w:cs="Times New Roman"/>
      <w:sz w:val="18"/>
      <w:szCs w:val="18"/>
    </w:rPr>
  </w:style>
  <w:style w:type="paragraph" w:styleId="22">
    <w:name w:val="footer"/>
    <w:basedOn w:val="1"/>
    <w:link w:val="60"/>
    <w:qFormat/>
    <w:uiPriority w:val="0"/>
    <w:pPr>
      <w:tabs>
        <w:tab w:val="center" w:pos="4153"/>
        <w:tab w:val="right" w:pos="8306"/>
      </w:tabs>
      <w:snapToGrid w:val="0"/>
      <w:jc w:val="left"/>
    </w:pPr>
    <w:rPr>
      <w:rFonts w:ascii="Calibri" w:hAnsi="Calibri" w:eastAsia="Calibri" w:cs="Times New Roman"/>
      <w:sz w:val="18"/>
      <w:szCs w:val="18"/>
    </w:rPr>
  </w:style>
  <w:style w:type="paragraph" w:styleId="23">
    <w:name w:val="header"/>
    <w:basedOn w:val="1"/>
    <w:link w:val="61"/>
    <w:qFormat/>
    <w:uiPriority w:val="0"/>
    <w:pPr>
      <w:pBdr>
        <w:bottom w:val="single" w:color="auto" w:sz="6" w:space="1"/>
      </w:pBdr>
      <w:tabs>
        <w:tab w:val="center" w:pos="4153"/>
        <w:tab w:val="right" w:pos="8306"/>
      </w:tabs>
      <w:snapToGrid w:val="0"/>
      <w:jc w:val="center"/>
    </w:pPr>
    <w:rPr>
      <w:rFonts w:ascii="Calibri" w:hAnsi="Calibri" w:eastAsia="Calibri" w:cs="Times New Roman"/>
      <w:sz w:val="18"/>
      <w:szCs w:val="18"/>
    </w:rPr>
  </w:style>
  <w:style w:type="paragraph" w:styleId="24">
    <w:name w:val="toc 1"/>
    <w:basedOn w:val="1"/>
    <w:next w:val="1"/>
    <w:qFormat/>
    <w:uiPriority w:val="0"/>
    <w:rPr>
      <w:rFonts w:ascii="Calibri" w:hAnsi="Calibri" w:eastAsia="Calibri" w:cs="Times New Roman"/>
    </w:rPr>
  </w:style>
  <w:style w:type="paragraph" w:styleId="25">
    <w:name w:val="Subtitle"/>
    <w:basedOn w:val="1"/>
    <w:next w:val="1"/>
    <w:link w:val="62"/>
    <w:qFormat/>
    <w:uiPriority w:val="0"/>
    <w:pPr>
      <w:spacing w:before="240" w:beforeLines="0" w:after="60" w:afterLines="0" w:line="312" w:lineRule="auto"/>
      <w:jc w:val="center"/>
      <w:outlineLvl w:val="1"/>
    </w:pPr>
    <w:rPr>
      <w:rFonts w:ascii="Cambria" w:hAnsi="Cambria" w:eastAsia="宋体" w:cs="Times New Roman"/>
      <w:b/>
      <w:bCs/>
      <w:kern w:val="28"/>
      <w:sz w:val="32"/>
      <w:szCs w:val="32"/>
    </w:rPr>
  </w:style>
  <w:style w:type="paragraph" w:styleId="26">
    <w:name w:val="Body Text Indent 3"/>
    <w:basedOn w:val="1"/>
    <w:link w:val="63"/>
    <w:qFormat/>
    <w:uiPriority w:val="0"/>
    <w:pPr>
      <w:spacing w:after="120" w:afterLines="0"/>
      <w:ind w:left="420" w:leftChars="200"/>
    </w:pPr>
    <w:rPr>
      <w:rFonts w:ascii="Times New Roman" w:hAnsi="Times New Roman" w:eastAsia="宋体" w:cs="Times New Roman"/>
      <w:sz w:val="16"/>
      <w:szCs w:val="16"/>
    </w:rPr>
  </w:style>
  <w:style w:type="paragraph" w:styleId="27">
    <w:name w:val="toc 2"/>
    <w:basedOn w:val="1"/>
    <w:next w:val="1"/>
    <w:qFormat/>
    <w:uiPriority w:val="0"/>
    <w:pPr>
      <w:ind w:left="420" w:leftChars="200"/>
    </w:pPr>
    <w:rPr>
      <w:rFonts w:ascii="Calibri" w:hAnsi="Calibri" w:eastAsia="Calibri" w:cs="Times New Roman"/>
    </w:rPr>
  </w:style>
  <w:style w:type="paragraph" w:styleId="28">
    <w:name w:val="Body Text 2"/>
    <w:basedOn w:val="1"/>
    <w:link w:val="64"/>
    <w:qFormat/>
    <w:uiPriority w:val="0"/>
    <w:pPr>
      <w:spacing w:after="120" w:afterLines="0" w:line="480" w:lineRule="auto"/>
    </w:pPr>
    <w:rPr>
      <w:rFonts w:ascii="Times New Roman" w:hAnsi="Times New Roman" w:eastAsia="宋体" w:cs="Times New Roman"/>
      <w:szCs w:val="24"/>
    </w:rPr>
  </w:style>
  <w:style w:type="paragraph" w:styleId="29">
    <w:name w:val="HTML Preformatted"/>
    <w:basedOn w:val="1"/>
    <w:link w:val="6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30">
    <w:name w:val="Normal (Web)"/>
    <w:basedOn w:val="1"/>
    <w:qFormat/>
    <w:uiPriority w:val="0"/>
    <w:pPr>
      <w:widowControl/>
      <w:spacing w:before="100" w:beforeLines="0" w:beforeAutospacing="1" w:after="100" w:afterLines="0" w:afterAutospacing="1"/>
      <w:jc w:val="left"/>
    </w:pPr>
    <w:rPr>
      <w:rFonts w:ascii="宋体" w:hAnsi="宋体" w:eastAsia="Calibri" w:cs="宋体"/>
      <w:kern w:val="0"/>
      <w:sz w:val="24"/>
      <w:szCs w:val="24"/>
    </w:rPr>
  </w:style>
  <w:style w:type="paragraph" w:styleId="31">
    <w:name w:val="Title"/>
    <w:basedOn w:val="1"/>
    <w:next w:val="1"/>
    <w:link w:val="66"/>
    <w:qFormat/>
    <w:uiPriority w:val="0"/>
    <w:pPr>
      <w:spacing w:before="240" w:beforeLines="0" w:after="60" w:afterLines="0"/>
      <w:jc w:val="center"/>
      <w:outlineLvl w:val="0"/>
    </w:pPr>
    <w:rPr>
      <w:rFonts w:ascii="Cambria" w:hAnsi="Cambria" w:eastAsia="宋体" w:cs="Times New Roman"/>
      <w:b/>
      <w:bCs/>
      <w:sz w:val="32"/>
      <w:szCs w:val="32"/>
    </w:rPr>
  </w:style>
  <w:style w:type="paragraph" w:styleId="32">
    <w:name w:val="annotation subject"/>
    <w:basedOn w:val="12"/>
    <w:next w:val="12"/>
    <w:link w:val="67"/>
    <w:qFormat/>
    <w:uiPriority w:val="0"/>
    <w:rPr>
      <w:rFonts w:ascii="Times New Roman" w:hAnsi="Times New Roman" w:eastAsia="宋体" w:cs="Times New Roman"/>
      <w:b/>
      <w:bCs/>
      <w:szCs w:val="24"/>
    </w:rPr>
  </w:style>
  <w:style w:type="table" w:styleId="34">
    <w:name w:val="Table Grid"/>
    <w:basedOn w:val="3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basedOn w:val="35"/>
    <w:qFormat/>
    <w:uiPriority w:val="0"/>
    <w:rPr>
      <w:rFonts w:ascii="Calibri" w:hAnsi="Calibri" w:eastAsia="Calibri" w:cs="Times New Roman"/>
      <w:b/>
      <w:bCs/>
    </w:rPr>
  </w:style>
  <w:style w:type="character" w:styleId="37">
    <w:name w:val="page number"/>
    <w:basedOn w:val="35"/>
    <w:qFormat/>
    <w:uiPriority w:val="0"/>
    <w:rPr>
      <w:rFonts w:ascii="Calibri" w:hAnsi="Calibri" w:eastAsia="Calibri" w:cs="Times New Roman"/>
    </w:rPr>
  </w:style>
  <w:style w:type="character" w:styleId="38">
    <w:name w:val="FollowedHyperlink"/>
    <w:basedOn w:val="35"/>
    <w:qFormat/>
    <w:uiPriority w:val="0"/>
    <w:rPr>
      <w:rFonts w:ascii="Times New Roman" w:hAnsi="Times New Roman" w:eastAsia="宋体" w:cs="Times New Roman"/>
      <w:color w:val="999999"/>
      <w:u w:val="none"/>
    </w:rPr>
  </w:style>
  <w:style w:type="character" w:styleId="39">
    <w:name w:val="Emphasis"/>
    <w:basedOn w:val="35"/>
    <w:qFormat/>
    <w:uiPriority w:val="0"/>
    <w:rPr>
      <w:rFonts w:ascii="Times New Roman" w:hAnsi="Times New Roman" w:eastAsia="宋体" w:cs="Times New Roman"/>
    </w:rPr>
  </w:style>
  <w:style w:type="character" w:styleId="40">
    <w:name w:val="Hyperlink"/>
    <w:qFormat/>
    <w:uiPriority w:val="0"/>
    <w:rPr>
      <w:rFonts w:ascii="Calibri" w:hAnsi="Calibri" w:eastAsia="Calibri" w:cs="Times New Roman"/>
      <w:color w:val="0000FF"/>
      <w:u w:val="single"/>
    </w:rPr>
  </w:style>
  <w:style w:type="character" w:customStyle="1" w:styleId="41">
    <w:name w:val="标题 3 Char1"/>
    <w:link w:val="2"/>
    <w:qFormat/>
    <w:uiPriority w:val="0"/>
    <w:rPr>
      <w:rFonts w:ascii="Calibri" w:hAnsi="Calibri" w:eastAsia="Calibri" w:cs="Times New Roman"/>
      <w:b/>
      <w:bCs/>
      <w:sz w:val="32"/>
      <w:szCs w:val="32"/>
    </w:rPr>
  </w:style>
  <w:style w:type="character" w:customStyle="1" w:styleId="42">
    <w:name w:val="标题 1 Char1"/>
    <w:link w:val="3"/>
    <w:qFormat/>
    <w:uiPriority w:val="0"/>
    <w:rPr>
      <w:rFonts w:ascii="Calibri" w:hAnsi="Calibri" w:eastAsia="Calibri" w:cs="Times New Roman"/>
      <w:b/>
      <w:bCs/>
      <w:kern w:val="44"/>
      <w:sz w:val="44"/>
      <w:szCs w:val="44"/>
    </w:rPr>
  </w:style>
  <w:style w:type="character" w:customStyle="1" w:styleId="43">
    <w:name w:val="标题 2 Char1"/>
    <w:link w:val="4"/>
    <w:qFormat/>
    <w:uiPriority w:val="0"/>
    <w:rPr>
      <w:rFonts w:ascii="Cambria" w:hAnsi="Cambria" w:eastAsia="宋体" w:cs="Times New Roman"/>
      <w:b/>
      <w:bCs/>
      <w:sz w:val="32"/>
      <w:szCs w:val="32"/>
    </w:rPr>
  </w:style>
  <w:style w:type="character" w:customStyle="1" w:styleId="44">
    <w:name w:val="标题 4 Char1"/>
    <w:link w:val="5"/>
    <w:qFormat/>
    <w:uiPriority w:val="0"/>
    <w:rPr>
      <w:rFonts w:ascii="Cambria" w:hAnsi="Cambria" w:eastAsia="宋体" w:cs="Times New Roman"/>
      <w:b/>
      <w:bCs/>
      <w:sz w:val="28"/>
      <w:szCs w:val="28"/>
    </w:rPr>
  </w:style>
  <w:style w:type="character" w:customStyle="1" w:styleId="45">
    <w:name w:val="标题 5 Char1"/>
    <w:link w:val="6"/>
    <w:qFormat/>
    <w:uiPriority w:val="0"/>
    <w:rPr>
      <w:rFonts w:ascii="Calibri" w:hAnsi="Calibri" w:eastAsia="Calibri" w:cs="Times New Roman"/>
      <w:b/>
      <w:bCs/>
      <w:sz w:val="28"/>
      <w:szCs w:val="28"/>
    </w:rPr>
  </w:style>
  <w:style w:type="character" w:customStyle="1" w:styleId="46">
    <w:name w:val="标题 6 Char1"/>
    <w:link w:val="7"/>
    <w:qFormat/>
    <w:uiPriority w:val="0"/>
    <w:rPr>
      <w:rFonts w:ascii="Cambria" w:hAnsi="Cambria" w:eastAsia="宋体" w:cs="Times New Roman"/>
      <w:b/>
      <w:bCs/>
      <w:sz w:val="24"/>
      <w:szCs w:val="24"/>
    </w:rPr>
  </w:style>
  <w:style w:type="character" w:customStyle="1" w:styleId="47">
    <w:name w:val="标题 7 Char1"/>
    <w:link w:val="8"/>
    <w:qFormat/>
    <w:uiPriority w:val="0"/>
    <w:rPr>
      <w:rFonts w:ascii="Calibri" w:hAnsi="Calibri" w:eastAsia="Calibri" w:cs="Times New Roman"/>
      <w:b/>
      <w:bCs/>
      <w:sz w:val="24"/>
      <w:szCs w:val="24"/>
    </w:rPr>
  </w:style>
  <w:style w:type="character" w:customStyle="1" w:styleId="48">
    <w:name w:val="标题 8 Char1"/>
    <w:link w:val="9"/>
    <w:qFormat/>
    <w:uiPriority w:val="0"/>
    <w:rPr>
      <w:rFonts w:ascii="Cambria" w:hAnsi="Cambria" w:eastAsia="宋体" w:cs="Times New Roman"/>
      <w:sz w:val="24"/>
      <w:szCs w:val="24"/>
    </w:rPr>
  </w:style>
  <w:style w:type="character" w:customStyle="1" w:styleId="49">
    <w:name w:val="标题 9 Char1"/>
    <w:link w:val="10"/>
    <w:qFormat/>
    <w:uiPriority w:val="0"/>
    <w:rPr>
      <w:rFonts w:ascii="Cambria" w:hAnsi="Cambria" w:eastAsia="宋体" w:cs="Times New Roman"/>
      <w:szCs w:val="21"/>
    </w:rPr>
  </w:style>
  <w:style w:type="character" w:customStyle="1" w:styleId="50">
    <w:name w:val="文档结构图 Char"/>
    <w:link w:val="11"/>
    <w:qFormat/>
    <w:uiPriority w:val="0"/>
    <w:rPr>
      <w:rFonts w:ascii="Times New Roman" w:hAnsi="Times New Roman" w:eastAsia="宋体" w:cs="Times New Roman"/>
      <w:szCs w:val="24"/>
      <w:shd w:val="clear" w:color="auto" w:fill="000080"/>
    </w:rPr>
  </w:style>
  <w:style w:type="character" w:customStyle="1" w:styleId="51">
    <w:name w:val="批注文字 Char1"/>
    <w:link w:val="12"/>
    <w:qFormat/>
    <w:uiPriority w:val="0"/>
    <w:rPr>
      <w:rFonts w:ascii="Times New Roman" w:hAnsi="Times New Roman" w:eastAsia="宋体" w:cs="Times New Roman"/>
      <w:szCs w:val="24"/>
    </w:rPr>
  </w:style>
  <w:style w:type="character" w:customStyle="1" w:styleId="52">
    <w:name w:val="称呼 Char"/>
    <w:link w:val="13"/>
    <w:qFormat/>
    <w:uiPriority w:val="0"/>
    <w:rPr>
      <w:rFonts w:ascii="仿宋_GB2312" w:hAnsi="Times New Roman" w:eastAsia="仿宋_GB2312" w:cs="Times New Roman"/>
      <w:sz w:val="24"/>
      <w:szCs w:val="24"/>
    </w:rPr>
  </w:style>
  <w:style w:type="character" w:customStyle="1" w:styleId="53">
    <w:name w:val="正文文本 3 Char"/>
    <w:link w:val="14"/>
    <w:qFormat/>
    <w:uiPriority w:val="0"/>
    <w:rPr>
      <w:rFonts w:ascii="宋体" w:hAnsi="Times New Roman" w:eastAsia="宋体" w:cs="Times New Roman"/>
      <w:color w:val="000000"/>
      <w:kern w:val="0"/>
      <w:sz w:val="24"/>
      <w:szCs w:val="20"/>
    </w:rPr>
  </w:style>
  <w:style w:type="character" w:customStyle="1" w:styleId="54">
    <w:name w:val="正文文本 Char"/>
    <w:link w:val="15"/>
    <w:qFormat/>
    <w:uiPriority w:val="0"/>
    <w:rPr>
      <w:rFonts w:ascii="Times New Roman" w:hAnsi="Times New Roman" w:eastAsia="宋体" w:cs="Times New Roman"/>
      <w:szCs w:val="24"/>
    </w:rPr>
  </w:style>
  <w:style w:type="character" w:customStyle="1" w:styleId="55">
    <w:name w:val="正文文本缩进 Char"/>
    <w:link w:val="16"/>
    <w:qFormat/>
    <w:uiPriority w:val="0"/>
    <w:rPr>
      <w:rFonts w:ascii="Times New Roman" w:hAnsi="Times New Roman" w:eastAsia="宋体" w:cs="Times New Roman"/>
      <w:szCs w:val="24"/>
    </w:rPr>
  </w:style>
  <w:style w:type="character" w:customStyle="1" w:styleId="56">
    <w:name w:val="纯文本 Char1"/>
    <w:link w:val="18"/>
    <w:qFormat/>
    <w:uiPriority w:val="0"/>
    <w:rPr>
      <w:rFonts w:ascii="宋体" w:hAnsi="Courier New" w:eastAsia="宋体" w:cs="Times New Roman"/>
      <w:kern w:val="0"/>
      <w:sz w:val="20"/>
      <w:szCs w:val="21"/>
    </w:rPr>
  </w:style>
  <w:style w:type="character" w:customStyle="1" w:styleId="57">
    <w:name w:val="日期 Char1"/>
    <w:link w:val="19"/>
    <w:qFormat/>
    <w:uiPriority w:val="0"/>
    <w:rPr>
      <w:rFonts w:ascii="Times New Roman" w:hAnsi="Times New Roman" w:eastAsia="宋体" w:cs="Times New Roman"/>
      <w:sz w:val="24"/>
      <w:szCs w:val="20"/>
    </w:rPr>
  </w:style>
  <w:style w:type="character" w:customStyle="1" w:styleId="58">
    <w:name w:val="正文文本缩进 2 Char"/>
    <w:link w:val="20"/>
    <w:qFormat/>
    <w:uiPriority w:val="0"/>
    <w:rPr>
      <w:rFonts w:ascii="Times New Roman" w:hAnsi="Times New Roman" w:eastAsia="宋体" w:cs="Times New Roman"/>
      <w:szCs w:val="24"/>
    </w:rPr>
  </w:style>
  <w:style w:type="character" w:customStyle="1" w:styleId="59">
    <w:name w:val="批注框文本 Char1"/>
    <w:link w:val="21"/>
    <w:qFormat/>
    <w:uiPriority w:val="0"/>
    <w:rPr>
      <w:rFonts w:ascii="Calibri" w:hAnsi="Calibri" w:eastAsia="宋体" w:cs="Times New Roman"/>
      <w:sz w:val="18"/>
      <w:szCs w:val="18"/>
    </w:rPr>
  </w:style>
  <w:style w:type="character" w:customStyle="1" w:styleId="60">
    <w:name w:val="页脚 Char"/>
    <w:link w:val="22"/>
    <w:qFormat/>
    <w:uiPriority w:val="0"/>
    <w:rPr>
      <w:rFonts w:ascii="Calibri" w:hAnsi="Calibri" w:eastAsia="Calibri" w:cs="Times New Roman"/>
      <w:sz w:val="18"/>
      <w:szCs w:val="18"/>
    </w:rPr>
  </w:style>
  <w:style w:type="character" w:customStyle="1" w:styleId="61">
    <w:name w:val="页眉 Char"/>
    <w:link w:val="23"/>
    <w:qFormat/>
    <w:uiPriority w:val="0"/>
    <w:rPr>
      <w:rFonts w:ascii="Calibri" w:hAnsi="Calibri" w:eastAsia="Calibri" w:cs="Times New Roman"/>
      <w:sz w:val="18"/>
      <w:szCs w:val="18"/>
    </w:rPr>
  </w:style>
  <w:style w:type="character" w:customStyle="1" w:styleId="62">
    <w:name w:val="副标题 Char"/>
    <w:link w:val="25"/>
    <w:qFormat/>
    <w:uiPriority w:val="0"/>
    <w:rPr>
      <w:rFonts w:ascii="Cambria" w:hAnsi="Cambria" w:eastAsia="宋体" w:cs="Times New Roman"/>
      <w:b/>
      <w:bCs/>
      <w:kern w:val="28"/>
      <w:sz w:val="32"/>
      <w:szCs w:val="32"/>
    </w:rPr>
  </w:style>
  <w:style w:type="character" w:customStyle="1" w:styleId="63">
    <w:name w:val="正文文本缩进 3 Char1"/>
    <w:link w:val="26"/>
    <w:qFormat/>
    <w:uiPriority w:val="0"/>
    <w:rPr>
      <w:rFonts w:ascii="Times New Roman" w:hAnsi="Times New Roman" w:eastAsia="宋体" w:cs="Times New Roman"/>
      <w:sz w:val="16"/>
      <w:szCs w:val="16"/>
    </w:rPr>
  </w:style>
  <w:style w:type="character" w:customStyle="1" w:styleId="64">
    <w:name w:val="正文文本 2 Char"/>
    <w:link w:val="28"/>
    <w:qFormat/>
    <w:uiPriority w:val="0"/>
    <w:rPr>
      <w:rFonts w:ascii="Times New Roman" w:hAnsi="Times New Roman" w:eastAsia="宋体" w:cs="Times New Roman"/>
      <w:szCs w:val="24"/>
    </w:rPr>
  </w:style>
  <w:style w:type="character" w:customStyle="1" w:styleId="65">
    <w:name w:val="HTML 预设格式 Char"/>
    <w:link w:val="29"/>
    <w:qFormat/>
    <w:uiPriority w:val="0"/>
    <w:rPr>
      <w:rFonts w:ascii="Arial" w:hAnsi="Arial" w:eastAsia="宋体" w:cs="Arial"/>
      <w:kern w:val="0"/>
      <w:sz w:val="24"/>
      <w:szCs w:val="24"/>
    </w:rPr>
  </w:style>
  <w:style w:type="character" w:customStyle="1" w:styleId="66">
    <w:name w:val="标题 Char"/>
    <w:link w:val="31"/>
    <w:qFormat/>
    <w:uiPriority w:val="0"/>
    <w:rPr>
      <w:rFonts w:ascii="Cambria" w:hAnsi="Cambria" w:eastAsia="宋体" w:cs="Times New Roman"/>
      <w:b/>
      <w:bCs/>
      <w:sz w:val="32"/>
      <w:szCs w:val="32"/>
    </w:rPr>
  </w:style>
  <w:style w:type="character" w:customStyle="1" w:styleId="67">
    <w:name w:val="批注主题 Char1"/>
    <w:link w:val="32"/>
    <w:qFormat/>
    <w:uiPriority w:val="0"/>
    <w:rPr>
      <w:rFonts w:ascii="Times New Roman" w:hAnsi="Times New Roman" w:eastAsia="宋体" w:cs="Times New Roman"/>
      <w:b/>
      <w:bCs/>
      <w:szCs w:val="24"/>
    </w:rPr>
  </w:style>
  <w:style w:type="character" w:customStyle="1" w:styleId="68">
    <w:name w:val="p0 Char"/>
    <w:link w:val="69"/>
    <w:qFormat/>
    <w:uiPriority w:val="0"/>
    <w:rPr>
      <w:rFonts w:ascii="Calibri" w:hAnsi="Calibri" w:eastAsia="宋体" w:cs="Times New Roman"/>
      <w:szCs w:val="21"/>
    </w:rPr>
  </w:style>
  <w:style w:type="paragraph" w:customStyle="1" w:styleId="69">
    <w:name w:val="p0"/>
    <w:basedOn w:val="1"/>
    <w:link w:val="68"/>
    <w:qFormat/>
    <w:uiPriority w:val="0"/>
    <w:pPr>
      <w:widowControl/>
    </w:pPr>
    <w:rPr>
      <w:rFonts w:ascii="Calibri" w:hAnsi="Calibri" w:eastAsia="宋体" w:cs="Times New Roman"/>
      <w:szCs w:val="21"/>
    </w:rPr>
  </w:style>
  <w:style w:type="character" w:customStyle="1" w:styleId="70">
    <w:name w:val="批注主题 Char"/>
    <w:qFormat/>
    <w:uiPriority w:val="0"/>
    <w:rPr>
      <w:rFonts w:ascii="Calibri" w:hAnsi="Calibri" w:eastAsia="宋体" w:cs="Times New Roman"/>
      <w:b/>
      <w:bCs/>
    </w:rPr>
  </w:style>
  <w:style w:type="character" w:customStyle="1" w:styleId="71">
    <w:name w:val="my正文 Char"/>
    <w:link w:val="72"/>
    <w:qFormat/>
    <w:uiPriority w:val="0"/>
    <w:rPr>
      <w:rFonts w:ascii="Times New Roman" w:hAnsi="Times New Roman" w:eastAsia="Calibri" w:cs="Times New Roman"/>
      <w:sz w:val="24"/>
      <w:szCs w:val="24"/>
    </w:rPr>
  </w:style>
  <w:style w:type="paragraph" w:customStyle="1" w:styleId="72">
    <w:name w:val="my正文"/>
    <w:basedOn w:val="1"/>
    <w:link w:val="71"/>
    <w:qFormat/>
    <w:uiPriority w:val="0"/>
    <w:pPr>
      <w:spacing w:line="360" w:lineRule="auto"/>
      <w:ind w:firstLine="480" w:firstLineChars="200"/>
    </w:pPr>
    <w:rPr>
      <w:rFonts w:ascii="Times New Roman" w:hAnsi="Times New Roman" w:eastAsia="Calibri" w:cs="Times New Roman"/>
      <w:sz w:val="24"/>
      <w:szCs w:val="24"/>
    </w:rPr>
  </w:style>
  <w:style w:type="character" w:customStyle="1" w:styleId="73">
    <w:name w:val="标题 5 Char"/>
    <w:qFormat/>
    <w:uiPriority w:val="0"/>
    <w:rPr>
      <w:rFonts w:ascii="Calibri" w:hAnsi="Calibri" w:eastAsia="宋体" w:cs="Times New Roman"/>
      <w:b/>
      <w:bCs/>
      <w:sz w:val="28"/>
      <w:szCs w:val="28"/>
    </w:rPr>
  </w:style>
  <w:style w:type="character" w:customStyle="1" w:styleId="74">
    <w:name w:val="日期 Char"/>
    <w:qFormat/>
    <w:uiPriority w:val="0"/>
    <w:rPr>
      <w:rFonts w:ascii="Calibri" w:hAnsi="Calibri" w:eastAsia="宋体" w:cs="Times New Roman"/>
    </w:rPr>
  </w:style>
  <w:style w:type="character" w:customStyle="1" w:styleId="75">
    <w:name w:val="标题 9 Char"/>
    <w:qFormat/>
    <w:uiPriority w:val="0"/>
    <w:rPr>
      <w:rFonts w:ascii="Cambria" w:hAnsi="Cambria" w:eastAsia="宋体" w:cs="Times New Roman"/>
      <w:szCs w:val="21"/>
    </w:rPr>
  </w:style>
  <w:style w:type="character" w:customStyle="1" w:styleId="76">
    <w:name w:val="font61"/>
    <w:qFormat/>
    <w:uiPriority w:val="0"/>
    <w:rPr>
      <w:rFonts w:hint="eastAsia" w:ascii="宋体" w:hAnsi="宋体" w:eastAsia="宋体" w:cs="宋体"/>
      <w:color w:val="000000"/>
      <w:sz w:val="20"/>
      <w:szCs w:val="20"/>
      <w:u w:val="none"/>
      <w:vertAlign w:val="superscript"/>
    </w:rPr>
  </w:style>
  <w:style w:type="character" w:customStyle="1" w:styleId="77">
    <w:name w:val="标题 1 Char"/>
    <w:uiPriority w:val="0"/>
    <w:rPr>
      <w:rFonts w:ascii="Calibri" w:hAnsi="Calibri" w:eastAsia="宋体" w:cs="Times New Roman"/>
      <w:b/>
      <w:bCs/>
      <w:kern w:val="44"/>
      <w:sz w:val="44"/>
      <w:szCs w:val="44"/>
    </w:rPr>
  </w:style>
  <w:style w:type="character" w:customStyle="1" w:styleId="78">
    <w:name w:val="标题 7 Char"/>
    <w:qFormat/>
    <w:uiPriority w:val="0"/>
    <w:rPr>
      <w:rFonts w:ascii="Calibri" w:hAnsi="Calibri" w:eastAsia="宋体" w:cs="Times New Roman"/>
      <w:b/>
      <w:bCs/>
      <w:sz w:val="24"/>
      <w:szCs w:val="24"/>
    </w:rPr>
  </w:style>
  <w:style w:type="character" w:customStyle="1" w:styleId="79">
    <w:name w:val="font01"/>
    <w:basedOn w:val="35"/>
    <w:qFormat/>
    <w:uiPriority w:val="0"/>
    <w:rPr>
      <w:rFonts w:ascii="font-weight : 400" w:hAnsi="font-weight : 400" w:eastAsia="font-weight : 400" w:cs="font-weight : 400"/>
      <w:color w:val="000000"/>
      <w:sz w:val="22"/>
      <w:szCs w:val="22"/>
      <w:u w:val="none"/>
    </w:rPr>
  </w:style>
  <w:style w:type="character" w:customStyle="1" w:styleId="80">
    <w:name w:val="font121"/>
    <w:basedOn w:val="35"/>
    <w:qFormat/>
    <w:uiPriority w:val="0"/>
    <w:rPr>
      <w:rFonts w:ascii="MS Gothic" w:hAnsi="MS Gothic" w:eastAsia="MS Gothic" w:cs="MS Gothic"/>
      <w:color w:val="000000"/>
      <w:sz w:val="18"/>
      <w:szCs w:val="18"/>
      <w:u w:val="none"/>
    </w:rPr>
  </w:style>
  <w:style w:type="character" w:customStyle="1" w:styleId="81">
    <w:name w:val="标题 2 Char"/>
    <w:qFormat/>
    <w:uiPriority w:val="0"/>
    <w:rPr>
      <w:rFonts w:ascii="Cambria" w:hAnsi="Cambria" w:eastAsia="宋体" w:cs="Times New Roman"/>
      <w:b/>
      <w:bCs/>
      <w:sz w:val="32"/>
      <w:szCs w:val="32"/>
    </w:rPr>
  </w:style>
  <w:style w:type="character" w:customStyle="1" w:styleId="82">
    <w:name w:val="font31"/>
    <w:basedOn w:val="35"/>
    <w:qFormat/>
    <w:uiPriority w:val="0"/>
    <w:rPr>
      <w:rFonts w:hint="eastAsia" w:ascii="宋体" w:hAnsi="宋体" w:eastAsia="宋体" w:cs="宋体"/>
      <w:color w:val="000000"/>
      <w:sz w:val="18"/>
      <w:szCs w:val="18"/>
      <w:u w:val="none"/>
    </w:rPr>
  </w:style>
  <w:style w:type="character" w:customStyle="1" w:styleId="83">
    <w:name w:val="font11"/>
    <w:basedOn w:val="35"/>
    <w:qFormat/>
    <w:uiPriority w:val="0"/>
    <w:rPr>
      <w:rFonts w:ascii="Tahoma" w:hAnsi="Tahoma" w:eastAsia="Tahoma" w:cs="Tahoma"/>
      <w:color w:val="808080"/>
      <w:sz w:val="18"/>
      <w:szCs w:val="18"/>
      <w:u w:val="none"/>
    </w:rPr>
  </w:style>
  <w:style w:type="character" w:customStyle="1" w:styleId="84">
    <w:name w:val="hui1"/>
    <w:basedOn w:val="35"/>
    <w:uiPriority w:val="0"/>
    <w:rPr>
      <w:rFonts w:ascii="Times New Roman" w:hAnsi="Times New Roman" w:eastAsia="宋体" w:cs="Times New Roman"/>
      <w:color w:val="999999"/>
    </w:rPr>
  </w:style>
  <w:style w:type="character" w:customStyle="1" w:styleId="85">
    <w:name w:val="页眉 Char1"/>
    <w:qFormat/>
    <w:uiPriority w:val="0"/>
    <w:rPr>
      <w:rFonts w:ascii="Times New Roman" w:hAnsi="Times New Roman" w:eastAsia="宋体" w:cs="Times New Roman"/>
      <w:sz w:val="18"/>
      <w:szCs w:val="18"/>
    </w:rPr>
  </w:style>
  <w:style w:type="character" w:customStyle="1" w:styleId="86">
    <w:name w:val="zt-lm1-r-t-xz2"/>
    <w:basedOn w:val="35"/>
    <w:qFormat/>
    <w:uiPriority w:val="0"/>
    <w:rPr>
      <w:rFonts w:ascii="Times New Roman" w:hAnsi="Times New Roman" w:eastAsia="宋体" w:cs="Times New Roman"/>
    </w:rPr>
  </w:style>
  <w:style w:type="character" w:customStyle="1" w:styleId="87">
    <w:name w:val="font21"/>
    <w:basedOn w:val="35"/>
    <w:uiPriority w:val="0"/>
    <w:rPr>
      <w:rFonts w:hint="eastAsia" w:ascii="宋体" w:hAnsi="宋体" w:eastAsia="宋体" w:cs="宋体"/>
      <w:color w:val="000000"/>
      <w:sz w:val="22"/>
      <w:szCs w:val="22"/>
      <w:u w:val="none"/>
    </w:rPr>
  </w:style>
  <w:style w:type="character" w:customStyle="1" w:styleId="88">
    <w:name w:val="font112"/>
    <w:basedOn w:val="35"/>
    <w:qFormat/>
    <w:uiPriority w:val="0"/>
    <w:rPr>
      <w:rFonts w:hint="eastAsia" w:ascii="宋体" w:hAnsi="宋体" w:eastAsia="宋体" w:cs="宋体"/>
      <w:color w:val="808080"/>
      <w:sz w:val="18"/>
      <w:szCs w:val="18"/>
      <w:u w:val="none"/>
    </w:rPr>
  </w:style>
  <w:style w:type="character" w:customStyle="1" w:styleId="89">
    <w:name w:val="标题 8 Char"/>
    <w:qFormat/>
    <w:uiPriority w:val="0"/>
    <w:rPr>
      <w:rFonts w:ascii="Cambria" w:hAnsi="Cambria" w:eastAsia="宋体" w:cs="Times New Roman"/>
      <w:sz w:val="24"/>
      <w:szCs w:val="24"/>
    </w:rPr>
  </w:style>
  <w:style w:type="character" w:customStyle="1" w:styleId="90">
    <w:name w:val="标题 6 Char"/>
    <w:qFormat/>
    <w:uiPriority w:val="0"/>
    <w:rPr>
      <w:rFonts w:ascii="Cambria" w:hAnsi="Cambria" w:eastAsia="宋体" w:cs="Times New Roman"/>
      <w:b/>
      <w:bCs/>
      <w:sz w:val="24"/>
      <w:szCs w:val="24"/>
    </w:rPr>
  </w:style>
  <w:style w:type="character" w:customStyle="1" w:styleId="91">
    <w:name w:val="纯文本 Char"/>
    <w:qFormat/>
    <w:uiPriority w:val="0"/>
    <w:rPr>
      <w:rFonts w:ascii="宋体" w:hAnsi="Courier New" w:eastAsia="宋体" w:cs="Courier New"/>
      <w:szCs w:val="21"/>
    </w:rPr>
  </w:style>
  <w:style w:type="character" w:customStyle="1" w:styleId="92">
    <w:name w:val="标题 4 Char Char"/>
    <w:qFormat/>
    <w:uiPriority w:val="0"/>
    <w:rPr>
      <w:rFonts w:ascii="Calibri" w:hAnsi="Calibri" w:eastAsia="黑体" w:cs="Times New Roman"/>
      <w:b/>
      <w:bCs/>
      <w:kern w:val="2"/>
      <w:sz w:val="28"/>
      <w:szCs w:val="28"/>
      <w:lang w:val="en-US" w:eastAsia="zh-CN" w:bidi="ar-SA"/>
    </w:rPr>
  </w:style>
  <w:style w:type="character" w:customStyle="1" w:styleId="93">
    <w:name w:val="zt-lm1-r-t-xz1"/>
    <w:basedOn w:val="35"/>
    <w:qFormat/>
    <w:uiPriority w:val="0"/>
    <w:rPr>
      <w:rFonts w:ascii="Times New Roman" w:hAnsi="Times New Roman" w:eastAsia="宋体" w:cs="Times New Roman"/>
    </w:rPr>
  </w:style>
  <w:style w:type="character" w:customStyle="1" w:styleId="94">
    <w:name w:val="hui"/>
    <w:basedOn w:val="35"/>
    <w:qFormat/>
    <w:uiPriority w:val="0"/>
    <w:rPr>
      <w:rFonts w:ascii="Times New Roman" w:hAnsi="Times New Roman" w:eastAsia="宋体" w:cs="Times New Roman"/>
      <w:color w:val="999999"/>
    </w:rPr>
  </w:style>
  <w:style w:type="character" w:customStyle="1" w:styleId="95">
    <w:name w:val="批注框文本 Char"/>
    <w:qFormat/>
    <w:uiPriority w:val="0"/>
    <w:rPr>
      <w:rFonts w:ascii="Calibri" w:hAnsi="Calibri" w:eastAsia="宋体" w:cs="Times New Roman"/>
      <w:sz w:val="18"/>
      <w:szCs w:val="18"/>
    </w:rPr>
  </w:style>
  <w:style w:type="character" w:customStyle="1" w:styleId="96">
    <w:name w:val="标题 3 Char"/>
    <w:qFormat/>
    <w:uiPriority w:val="0"/>
    <w:rPr>
      <w:rFonts w:ascii="Calibri" w:hAnsi="Calibri" w:eastAsia="宋体" w:cs="Times New Roman"/>
      <w:b/>
      <w:bCs/>
      <w:sz w:val="32"/>
      <w:szCs w:val="32"/>
    </w:rPr>
  </w:style>
  <w:style w:type="character" w:customStyle="1" w:styleId="97">
    <w:name w:val="zx-xuan1"/>
    <w:basedOn w:val="35"/>
    <w:qFormat/>
    <w:uiPriority w:val="0"/>
    <w:rPr>
      <w:rFonts w:ascii="Î¢ï¿½ï¿½ï¿½Åºï¿½" w:hAnsi="Î¢ï¿½ï¿½ï¿½Åºï¿½" w:eastAsia="Î¢ï¿½ï¿½ï¿½Åºï¿½" w:cs="Î¢ï¿½ï¿½ï¿½Åºï¿½"/>
      <w:color w:val="FFFFFF"/>
      <w:sz w:val="27"/>
      <w:szCs w:val="27"/>
      <w:shd w:val="clear" w:color="auto" w:fill="3F6ECF"/>
    </w:rPr>
  </w:style>
  <w:style w:type="character" w:customStyle="1" w:styleId="98">
    <w:name w:val="zt-lm1-r-t-xz"/>
    <w:basedOn w:val="35"/>
    <w:qFormat/>
    <w:uiPriority w:val="0"/>
    <w:rPr>
      <w:rFonts w:ascii="Times New Roman" w:hAnsi="Times New Roman" w:eastAsia="宋体" w:cs="Times New Roman"/>
      <w:shd w:val="clear" w:color="auto" w:fill="0359A6"/>
    </w:rPr>
  </w:style>
  <w:style w:type="character" w:customStyle="1" w:styleId="99">
    <w:name w:val="标题 4 Char"/>
    <w:qFormat/>
    <w:uiPriority w:val="0"/>
    <w:rPr>
      <w:rFonts w:ascii="Cambria" w:hAnsi="Cambria" w:eastAsia="宋体" w:cs="Times New Roman"/>
      <w:b/>
      <w:bCs/>
      <w:sz w:val="28"/>
      <w:szCs w:val="28"/>
    </w:rPr>
  </w:style>
  <w:style w:type="character" w:customStyle="1" w:styleId="100">
    <w:name w:val="批注文字 Char"/>
    <w:qFormat/>
    <w:uiPriority w:val="0"/>
    <w:rPr>
      <w:rFonts w:ascii="Calibri" w:hAnsi="Calibri" w:eastAsia="宋体" w:cs="Times New Roman"/>
    </w:rPr>
  </w:style>
  <w:style w:type="character" w:customStyle="1" w:styleId="101">
    <w:name w:val="正文文本缩进 3 Char"/>
    <w:qFormat/>
    <w:uiPriority w:val="0"/>
    <w:rPr>
      <w:rFonts w:ascii="Calibri" w:hAnsi="Calibri" w:eastAsia="宋体" w:cs="Times New Roman"/>
      <w:sz w:val="16"/>
      <w:szCs w:val="16"/>
    </w:rPr>
  </w:style>
  <w:style w:type="paragraph" w:customStyle="1" w:styleId="102">
    <w:name w:val="标题 1 +"/>
    <w:basedOn w:val="3"/>
    <w:next w:val="1"/>
    <w:qFormat/>
    <w:uiPriority w:val="0"/>
    <w:pPr>
      <w:keepLines/>
      <w:spacing w:line="600" w:lineRule="auto"/>
    </w:pPr>
    <w:rPr>
      <w:rFonts w:ascii="Calibri" w:hAnsi="Calibri" w:eastAsia="黑体" w:cs="Times New Roman"/>
      <w:kern w:val="0"/>
      <w:sz w:val="32"/>
      <w:szCs w:val="32"/>
    </w:rPr>
  </w:style>
  <w:style w:type="paragraph" w:customStyle="1" w:styleId="103">
    <w:name w:val="标题3"/>
    <w:basedOn w:val="3"/>
    <w:qFormat/>
    <w:uiPriority w:val="0"/>
    <w:pPr>
      <w:spacing w:before="156" w:beforeLines="50" w:after="156" w:afterLines="50" w:line="400" w:lineRule="exact"/>
      <w:jc w:val="both"/>
    </w:pPr>
    <w:rPr>
      <w:rFonts w:ascii="宋体" w:hAnsi="宋体" w:eastAsia="Calibri" w:cs="Times New Roman"/>
      <w:kern w:val="32"/>
      <w:szCs w:val="32"/>
    </w:rPr>
  </w:style>
  <w:style w:type="paragraph" w:customStyle="1" w:styleId="104">
    <w:name w:val="样式 标题 2 + 宋体 五号 行距: 单倍行距"/>
    <w:basedOn w:val="4"/>
    <w:qFormat/>
    <w:uiPriority w:val="0"/>
    <w:pPr>
      <w:tabs>
        <w:tab w:val="left" w:pos="2175"/>
      </w:tabs>
      <w:adjustRightInd w:val="0"/>
      <w:spacing w:before="260" w:beforeLines="0" w:after="260" w:afterLines="0" w:line="240" w:lineRule="auto"/>
      <w:ind w:left="2175" w:hanging="1275"/>
      <w:jc w:val="left"/>
      <w:textAlignment w:val="baseline"/>
    </w:pPr>
    <w:rPr>
      <w:rFonts w:ascii="宋体" w:hAnsi="宋体" w:eastAsia="Calibri" w:cs="Times New Roman"/>
      <w:kern w:val="0"/>
      <w:sz w:val="21"/>
      <w:szCs w:val="20"/>
    </w:rPr>
  </w:style>
  <w:style w:type="paragraph" w:styleId="105">
    <w:name w:val="List Paragraph"/>
    <w:basedOn w:val="1"/>
    <w:qFormat/>
    <w:uiPriority w:val="0"/>
    <w:pPr>
      <w:ind w:firstLine="420" w:firstLineChars="200"/>
    </w:pPr>
    <w:rPr>
      <w:rFonts w:ascii="Calibri" w:hAnsi="Calibri" w:eastAsia="Calibri" w:cs="Times New Roman"/>
    </w:rPr>
  </w:style>
  <w:style w:type="paragraph" w:customStyle="1" w:styleId="106">
    <w:name w:val="列出段落1"/>
    <w:basedOn w:val="1"/>
    <w:qFormat/>
    <w:uiPriority w:val="0"/>
    <w:pPr>
      <w:ind w:firstLine="420" w:firstLineChars="200"/>
    </w:pPr>
    <w:rPr>
      <w:rFonts w:ascii="Calibri" w:hAnsi="Calibri" w:eastAsia="Calibri" w:cs="Times New Roman"/>
      <w:color w:val="595959"/>
    </w:rPr>
  </w:style>
  <w:style w:type="paragraph" w:customStyle="1" w:styleId="107">
    <w:name w:val="样式 标题 2 + Times New Roman 四号 非加粗 段前: 5 磅 段后: 0 磅 行距: 固定值 20..."/>
    <w:basedOn w:val="4"/>
    <w:qFormat/>
    <w:uiPriority w:val="0"/>
    <w:pPr>
      <w:spacing w:before="100" w:beforeLines="0" w:line="400" w:lineRule="exact"/>
    </w:pPr>
    <w:rPr>
      <w:rFonts w:ascii="Times New Roman" w:hAnsi="Times New Roman" w:eastAsia="黑体" w:cs="Times New Roman"/>
      <w:b w:val="0"/>
      <w:bCs w:val="0"/>
      <w:sz w:val="28"/>
      <w:szCs w:val="20"/>
    </w:rPr>
  </w:style>
  <w:style w:type="paragraph" w:customStyle="1" w:styleId="108">
    <w:name w:val="标题 2（网御星云）"/>
    <w:basedOn w:val="4"/>
    <w:next w:val="1"/>
    <w:qFormat/>
    <w:uiPriority w:val="0"/>
    <w:pPr>
      <w:spacing w:line="413" w:lineRule="auto"/>
      <w:ind w:left="794" w:hanging="794"/>
      <w:jc w:val="left"/>
    </w:pPr>
    <w:rPr>
      <w:rFonts w:ascii="Arial" w:hAnsi="Arial" w:eastAsia="黑体" w:cs="Times New Roman"/>
      <w:bCs w:val="0"/>
      <w:kern w:val="2"/>
      <w:lang w:val="en-US" w:eastAsia="zh-CN"/>
    </w:rPr>
  </w:style>
  <w:style w:type="paragraph" w:customStyle="1" w:styleId="109">
    <w:name w:val="TOC Heading"/>
    <w:basedOn w:val="3"/>
    <w:next w:val="1"/>
    <w:qFormat/>
    <w:uiPriority w:val="0"/>
    <w:pPr>
      <w:outlineLvl w:val="9"/>
    </w:pPr>
    <w:rPr>
      <w:rFonts w:ascii="Calibri" w:hAnsi="Calibri" w:eastAsia="Calibri" w:cs="Times New Roman"/>
    </w:rPr>
  </w:style>
  <w:style w:type="paragraph" w:customStyle="1" w:styleId="110">
    <w:name w:val="_Style 6"/>
    <w:basedOn w:val="1"/>
    <w:qFormat/>
    <w:uiPriority w:val="0"/>
    <w:pPr>
      <w:ind w:firstLine="420" w:firstLineChars="200"/>
    </w:pPr>
    <w:rPr>
      <w:rFonts w:ascii="Calibri" w:hAnsi="Calibri" w:eastAsia="Calibri" w:cs="Times New Roman"/>
    </w:rPr>
  </w:style>
  <w:style w:type="paragraph" w:customStyle="1" w:styleId="111">
    <w:name w:val="Table Paragraph"/>
    <w:basedOn w:val="1"/>
    <w:qFormat/>
    <w:uiPriority w:val="0"/>
    <w:rPr>
      <w:rFonts w:ascii="宋体" w:hAnsi="宋体" w:eastAsia="宋体" w:cs="宋体"/>
      <w:lang w:val="zh-CN" w:eastAsia="zh-CN" w:bidi="zh-CN"/>
    </w:rPr>
  </w:style>
  <w:style w:type="paragraph" w:customStyle="1" w:styleId="112">
    <w:name w:val="Char"/>
    <w:basedOn w:val="1"/>
    <w:qFormat/>
    <w:uiPriority w:val="0"/>
    <w:pPr>
      <w:widowControl/>
      <w:spacing w:line="400" w:lineRule="exact"/>
      <w:jc w:val="center"/>
    </w:pPr>
    <w:rPr>
      <w:rFonts w:ascii="Times New Roman" w:hAnsi="Times New Roman" w:eastAsia="Calibri"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header" Target="header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26045</Words>
  <Characters>27263</Characters>
  <Lines>177</Lines>
  <Paragraphs>49</Paragraphs>
  <TotalTime>157280641</TotalTime>
  <ScaleCrop>false</ScaleCrop>
  <LinksUpToDate>false</LinksUpToDate>
  <CharactersWithSpaces>29129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2018-02-27T03:19:00Z</dcterms:created>
  <dc:creator>Administrator</dc:creator>
  <cp:lastModifiedBy>安居客 李绪文17689854514</cp:lastModifiedBy>
  <cp:lastPrinted>2019-12-13T01:27:00Z</cp:lastPrinted>
  <dcterms:modified xsi:type="dcterms:W3CDTF">2022-06-01T09:27:35Z</dcterms:modified>
  <dc:title>海南省政府采购文件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1343DC27298C4A9BBFA2777D058A728B</vt:lpwstr>
  </property>
  <property fmtid="{D5CDD505-2E9C-101B-9397-08002B2CF9AE}" pid="3" name="KSOProductBuildVer">
    <vt:lpwstr>2052-11.1.0.11365</vt:lpwstr>
  </property>
</Properties>
</file>