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4B" w:rsidRPr="00040D61" w:rsidRDefault="00B408B4">
      <w:pPr>
        <w:tabs>
          <w:tab w:val="left" w:leader="middleDot" w:pos="7740"/>
        </w:tabs>
        <w:spacing w:line="500" w:lineRule="exact"/>
        <w:jc w:val="center"/>
        <w:rPr>
          <w:rStyle w:val="1Char1"/>
        </w:rPr>
      </w:pPr>
      <w:r w:rsidRPr="00040D61">
        <w:rPr>
          <w:rStyle w:val="1Char1"/>
          <w:rFonts w:hint="eastAsia"/>
        </w:rPr>
        <w:t>采购需求</w:t>
      </w:r>
    </w:p>
    <w:p w:rsidR="0021554B" w:rsidRPr="00040D61" w:rsidRDefault="0021554B">
      <w:pPr>
        <w:spacing w:line="440" w:lineRule="exact"/>
        <w:rPr>
          <w:rFonts w:ascii="黑体" w:eastAsia="黑体" w:hAnsi="黑体"/>
          <w:b/>
          <w:bCs/>
          <w:sz w:val="28"/>
          <w:szCs w:val="28"/>
        </w:rPr>
      </w:pPr>
      <w:bookmarkStart w:id="0" w:name="_Toc8580936"/>
      <w:bookmarkStart w:id="1" w:name="_Toc45065159"/>
      <w:bookmarkStart w:id="2" w:name="_Toc19799799"/>
      <w:bookmarkStart w:id="3" w:name="_Toc19453198"/>
    </w:p>
    <w:bookmarkEnd w:id="0"/>
    <w:bookmarkEnd w:id="1"/>
    <w:bookmarkEnd w:id="2"/>
    <w:bookmarkEnd w:id="3"/>
    <w:p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hint="eastAsia"/>
          <w:b/>
          <w:bCs/>
          <w:sz w:val="28"/>
          <w:szCs w:val="28"/>
        </w:rPr>
        <w:t>一、 项目概况</w:t>
      </w:r>
    </w:p>
    <w:p w:rsidR="0021554B" w:rsidRPr="00040D61" w:rsidRDefault="00B408B4">
      <w:pPr>
        <w:spacing w:line="460" w:lineRule="exact"/>
        <w:ind w:firstLineChars="200" w:firstLine="440"/>
        <w:contextualSpacing/>
        <w:rPr>
          <w:rFonts w:ascii="黑体" w:eastAsia="黑体" w:hAnsi="黑体"/>
          <w:bCs/>
          <w:sz w:val="22"/>
          <w:szCs w:val="28"/>
        </w:rPr>
      </w:pPr>
      <w:r w:rsidRPr="00040D61">
        <w:rPr>
          <w:rFonts w:ascii="黑体" w:eastAsia="黑体" w:hAnsi="黑体" w:hint="eastAsia"/>
          <w:bCs/>
          <w:sz w:val="22"/>
          <w:szCs w:val="28"/>
        </w:rPr>
        <w:t>1、项目名称：岛礁浮式平台基础通信覆盖设备采购</w:t>
      </w:r>
    </w:p>
    <w:p w:rsidR="0021554B" w:rsidRPr="00040D61" w:rsidRDefault="00B408B4">
      <w:pPr>
        <w:spacing w:line="460" w:lineRule="exact"/>
        <w:ind w:firstLineChars="200" w:firstLine="440"/>
        <w:contextualSpacing/>
        <w:rPr>
          <w:rFonts w:ascii="黑体" w:eastAsia="黑体" w:hAnsi="黑体"/>
          <w:bCs/>
          <w:sz w:val="22"/>
          <w:szCs w:val="28"/>
        </w:rPr>
      </w:pPr>
      <w:r w:rsidRPr="00040D61">
        <w:rPr>
          <w:rFonts w:ascii="黑体" w:eastAsia="黑体" w:hAnsi="黑体" w:hint="eastAsia"/>
          <w:bCs/>
          <w:sz w:val="22"/>
          <w:szCs w:val="28"/>
        </w:rPr>
        <w:t>2、项目编号：</w:t>
      </w:r>
      <w:r w:rsidR="00DB2BEB">
        <w:rPr>
          <w:rFonts w:ascii="黑体" w:eastAsia="黑体" w:hAnsi="黑体" w:hint="eastAsia"/>
          <w:bCs/>
          <w:sz w:val="22"/>
          <w:szCs w:val="28"/>
        </w:rPr>
        <w:t>H</w:t>
      </w:r>
      <w:r w:rsidR="00DB2BEB">
        <w:rPr>
          <w:rFonts w:ascii="黑体" w:eastAsia="黑体" w:hAnsi="黑体"/>
          <w:bCs/>
          <w:sz w:val="22"/>
          <w:szCs w:val="28"/>
        </w:rPr>
        <w:t>NXC-2022-014</w:t>
      </w:r>
    </w:p>
    <w:p w:rsidR="0021554B" w:rsidRPr="00040D61" w:rsidRDefault="00B408B4">
      <w:pPr>
        <w:spacing w:line="460" w:lineRule="exact"/>
        <w:ind w:firstLineChars="200" w:firstLine="440"/>
        <w:contextualSpacing/>
        <w:rPr>
          <w:rFonts w:ascii="黑体" w:eastAsia="黑体" w:hAnsi="黑体"/>
          <w:bCs/>
          <w:sz w:val="22"/>
          <w:szCs w:val="28"/>
        </w:rPr>
      </w:pPr>
      <w:r w:rsidRPr="00040D61">
        <w:rPr>
          <w:rFonts w:ascii="黑体" w:eastAsia="黑体" w:hAnsi="黑体" w:hint="eastAsia"/>
          <w:bCs/>
          <w:sz w:val="22"/>
          <w:szCs w:val="28"/>
        </w:rPr>
        <w:t>3、采购预算金额：378.5万元（投标报价不得超过采购预算金额，否则按无效投处理）</w:t>
      </w:r>
    </w:p>
    <w:p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hint="eastAsia"/>
          <w:b/>
          <w:bCs/>
          <w:sz w:val="28"/>
          <w:szCs w:val="28"/>
        </w:rPr>
        <w:t>二、项目背景</w:t>
      </w:r>
    </w:p>
    <w:p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三沙市岛礁浮式平台已经开始对市属各部门提供岛际中转、科学试验、生态保护等多种功能服务，各部门多人次已经上平台使用开展各类工作。但目前平台上经常存在没有移动网络、通信信号质量差、通话质量不高，严重影响平台功能的使用。由于目前仅仅依靠晋卿岛的移动网络信号，造成信号不稳定，同时一旦平台移动，则没有移动网络，将严重影响平台功能使用。</w:t>
      </w:r>
    </w:p>
    <w:p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本项目主要目标是在岛礁浮式平台上实现船岸一体化通信能力，提供岛礁浮式平台信息化综合监利，保障岛礁浮式平台安全运行。</w:t>
      </w:r>
    </w:p>
    <w:p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hint="eastAsia"/>
          <w:b/>
          <w:bCs/>
          <w:sz w:val="28"/>
          <w:szCs w:val="28"/>
        </w:rPr>
        <w:t>三、主要内容：</w:t>
      </w:r>
    </w:p>
    <w:p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为了保障岛礁浮式平台在远海通信盲区的无线通信，三沙市旅游文化和交通运输局计划在岛礁复式平台上新建1套通信系统，详细内容为：</w:t>
      </w:r>
    </w:p>
    <w:p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hint="eastAsia"/>
          <w:sz w:val="22"/>
          <w:szCs w:val="22"/>
        </w:rPr>
        <w:tab/>
        <w:t>新建船载室内分布系统1套，</w:t>
      </w:r>
    </w:p>
    <w:p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2)</w:t>
      </w:r>
      <w:r w:rsidRPr="00040D61">
        <w:rPr>
          <w:rFonts w:ascii="黑体" w:eastAsia="黑体" w:hAnsi="黑体" w:hint="eastAsia"/>
          <w:sz w:val="22"/>
          <w:szCs w:val="22"/>
        </w:rPr>
        <w:tab/>
        <w:t>新建船载卫星通信系统1套，</w:t>
      </w:r>
    </w:p>
    <w:p w:rsidR="0021554B" w:rsidRPr="00040D61" w:rsidRDefault="00B408B4">
      <w:pPr>
        <w:spacing w:line="460" w:lineRule="exact"/>
        <w:ind w:firstLineChars="150" w:firstLine="330"/>
        <w:contextualSpacing/>
        <w:rPr>
          <w:rFonts w:ascii="黑体" w:eastAsia="黑体" w:hAnsi="黑体"/>
          <w:sz w:val="22"/>
          <w:szCs w:val="22"/>
        </w:rPr>
      </w:pPr>
      <w:r w:rsidRPr="00040D61">
        <w:rPr>
          <w:rFonts w:ascii="黑体" w:eastAsia="黑体" w:hAnsi="黑体" w:hint="eastAsia"/>
          <w:sz w:val="22"/>
          <w:szCs w:val="22"/>
        </w:rPr>
        <w:t>3)</w:t>
      </w:r>
      <w:r w:rsidRPr="00040D61">
        <w:rPr>
          <w:rFonts w:ascii="黑体" w:eastAsia="黑体" w:hAnsi="黑体" w:hint="eastAsia"/>
          <w:sz w:val="22"/>
          <w:szCs w:val="22"/>
        </w:rPr>
        <w:tab/>
        <w:t>整体安装实施工程。</w:t>
      </w:r>
    </w:p>
    <w:p w:rsidR="0021554B" w:rsidRPr="00040D61" w:rsidRDefault="00B408B4">
      <w:pPr>
        <w:spacing w:line="460" w:lineRule="exact"/>
        <w:contextualSpacing/>
        <w:rPr>
          <w:rFonts w:ascii="黑体" w:eastAsia="黑体" w:hAnsi="黑体"/>
          <w:b/>
          <w:bCs/>
          <w:sz w:val="28"/>
          <w:szCs w:val="28"/>
        </w:rPr>
      </w:pPr>
      <w:r w:rsidRPr="00040D61">
        <w:rPr>
          <w:rFonts w:ascii="黑体" w:eastAsia="黑体" w:hAnsi="黑体"/>
          <w:b/>
          <w:bCs/>
          <w:sz w:val="28"/>
          <w:szCs w:val="28"/>
        </w:rPr>
        <w:t>四</w:t>
      </w:r>
      <w:r w:rsidRPr="00040D61">
        <w:rPr>
          <w:rFonts w:ascii="黑体" w:eastAsia="黑体" w:hAnsi="黑体" w:hint="eastAsia"/>
          <w:b/>
          <w:bCs/>
          <w:sz w:val="28"/>
          <w:szCs w:val="28"/>
        </w:rPr>
        <w:t>、主要</w:t>
      </w:r>
      <w:r w:rsidRPr="00040D61">
        <w:rPr>
          <w:rFonts w:ascii="黑体" w:eastAsia="黑体" w:hAnsi="黑体"/>
          <w:b/>
          <w:bCs/>
          <w:sz w:val="28"/>
          <w:szCs w:val="28"/>
        </w:rPr>
        <w:t>技术及参数要求</w:t>
      </w:r>
      <w:r w:rsidRPr="00040D61">
        <w:rPr>
          <w:rFonts w:ascii="黑体" w:eastAsia="黑体" w:hAnsi="黑体" w:hint="eastAsia"/>
          <w:b/>
          <w:bCs/>
          <w:sz w:val="28"/>
          <w:szCs w:val="28"/>
        </w:rPr>
        <w:t>：</w:t>
      </w:r>
    </w:p>
    <w:p w:rsidR="0021554B" w:rsidRPr="00040D61" w:rsidRDefault="00B408B4">
      <w:pPr>
        <w:pStyle w:val="2"/>
        <w:spacing w:before="0" w:after="0" w:line="460" w:lineRule="exact"/>
        <w:contextualSpacing/>
        <w:jc w:val="left"/>
        <w:rPr>
          <w:rFonts w:ascii="黑体" w:eastAsia="黑体" w:hAnsi="黑体" w:cs="宋体"/>
          <w:sz w:val="22"/>
          <w:szCs w:val="22"/>
        </w:rPr>
      </w:pPr>
      <w:r w:rsidRPr="00040D61">
        <w:rPr>
          <w:rFonts w:ascii="黑体" w:eastAsia="黑体" w:hAnsi="黑体" w:cs="宋体" w:hint="eastAsia"/>
          <w:sz w:val="22"/>
          <w:szCs w:val="22"/>
        </w:rPr>
        <w:t>1. 船载卫星天线系统</w:t>
      </w:r>
    </w:p>
    <w:p w:rsidR="0021554B" w:rsidRPr="00040D61" w:rsidRDefault="00B408B4">
      <w:pPr>
        <w:spacing w:line="460" w:lineRule="exact"/>
        <w:ind w:firstLine="420"/>
        <w:contextualSpacing/>
        <w:rPr>
          <w:rFonts w:ascii="黑体" w:eastAsia="黑体" w:hAnsi="黑体" w:cs="宋体"/>
          <w:sz w:val="22"/>
          <w:szCs w:val="22"/>
        </w:rPr>
      </w:pPr>
      <w:bookmarkStart w:id="4" w:name="_Toc79424089"/>
      <w:bookmarkStart w:id="5" w:name="_Toc84834690"/>
      <w:bookmarkStart w:id="6" w:name="_Toc79424096"/>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1</w:t>
      </w:r>
      <w:r w:rsidRPr="00040D61">
        <w:rPr>
          <w:rFonts w:ascii="黑体" w:eastAsia="黑体" w:hAnsi="黑体" w:cs="宋体" w:hint="eastAsia"/>
          <w:sz w:val="22"/>
          <w:szCs w:val="22"/>
        </w:rPr>
        <w:t>卫星天线系统组成</w:t>
      </w:r>
      <w:bookmarkEnd w:id="4"/>
    </w:p>
    <w:p w:rsidR="0021554B" w:rsidRPr="00040D61" w:rsidRDefault="00B408B4">
      <w:pPr>
        <w:spacing w:line="460" w:lineRule="exact"/>
        <w:ind w:firstLineChars="150" w:firstLine="330"/>
        <w:contextualSpacing/>
        <w:rPr>
          <w:rFonts w:ascii="黑体" w:eastAsia="黑体" w:hAnsi="黑体" w:cs="宋体"/>
          <w:sz w:val="22"/>
          <w:szCs w:val="22"/>
        </w:rPr>
      </w:pPr>
      <w:r w:rsidRPr="00040D61">
        <w:rPr>
          <w:rFonts w:ascii="黑体" w:eastAsia="黑体" w:hAnsi="黑体" w:cs="宋体" w:hint="eastAsia"/>
          <w:sz w:val="22"/>
          <w:szCs w:val="22"/>
        </w:rPr>
        <w:t>（1）上甲板设备</w:t>
      </w:r>
      <w:r w:rsidRPr="00040D61">
        <w:rPr>
          <w:rFonts w:ascii="黑体" w:eastAsia="黑体" w:hAnsi="黑体" w:cs="宋体"/>
          <w:sz w:val="22"/>
          <w:szCs w:val="22"/>
        </w:rPr>
        <w:t>：</w:t>
      </w:r>
      <w:r w:rsidRPr="00040D61">
        <w:rPr>
          <w:rFonts w:ascii="黑体" w:eastAsia="黑体" w:hAnsi="黑体" w:cs="宋体" w:hint="eastAsia"/>
          <w:sz w:val="22"/>
          <w:szCs w:val="22"/>
        </w:rPr>
        <w:t>上甲板设备由天线罩、馈源组合、天线反射面、天线转台、BUC、LNB、天线基座组成。</w:t>
      </w:r>
    </w:p>
    <w:p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（2）下甲板设备</w:t>
      </w:r>
      <w:r w:rsidRPr="00040D61">
        <w:rPr>
          <w:rFonts w:ascii="黑体" w:eastAsia="黑体" w:hAnsi="黑体" w:cs="宋体"/>
          <w:sz w:val="22"/>
          <w:szCs w:val="22"/>
        </w:rPr>
        <w:t>：</w:t>
      </w:r>
      <w:r w:rsidRPr="00040D61">
        <w:rPr>
          <w:rFonts w:ascii="黑体" w:eastAsia="黑体" w:hAnsi="黑体" w:cs="宋体" w:hint="eastAsia"/>
          <w:sz w:val="22"/>
          <w:szCs w:val="22"/>
        </w:rPr>
        <w:t>下甲板设备为天线控制器，调制解调器等组成。</w:t>
      </w:r>
    </w:p>
    <w:p w:rsidR="0021554B" w:rsidRPr="00040D61" w:rsidRDefault="00B408B4">
      <w:pPr>
        <w:spacing w:line="460" w:lineRule="exact"/>
        <w:ind w:firstLine="420"/>
        <w:contextualSpacing/>
        <w:rPr>
          <w:rFonts w:ascii="黑体" w:eastAsia="黑体" w:hAnsi="黑体" w:cs="宋体"/>
          <w:sz w:val="22"/>
          <w:szCs w:val="22"/>
        </w:rPr>
      </w:pPr>
      <w:bookmarkStart w:id="7" w:name="_Toc79424091"/>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2</w:t>
      </w:r>
      <w:r w:rsidRPr="00040D61">
        <w:rPr>
          <w:rFonts w:ascii="黑体" w:eastAsia="黑体" w:hAnsi="黑体" w:cs="宋体" w:hint="eastAsia"/>
          <w:sz w:val="22"/>
          <w:szCs w:val="22"/>
        </w:rPr>
        <w:t>安装选址设计</w:t>
      </w:r>
      <w:bookmarkEnd w:id="7"/>
      <w:r w:rsidRPr="00040D61">
        <w:rPr>
          <w:rFonts w:ascii="黑体" w:eastAsia="黑体" w:hAnsi="黑体" w:cs="宋体" w:hint="eastAsia"/>
          <w:sz w:val="22"/>
          <w:szCs w:val="22"/>
        </w:rPr>
        <w:t>要求</w:t>
      </w:r>
    </w:p>
    <w:p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考虑船上工作环境的复杂性，天线安装选址时，要考虑有无遮挡、电磁环境干扰、天线系统的尺寸和重量影响、布线等因素，卫星天线安装选址主要遵循的原则是：</w:t>
      </w:r>
    </w:p>
    <w:p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天线平台应尽量安装在船首到船未不偏离中心线上的位置；</w:t>
      </w:r>
    </w:p>
    <w:p w:rsidR="0021554B" w:rsidRPr="00040D61" w:rsidRDefault="00B408B4">
      <w:pPr>
        <w:spacing w:line="460" w:lineRule="exact"/>
        <w:contextualSpacing/>
        <w:rPr>
          <w:rFonts w:ascii="黑体" w:eastAsia="黑体" w:hAnsi="黑体" w:cs="宋体"/>
          <w:sz w:val="22"/>
          <w:szCs w:val="22"/>
        </w:rPr>
      </w:pPr>
      <w:r w:rsidRPr="00040D61">
        <w:rPr>
          <w:rFonts w:ascii="黑体" w:eastAsia="黑体" w:hAnsi="黑体" w:cs="宋体" w:hint="eastAsia"/>
          <w:sz w:val="22"/>
          <w:szCs w:val="22"/>
        </w:rPr>
        <w:lastRenderedPageBreak/>
        <w:t>天线安装应尽量避开其他电子设备（雷达、短波通信设备），以防止互相干扰。</w:t>
      </w:r>
    </w:p>
    <w:p w:rsidR="0021554B" w:rsidRPr="00040D61" w:rsidRDefault="00B408B4">
      <w:pPr>
        <w:spacing w:line="460" w:lineRule="exact"/>
        <w:contextualSpacing/>
        <w:rPr>
          <w:rFonts w:ascii="黑体" w:eastAsia="黑体" w:hAnsi="黑体" w:cs="宋体"/>
          <w:sz w:val="22"/>
          <w:szCs w:val="22"/>
        </w:rPr>
      </w:pPr>
      <w:r w:rsidRPr="00040D61">
        <w:rPr>
          <w:rFonts w:ascii="黑体" w:eastAsia="黑体" w:hAnsi="黑体" w:cs="宋体" w:hint="eastAsia"/>
          <w:sz w:val="22"/>
          <w:szCs w:val="22"/>
        </w:rPr>
        <w:t>天线应尽量安装在视野空旷的位置，周围无遮挡物；</w:t>
      </w:r>
    </w:p>
    <w:p w:rsidR="0021554B" w:rsidRPr="00040D61" w:rsidRDefault="00B408B4">
      <w:pPr>
        <w:spacing w:line="460" w:lineRule="exact"/>
        <w:ind w:firstLine="420"/>
        <w:contextualSpacing/>
        <w:rPr>
          <w:rFonts w:ascii="黑体" w:eastAsia="黑体" w:hAnsi="黑体" w:cs="宋体"/>
          <w:sz w:val="22"/>
          <w:szCs w:val="22"/>
        </w:rPr>
      </w:pPr>
      <w:bookmarkStart w:id="8" w:name="_Toc79424092"/>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3</w:t>
      </w:r>
      <w:r w:rsidRPr="00040D61">
        <w:rPr>
          <w:rFonts w:ascii="黑体" w:eastAsia="黑体" w:hAnsi="黑体" w:cs="宋体" w:hint="eastAsia"/>
          <w:sz w:val="22"/>
          <w:szCs w:val="22"/>
        </w:rPr>
        <w:t>卫星天线安装平台</w:t>
      </w:r>
      <w:bookmarkEnd w:id="8"/>
      <w:r w:rsidRPr="00040D61">
        <w:rPr>
          <w:rFonts w:ascii="黑体" w:eastAsia="黑体" w:hAnsi="黑体" w:cs="宋体" w:hint="eastAsia"/>
          <w:sz w:val="22"/>
          <w:szCs w:val="22"/>
        </w:rPr>
        <w:t>要求</w:t>
      </w:r>
    </w:p>
    <w:p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为了保证卫星天线使用过程中的安全及可靠性，以及后期的维护保养，一般不会将卫星天线直接安装在船体甲板表面，需要在卫星天线基座下安装一个平台与船甲板做链接过渡，安装平台需在卫星天线安装前完成。</w:t>
      </w:r>
    </w:p>
    <w:p w:rsidR="0021554B" w:rsidRPr="00040D61" w:rsidRDefault="00B408B4">
      <w:pPr>
        <w:spacing w:line="460" w:lineRule="exact"/>
        <w:ind w:firstLine="420"/>
        <w:contextualSpacing/>
        <w:rPr>
          <w:rFonts w:ascii="黑体" w:eastAsia="黑体" w:hAnsi="黑体"/>
          <w:sz w:val="22"/>
          <w:szCs w:val="22"/>
        </w:rPr>
      </w:pPr>
      <w:r w:rsidRPr="00040D61">
        <w:rPr>
          <w:rFonts w:ascii="黑体" w:eastAsia="黑体" w:hAnsi="黑体" w:cs="宋体"/>
          <w:sz w:val="22"/>
          <w:szCs w:val="22"/>
        </w:rPr>
        <w:t>1</w:t>
      </w:r>
      <w:r w:rsidRPr="00040D61">
        <w:rPr>
          <w:rFonts w:ascii="黑体" w:eastAsia="黑体" w:hAnsi="黑体" w:cs="宋体" w:hint="eastAsia"/>
          <w:sz w:val="22"/>
          <w:szCs w:val="22"/>
        </w:rPr>
        <w:t>.</w:t>
      </w:r>
      <w:r w:rsidRPr="00040D61">
        <w:rPr>
          <w:rFonts w:ascii="黑体" w:eastAsia="黑体" w:hAnsi="黑体" w:cs="宋体"/>
          <w:sz w:val="22"/>
          <w:szCs w:val="22"/>
        </w:rPr>
        <w:t>4</w:t>
      </w:r>
      <w:r w:rsidRPr="00040D61">
        <w:rPr>
          <w:rFonts w:ascii="黑体" w:eastAsia="黑体" w:hAnsi="黑体" w:cs="宋体" w:hint="eastAsia"/>
          <w:sz w:val="22"/>
          <w:szCs w:val="22"/>
        </w:rPr>
        <w:t>卫星天线供电要求</w:t>
      </w:r>
    </w:p>
    <w:p w:rsidR="0021554B" w:rsidRPr="00040D61" w:rsidRDefault="00B408B4">
      <w:pPr>
        <w:spacing w:line="460" w:lineRule="exact"/>
        <w:ind w:firstLineChars="225" w:firstLine="495"/>
        <w:contextualSpacing/>
        <w:rPr>
          <w:rFonts w:ascii="黑体" w:eastAsia="黑体" w:hAnsi="黑体" w:cs="宋体"/>
          <w:sz w:val="22"/>
          <w:szCs w:val="22"/>
        </w:rPr>
      </w:pPr>
      <w:r w:rsidRPr="00040D61">
        <w:rPr>
          <w:rFonts w:ascii="黑体" w:eastAsia="黑体" w:hAnsi="黑体" w:cs="宋体" w:hint="eastAsia"/>
          <w:sz w:val="22"/>
          <w:szCs w:val="22"/>
        </w:rPr>
        <w:t>（1）天线空调供电</w:t>
      </w:r>
      <w:r w:rsidRPr="00040D61">
        <w:rPr>
          <w:rFonts w:ascii="黑体" w:eastAsia="黑体" w:hAnsi="黑体" w:cs="宋体"/>
          <w:sz w:val="22"/>
          <w:szCs w:val="22"/>
        </w:rPr>
        <w:t>：</w:t>
      </w:r>
      <w:r w:rsidRPr="00040D61">
        <w:rPr>
          <w:rFonts w:ascii="黑体" w:eastAsia="黑体" w:hAnsi="黑体" w:cs="宋体" w:hint="eastAsia"/>
          <w:sz w:val="22"/>
          <w:szCs w:val="22"/>
        </w:rPr>
        <w:t>天线空调正常工作时供电为220V 5.5A，考虑到其启动电流大及供电余量，天线空调供电大于2000W。</w:t>
      </w:r>
    </w:p>
    <w:p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（2）上甲板其它设备供电</w:t>
      </w:r>
      <w:r w:rsidRPr="00040D61">
        <w:rPr>
          <w:rFonts w:ascii="黑体" w:eastAsia="黑体" w:hAnsi="黑体" w:cs="宋体"/>
          <w:sz w:val="22"/>
          <w:szCs w:val="22"/>
        </w:rPr>
        <w:t>：</w:t>
      </w:r>
      <w:r w:rsidRPr="00040D61">
        <w:rPr>
          <w:rFonts w:ascii="黑体" w:eastAsia="黑体" w:hAnsi="黑体" w:cs="宋体" w:hint="eastAsia"/>
          <w:sz w:val="22"/>
          <w:szCs w:val="22"/>
        </w:rPr>
        <w:t>天线转台供电为220V 500W，考虑到该路电源同时为BUC供电及供电余量，上甲板其它设备供电大于1000W，供电要求通过UPS。</w:t>
      </w:r>
    </w:p>
    <w:p w:rsidR="0021554B" w:rsidRPr="00040D61" w:rsidRDefault="00B408B4">
      <w:pPr>
        <w:spacing w:line="460" w:lineRule="exact"/>
        <w:ind w:firstLineChars="200" w:firstLine="440"/>
        <w:contextualSpacing/>
        <w:rPr>
          <w:rFonts w:ascii="黑体" w:eastAsia="黑体" w:hAnsi="黑体" w:cs="宋体"/>
          <w:sz w:val="22"/>
          <w:szCs w:val="22"/>
        </w:rPr>
      </w:pPr>
      <w:r w:rsidRPr="00040D61">
        <w:rPr>
          <w:rFonts w:ascii="黑体" w:eastAsia="黑体" w:hAnsi="黑体" w:cs="宋体" w:hint="eastAsia"/>
          <w:sz w:val="22"/>
          <w:szCs w:val="22"/>
        </w:rPr>
        <w:t>（3）下甲板设备供电</w:t>
      </w:r>
      <w:r w:rsidRPr="00040D61">
        <w:rPr>
          <w:rFonts w:ascii="黑体" w:eastAsia="黑体" w:hAnsi="黑体" w:cs="宋体"/>
          <w:sz w:val="22"/>
          <w:szCs w:val="22"/>
        </w:rPr>
        <w:t>：</w:t>
      </w:r>
      <w:r w:rsidRPr="00040D61">
        <w:rPr>
          <w:rFonts w:ascii="黑体" w:eastAsia="黑体" w:hAnsi="黑体" w:cs="宋体" w:hint="eastAsia"/>
          <w:sz w:val="22"/>
          <w:szCs w:val="22"/>
        </w:rPr>
        <w:t>天线控制器、调制解调器等设备供电为220V 300W，供电通过UPS。</w:t>
      </w:r>
    </w:p>
    <w:p w:rsidR="0021554B" w:rsidRPr="00040D61" w:rsidRDefault="00B408B4">
      <w:pPr>
        <w:spacing w:line="460" w:lineRule="exact"/>
        <w:ind w:firstLine="420"/>
        <w:contextualSpacing/>
        <w:rPr>
          <w:rFonts w:ascii="黑体" w:eastAsia="黑体" w:hAnsi="黑体" w:cs="宋体"/>
          <w:sz w:val="22"/>
          <w:szCs w:val="22"/>
        </w:rPr>
      </w:pPr>
      <w:bookmarkStart w:id="9" w:name="_Toc79424094"/>
      <w:r w:rsidRPr="00040D61">
        <w:rPr>
          <w:rFonts w:ascii="黑体" w:eastAsia="黑体" w:hAnsi="黑体" w:cs="宋体"/>
          <w:sz w:val="22"/>
          <w:szCs w:val="22"/>
        </w:rPr>
        <w:t>1</w:t>
      </w:r>
      <w:r w:rsidRPr="00040D61">
        <w:rPr>
          <w:rFonts w:ascii="黑体" w:eastAsia="黑体" w:hAnsi="黑体" w:cs="宋体" w:hint="eastAsia"/>
          <w:sz w:val="22"/>
          <w:szCs w:val="22"/>
        </w:rPr>
        <w:t>.5布线</w:t>
      </w:r>
      <w:bookmarkEnd w:id="9"/>
      <w:r w:rsidRPr="00040D61">
        <w:rPr>
          <w:rFonts w:ascii="黑体" w:eastAsia="黑体" w:hAnsi="黑体" w:cs="宋体" w:hint="eastAsia"/>
          <w:sz w:val="22"/>
          <w:szCs w:val="22"/>
        </w:rPr>
        <w:t>要求</w:t>
      </w:r>
    </w:p>
    <w:p w:rsidR="0021554B" w:rsidRPr="00040D61" w:rsidRDefault="00B408B4">
      <w:pPr>
        <w:spacing w:line="460" w:lineRule="exact"/>
        <w:ind w:firstLine="420"/>
        <w:contextualSpacing/>
        <w:rPr>
          <w:rFonts w:ascii="黑体" w:eastAsia="黑体" w:hAnsi="黑体" w:cs="宋体"/>
          <w:sz w:val="22"/>
          <w:szCs w:val="22"/>
        </w:rPr>
      </w:pPr>
      <w:bookmarkStart w:id="10" w:name="_Toc85626529"/>
      <w:bookmarkStart w:id="11" w:name="_Toc85510534"/>
      <w:r w:rsidRPr="00040D61">
        <w:rPr>
          <w:rFonts w:ascii="黑体" w:eastAsia="黑体" w:hAnsi="黑体" w:cs="宋体" w:hint="eastAsia"/>
          <w:sz w:val="22"/>
          <w:szCs w:val="22"/>
        </w:rPr>
        <w:t>（1）GPS到机房</w:t>
      </w:r>
      <w:bookmarkEnd w:id="10"/>
      <w:bookmarkEnd w:id="11"/>
      <w:r w:rsidRPr="00040D61">
        <w:rPr>
          <w:rFonts w:ascii="黑体" w:eastAsia="黑体" w:hAnsi="黑体" w:cs="宋体"/>
          <w:sz w:val="22"/>
          <w:szCs w:val="22"/>
        </w:rPr>
        <w:t>：</w:t>
      </w:r>
      <w:r w:rsidRPr="00040D61">
        <w:rPr>
          <w:rFonts w:ascii="黑体" w:eastAsia="黑体" w:hAnsi="黑体" w:cs="宋体" w:hint="eastAsia"/>
          <w:sz w:val="22"/>
          <w:szCs w:val="22"/>
        </w:rPr>
        <w:t>在机房附近周围500mm无遮挡处选一个位置固定GPS天线，将其接收线缆接入机房。</w:t>
      </w:r>
    </w:p>
    <w:p w:rsidR="0021554B" w:rsidRPr="00040D61" w:rsidRDefault="00B408B4">
      <w:pPr>
        <w:spacing w:line="460" w:lineRule="exact"/>
        <w:ind w:firstLine="420"/>
        <w:contextualSpacing/>
        <w:rPr>
          <w:rFonts w:ascii="黑体" w:eastAsia="黑体" w:hAnsi="黑体" w:cs="宋体"/>
          <w:sz w:val="22"/>
          <w:szCs w:val="22"/>
        </w:rPr>
      </w:pPr>
      <w:bookmarkStart w:id="12" w:name="_Toc85626530"/>
      <w:bookmarkStart w:id="13" w:name="_Toc85510535"/>
      <w:r w:rsidRPr="00040D61">
        <w:rPr>
          <w:rFonts w:ascii="黑体" w:eastAsia="黑体" w:hAnsi="黑体" w:cs="宋体" w:hint="eastAsia"/>
          <w:sz w:val="22"/>
          <w:szCs w:val="22"/>
        </w:rPr>
        <w:t>（2）天线到机房</w:t>
      </w:r>
      <w:bookmarkEnd w:id="12"/>
      <w:bookmarkEnd w:id="13"/>
      <w:r w:rsidRPr="00040D61">
        <w:rPr>
          <w:rFonts w:ascii="黑体" w:eastAsia="黑体" w:hAnsi="黑体" w:cs="宋体"/>
          <w:sz w:val="22"/>
          <w:szCs w:val="22"/>
        </w:rPr>
        <w:t>：</w:t>
      </w:r>
      <w:r w:rsidRPr="00040D61">
        <w:rPr>
          <w:rFonts w:ascii="黑体" w:eastAsia="黑体" w:hAnsi="黑体" w:cs="宋体" w:hint="eastAsia"/>
          <w:sz w:val="22"/>
          <w:szCs w:val="22"/>
        </w:rPr>
        <w:t>L频段电缆2根（线缆规格SYV-75-7）；电源电缆1根；监控电缆 1 根。</w:t>
      </w:r>
    </w:p>
    <w:p w:rsidR="0021554B" w:rsidRPr="00040D61" w:rsidRDefault="00B408B4">
      <w:pPr>
        <w:spacing w:line="460" w:lineRule="exact"/>
        <w:ind w:firstLine="420"/>
        <w:contextualSpacing/>
        <w:rPr>
          <w:rFonts w:ascii="黑体" w:eastAsia="黑体" w:hAnsi="黑体" w:cs="宋体"/>
          <w:sz w:val="22"/>
          <w:szCs w:val="22"/>
        </w:rPr>
      </w:pPr>
      <w:bookmarkStart w:id="14" w:name="_Toc85510536"/>
      <w:bookmarkStart w:id="15" w:name="_Toc85626531"/>
      <w:r w:rsidRPr="00040D61">
        <w:rPr>
          <w:rFonts w:ascii="黑体" w:eastAsia="黑体" w:hAnsi="黑体" w:cs="宋体" w:hint="eastAsia"/>
          <w:sz w:val="22"/>
          <w:szCs w:val="22"/>
        </w:rPr>
        <w:t>（3）线管</w:t>
      </w:r>
      <w:bookmarkEnd w:id="14"/>
      <w:bookmarkEnd w:id="15"/>
      <w:r w:rsidRPr="00040D61">
        <w:rPr>
          <w:rFonts w:ascii="黑体" w:eastAsia="黑体" w:hAnsi="黑体" w:cs="宋体" w:hint="eastAsia"/>
          <w:sz w:val="22"/>
          <w:szCs w:val="22"/>
        </w:rPr>
        <w:t>设计</w:t>
      </w:r>
      <w:r w:rsidRPr="00040D61">
        <w:rPr>
          <w:rFonts w:ascii="黑体" w:eastAsia="黑体" w:hAnsi="黑体" w:cs="宋体"/>
          <w:sz w:val="22"/>
          <w:szCs w:val="22"/>
        </w:rPr>
        <w:t>：</w:t>
      </w:r>
      <w:r w:rsidRPr="00040D61">
        <w:rPr>
          <w:rFonts w:ascii="黑体" w:eastAsia="黑体" w:hAnsi="黑体" w:cs="宋体" w:hint="eastAsia"/>
          <w:sz w:val="22"/>
          <w:szCs w:val="22"/>
        </w:rPr>
        <w:t>机房到天线基座：直径大于ф80mm钢管两根；</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cs="宋体" w:hint="eastAsia"/>
          <w:sz w:val="22"/>
          <w:szCs w:val="22"/>
        </w:rPr>
        <w:t>机房到GPS安装位置：直径大于ф15钢管一根。管线布置少弯头，两个以上弯头处留穿线接缝，预留穿线铁丝。管道作好防水，防腐，防鼠。露出甲板的管加可拆卸防水弯头。</w:t>
      </w:r>
    </w:p>
    <w:p w:rsidR="0021554B" w:rsidRPr="00040D61" w:rsidRDefault="00B408B4">
      <w:pPr>
        <w:spacing w:line="460" w:lineRule="exact"/>
        <w:ind w:firstLine="420"/>
        <w:contextualSpacing/>
        <w:rPr>
          <w:rFonts w:ascii="黑体" w:eastAsia="黑体" w:hAnsi="黑体" w:cs="宋体"/>
          <w:sz w:val="22"/>
          <w:szCs w:val="22"/>
        </w:rPr>
      </w:pPr>
      <w:bookmarkStart w:id="16" w:name="_Toc79424095"/>
      <w:r w:rsidRPr="00040D61">
        <w:rPr>
          <w:rFonts w:ascii="黑体" w:eastAsia="黑体" w:hAnsi="黑体" w:cs="宋体"/>
          <w:sz w:val="22"/>
          <w:szCs w:val="22"/>
        </w:rPr>
        <w:t>1</w:t>
      </w:r>
      <w:r w:rsidRPr="00040D61">
        <w:rPr>
          <w:rFonts w:ascii="黑体" w:eastAsia="黑体" w:hAnsi="黑体" w:cs="宋体" w:hint="eastAsia"/>
          <w:sz w:val="22"/>
          <w:szCs w:val="22"/>
        </w:rPr>
        <w:t>.6机柜安装</w:t>
      </w:r>
      <w:bookmarkEnd w:id="16"/>
      <w:r w:rsidRPr="00040D61">
        <w:rPr>
          <w:rFonts w:ascii="黑体" w:eastAsia="黑体" w:hAnsi="黑体" w:cs="宋体" w:hint="eastAsia"/>
          <w:sz w:val="22"/>
          <w:szCs w:val="22"/>
        </w:rPr>
        <w:t>要求</w:t>
      </w:r>
    </w:p>
    <w:p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机柜安装在方便走线的位置。</w:t>
      </w:r>
    </w:p>
    <w:p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机柜留后维护空间至少600 mm，便于后期维护。</w:t>
      </w:r>
    </w:p>
    <w:p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由于船体在行进过程中会产生横摇、侧摇及震动，在机柜安装时采取减震措施，至少有两个减震面（包含底面）。</w:t>
      </w:r>
    </w:p>
    <w:p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机柜尺寸：19"标椎机柜，深约700 mm，给天线控制单元（及设备）预留高度不少于8U。</w:t>
      </w:r>
    </w:p>
    <w:p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1.7中心站</w:t>
      </w:r>
    </w:p>
    <w:p w:rsidR="0021554B" w:rsidRPr="00040D61" w:rsidRDefault="00B408B4">
      <w:pPr>
        <w:pStyle w:val="a3"/>
        <w:spacing w:line="460" w:lineRule="exact"/>
        <w:ind w:firstLineChars="225" w:firstLine="495"/>
        <w:contextualSpacing/>
        <w:rPr>
          <w:rFonts w:ascii="黑体" w:eastAsia="黑体" w:hAnsi="黑体"/>
          <w:sz w:val="22"/>
          <w:szCs w:val="22"/>
        </w:rPr>
      </w:pPr>
      <w:r w:rsidRPr="00040D61">
        <w:rPr>
          <w:rFonts w:ascii="黑体" w:eastAsia="黑体" w:hAnsi="黑体" w:hint="eastAsia"/>
          <w:sz w:val="22"/>
          <w:szCs w:val="22"/>
        </w:rPr>
        <w:t>卫星中心站位于北京地球站，利用现有卫星天线、射频系统（功放、低噪声放大器），根据系统</w:t>
      </w:r>
      <w:r w:rsidRPr="00040D61">
        <w:rPr>
          <w:rFonts w:ascii="黑体" w:eastAsia="黑体" w:hAnsi="黑体"/>
          <w:sz w:val="22"/>
          <w:szCs w:val="22"/>
        </w:rPr>
        <w:t>需要增加</w:t>
      </w:r>
      <w:r w:rsidRPr="00040D61">
        <w:rPr>
          <w:rFonts w:ascii="黑体" w:eastAsia="黑体" w:hAnsi="黑体" w:hint="eastAsia"/>
          <w:sz w:val="22"/>
          <w:szCs w:val="22"/>
        </w:rPr>
        <w:t>上下变频器系统、Abis优化设备、TCP加速设备</w:t>
      </w:r>
      <w:r w:rsidRPr="00040D61">
        <w:rPr>
          <w:rFonts w:ascii="黑体" w:eastAsia="黑体" w:hAnsi="黑体"/>
          <w:sz w:val="22"/>
          <w:szCs w:val="22"/>
        </w:rPr>
        <w:t>和卫星调制解调器</w:t>
      </w:r>
      <w:r w:rsidRPr="00040D61">
        <w:rPr>
          <w:rFonts w:ascii="黑体" w:eastAsia="黑体" w:hAnsi="黑体" w:hint="eastAsia"/>
          <w:sz w:val="22"/>
          <w:szCs w:val="22"/>
        </w:rPr>
        <w:t>等。</w:t>
      </w:r>
      <w:r w:rsidRPr="00040D61">
        <w:rPr>
          <w:rFonts w:ascii="黑体" w:eastAsia="黑体" w:hAnsi="黑体" w:hint="eastAsia"/>
          <w:sz w:val="22"/>
          <w:szCs w:val="22"/>
        </w:rPr>
        <w:lastRenderedPageBreak/>
        <w:t>新增卫星设备需与船载站卫星通信系统组成一套完整的卫星传输网络。</w:t>
      </w:r>
    </w:p>
    <w:p w:rsidR="0021554B" w:rsidRPr="00040D61" w:rsidRDefault="00B408B4">
      <w:pPr>
        <w:pStyle w:val="2"/>
        <w:spacing w:before="0" w:after="0" w:line="460" w:lineRule="exact"/>
        <w:contextualSpacing/>
        <w:jc w:val="left"/>
        <w:rPr>
          <w:rFonts w:ascii="黑体" w:eastAsia="黑体" w:hAnsi="黑体" w:cs="宋体"/>
          <w:sz w:val="24"/>
          <w:szCs w:val="24"/>
        </w:rPr>
      </w:pPr>
      <w:r w:rsidRPr="00040D61">
        <w:rPr>
          <w:rFonts w:ascii="黑体" w:eastAsia="黑体" w:hAnsi="黑体" w:cs="宋体"/>
          <w:sz w:val="24"/>
          <w:szCs w:val="24"/>
        </w:rPr>
        <w:t>2、</w:t>
      </w:r>
      <w:r w:rsidRPr="00040D61">
        <w:rPr>
          <w:rFonts w:ascii="黑体" w:eastAsia="黑体" w:hAnsi="黑体" w:cs="宋体" w:hint="eastAsia"/>
          <w:sz w:val="24"/>
          <w:szCs w:val="24"/>
        </w:rPr>
        <w:t>船载室内外分布系统</w:t>
      </w:r>
      <w:bookmarkEnd w:id="5"/>
      <w:bookmarkEnd w:id="6"/>
    </w:p>
    <w:p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在船顶架设室外覆盖天线2个，在船舱内架设一套室内分布系统以实现信号全覆盖，全程为岛礁复式平台的用户提供数字语音业务以及数据业务，以满足用户各类业务需求。</w:t>
      </w:r>
    </w:p>
    <w:p w:rsidR="0021554B" w:rsidRPr="00040D61" w:rsidRDefault="00B408B4">
      <w:pPr>
        <w:spacing w:line="460" w:lineRule="exact"/>
        <w:ind w:firstLine="420"/>
        <w:contextualSpacing/>
        <w:rPr>
          <w:rFonts w:ascii="黑体" w:eastAsia="黑体" w:hAnsi="黑体" w:cs="宋体"/>
          <w:sz w:val="22"/>
          <w:szCs w:val="22"/>
        </w:rPr>
      </w:pPr>
      <w:bookmarkStart w:id="17" w:name="_Toc79424097"/>
      <w:r w:rsidRPr="00040D61">
        <w:rPr>
          <w:rFonts w:ascii="黑体" w:eastAsia="黑体" w:hAnsi="黑体" w:cs="宋体" w:hint="eastAsia"/>
          <w:sz w:val="22"/>
          <w:szCs w:val="22"/>
        </w:rPr>
        <w:t>室内分布系统</w:t>
      </w:r>
      <w:bookmarkEnd w:id="17"/>
      <w:r w:rsidRPr="00040D61">
        <w:rPr>
          <w:rFonts w:ascii="黑体" w:eastAsia="黑体" w:hAnsi="黑体" w:cs="宋体"/>
          <w:sz w:val="22"/>
          <w:szCs w:val="22"/>
        </w:rPr>
        <w:t>：</w:t>
      </w:r>
      <w:r w:rsidRPr="00040D61">
        <w:rPr>
          <w:rFonts w:ascii="黑体" w:eastAsia="黑体" w:hAnsi="黑体" w:cs="宋体" w:hint="eastAsia"/>
          <w:sz w:val="22"/>
          <w:szCs w:val="22"/>
        </w:rPr>
        <w:t>分别在岛礁复式平台的天花板上安装吸顶天线，对客轮进行全覆盖。如有边缘区域的玻璃窗，则采用定向吸顶天线，以避免由于信号大量外泄。吸顶天线通过馈线链接。</w:t>
      </w:r>
    </w:p>
    <w:p w:rsidR="0021554B" w:rsidRPr="00040D61" w:rsidRDefault="00B408B4">
      <w:pPr>
        <w:spacing w:line="460" w:lineRule="exact"/>
        <w:ind w:firstLine="420"/>
        <w:contextualSpacing/>
        <w:rPr>
          <w:rFonts w:ascii="黑体" w:eastAsia="黑体" w:hAnsi="黑体" w:cs="宋体"/>
          <w:sz w:val="22"/>
          <w:szCs w:val="22"/>
        </w:rPr>
      </w:pPr>
      <w:r w:rsidRPr="00040D61">
        <w:rPr>
          <w:rFonts w:ascii="黑体" w:eastAsia="黑体" w:hAnsi="黑体" w:cs="宋体" w:hint="eastAsia"/>
          <w:sz w:val="22"/>
          <w:szCs w:val="22"/>
        </w:rPr>
        <w:t>安全设备</w:t>
      </w:r>
      <w:r w:rsidRPr="00040D61">
        <w:rPr>
          <w:rFonts w:ascii="黑体" w:eastAsia="黑体" w:hAnsi="黑体" w:cs="宋体"/>
          <w:sz w:val="22"/>
          <w:szCs w:val="22"/>
        </w:rPr>
        <w:t>：</w:t>
      </w:r>
      <w:r w:rsidRPr="00040D61">
        <w:rPr>
          <w:rFonts w:ascii="黑体" w:eastAsia="黑体" w:hAnsi="黑体" w:cs="宋体" w:hint="eastAsia"/>
          <w:sz w:val="22"/>
          <w:szCs w:val="22"/>
        </w:rPr>
        <w:t>部署一套第二代防火墙，运行自主可控的操作系统，搭载接口丰富的硬件平台，结合智能路由等全面的网络层支撑以及双机热备，保障业务处理高效可靠，场景支撑灵活全面；配备入侵防御功能和独特实时病毒拦截技术的病毒防护功能，通过单路径并行处理的安全检测引擎和应用识别，实现对用户、应用和内容的深入分析，为用户提供安全智能的一体化防护体系。</w:t>
      </w:r>
    </w:p>
    <w:p w:rsidR="0021554B" w:rsidRPr="00040D61" w:rsidRDefault="0021554B">
      <w:pPr>
        <w:spacing w:line="460" w:lineRule="exact"/>
        <w:ind w:firstLine="420"/>
        <w:contextualSpacing/>
        <w:rPr>
          <w:rFonts w:ascii="黑体" w:eastAsia="黑体" w:hAnsi="黑体"/>
          <w:sz w:val="20"/>
          <w:szCs w:val="22"/>
        </w:rPr>
      </w:pPr>
    </w:p>
    <w:p w:rsidR="0021554B" w:rsidRPr="00040D61" w:rsidRDefault="00B408B4">
      <w:pPr>
        <w:widowControl/>
        <w:spacing w:line="460" w:lineRule="exact"/>
        <w:contextualSpacing/>
        <w:jc w:val="left"/>
        <w:rPr>
          <w:rFonts w:ascii="黑体" w:eastAsia="黑体" w:hAnsi="黑体"/>
          <w:b/>
          <w:bCs/>
          <w:sz w:val="22"/>
          <w:szCs w:val="22"/>
        </w:rPr>
      </w:pPr>
      <w:r w:rsidRPr="00040D61">
        <w:rPr>
          <w:rFonts w:ascii="黑体" w:eastAsia="黑体" w:hAnsi="黑体" w:cs="宋体" w:hint="eastAsia"/>
          <w:b/>
          <w:bCs/>
          <w:sz w:val="24"/>
        </w:rPr>
        <w:t>3.主要设备名称、数量及技术参数要求</w:t>
      </w:r>
    </w:p>
    <w:p w:rsidR="0021554B" w:rsidRPr="00040D61" w:rsidRDefault="0021554B">
      <w:pPr>
        <w:widowControl/>
        <w:spacing w:line="460" w:lineRule="exact"/>
        <w:ind w:firstLineChars="200" w:firstLine="442"/>
        <w:contextualSpacing/>
        <w:jc w:val="left"/>
        <w:rPr>
          <w:rFonts w:ascii="黑体" w:eastAsia="黑体" w:hAnsi="黑体"/>
          <w:b/>
          <w:bCs/>
          <w:sz w:val="22"/>
          <w:szCs w:val="22"/>
        </w:rPr>
      </w:pPr>
    </w:p>
    <w:tbl>
      <w:tblPr>
        <w:tblW w:w="8613" w:type="dxa"/>
        <w:tblLook w:val="04A0"/>
      </w:tblPr>
      <w:tblGrid>
        <w:gridCol w:w="512"/>
        <w:gridCol w:w="1206"/>
        <w:gridCol w:w="5337"/>
        <w:gridCol w:w="567"/>
        <w:gridCol w:w="991"/>
      </w:tblGrid>
      <w:tr w:rsidR="00040D61" w:rsidRPr="00040D61">
        <w:trPr>
          <w:trHeight w:val="320"/>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序号</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名称</w:t>
            </w:r>
          </w:p>
        </w:tc>
        <w:tc>
          <w:tcPr>
            <w:tcW w:w="5343"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技术参数与参考品牌</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数量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备注</w:t>
            </w:r>
          </w:p>
        </w:tc>
      </w:tr>
      <w:tr w:rsidR="00040D61" w:rsidRPr="00040D61">
        <w:trPr>
          <w:trHeight w:val="489"/>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一</w:t>
            </w:r>
          </w:p>
        </w:tc>
        <w:tc>
          <w:tcPr>
            <w:tcW w:w="8101" w:type="dxa"/>
            <w:gridSpan w:val="4"/>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b/>
                <w:bCs/>
                <w:sz w:val="22"/>
                <w:szCs w:val="22"/>
              </w:rPr>
              <w:t>船载卫星通信设备</w:t>
            </w:r>
          </w:p>
        </w:tc>
      </w:tr>
      <w:tr w:rsidR="00040D61" w:rsidRPr="00040D61">
        <w:trPr>
          <w:trHeight w:val="983"/>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1</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端站卫星通信天线</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88561E">
            <w:pPr>
              <w:spacing w:line="460" w:lineRule="exact"/>
              <w:contextualSpacing/>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hint="eastAsia"/>
                <w:sz w:val="22"/>
                <w:szCs w:val="22"/>
              </w:rPr>
              <w:t>（1）天线结构：三轴稳定、四轴跟踪；</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）天线增益：接收37.0dBi以上（3.8GHz频点），发射41.4dBi以上（6.3GHz）；</w:t>
            </w:r>
          </w:p>
          <w:p w:rsidR="0021554B" w:rsidRPr="00040D61" w:rsidRDefault="0088561E">
            <w:pPr>
              <w:spacing w:line="460" w:lineRule="exact"/>
              <w:contextualSpacing/>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hint="eastAsia"/>
                <w:sz w:val="22"/>
                <w:szCs w:val="22"/>
              </w:rPr>
              <w:t>（</w:t>
            </w:r>
            <w:r w:rsidR="00B408B4" w:rsidRPr="00040D61">
              <w:rPr>
                <w:rFonts w:ascii="黑体" w:eastAsia="黑体" w:hAnsi="黑体"/>
                <w:sz w:val="22"/>
                <w:szCs w:val="22"/>
              </w:rPr>
              <w:t>3</w:t>
            </w:r>
            <w:r w:rsidR="00B408B4" w:rsidRPr="00040D61">
              <w:rPr>
                <w:rFonts w:ascii="黑体" w:eastAsia="黑体" w:hAnsi="黑体" w:hint="eastAsia"/>
                <w:sz w:val="22"/>
                <w:szCs w:val="22"/>
              </w:rPr>
              <w:t>）工作频段：接收：3.4GHz～4.2GHz ，发射：5.85 GHz～6.725GHz ；</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）交叉极化隔离度：≥30dB；</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）第一旁瓣：≤-14dB；</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6</w:t>
            </w:r>
            <w:r w:rsidRPr="00040D61">
              <w:rPr>
                <w:rFonts w:ascii="黑体" w:eastAsia="黑体" w:hAnsi="黑体" w:hint="eastAsia"/>
                <w:sz w:val="22"/>
                <w:szCs w:val="22"/>
              </w:rPr>
              <w:t>）极化方式：线极化；</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7</w:t>
            </w:r>
            <w:r w:rsidRPr="00040D61">
              <w:rPr>
                <w:rFonts w:ascii="黑体" w:eastAsia="黑体" w:hAnsi="黑体" w:hint="eastAsia"/>
                <w:sz w:val="22"/>
                <w:szCs w:val="22"/>
              </w:rPr>
              <w:t>）初始捕获时间：≤2min，冷启动</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8</w:t>
            </w:r>
            <w:r w:rsidRPr="00040D61">
              <w:rPr>
                <w:rFonts w:ascii="黑体" w:eastAsia="黑体" w:hAnsi="黑体" w:hint="eastAsia"/>
                <w:sz w:val="22"/>
                <w:szCs w:val="22"/>
              </w:rPr>
              <w:t>）方位角范围：360°连续旋转</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9</w:t>
            </w:r>
            <w:r w:rsidRPr="00040D61">
              <w:rPr>
                <w:rFonts w:ascii="黑体" w:eastAsia="黑体" w:hAnsi="黑体" w:hint="eastAsia"/>
                <w:sz w:val="22"/>
                <w:szCs w:val="22"/>
              </w:rPr>
              <w:t>）俯仰角范围：-5°～+120°</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0</w:t>
            </w:r>
            <w:r w:rsidRPr="00040D61">
              <w:rPr>
                <w:rFonts w:ascii="黑体" w:eastAsia="黑体" w:hAnsi="黑体" w:hint="eastAsia"/>
                <w:sz w:val="22"/>
                <w:szCs w:val="22"/>
              </w:rPr>
              <w:t>）横滚：-30°～30°</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1</w:t>
            </w:r>
            <w:r w:rsidRPr="00040D61">
              <w:rPr>
                <w:rFonts w:ascii="黑体" w:eastAsia="黑体" w:hAnsi="黑体" w:hint="eastAsia"/>
                <w:sz w:val="22"/>
                <w:szCs w:val="22"/>
              </w:rPr>
              <w:t>）极化：0°～270°</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（1</w:t>
            </w:r>
            <w:r w:rsidRPr="00040D61">
              <w:rPr>
                <w:rFonts w:ascii="黑体" w:eastAsia="黑体" w:hAnsi="黑体"/>
                <w:sz w:val="22"/>
                <w:szCs w:val="22"/>
              </w:rPr>
              <w:t>2</w:t>
            </w:r>
            <w:r w:rsidRPr="00040D61">
              <w:rPr>
                <w:rFonts w:ascii="黑体" w:eastAsia="黑体" w:hAnsi="黑体" w:hint="eastAsia"/>
                <w:sz w:val="22"/>
                <w:szCs w:val="22"/>
              </w:rPr>
              <w:t>）跟踪精度：0.2°（RMS）</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3</w:t>
            </w:r>
            <w:r w:rsidRPr="00040D61">
              <w:rPr>
                <w:rFonts w:ascii="黑体" w:eastAsia="黑体" w:hAnsi="黑体" w:hint="eastAsia"/>
                <w:sz w:val="22"/>
                <w:szCs w:val="22"/>
              </w:rPr>
              <w:t>）天线功耗：≤250W（不含功放）；</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1套</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128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lastRenderedPageBreak/>
              <w:t>2</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端站调制解调器（Modem）</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（1）数据速率：18 kbps到10Mbps, 1 bps步进可调；</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（2）载波叠加：设备应支持载波叠加功能以提高转发器带宽效率，其支持的速率应与Modem支持的数据速率相匹配；</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（3）支持VersaFEC FEC编码的自适应编码调制 (ACM)；</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）支持叠加自动功率控制（AUPC）；</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）载波滚降系数：5%, 10%,15%, 20%, 25% 和35%；</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6</w:t>
            </w:r>
            <w:r w:rsidRPr="00040D61">
              <w:rPr>
                <w:rFonts w:ascii="黑体" w:eastAsia="黑体" w:hAnsi="黑体" w:hint="eastAsia"/>
                <w:sz w:val="22"/>
                <w:szCs w:val="22"/>
              </w:rPr>
              <w:t>）双频段工作：同时支持70/140MHz和扩展L波段(950–2250 MHz)；</w:t>
            </w:r>
          </w:p>
          <w:p w:rsidR="0021554B" w:rsidRPr="00040D61" w:rsidRDefault="00B408B4">
            <w:pPr>
              <w:spacing w:line="460" w:lineRule="exact"/>
              <w:ind w:rightChars="-52" w:right="-109"/>
              <w:contextualSpacing/>
              <w:jc w:val="left"/>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7</w:t>
            </w:r>
            <w:r w:rsidRPr="00040D61">
              <w:rPr>
                <w:rFonts w:ascii="黑体" w:eastAsia="黑体" w:hAnsi="黑体" w:hint="eastAsia"/>
                <w:sz w:val="22"/>
                <w:szCs w:val="22"/>
              </w:rPr>
              <w:t>）调制方式: BPSK、QPSK/OQPSK、8PSK/8-QAM、16</w:t>
            </w:r>
            <w:r w:rsidRPr="00040D61">
              <w:rPr>
                <w:rFonts w:ascii="黑体" w:eastAsia="黑体" w:hAnsi="黑体" w:hint="eastAsia"/>
                <w:sz w:val="22"/>
                <w:szCs w:val="22"/>
              </w:rPr>
              <w:noBreakHyphen/>
              <w:t>QAM ；</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8</w:t>
            </w:r>
            <w:r w:rsidRPr="00040D61">
              <w:rPr>
                <w:rFonts w:ascii="黑体" w:eastAsia="黑体" w:hAnsi="黑体" w:hint="eastAsia"/>
                <w:sz w:val="22"/>
                <w:szCs w:val="22"/>
              </w:rPr>
              <w:t>）纠错方式: Viterbi、Sequential、RS、TCM、TPC(IESS</w:t>
            </w:r>
            <w:r w:rsidRPr="00040D61">
              <w:rPr>
                <w:rFonts w:ascii="黑体" w:eastAsia="黑体" w:hAnsi="黑体" w:hint="eastAsia"/>
                <w:sz w:val="22"/>
                <w:szCs w:val="22"/>
              </w:rPr>
              <w:noBreakHyphen/>
              <w:t>315兼容)、LDPC编码、VersaFEC和VersaFEC-2(低延时LDPC编码)；</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9</w:t>
            </w:r>
            <w:r w:rsidRPr="00040D61">
              <w:rPr>
                <w:rFonts w:ascii="黑体" w:eastAsia="黑体" w:hAnsi="黑体" w:hint="eastAsia"/>
                <w:sz w:val="22"/>
                <w:szCs w:val="22"/>
              </w:rPr>
              <w:t>）支持IEEE 1588v2 PTP协议；</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(10)支持报头压缩、载荷压缩；</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428"/>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3</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端站高功率上变频放大器（BUC）</w:t>
            </w:r>
          </w:p>
        </w:tc>
        <w:tc>
          <w:tcPr>
            <w:tcW w:w="5343"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（1）额定输出功率：≥46dBm；</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）杂散输出：≤-55 dBc；</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）增益：≥70dB；</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）增益平坦度：≤1dBp-p/36MHz,≤3dB p-p/575MHz,≤4dBp-p/875MHz；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）三阶交调：≤-25dBc；</w:t>
            </w:r>
          </w:p>
          <w:p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w:t>
            </w:r>
            <w:r w:rsidR="00B408B4" w:rsidRPr="00040D61">
              <w:rPr>
                <w:rFonts w:ascii="黑体" w:eastAsia="黑体" w:hAnsi="黑体"/>
                <w:sz w:val="22"/>
                <w:szCs w:val="22"/>
              </w:rPr>
              <w:t>6</w:t>
            </w:r>
            <w:r w:rsidR="00B408B4" w:rsidRPr="00040D61">
              <w:rPr>
                <w:rFonts w:ascii="黑体" w:eastAsia="黑体" w:hAnsi="黑体" w:hint="eastAsia"/>
                <w:sz w:val="22"/>
                <w:szCs w:val="22"/>
              </w:rPr>
              <w:t>）以上指标提供第三方检测报告</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7</w:t>
            </w:r>
            <w:r w:rsidRPr="00040D61">
              <w:rPr>
                <w:rFonts w:ascii="黑体" w:eastAsia="黑体" w:hAnsi="黑体" w:hint="eastAsia"/>
                <w:sz w:val="22"/>
                <w:szCs w:val="22"/>
              </w:rPr>
              <w:t>）输出频率：5.850～6.425 GHz；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8</w:t>
            </w:r>
            <w:r w:rsidRPr="00040D61">
              <w:rPr>
                <w:rFonts w:ascii="黑体" w:eastAsia="黑体" w:hAnsi="黑体" w:hint="eastAsia"/>
                <w:sz w:val="22"/>
                <w:szCs w:val="22"/>
              </w:rPr>
              <w:t>）输入频率：950～1525 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9</w:t>
            </w:r>
            <w:r w:rsidRPr="00040D61">
              <w:rPr>
                <w:rFonts w:ascii="黑体" w:eastAsia="黑体" w:hAnsi="黑体" w:hint="eastAsia"/>
                <w:sz w:val="22"/>
                <w:szCs w:val="22"/>
              </w:rPr>
              <w:t>）增益可调节范围：50～70dB（步进：0.1dB）；</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0</w:t>
            </w:r>
            <w:r w:rsidRPr="00040D61">
              <w:rPr>
                <w:rFonts w:ascii="黑体" w:eastAsia="黑体" w:hAnsi="黑体" w:hint="eastAsia"/>
                <w:sz w:val="22"/>
                <w:szCs w:val="22"/>
              </w:rPr>
              <w:t>）中频驻波比：1.5:1；</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1</w:t>
            </w:r>
            <w:r w:rsidRPr="00040D61">
              <w:rPr>
                <w:rFonts w:ascii="黑体" w:eastAsia="黑体" w:hAnsi="黑体" w:hint="eastAsia"/>
                <w:sz w:val="22"/>
                <w:szCs w:val="22"/>
              </w:rPr>
              <w:t>）射频驻波比：1.25:1；</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（1</w:t>
            </w:r>
            <w:r w:rsidRPr="00040D61">
              <w:rPr>
                <w:rFonts w:ascii="黑体" w:eastAsia="黑体" w:hAnsi="黑体"/>
                <w:sz w:val="22"/>
                <w:szCs w:val="22"/>
              </w:rPr>
              <w:t>2</w:t>
            </w:r>
            <w:r w:rsidRPr="00040D61">
              <w:rPr>
                <w:rFonts w:ascii="黑体" w:eastAsia="黑体" w:hAnsi="黑体" w:hint="eastAsia"/>
                <w:sz w:val="22"/>
                <w:szCs w:val="22"/>
              </w:rPr>
              <w:t>）提供的无线电发射设备应具有国家无线电管理机构颁发的无线电发射设备型号核准证。</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1个</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1920"/>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lastRenderedPageBreak/>
              <w:t>4</w:t>
            </w:r>
          </w:p>
        </w:tc>
        <w:tc>
          <w:tcPr>
            <w:tcW w:w="1199" w:type="dxa"/>
            <w:tcBorders>
              <w:top w:val="single" w:sz="4" w:space="0" w:color="auto"/>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端站低噪声下变频放大器（LNB）</w:t>
            </w:r>
          </w:p>
        </w:tc>
        <w:tc>
          <w:tcPr>
            <w:tcW w:w="5343"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（1）噪声温度：15K（典型）；</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）输入频率要求：3.625GHz至4.2GHz ；</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）输出频率要求：950～1525MHz ；</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）线性增益：59dB（最小），66dB（最大）；</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5</w:t>
            </w:r>
            <w:r w:rsidRPr="00040D61">
              <w:rPr>
                <w:rFonts w:ascii="黑体" w:eastAsia="黑体" w:hAnsi="黑体" w:hint="eastAsia"/>
                <w:sz w:val="22"/>
                <w:szCs w:val="22"/>
              </w:rPr>
              <w:t>）本振：5.15GHz；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6</w:t>
            </w:r>
            <w:r w:rsidRPr="00040D61">
              <w:rPr>
                <w:rFonts w:ascii="黑体" w:eastAsia="黑体" w:hAnsi="黑体" w:hint="eastAsia"/>
                <w:sz w:val="22"/>
                <w:szCs w:val="22"/>
              </w:rPr>
              <w:t>）相位噪声：</w:t>
            </w:r>
          </w:p>
          <w:p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≤-70 dBc/Hz @100 Hz</w:t>
            </w:r>
          </w:p>
          <w:p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≤-80 dBc/Hz @1 KHz</w:t>
            </w:r>
          </w:p>
          <w:p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≤-85 dBc/Hz @10 KHz</w:t>
            </w:r>
          </w:p>
          <w:p w:rsidR="0021554B" w:rsidRPr="00040D61" w:rsidRDefault="00B408B4">
            <w:pPr>
              <w:spacing w:line="460" w:lineRule="exact"/>
              <w:ind w:firstLineChars="200" w:firstLine="440"/>
              <w:contextualSpacing/>
              <w:rPr>
                <w:rFonts w:ascii="黑体" w:eastAsia="黑体" w:hAnsi="黑体"/>
                <w:sz w:val="22"/>
                <w:szCs w:val="22"/>
              </w:rPr>
            </w:pPr>
            <w:r w:rsidRPr="00040D61">
              <w:rPr>
                <w:rFonts w:ascii="黑体" w:eastAsia="黑体" w:hAnsi="黑体" w:hint="eastAsia"/>
                <w:sz w:val="22"/>
                <w:szCs w:val="22"/>
              </w:rPr>
              <w:t>≤-95 dBc/Hz @100 KHz。</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5</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端站Abis优化设备</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支持2个E1接口、4个FE接口、2G Abis优化</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6</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端站TCP加速设备</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（1）1U高；</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）不小于10K TCP会话；</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）ISP与MNO处理。</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7</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分路器</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（1）频率：950-2150MHz；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w:t>
            </w:r>
            <w:r w:rsidRPr="00040D61">
              <w:rPr>
                <w:rFonts w:ascii="黑体" w:eastAsia="黑体" w:hAnsi="黑体" w:hint="eastAsia"/>
                <w:sz w:val="22"/>
                <w:szCs w:val="22"/>
              </w:rPr>
              <w:t>）N型接头；</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3</w:t>
            </w:r>
            <w:r w:rsidRPr="00040D61">
              <w:rPr>
                <w:rFonts w:ascii="黑体" w:eastAsia="黑体" w:hAnsi="黑体" w:hint="eastAsia"/>
                <w:sz w:val="22"/>
                <w:szCs w:val="22"/>
              </w:rPr>
              <w:t>）port1端口通10MHz；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）实现1:4分路。</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611"/>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二</w:t>
            </w:r>
          </w:p>
        </w:tc>
        <w:tc>
          <w:tcPr>
            <w:tcW w:w="8101" w:type="dxa"/>
            <w:gridSpan w:val="4"/>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b/>
                <w:bCs/>
                <w:sz w:val="22"/>
                <w:szCs w:val="22"/>
              </w:rPr>
              <w:t>卫星中心设备</w:t>
            </w:r>
          </w:p>
        </w:tc>
      </w:tr>
      <w:tr w:rsidR="00040D61" w:rsidRPr="00040D61">
        <w:trPr>
          <w:trHeight w:val="128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1</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中心站调制解调器（Modem）</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（1）数据速率：18 kbps到10Mbps, 1 bps步进可调；</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（2）载波叠加：设备应支持载波叠加功能以提高转发器带宽效率，其支持的速率应与Modem支持的数据速率相匹配；</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（3）支持VersaFEC FEC编码的自适应编码调制 (ACM)；</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（4）支持叠加自动功率控制（AUPC）；</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（5）载波滚降系数：5%, 10%, 15%, 20%, 25% 和35% ；</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（6）双频段工作：同时支持70/140 MHz和扩展L波</w:t>
            </w:r>
            <w:r w:rsidRPr="00040D61">
              <w:rPr>
                <w:rFonts w:ascii="黑体" w:eastAsia="黑体" w:hAnsi="黑体" w:hint="eastAsia"/>
                <w:sz w:val="22"/>
                <w:szCs w:val="22"/>
              </w:rPr>
              <w:lastRenderedPageBreak/>
              <w:t>段(950–2250MHz)；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（7）调制方式: BPSK、QPSK/OQPSK、8PSK/8-QAM、16</w:t>
            </w:r>
            <w:r w:rsidRPr="00040D61">
              <w:rPr>
                <w:rFonts w:ascii="黑体" w:eastAsia="黑体" w:hAnsi="黑体" w:hint="eastAsia"/>
                <w:sz w:val="22"/>
                <w:szCs w:val="22"/>
              </w:rPr>
              <w:noBreakHyphen/>
              <w:t>QAM ；</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（8）纠错方式: Viterbi、Sequential、RS、TCM、TPC(IESS</w:t>
            </w:r>
            <w:r w:rsidRPr="00040D61">
              <w:rPr>
                <w:rFonts w:ascii="黑体" w:eastAsia="黑体" w:hAnsi="黑体" w:hint="eastAsia"/>
                <w:sz w:val="22"/>
                <w:szCs w:val="22"/>
              </w:rPr>
              <w:noBreakHyphen/>
              <w:t>315兼容)、LDPC编码、VersaFEC和VersaFEC-2(低延时LDPC编码)；</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（9）支持IEEE 1588v2PTP协议；</w:t>
            </w:r>
          </w:p>
          <w:p w:rsidR="0021554B" w:rsidRPr="00040D61" w:rsidRDefault="00B408B4">
            <w:pPr>
              <w:spacing w:line="460" w:lineRule="exact"/>
              <w:ind w:firstLineChars="50" w:firstLine="110"/>
              <w:contextualSpacing/>
              <w:rPr>
                <w:rFonts w:ascii="黑体" w:eastAsia="黑体" w:hAnsi="黑体"/>
                <w:sz w:val="22"/>
                <w:szCs w:val="22"/>
              </w:rPr>
            </w:pPr>
            <w:r w:rsidRPr="00040D61">
              <w:rPr>
                <w:rFonts w:ascii="黑体" w:eastAsia="黑体" w:hAnsi="黑体" w:hint="eastAsia"/>
                <w:sz w:val="22"/>
                <w:szCs w:val="22"/>
              </w:rPr>
              <w:t>(10)支持报头压缩、载荷压缩；</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lastRenderedPageBreak/>
              <w:t>2</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中心站Abis优化设备</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（1）支持2个E1接口；</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（2）4个FE接口；</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（3）2G Abis优化。</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3</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中心站TCP加速设备</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（1）1U高；</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（2）不小于10K TCP会话；</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（3）ISP与MNO处理。</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1414"/>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4</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中心站C波段上变频器</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（1）输入频率：52～88MHz或104～176MHz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（2）输出频率：5845～6425MHz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（3）增益：35dB@±2 dB</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（4）增益稳定度：±0.25 dB/天</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1366"/>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5</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中心站C波段下变频器</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（1）输入频率：3.625GHz～4.2GHz；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（2）输出频率：52～88MHz 或104～176MHz；</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（3）增益：45 dB@ ±2 dB；</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4</w:t>
            </w:r>
            <w:r w:rsidRPr="00040D61">
              <w:rPr>
                <w:rFonts w:ascii="黑体" w:eastAsia="黑体" w:hAnsi="黑体" w:hint="eastAsia"/>
                <w:sz w:val="22"/>
                <w:szCs w:val="22"/>
              </w:rPr>
              <w:t>）增益稳定度：±0.25 dB/天。</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1个</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419"/>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三</w:t>
            </w:r>
          </w:p>
        </w:tc>
        <w:tc>
          <w:tcPr>
            <w:tcW w:w="8101" w:type="dxa"/>
            <w:gridSpan w:val="4"/>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b/>
                <w:bCs/>
                <w:sz w:val="22"/>
                <w:szCs w:val="22"/>
              </w:rPr>
              <w:t>室内布线系统</w:t>
            </w:r>
          </w:p>
        </w:tc>
      </w:tr>
      <w:tr w:rsidR="00040D61" w:rsidRPr="00040D61" w:rsidTr="00040D61">
        <w:trPr>
          <w:trHeight w:val="32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1</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室内分布系统</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在船顶架设室外覆盖天线2个，在船舱内架设一套室内分布系统以实现信号全覆盖，全程为岛礁复式平台的用户提供数字语音业务以及数据业务，以满足用户各类业务需求。</w:t>
            </w:r>
          </w:p>
        </w:tc>
        <w:tc>
          <w:tcPr>
            <w:tcW w:w="567"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rsidTr="00040D61">
        <w:trPr>
          <w:trHeight w:val="902"/>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 w:val="22"/>
                <w:szCs w:val="22"/>
              </w:rPr>
            </w:pPr>
            <w:r w:rsidRPr="00040D61">
              <w:rPr>
                <w:rFonts w:ascii="黑体" w:eastAsia="黑体" w:hAnsi="黑体" w:hint="eastAsia"/>
                <w:b/>
                <w:bCs/>
                <w:sz w:val="22"/>
                <w:szCs w:val="22"/>
              </w:rPr>
              <w:t>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 w:val="22"/>
                <w:szCs w:val="22"/>
              </w:rPr>
            </w:pPr>
            <w:r w:rsidRPr="00040D61">
              <w:rPr>
                <w:rFonts w:ascii="黑体" w:eastAsia="黑体" w:hAnsi="黑体" w:hint="eastAsia"/>
                <w:sz w:val="22"/>
                <w:szCs w:val="22"/>
              </w:rPr>
              <w:t>第二代防火墙</w:t>
            </w:r>
          </w:p>
        </w:tc>
        <w:tc>
          <w:tcPr>
            <w:tcW w:w="5343"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（1）机架式独立硬件设备，系统硬件为全内置封闭式结构，多核架构设计MIPS架构，功能采用模块化结构设计，加电即可运行，启动过程无须人工干预，提供CPU型号、频率；</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（2）内置硬件、软件Bypass机制，在设备流量异常或突增时，可自动切换到Bypass状态，当设备恢复时，可自动切换回工作状态；</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（3）12个千兆电接口，12个千兆光接口，2个万兆；</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（4）扩展卡类型4光4电（可选bypass）、4万兆；</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（5）吞吐率40Gbps、并发连接800万；</w:t>
            </w:r>
          </w:p>
          <w:p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（6</w:t>
            </w:r>
            <w:r w:rsidRPr="00040D61">
              <w:rPr>
                <w:rFonts w:ascii="黑体" w:eastAsia="黑体" w:hAnsi="黑体" w:hint="eastAsia"/>
                <w:sz w:val="22"/>
                <w:szCs w:val="22"/>
              </w:rPr>
              <w:t>）</w:t>
            </w:r>
            <w:r w:rsidR="00B408B4" w:rsidRPr="00040D61">
              <w:rPr>
                <w:rFonts w:ascii="黑体" w:eastAsia="黑体" w:hAnsi="黑体" w:hint="eastAsia"/>
                <w:sz w:val="22"/>
                <w:szCs w:val="22"/>
              </w:rPr>
              <w:t>支持基于负载链路进行dns-dnat机制，解决用户主机配置DNS解析结果，与实际转发运营商链路解析结果有冲突，从而导致跨运营商访问慢的问题。</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（7）支持进行DNS探测，针对探测失败情况，支持选择禁用dns-dnat功能或禁用负载链路出接口。以上参数提供web配置界面截图；</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（8）支持直连网段和特定网段的负载均衡排除；支持过载保护、会话保持，会话保持可实现用户的访问请求均分配至同一出口。以上参数提供web配置界面截图；</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（9）支持IPv6/v4双栈，支持IPv6安全策略；</w:t>
            </w:r>
          </w:p>
          <w:p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0</w:t>
            </w:r>
            <w:r w:rsidRPr="00040D61">
              <w:rPr>
                <w:rFonts w:ascii="黑体" w:eastAsia="黑体" w:hAnsi="黑体" w:hint="eastAsia"/>
                <w:sz w:val="22"/>
                <w:szCs w:val="22"/>
              </w:rPr>
              <w:t>）</w:t>
            </w:r>
            <w:r w:rsidR="00B408B4" w:rsidRPr="00040D61">
              <w:rPr>
                <w:rFonts w:ascii="黑体" w:eastAsia="黑体" w:hAnsi="黑体" w:hint="eastAsia"/>
                <w:sz w:val="22"/>
                <w:szCs w:val="22"/>
              </w:rPr>
              <w:t>支持软件bypass（CPU and 内存高于85%），阀值可自定义设置。以上参数提供web配置界面截图。</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1</w:t>
            </w:r>
            <w:r w:rsidRPr="00040D61">
              <w:rPr>
                <w:rFonts w:ascii="黑体" w:eastAsia="黑体" w:hAnsi="黑体" w:hint="eastAsia"/>
                <w:sz w:val="22"/>
                <w:szCs w:val="22"/>
              </w:rPr>
              <w:t>）支持针对Web服务器防护，包括网页防爬虫、网页防篡改、HTTPS防护、DDoS攻击防护、Web攻击过滤、漏洞防护自学习等；</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2</w:t>
            </w:r>
            <w:r w:rsidRPr="00040D61">
              <w:rPr>
                <w:rFonts w:ascii="黑体" w:eastAsia="黑体" w:hAnsi="黑体" w:hint="eastAsia"/>
                <w:sz w:val="22"/>
                <w:szCs w:val="22"/>
              </w:rPr>
              <w:t>）支持IPS高阶告警功能，可以配置多种告警条件，达到告警规则可通过邮件或者syslog告警，不同告警规则可以发送给不同的用户。以上参数提供web配置界面截图；</w:t>
            </w:r>
          </w:p>
          <w:p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3</w:t>
            </w:r>
            <w:r w:rsidRPr="00040D61">
              <w:rPr>
                <w:rFonts w:ascii="黑体" w:eastAsia="黑体" w:hAnsi="黑体" w:hint="eastAsia"/>
                <w:sz w:val="22"/>
                <w:szCs w:val="22"/>
              </w:rPr>
              <w:t>）</w:t>
            </w:r>
            <w:r w:rsidR="00B408B4" w:rsidRPr="00040D61">
              <w:rPr>
                <w:rFonts w:ascii="黑体" w:eastAsia="黑体" w:hAnsi="黑体" w:hint="eastAsia"/>
                <w:sz w:val="22"/>
                <w:szCs w:val="22"/>
              </w:rPr>
              <w:t>支持ZIP、TAR等压缩打包文件的病毒查杀，压缩：默认5层，最大20层。以上参数提供web配置界面截图；</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4</w:t>
            </w:r>
            <w:r w:rsidRPr="00040D61">
              <w:rPr>
                <w:rFonts w:ascii="黑体" w:eastAsia="黑体" w:hAnsi="黑体" w:hint="eastAsia"/>
                <w:sz w:val="22"/>
                <w:szCs w:val="22"/>
              </w:rPr>
              <w:t>）支持针对IP、端口进行端口扫描，可选择立即执行或定期执行；支持呈现扫描结果，包括端口、端</w:t>
            </w:r>
            <w:r w:rsidRPr="00040D61">
              <w:rPr>
                <w:rFonts w:ascii="黑体" w:eastAsia="黑体" w:hAnsi="黑体" w:hint="eastAsia"/>
                <w:sz w:val="22"/>
                <w:szCs w:val="22"/>
              </w:rPr>
              <w:lastRenderedPageBreak/>
              <w:t>口状态、端口服务、程序版本、操作系统、风险状态、设备类型和时间等信息，支持导出功能。以上参数提供web配置界面截图；</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5</w:t>
            </w:r>
            <w:r w:rsidRPr="00040D61">
              <w:rPr>
                <w:rFonts w:ascii="黑体" w:eastAsia="黑体" w:hAnsi="黑体" w:hint="eastAsia"/>
                <w:sz w:val="22"/>
                <w:szCs w:val="22"/>
              </w:rPr>
              <w:t>）支持安全事件攻击链分析，以资产和攻击者两种角度关联所有安全事件，将攻击过程阶段化，分析和统计每个攻击阶段的攻击内容和攻击次数；</w:t>
            </w:r>
          </w:p>
          <w:p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6</w:t>
            </w:r>
            <w:r w:rsidRPr="00040D61">
              <w:rPr>
                <w:rFonts w:ascii="黑体" w:eastAsia="黑体" w:hAnsi="黑体" w:hint="eastAsia"/>
                <w:sz w:val="22"/>
                <w:szCs w:val="22"/>
              </w:rPr>
              <w:t>）</w:t>
            </w:r>
            <w:r w:rsidR="00B408B4" w:rsidRPr="00040D61">
              <w:rPr>
                <w:rFonts w:ascii="黑体" w:eastAsia="黑体" w:hAnsi="黑体" w:hint="eastAsia"/>
                <w:sz w:val="22"/>
                <w:szCs w:val="22"/>
              </w:rPr>
              <w:t>支持以攻击者的视角从攻击的四个阶段进行安全事件分析，包括但不限于：扫描探测、入侵尝试、内网渗透、数据盗取。支持统计每个攻击阶段的次数和攻击目的，支持针对每个攻击阶段进行数据下钻，以便了解详细的攻击内容。以上参数提供web配置界面截图；</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7</w:t>
            </w:r>
            <w:r w:rsidRPr="00040D61">
              <w:rPr>
                <w:rFonts w:ascii="黑体" w:eastAsia="黑体" w:hAnsi="黑体" w:hint="eastAsia"/>
                <w:sz w:val="22"/>
                <w:szCs w:val="22"/>
              </w:rPr>
              <w:t>）支持流量限额功能，可基于用户、源IP、目的IP、时间、应用等维度，进行日流量总额、月流量总额、当日使用时长、当月使用时长等限额类型进行流量管理；针对达到限额阀值的用户进行弹窗提醒，限额阀值和弹窗提醒频率支持自定义；针对超过限额的用户，管理员可选择禁止上网或者加入至惩罚流控通道。以上参数提供web配置界面截图；</w:t>
            </w:r>
          </w:p>
          <w:p w:rsidR="0021554B" w:rsidRPr="00040D61" w:rsidRDefault="0088561E">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00B408B4" w:rsidRPr="00040D61">
              <w:rPr>
                <w:rFonts w:ascii="黑体" w:eastAsia="黑体" w:hAnsi="黑体" w:hint="eastAsia"/>
                <w:sz w:val="22"/>
                <w:szCs w:val="22"/>
              </w:rPr>
              <w:t>（1</w:t>
            </w:r>
            <w:r w:rsidR="00B408B4" w:rsidRPr="00040D61">
              <w:rPr>
                <w:rFonts w:ascii="黑体" w:eastAsia="黑体" w:hAnsi="黑体"/>
                <w:sz w:val="22"/>
                <w:szCs w:val="22"/>
              </w:rPr>
              <w:t>8</w:t>
            </w:r>
            <w:r w:rsidRPr="00040D61">
              <w:rPr>
                <w:rFonts w:ascii="黑体" w:eastAsia="黑体" w:hAnsi="黑体" w:hint="eastAsia"/>
                <w:sz w:val="22"/>
                <w:szCs w:val="22"/>
              </w:rPr>
              <w:t>）</w:t>
            </w:r>
            <w:r w:rsidR="00B408B4" w:rsidRPr="00040D61">
              <w:rPr>
                <w:rFonts w:ascii="黑体" w:eastAsia="黑体" w:hAnsi="黑体" w:hint="eastAsia"/>
                <w:sz w:val="22"/>
                <w:szCs w:val="22"/>
              </w:rPr>
              <w:t>支持监控用户和应用实时流速，包括用户名、应用名、用户组、上行速率、下行速率、总速率、会话数等信息，帮助管理员快速甄别网络异常行为；</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（1</w:t>
            </w:r>
            <w:r w:rsidRPr="00040D61">
              <w:rPr>
                <w:rFonts w:ascii="黑体" w:eastAsia="黑体" w:hAnsi="黑体"/>
                <w:sz w:val="22"/>
                <w:szCs w:val="22"/>
              </w:rPr>
              <w:t>9</w:t>
            </w:r>
            <w:r w:rsidRPr="00040D61">
              <w:rPr>
                <w:rFonts w:ascii="黑体" w:eastAsia="黑体" w:hAnsi="黑体" w:hint="eastAsia"/>
                <w:sz w:val="22"/>
                <w:szCs w:val="22"/>
              </w:rPr>
              <w:t>）支持指定VPN链路优先级，优先保障VPN建立和传输处于同一个运营商，避免跨运营商访问；</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20</w:t>
            </w:r>
            <w:r w:rsidRPr="00040D61">
              <w:rPr>
                <w:rFonts w:ascii="黑体" w:eastAsia="黑体" w:hAnsi="黑体" w:hint="eastAsia"/>
                <w:sz w:val="22"/>
                <w:szCs w:val="22"/>
              </w:rPr>
              <w:t>）提供智能策略分析功能，支持策略命中分析、隐藏策略分析、冗余策略分析、冲突策略分析、可合并策略分析、过期策略发现、空策略发现、策略宽松度分析，并在web页面显示分析结果。以上参数提供web配置界面截图；</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t>（</w:t>
            </w:r>
            <w:r w:rsidRPr="00040D61">
              <w:rPr>
                <w:rFonts w:ascii="黑体" w:eastAsia="黑体" w:hAnsi="黑体"/>
                <w:sz w:val="22"/>
                <w:szCs w:val="22"/>
              </w:rPr>
              <w:t>21</w:t>
            </w:r>
            <w:r w:rsidRPr="00040D61">
              <w:rPr>
                <w:rFonts w:ascii="黑体" w:eastAsia="黑体" w:hAnsi="黑体" w:hint="eastAsia"/>
                <w:sz w:val="22"/>
                <w:szCs w:val="22"/>
              </w:rPr>
              <w:t>）支持多配置切换，配置文件之间相对独立。灾备场景可快速恢复业务，保障业务正常运行；</w:t>
            </w:r>
          </w:p>
          <w:p w:rsidR="0021554B" w:rsidRPr="00040D61" w:rsidRDefault="00B408B4">
            <w:pPr>
              <w:spacing w:line="460" w:lineRule="exact"/>
              <w:contextualSpacing/>
              <w:rPr>
                <w:rFonts w:ascii="黑体" w:eastAsia="黑体" w:hAnsi="黑体"/>
                <w:sz w:val="22"/>
                <w:szCs w:val="22"/>
              </w:rPr>
            </w:pPr>
            <w:r w:rsidRPr="00040D61">
              <w:rPr>
                <w:rFonts w:ascii="黑体" w:eastAsia="黑体" w:hAnsi="黑体" w:hint="eastAsia"/>
                <w:sz w:val="22"/>
                <w:szCs w:val="22"/>
              </w:rPr>
              <w:lastRenderedPageBreak/>
              <w:t>（</w:t>
            </w:r>
            <w:r w:rsidRPr="00040D61">
              <w:rPr>
                <w:rFonts w:ascii="黑体" w:eastAsia="黑体" w:hAnsi="黑体"/>
                <w:sz w:val="22"/>
                <w:szCs w:val="22"/>
              </w:rPr>
              <w:t>22</w:t>
            </w:r>
            <w:r w:rsidRPr="00040D61">
              <w:rPr>
                <w:rFonts w:ascii="黑体" w:eastAsia="黑体" w:hAnsi="黑体" w:hint="eastAsia"/>
                <w:sz w:val="22"/>
                <w:szCs w:val="22"/>
              </w:rPr>
              <w:t>）web管理界面支持Ping、Traceroute、TCP Syn诊断工具，可支持基于接口、协议、IP地址、端口、应用进行网络抓包，并可下载导出分析。</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lastRenderedPageBreak/>
              <w:t>1项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rsidTr="00040D61">
        <w:trPr>
          <w:trHeight w:val="437"/>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lastRenderedPageBreak/>
              <w:t>3</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设备调试</w:t>
            </w:r>
          </w:p>
        </w:tc>
        <w:tc>
          <w:tcPr>
            <w:tcW w:w="5343"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320"/>
        </w:trPr>
        <w:tc>
          <w:tcPr>
            <w:tcW w:w="512" w:type="dxa"/>
            <w:tcBorders>
              <w:top w:val="single" w:sz="4" w:space="0" w:color="auto"/>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4</w:t>
            </w:r>
          </w:p>
        </w:tc>
        <w:tc>
          <w:tcPr>
            <w:tcW w:w="1199" w:type="dxa"/>
            <w:tcBorders>
              <w:top w:val="single" w:sz="4" w:space="0" w:color="auto"/>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综合布线</w:t>
            </w:r>
          </w:p>
        </w:tc>
        <w:tc>
          <w:tcPr>
            <w:tcW w:w="5343"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以技术要求“</w:t>
            </w:r>
            <w:r w:rsidRPr="00040D61">
              <w:rPr>
                <w:rFonts w:ascii="黑体" w:eastAsia="黑体" w:hAnsi="黑体" w:hint="eastAsia"/>
                <w:bCs/>
                <w:szCs w:val="21"/>
              </w:rPr>
              <w:t>布线</w:t>
            </w:r>
            <w:r w:rsidRPr="00040D61">
              <w:rPr>
                <w:rFonts w:ascii="黑体" w:eastAsia="黑体" w:hAnsi="黑体" w:hint="eastAsia"/>
                <w:szCs w:val="21"/>
              </w:rPr>
              <w:t>”要求为准</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598"/>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四</w:t>
            </w:r>
          </w:p>
        </w:tc>
        <w:tc>
          <w:tcPr>
            <w:tcW w:w="8101" w:type="dxa"/>
            <w:gridSpan w:val="4"/>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b/>
                <w:bCs/>
                <w:szCs w:val="21"/>
              </w:rPr>
              <w:t>安装材料及其他费用</w:t>
            </w:r>
          </w:p>
        </w:tc>
      </w:tr>
      <w:tr w:rsidR="00040D61" w:rsidRPr="00040D61">
        <w:trPr>
          <w:trHeight w:val="415"/>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1</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安装材料</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基座定制</w:t>
            </w:r>
          </w:p>
        </w:tc>
        <w:tc>
          <w:tcPr>
            <w:tcW w:w="567"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r w:rsidR="00040D61" w:rsidRPr="00040D61">
        <w:trPr>
          <w:trHeight w:val="640"/>
        </w:trPr>
        <w:tc>
          <w:tcPr>
            <w:tcW w:w="512" w:type="dxa"/>
            <w:tcBorders>
              <w:top w:val="nil"/>
              <w:left w:val="single" w:sz="4" w:space="0" w:color="auto"/>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b/>
                <w:bCs/>
                <w:szCs w:val="21"/>
              </w:rPr>
            </w:pPr>
            <w:r w:rsidRPr="00040D61">
              <w:rPr>
                <w:rFonts w:ascii="黑体" w:eastAsia="黑体" w:hAnsi="黑体" w:hint="eastAsia"/>
                <w:b/>
                <w:bCs/>
                <w:szCs w:val="21"/>
              </w:rPr>
              <w:t>2</w:t>
            </w:r>
          </w:p>
        </w:tc>
        <w:tc>
          <w:tcPr>
            <w:tcW w:w="1199"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船厂配合天线及布线施工</w:t>
            </w:r>
          </w:p>
        </w:tc>
        <w:tc>
          <w:tcPr>
            <w:tcW w:w="5343" w:type="dxa"/>
            <w:tcBorders>
              <w:top w:val="nil"/>
              <w:left w:val="nil"/>
              <w:bottom w:val="single" w:sz="4" w:space="0" w:color="auto"/>
              <w:right w:val="single" w:sz="4" w:space="0" w:color="auto"/>
            </w:tcBorders>
            <w:shd w:val="clear" w:color="000000" w:fill="FFFFFF"/>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包含运输船租赁、工程师现场施工</w:t>
            </w:r>
          </w:p>
        </w:tc>
        <w:tc>
          <w:tcPr>
            <w:tcW w:w="567" w:type="dxa"/>
            <w:tcBorders>
              <w:top w:val="nil"/>
              <w:left w:val="nil"/>
              <w:bottom w:val="single" w:sz="4" w:space="0" w:color="auto"/>
              <w:right w:val="single" w:sz="4" w:space="0" w:color="auto"/>
            </w:tcBorders>
            <w:shd w:val="clear" w:color="auto" w:fill="auto"/>
            <w:vAlign w:val="center"/>
          </w:tcPr>
          <w:p w:rsidR="0021554B" w:rsidRPr="00040D61" w:rsidRDefault="00B408B4">
            <w:pPr>
              <w:spacing w:line="460" w:lineRule="exact"/>
              <w:contextualSpacing/>
              <w:jc w:val="center"/>
              <w:rPr>
                <w:rFonts w:ascii="黑体" w:eastAsia="黑体" w:hAnsi="黑体"/>
                <w:szCs w:val="21"/>
              </w:rPr>
            </w:pPr>
            <w:r w:rsidRPr="00040D61">
              <w:rPr>
                <w:rFonts w:ascii="黑体" w:eastAsia="黑体" w:hAnsi="黑体" w:hint="eastAsia"/>
                <w:szCs w:val="21"/>
              </w:rPr>
              <w:t>1项</w:t>
            </w:r>
          </w:p>
        </w:tc>
        <w:tc>
          <w:tcPr>
            <w:tcW w:w="992" w:type="dxa"/>
            <w:tcBorders>
              <w:top w:val="nil"/>
              <w:left w:val="nil"/>
              <w:bottom w:val="single" w:sz="4" w:space="0" w:color="auto"/>
              <w:right w:val="single" w:sz="4" w:space="0" w:color="auto"/>
            </w:tcBorders>
            <w:shd w:val="clear" w:color="000000" w:fill="FFFFFF"/>
            <w:vAlign w:val="center"/>
          </w:tcPr>
          <w:p w:rsidR="0021554B" w:rsidRPr="00040D61" w:rsidRDefault="0021554B">
            <w:pPr>
              <w:spacing w:line="460" w:lineRule="exact"/>
              <w:contextualSpacing/>
              <w:jc w:val="center"/>
              <w:rPr>
                <w:rFonts w:ascii="黑体" w:eastAsia="黑体" w:hAnsi="黑体"/>
                <w:szCs w:val="21"/>
              </w:rPr>
            </w:pPr>
          </w:p>
        </w:tc>
      </w:tr>
    </w:tbl>
    <w:p w:rsidR="0021554B" w:rsidRPr="00040D61" w:rsidRDefault="0021554B">
      <w:pPr>
        <w:widowControl/>
        <w:jc w:val="left"/>
        <w:rPr>
          <w:rFonts w:ascii="黑体" w:eastAsia="黑体" w:hAnsi="黑体"/>
          <w:b/>
          <w:bCs/>
          <w:sz w:val="22"/>
          <w:szCs w:val="22"/>
        </w:rPr>
      </w:pPr>
    </w:p>
    <w:p w:rsidR="0021554B" w:rsidRPr="00040D61" w:rsidRDefault="00B408B4">
      <w:pPr>
        <w:widowControl/>
        <w:jc w:val="left"/>
        <w:rPr>
          <w:rFonts w:ascii="黑体" w:eastAsia="黑体" w:hAnsi="黑体"/>
          <w:b/>
          <w:sz w:val="28"/>
          <w:szCs w:val="22"/>
        </w:rPr>
      </w:pPr>
      <w:r w:rsidRPr="00040D61">
        <w:rPr>
          <w:rFonts w:ascii="黑体" w:eastAsia="黑体" w:hAnsi="黑体" w:hint="eastAsia"/>
          <w:b/>
          <w:sz w:val="28"/>
          <w:szCs w:val="22"/>
        </w:rPr>
        <w:t>五、商务要求</w:t>
      </w:r>
    </w:p>
    <w:p w:rsidR="0021554B" w:rsidRPr="00040D61" w:rsidRDefault="0088561E" w:rsidP="0088561E">
      <w:pPr>
        <w:widowControl/>
        <w:spacing w:line="460" w:lineRule="exact"/>
        <w:ind w:firstLineChars="200" w:firstLine="422"/>
        <w:jc w:val="left"/>
        <w:rPr>
          <w:rFonts w:ascii="黑体" w:eastAsia="黑体" w:hAnsi="黑体"/>
          <w:bCs/>
          <w:sz w:val="22"/>
          <w:szCs w:val="22"/>
        </w:rPr>
      </w:pPr>
      <w:r w:rsidRPr="00040D61">
        <w:rPr>
          <w:rFonts w:ascii="宋体" w:hAnsi="宋体" w:cs="宋体" w:hint="eastAsia"/>
          <w:b/>
          <w:szCs w:val="21"/>
        </w:rPr>
        <w:t>★</w:t>
      </w:r>
      <w:r w:rsidR="00B408B4" w:rsidRPr="00040D61">
        <w:rPr>
          <w:rFonts w:ascii="黑体" w:eastAsia="黑体" w:hAnsi="黑体" w:hint="eastAsia"/>
          <w:bCs/>
          <w:sz w:val="22"/>
          <w:szCs w:val="22"/>
        </w:rPr>
        <w:t>1、报价要求：包括采购内容所有货物及辅助材料的供货、安装、调试、国家有关部检测、强制性认证等费用，以及人工、机械、保险、运费、各种税费、劳保、专利技术及质保期间一切费用的总报价。在项目实施过程中出现的任何遗漏，均由供应商免费提供，采购人将不再支付任何费用。</w:t>
      </w:r>
    </w:p>
    <w:p w:rsidR="0021554B" w:rsidRPr="00040D61" w:rsidRDefault="0088561E" w:rsidP="0088561E">
      <w:pPr>
        <w:tabs>
          <w:tab w:val="left" w:leader="middleDot" w:pos="7740"/>
        </w:tabs>
        <w:spacing w:line="460" w:lineRule="exact"/>
        <w:ind w:firstLineChars="200" w:firstLine="422"/>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sz w:val="22"/>
          <w:szCs w:val="22"/>
        </w:rPr>
        <w:t>2、合同履约期限</w:t>
      </w:r>
      <w:r w:rsidR="00B408B4" w:rsidRPr="00040D61">
        <w:rPr>
          <w:rFonts w:ascii="黑体" w:eastAsia="黑体" w:hAnsi="黑体" w:hint="eastAsia"/>
          <w:sz w:val="22"/>
          <w:szCs w:val="22"/>
        </w:rPr>
        <w:t>（交付期）</w:t>
      </w:r>
      <w:r w:rsidR="00B408B4" w:rsidRPr="00040D61">
        <w:rPr>
          <w:rFonts w:ascii="黑体" w:eastAsia="黑体" w:hAnsi="黑体"/>
          <w:sz w:val="22"/>
          <w:szCs w:val="22"/>
        </w:rPr>
        <w:t>：自合同签订之日起</w:t>
      </w:r>
      <w:r w:rsidR="00B408B4" w:rsidRPr="00040D61">
        <w:rPr>
          <w:rFonts w:ascii="黑体" w:eastAsia="黑体" w:hAnsi="黑体" w:hint="eastAsia"/>
          <w:sz w:val="22"/>
          <w:szCs w:val="22"/>
        </w:rPr>
        <w:t>150</w:t>
      </w:r>
      <w:r w:rsidR="00650A05">
        <w:rPr>
          <w:rFonts w:ascii="黑体" w:eastAsia="黑体" w:hAnsi="黑体" w:hint="eastAsia"/>
          <w:sz w:val="22"/>
          <w:szCs w:val="22"/>
        </w:rPr>
        <w:t>天</w:t>
      </w:r>
      <w:r w:rsidR="00B408B4" w:rsidRPr="00040D61">
        <w:rPr>
          <w:rFonts w:ascii="黑体" w:eastAsia="黑体" w:hAnsi="黑体" w:hint="eastAsia"/>
          <w:sz w:val="22"/>
          <w:szCs w:val="22"/>
        </w:rPr>
        <w:t>内供货、安装调试并验收完成</w:t>
      </w:r>
      <w:r w:rsidR="00B408B4" w:rsidRPr="00040D61">
        <w:rPr>
          <w:rFonts w:ascii="黑体" w:eastAsia="黑体" w:hAnsi="黑体"/>
          <w:sz w:val="22"/>
          <w:szCs w:val="22"/>
        </w:rPr>
        <w:t>。</w:t>
      </w:r>
    </w:p>
    <w:p w:rsidR="0021554B" w:rsidRPr="00040D61" w:rsidRDefault="0088561E" w:rsidP="0088561E">
      <w:pPr>
        <w:tabs>
          <w:tab w:val="left" w:leader="middleDot" w:pos="7740"/>
        </w:tabs>
        <w:spacing w:line="460" w:lineRule="exact"/>
        <w:ind w:firstLineChars="200" w:firstLine="422"/>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sz w:val="22"/>
          <w:szCs w:val="22"/>
        </w:rPr>
        <w:t>3</w:t>
      </w:r>
      <w:r w:rsidR="00B408B4" w:rsidRPr="00040D61">
        <w:rPr>
          <w:rFonts w:ascii="黑体" w:eastAsia="黑体" w:hAnsi="黑体" w:hint="eastAsia"/>
          <w:sz w:val="22"/>
          <w:szCs w:val="22"/>
        </w:rPr>
        <w:t>、交付地点：采购人指定地点。</w:t>
      </w:r>
    </w:p>
    <w:p w:rsidR="0021554B" w:rsidRPr="00040D61" w:rsidRDefault="0088561E" w:rsidP="0088561E">
      <w:pPr>
        <w:tabs>
          <w:tab w:val="left" w:leader="middleDot" w:pos="7740"/>
        </w:tabs>
        <w:spacing w:line="460" w:lineRule="exact"/>
        <w:ind w:firstLineChars="200" w:firstLine="422"/>
        <w:rPr>
          <w:rFonts w:ascii="黑体" w:eastAsia="黑体" w:hAnsi="黑体"/>
          <w:sz w:val="22"/>
          <w:szCs w:val="22"/>
        </w:rPr>
      </w:pPr>
      <w:r w:rsidRPr="00040D61">
        <w:rPr>
          <w:rFonts w:ascii="宋体" w:hAnsi="宋体" w:cs="宋体" w:hint="eastAsia"/>
          <w:b/>
          <w:szCs w:val="21"/>
        </w:rPr>
        <w:t>★</w:t>
      </w:r>
      <w:r w:rsidR="00B408B4" w:rsidRPr="00040D61">
        <w:rPr>
          <w:rFonts w:ascii="黑体" w:eastAsia="黑体" w:hAnsi="黑体"/>
          <w:sz w:val="22"/>
          <w:szCs w:val="22"/>
        </w:rPr>
        <w:t>4</w:t>
      </w:r>
      <w:r w:rsidR="00B408B4" w:rsidRPr="00040D61">
        <w:rPr>
          <w:rFonts w:ascii="黑体" w:eastAsia="黑体" w:hAnsi="黑体" w:hint="eastAsia"/>
          <w:sz w:val="22"/>
          <w:szCs w:val="22"/>
        </w:rPr>
        <w:t>、付款方式：双方合同中约定。</w:t>
      </w:r>
    </w:p>
    <w:p w:rsidR="0021554B" w:rsidRPr="00040D61" w:rsidRDefault="00B408B4">
      <w:pPr>
        <w:widowControl/>
        <w:spacing w:line="460" w:lineRule="exact"/>
        <w:ind w:firstLineChars="200" w:firstLine="440"/>
        <w:jc w:val="left"/>
        <w:rPr>
          <w:rFonts w:ascii="黑体" w:eastAsia="黑体" w:hAnsi="黑体"/>
          <w:bCs/>
          <w:sz w:val="20"/>
          <w:szCs w:val="20"/>
        </w:rPr>
      </w:pPr>
      <w:r w:rsidRPr="00040D61">
        <w:rPr>
          <w:rFonts w:ascii="黑体" w:eastAsia="黑体" w:hAnsi="黑体" w:hint="eastAsia"/>
          <w:bCs/>
          <w:sz w:val="22"/>
          <w:szCs w:val="20"/>
        </w:rPr>
        <w:t>5、售后服务内容及要求：</w:t>
      </w:r>
    </w:p>
    <w:p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2"/>
        </w:rPr>
        <w:t>（1）驻船维保服务：供应商须应有常驻机构和技术服务人员，满足采购人的驻船保障、日常维护和应急通信保障需求。</w:t>
      </w:r>
    </w:p>
    <w:p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2"/>
        </w:rPr>
        <w:t>供应商须提供卫星和室分系统设备的维护工作。平均恢复时间4小时。对于采购人设备故障，供应商在故障发生后应立即响应。需要现场处理的，在道路、船运畅通无拥塞的情况下，供应商应在1小时内响应故障并在24小时内到达故障现场，4小时内恢复业务。业务中断四个小时内线路恢复百分比为95%。</w:t>
      </w:r>
    </w:p>
    <w:p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2"/>
        </w:rPr>
        <w:t>（2）提供7×24小时的设备网络监控、维护和服务，保障用户网络的安全运行。</w:t>
      </w:r>
    </w:p>
    <w:p w:rsidR="0021554B" w:rsidRPr="00040D61" w:rsidRDefault="00B408B4">
      <w:pPr>
        <w:widowControl/>
        <w:spacing w:line="460" w:lineRule="exact"/>
        <w:ind w:firstLineChars="200" w:firstLine="440"/>
        <w:jc w:val="left"/>
        <w:rPr>
          <w:rFonts w:ascii="黑体" w:eastAsia="黑体" w:hAnsi="黑体"/>
          <w:sz w:val="22"/>
          <w:szCs w:val="22"/>
        </w:rPr>
      </w:pPr>
      <w:r w:rsidRPr="00040D61">
        <w:rPr>
          <w:rFonts w:ascii="黑体" w:eastAsia="黑体" w:hAnsi="黑体" w:hint="eastAsia"/>
          <w:bCs/>
          <w:sz w:val="22"/>
          <w:szCs w:val="22"/>
        </w:rPr>
        <w:t>（3）供应商应书面承诺提供现场培训</w:t>
      </w:r>
      <w:r w:rsidRPr="00040D61">
        <w:rPr>
          <w:rFonts w:ascii="黑体" w:eastAsia="黑体" w:hAnsi="黑体" w:hint="eastAsia"/>
          <w:sz w:val="22"/>
          <w:szCs w:val="22"/>
        </w:rPr>
        <w:t>培训要求：项目安装调试完毕，由供应商为采购人的操作人员针对设备、通信调试和系统使用进行现场集中培训并提供使用培训及使用说明材料。</w:t>
      </w:r>
    </w:p>
    <w:p w:rsidR="0021554B" w:rsidRPr="00040D61" w:rsidRDefault="00B408B4">
      <w:pPr>
        <w:widowControl/>
        <w:spacing w:line="460" w:lineRule="exact"/>
        <w:ind w:firstLineChars="200" w:firstLine="440"/>
        <w:jc w:val="left"/>
        <w:rPr>
          <w:rFonts w:ascii="黑体" w:eastAsia="黑体" w:hAnsi="黑体"/>
          <w:sz w:val="22"/>
          <w:szCs w:val="22"/>
        </w:rPr>
      </w:pPr>
      <w:r w:rsidRPr="00040D61">
        <w:rPr>
          <w:rFonts w:ascii="黑体" w:eastAsia="黑体" w:hAnsi="黑体" w:hint="eastAsia"/>
          <w:sz w:val="22"/>
          <w:szCs w:val="22"/>
        </w:rPr>
        <w:lastRenderedPageBreak/>
        <w:t>（</w:t>
      </w:r>
      <w:r w:rsidRPr="00040D61">
        <w:rPr>
          <w:rFonts w:ascii="黑体" w:eastAsia="黑体" w:hAnsi="黑体"/>
          <w:sz w:val="22"/>
          <w:szCs w:val="22"/>
        </w:rPr>
        <w:t>4</w:t>
      </w:r>
      <w:r w:rsidRPr="00040D61">
        <w:rPr>
          <w:rFonts w:ascii="黑体" w:eastAsia="黑体" w:hAnsi="黑体" w:hint="eastAsia"/>
          <w:sz w:val="22"/>
          <w:szCs w:val="22"/>
        </w:rPr>
        <w:t>）质保期从验收合格之日起计算1年，在质保期内包括配件、安装材料等免费提供保修；质保期内如出现须保修事项（不可抗力及人为损坏因素除外），供应商应在接到采购人通知后</w:t>
      </w:r>
      <w:r w:rsidRPr="00040D61">
        <w:rPr>
          <w:rFonts w:ascii="黑体" w:eastAsia="黑体" w:hAnsi="黑体"/>
          <w:sz w:val="22"/>
          <w:szCs w:val="22"/>
        </w:rPr>
        <w:t>24</w:t>
      </w:r>
      <w:r w:rsidRPr="00040D61">
        <w:rPr>
          <w:rFonts w:ascii="黑体" w:eastAsia="黑体" w:hAnsi="黑体" w:hint="eastAsia"/>
          <w:sz w:val="22"/>
          <w:szCs w:val="22"/>
        </w:rPr>
        <w:t>小时内派人到场维修，否则采购人有权另行委托他人进行维修，产生的维修费用由供应商承担，采购人可从质保金中直接扣除或由参加供应商另行支付。</w:t>
      </w:r>
    </w:p>
    <w:p w:rsidR="0021554B" w:rsidRPr="00040D61" w:rsidRDefault="00B408B4">
      <w:pPr>
        <w:widowControl/>
        <w:spacing w:line="460" w:lineRule="exact"/>
        <w:ind w:firstLineChars="200" w:firstLine="440"/>
        <w:jc w:val="left"/>
        <w:rPr>
          <w:rFonts w:ascii="黑体" w:eastAsia="黑体" w:hAnsi="黑体"/>
          <w:bCs/>
          <w:sz w:val="22"/>
          <w:szCs w:val="22"/>
        </w:rPr>
      </w:pPr>
      <w:r w:rsidRPr="00040D61">
        <w:rPr>
          <w:rFonts w:ascii="黑体" w:eastAsia="黑体" w:hAnsi="黑体" w:hint="eastAsia"/>
          <w:bCs/>
          <w:sz w:val="22"/>
          <w:szCs w:val="20"/>
        </w:rPr>
        <w:t>6、验收要求</w:t>
      </w:r>
      <w:r w:rsidRPr="00040D61">
        <w:rPr>
          <w:rFonts w:ascii="黑体" w:eastAsia="黑体" w:hAnsi="黑体" w:hint="eastAsia"/>
          <w:bCs/>
          <w:sz w:val="22"/>
          <w:szCs w:val="22"/>
        </w:rPr>
        <w:t>：由采购人组织验收或委托第三方权威机构或专家依据采购文件及中标文件响应内容为准进行验收，供应商负责提供验收所需文件进行验收。中标供应商须无条件全程配合验收，验收产生的相关费用由供应商承担。</w:t>
      </w:r>
    </w:p>
    <w:p w:rsidR="008A4020" w:rsidRPr="00040D61" w:rsidRDefault="008A4020" w:rsidP="008A4020">
      <w:pPr>
        <w:spacing w:line="360" w:lineRule="auto"/>
        <w:ind w:firstLineChars="200" w:firstLine="422"/>
        <w:rPr>
          <w:rFonts w:ascii="宋体" w:hAnsi="宋体" w:cs="宋体"/>
          <w:b/>
          <w:szCs w:val="21"/>
        </w:rPr>
      </w:pPr>
      <w:r w:rsidRPr="00040D61">
        <w:rPr>
          <w:rFonts w:ascii="宋体" w:hAnsi="宋体" w:cs="宋体" w:hint="eastAsia"/>
          <w:b/>
          <w:szCs w:val="21"/>
        </w:rPr>
        <w:t>注：本章所有“★”条款为实质性要求，如不满足则认定其投标无效，“▲”条款为重点参数要求，如不满足则详细评审时进行扣分。</w:t>
      </w:r>
    </w:p>
    <w:p w:rsidR="008A4020" w:rsidRPr="00040D61" w:rsidRDefault="008A4020">
      <w:pPr>
        <w:widowControl/>
        <w:spacing w:line="460" w:lineRule="exact"/>
        <w:ind w:firstLineChars="200" w:firstLine="440"/>
        <w:jc w:val="left"/>
        <w:rPr>
          <w:rFonts w:ascii="黑体" w:eastAsia="黑体" w:hAnsi="黑体"/>
          <w:bCs/>
          <w:sz w:val="22"/>
          <w:szCs w:val="22"/>
        </w:rPr>
      </w:pPr>
    </w:p>
    <w:sectPr w:rsidR="008A4020" w:rsidRPr="00040D61" w:rsidSect="0021554B">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340" w:rsidRDefault="00A75340" w:rsidP="004A6D02">
      <w:r>
        <w:separator/>
      </w:r>
    </w:p>
  </w:endnote>
  <w:endnote w:type="continuationSeparator" w:id="1">
    <w:p w:rsidR="00A75340" w:rsidRDefault="00A75340" w:rsidP="004A6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340" w:rsidRDefault="00A75340" w:rsidP="004A6D02">
      <w:r>
        <w:separator/>
      </w:r>
    </w:p>
  </w:footnote>
  <w:footnote w:type="continuationSeparator" w:id="1">
    <w:p w:rsidR="00A75340" w:rsidRDefault="00A75340" w:rsidP="004A6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4E4"/>
    <w:rsid w:val="00040D61"/>
    <w:rsid w:val="00051027"/>
    <w:rsid w:val="000667A4"/>
    <w:rsid w:val="00070D7C"/>
    <w:rsid w:val="0009351E"/>
    <w:rsid w:val="000A2ADD"/>
    <w:rsid w:val="000C2D35"/>
    <w:rsid w:val="000D2A9B"/>
    <w:rsid w:val="00101C6D"/>
    <w:rsid w:val="00105979"/>
    <w:rsid w:val="00111C49"/>
    <w:rsid w:val="00127A87"/>
    <w:rsid w:val="00132851"/>
    <w:rsid w:val="00140139"/>
    <w:rsid w:val="0014432F"/>
    <w:rsid w:val="001727A2"/>
    <w:rsid w:val="001957A4"/>
    <w:rsid w:val="001B5530"/>
    <w:rsid w:val="0021363C"/>
    <w:rsid w:val="0021554B"/>
    <w:rsid w:val="00225F25"/>
    <w:rsid w:val="00274B2C"/>
    <w:rsid w:val="00284CD8"/>
    <w:rsid w:val="00293C73"/>
    <w:rsid w:val="00295394"/>
    <w:rsid w:val="00297525"/>
    <w:rsid w:val="002A685D"/>
    <w:rsid w:val="002D1958"/>
    <w:rsid w:val="002D7EC9"/>
    <w:rsid w:val="002E2F78"/>
    <w:rsid w:val="002F3A4A"/>
    <w:rsid w:val="00303E33"/>
    <w:rsid w:val="00366457"/>
    <w:rsid w:val="0038498E"/>
    <w:rsid w:val="003C6CB8"/>
    <w:rsid w:val="004121A7"/>
    <w:rsid w:val="00437D4D"/>
    <w:rsid w:val="004A5BCB"/>
    <w:rsid w:val="004A6D02"/>
    <w:rsid w:val="004A6E2A"/>
    <w:rsid w:val="004E2704"/>
    <w:rsid w:val="005172DE"/>
    <w:rsid w:val="0056533C"/>
    <w:rsid w:val="0057614F"/>
    <w:rsid w:val="00587623"/>
    <w:rsid w:val="005F7356"/>
    <w:rsid w:val="00607610"/>
    <w:rsid w:val="006148F9"/>
    <w:rsid w:val="00650A05"/>
    <w:rsid w:val="00651A9F"/>
    <w:rsid w:val="00663BD4"/>
    <w:rsid w:val="00681769"/>
    <w:rsid w:val="006A5A71"/>
    <w:rsid w:val="006B579C"/>
    <w:rsid w:val="006C035C"/>
    <w:rsid w:val="006D43A8"/>
    <w:rsid w:val="006D790A"/>
    <w:rsid w:val="006F74AA"/>
    <w:rsid w:val="00722D19"/>
    <w:rsid w:val="0074621D"/>
    <w:rsid w:val="00766DDA"/>
    <w:rsid w:val="00796910"/>
    <w:rsid w:val="007D62CF"/>
    <w:rsid w:val="00812E49"/>
    <w:rsid w:val="00825DDF"/>
    <w:rsid w:val="00836368"/>
    <w:rsid w:val="0088561E"/>
    <w:rsid w:val="008A4020"/>
    <w:rsid w:val="008B4C5B"/>
    <w:rsid w:val="008C3163"/>
    <w:rsid w:val="008C44B4"/>
    <w:rsid w:val="008F775E"/>
    <w:rsid w:val="00937B17"/>
    <w:rsid w:val="00967B81"/>
    <w:rsid w:val="0097105B"/>
    <w:rsid w:val="00977D63"/>
    <w:rsid w:val="0099407B"/>
    <w:rsid w:val="00994888"/>
    <w:rsid w:val="009D0E78"/>
    <w:rsid w:val="009F1FA8"/>
    <w:rsid w:val="00A20457"/>
    <w:rsid w:val="00A25528"/>
    <w:rsid w:val="00A44E1E"/>
    <w:rsid w:val="00A749A1"/>
    <w:rsid w:val="00A75340"/>
    <w:rsid w:val="00A86041"/>
    <w:rsid w:val="00A92B90"/>
    <w:rsid w:val="00AA656A"/>
    <w:rsid w:val="00AF4DE7"/>
    <w:rsid w:val="00B051E3"/>
    <w:rsid w:val="00B075DE"/>
    <w:rsid w:val="00B16FBC"/>
    <w:rsid w:val="00B25C9E"/>
    <w:rsid w:val="00B2798C"/>
    <w:rsid w:val="00B408B4"/>
    <w:rsid w:val="00B420DE"/>
    <w:rsid w:val="00B45037"/>
    <w:rsid w:val="00B5321D"/>
    <w:rsid w:val="00B6668C"/>
    <w:rsid w:val="00B85F5F"/>
    <w:rsid w:val="00B96030"/>
    <w:rsid w:val="00B97450"/>
    <w:rsid w:val="00BC133A"/>
    <w:rsid w:val="00BC2B95"/>
    <w:rsid w:val="00BE04F9"/>
    <w:rsid w:val="00C10FF2"/>
    <w:rsid w:val="00C25120"/>
    <w:rsid w:val="00CF4560"/>
    <w:rsid w:val="00D2539A"/>
    <w:rsid w:val="00D34F99"/>
    <w:rsid w:val="00D704E4"/>
    <w:rsid w:val="00D87439"/>
    <w:rsid w:val="00DB2BEB"/>
    <w:rsid w:val="00E40852"/>
    <w:rsid w:val="00E64B14"/>
    <w:rsid w:val="00E810E3"/>
    <w:rsid w:val="00ED04A3"/>
    <w:rsid w:val="00F00CF5"/>
    <w:rsid w:val="00F34549"/>
    <w:rsid w:val="00F401DE"/>
    <w:rsid w:val="00F4416E"/>
    <w:rsid w:val="00FB57E2"/>
    <w:rsid w:val="00FC2D07"/>
    <w:rsid w:val="00FF2F28"/>
    <w:rsid w:val="182F70CF"/>
    <w:rsid w:val="478663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lsdException w:name="footer" w:semiHidden="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4B"/>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uiPriority w:val="9"/>
    <w:qFormat/>
    <w:rsid w:val="0021554B"/>
    <w:pPr>
      <w:keepNext/>
      <w:keepLines/>
      <w:pageBreakBefore/>
      <w:spacing w:afterLines="100" w:line="360" w:lineRule="auto"/>
      <w:jc w:val="center"/>
      <w:textAlignment w:val="baseline"/>
      <w:outlineLvl w:val="0"/>
    </w:pPr>
    <w:rPr>
      <w:rFonts w:ascii="宋体" w:hAnsi="宋体" w:cs="Arial"/>
      <w:b/>
      <w:sz w:val="44"/>
      <w:szCs w:val="44"/>
    </w:rPr>
  </w:style>
  <w:style w:type="paragraph" w:styleId="2">
    <w:name w:val="heading 2"/>
    <w:basedOn w:val="a"/>
    <w:next w:val="a"/>
    <w:link w:val="2Char"/>
    <w:uiPriority w:val="9"/>
    <w:semiHidden/>
    <w:unhideWhenUsed/>
    <w:qFormat/>
    <w:rsid w:val="0021554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1"/>
    <w:qFormat/>
    <w:rsid w:val="0021554B"/>
    <w:pPr>
      <w:spacing w:line="360" w:lineRule="auto"/>
      <w:ind w:firstLine="420"/>
    </w:pPr>
    <w:rPr>
      <w:sz w:val="24"/>
      <w:szCs w:val="20"/>
    </w:rPr>
  </w:style>
  <w:style w:type="paragraph" w:styleId="a4">
    <w:name w:val="annotation text"/>
    <w:basedOn w:val="a"/>
    <w:link w:val="Char"/>
    <w:qFormat/>
    <w:rsid w:val="0021554B"/>
    <w:pPr>
      <w:widowControl/>
      <w:jc w:val="left"/>
    </w:pPr>
    <w:rPr>
      <w:rFonts w:asciiTheme="minorHAnsi" w:hAnsiTheme="minorHAnsi" w:cstheme="minorBidi"/>
      <w:sz w:val="18"/>
      <w:szCs w:val="18"/>
    </w:rPr>
  </w:style>
  <w:style w:type="paragraph" w:styleId="a5">
    <w:name w:val="Balloon Text"/>
    <w:basedOn w:val="a"/>
    <w:link w:val="Char0"/>
    <w:uiPriority w:val="99"/>
    <w:semiHidden/>
    <w:unhideWhenUsed/>
    <w:rsid w:val="0021554B"/>
    <w:rPr>
      <w:sz w:val="18"/>
      <w:szCs w:val="18"/>
    </w:rPr>
  </w:style>
  <w:style w:type="paragraph" w:styleId="a6">
    <w:name w:val="footer"/>
    <w:basedOn w:val="a"/>
    <w:link w:val="Char2"/>
    <w:uiPriority w:val="99"/>
    <w:unhideWhenUsed/>
    <w:rsid w:val="0021554B"/>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2155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4"/>
    <w:next w:val="a4"/>
    <w:link w:val="Char4"/>
    <w:uiPriority w:val="99"/>
    <w:semiHidden/>
    <w:unhideWhenUsed/>
    <w:rsid w:val="0021554B"/>
    <w:pPr>
      <w:widowControl w:val="0"/>
    </w:pPr>
    <w:rPr>
      <w:rFonts w:ascii="Times New Roman" w:hAnsi="Times New Roman" w:cs="Times New Roman"/>
      <w:b/>
      <w:bCs/>
      <w:sz w:val="21"/>
      <w:szCs w:val="24"/>
    </w:rPr>
  </w:style>
  <w:style w:type="table" w:styleId="a9">
    <w:name w:val="Table Grid"/>
    <w:basedOn w:val="a1"/>
    <w:uiPriority w:val="39"/>
    <w:qFormat/>
    <w:rsid w:val="0021554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qFormat/>
    <w:rsid w:val="0021554B"/>
    <w:rPr>
      <w:sz w:val="21"/>
      <w:szCs w:val="21"/>
    </w:rPr>
  </w:style>
  <w:style w:type="character" w:customStyle="1" w:styleId="Char3">
    <w:name w:val="页眉 Char"/>
    <w:basedOn w:val="a0"/>
    <w:link w:val="a7"/>
    <w:uiPriority w:val="99"/>
    <w:rsid w:val="0021554B"/>
    <w:rPr>
      <w:sz w:val="18"/>
      <w:szCs w:val="18"/>
    </w:rPr>
  </w:style>
  <w:style w:type="character" w:customStyle="1" w:styleId="Char2">
    <w:name w:val="页脚 Char"/>
    <w:basedOn w:val="a0"/>
    <w:link w:val="a6"/>
    <w:uiPriority w:val="99"/>
    <w:rsid w:val="0021554B"/>
    <w:rPr>
      <w:sz w:val="18"/>
      <w:szCs w:val="18"/>
    </w:rPr>
  </w:style>
  <w:style w:type="character" w:customStyle="1" w:styleId="1Char">
    <w:name w:val="标题 1 Char"/>
    <w:basedOn w:val="a0"/>
    <w:uiPriority w:val="9"/>
    <w:rsid w:val="0021554B"/>
    <w:rPr>
      <w:rFonts w:ascii="Times New Roman" w:eastAsia="宋体" w:hAnsi="Times New Roman" w:cs="Times New Roman"/>
      <w:b/>
      <w:bCs/>
      <w:kern w:val="44"/>
      <w:sz w:val="44"/>
      <w:szCs w:val="44"/>
    </w:rPr>
  </w:style>
  <w:style w:type="character" w:customStyle="1" w:styleId="Char">
    <w:name w:val="批注文字 Char"/>
    <w:link w:val="a4"/>
    <w:qFormat/>
    <w:rsid w:val="0021554B"/>
    <w:rPr>
      <w:rFonts w:eastAsia="宋体"/>
      <w:sz w:val="18"/>
      <w:szCs w:val="18"/>
    </w:rPr>
  </w:style>
  <w:style w:type="character" w:customStyle="1" w:styleId="1Char1">
    <w:name w:val="标题 1 Char1"/>
    <w:link w:val="1"/>
    <w:uiPriority w:val="9"/>
    <w:rsid w:val="0021554B"/>
    <w:rPr>
      <w:rFonts w:ascii="宋体" w:eastAsia="宋体" w:hAnsi="宋体" w:cs="Arial"/>
      <w:b/>
      <w:sz w:val="44"/>
      <w:szCs w:val="44"/>
    </w:rPr>
  </w:style>
  <w:style w:type="character" w:customStyle="1" w:styleId="myChar">
    <w:name w:val="my正文 Char"/>
    <w:link w:val="my"/>
    <w:qFormat/>
    <w:rsid w:val="0021554B"/>
    <w:rPr>
      <w:sz w:val="24"/>
    </w:rPr>
  </w:style>
  <w:style w:type="paragraph" w:customStyle="1" w:styleId="my">
    <w:name w:val="my正文"/>
    <w:basedOn w:val="a"/>
    <w:link w:val="myChar"/>
    <w:qFormat/>
    <w:rsid w:val="0021554B"/>
    <w:pPr>
      <w:spacing w:line="360" w:lineRule="auto"/>
      <w:ind w:firstLineChars="200" w:firstLine="480"/>
    </w:pPr>
    <w:rPr>
      <w:rFonts w:asciiTheme="minorHAnsi" w:eastAsiaTheme="minorEastAsia" w:hAnsiTheme="minorHAnsi" w:cstheme="minorBidi"/>
      <w:sz w:val="24"/>
      <w:szCs w:val="22"/>
    </w:rPr>
  </w:style>
  <w:style w:type="character" w:customStyle="1" w:styleId="Char5">
    <w:name w:val="列出段落 Char"/>
    <w:link w:val="ab"/>
    <w:uiPriority w:val="34"/>
    <w:qFormat/>
    <w:locked/>
    <w:rsid w:val="0021554B"/>
    <w:rPr>
      <w:szCs w:val="24"/>
    </w:rPr>
  </w:style>
  <w:style w:type="paragraph" w:styleId="ab">
    <w:name w:val="List Paragraph"/>
    <w:basedOn w:val="a"/>
    <w:link w:val="Char5"/>
    <w:uiPriority w:val="34"/>
    <w:qFormat/>
    <w:rsid w:val="0021554B"/>
    <w:pPr>
      <w:ind w:firstLineChars="200" w:firstLine="420"/>
    </w:pPr>
    <w:rPr>
      <w:rFonts w:asciiTheme="minorHAnsi" w:eastAsiaTheme="minorEastAsia" w:hAnsiTheme="minorHAnsi" w:cstheme="minorBidi"/>
    </w:rPr>
  </w:style>
  <w:style w:type="character" w:customStyle="1" w:styleId="Char10">
    <w:name w:val="批注文字 Char1"/>
    <w:basedOn w:val="a0"/>
    <w:uiPriority w:val="99"/>
    <w:semiHidden/>
    <w:rsid w:val="0021554B"/>
    <w:rPr>
      <w:rFonts w:ascii="Times New Roman" w:eastAsia="宋体" w:hAnsi="Times New Roman" w:cs="Times New Roman"/>
      <w:szCs w:val="24"/>
    </w:rPr>
  </w:style>
  <w:style w:type="character" w:customStyle="1" w:styleId="Char0">
    <w:name w:val="批注框文本 Char"/>
    <w:basedOn w:val="a0"/>
    <w:link w:val="a5"/>
    <w:uiPriority w:val="99"/>
    <w:semiHidden/>
    <w:rsid w:val="0021554B"/>
    <w:rPr>
      <w:rFonts w:ascii="Times New Roman" w:eastAsia="宋体" w:hAnsi="Times New Roman" w:cs="Times New Roman"/>
      <w:sz w:val="18"/>
      <w:szCs w:val="18"/>
    </w:rPr>
  </w:style>
  <w:style w:type="character" w:customStyle="1" w:styleId="Char4">
    <w:name w:val="批注主题 Char"/>
    <w:basedOn w:val="Char"/>
    <w:link w:val="a8"/>
    <w:uiPriority w:val="99"/>
    <w:semiHidden/>
    <w:rsid w:val="0021554B"/>
    <w:rPr>
      <w:rFonts w:ascii="Times New Roman" w:eastAsia="宋体" w:hAnsi="Times New Roman" w:cs="Times New Roman"/>
      <w:b/>
      <w:bCs/>
      <w:sz w:val="18"/>
      <w:szCs w:val="24"/>
    </w:rPr>
  </w:style>
  <w:style w:type="character" w:customStyle="1" w:styleId="Char1">
    <w:name w:val="正文缩进 Char1"/>
    <w:link w:val="a3"/>
    <w:qFormat/>
    <w:rsid w:val="0021554B"/>
    <w:rPr>
      <w:rFonts w:ascii="Times New Roman" w:eastAsia="宋体" w:hAnsi="Times New Roman" w:cs="Times New Roman"/>
      <w:sz w:val="24"/>
      <w:szCs w:val="20"/>
    </w:rPr>
  </w:style>
  <w:style w:type="character" w:customStyle="1" w:styleId="2Char">
    <w:name w:val="标题 2 Char"/>
    <w:basedOn w:val="a0"/>
    <w:link w:val="2"/>
    <w:uiPriority w:val="9"/>
    <w:semiHidden/>
    <w:rsid w:val="0021554B"/>
    <w:rPr>
      <w:rFonts w:asciiTheme="majorHAnsi" w:eastAsiaTheme="majorEastAsia" w:hAnsiTheme="majorHAnsi" w:cstheme="majorBidi"/>
      <w:b/>
      <w:bCs/>
      <w:sz w:val="32"/>
      <w:szCs w:val="32"/>
    </w:rPr>
  </w:style>
  <w:style w:type="character" w:customStyle="1" w:styleId="Char6">
    <w:name w:val="正文缩进 Char"/>
    <w:rsid w:val="0021554B"/>
    <w:rPr>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4A0C3-DE7B-428C-89DE-C1E96BCD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183</cp:revision>
  <dcterms:created xsi:type="dcterms:W3CDTF">2021-09-23T04:35:00Z</dcterms:created>
  <dcterms:modified xsi:type="dcterms:W3CDTF">2022-06-01T12:59:00Z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1B421642BA9B4C92920D7B435AA73A73</vt:lpwstr>
  </property>
</Properties>
</file>