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rPr>
      </w:pPr>
      <w:bookmarkStart w:id="0" w:name="_Toc434678182"/>
      <w:bookmarkStart w:id="1" w:name="_Toc22573_WPSOffice_Level1"/>
      <w:bookmarkStart w:id="2" w:name="_Toc25783"/>
      <w:bookmarkStart w:id="3" w:name="_Toc27379"/>
      <w:bookmarkStart w:id="4" w:name="_Toc20684"/>
      <w:r>
        <w:rPr>
          <w:rFonts w:hint="eastAsia"/>
          <w:color w:val="auto"/>
        </w:rPr>
        <w:t xml:space="preserve">第三章 </w:t>
      </w:r>
      <w:bookmarkEnd w:id="0"/>
      <w:bookmarkEnd w:id="1"/>
      <w:bookmarkEnd w:id="2"/>
      <w:r>
        <w:rPr>
          <w:rFonts w:hint="eastAsia"/>
          <w:color w:val="auto"/>
        </w:rPr>
        <w:t>采购需求</w:t>
      </w:r>
      <w:bookmarkEnd w:id="3"/>
      <w:bookmarkEnd w:id="4"/>
    </w:p>
    <w:p>
      <w:pPr>
        <w:pStyle w:val="2"/>
        <w:spacing w:line="240" w:lineRule="auto"/>
        <w:rPr>
          <w:rFonts w:ascii="宋体" w:hAnsi="宋体"/>
          <w:color w:val="auto"/>
          <w:sz w:val="28"/>
          <w:szCs w:val="28"/>
        </w:rPr>
      </w:pPr>
      <w:r>
        <w:rPr>
          <w:rFonts w:hint="eastAsia" w:ascii="宋体" w:hAnsi="宋体"/>
          <w:color w:val="auto"/>
          <w:sz w:val="28"/>
          <w:szCs w:val="28"/>
        </w:rPr>
        <w:t>D</w:t>
      </w:r>
      <w:r>
        <w:rPr>
          <w:rFonts w:hint="eastAsia" w:ascii="宋体" w:hAnsi="宋体" w:cs="宋体"/>
          <w:color w:val="auto"/>
          <w:sz w:val="28"/>
          <w:szCs w:val="28"/>
        </w:rPr>
        <w:t>包：进出岛车辆卡口与</w:t>
      </w:r>
      <w:r>
        <w:rPr>
          <w:rFonts w:hint="eastAsia" w:ascii="宋体" w:hAnsi="宋体"/>
          <w:color w:val="auto"/>
          <w:sz w:val="28"/>
          <w:szCs w:val="28"/>
        </w:rPr>
        <w:t>RFID</w:t>
      </w:r>
      <w:r>
        <w:rPr>
          <w:rFonts w:hint="eastAsia" w:ascii="宋体" w:hAnsi="宋体" w:cs="宋体"/>
          <w:color w:val="auto"/>
          <w:sz w:val="28"/>
          <w:szCs w:val="28"/>
        </w:rPr>
        <w:t>管理系统维护</w:t>
      </w:r>
    </w:p>
    <w:p>
      <w:pPr>
        <w:spacing w:line="240" w:lineRule="auto"/>
        <w:rPr>
          <w:rFonts w:ascii="宋体" w:hAnsi="宋体" w:cs="仿宋"/>
          <w:color w:val="auto"/>
        </w:rPr>
      </w:pPr>
      <w:r>
        <w:rPr>
          <w:rFonts w:hint="eastAsia" w:ascii="宋体" w:hAnsi="宋体" w:cs="仿宋"/>
          <w:color w:val="auto"/>
        </w:rPr>
        <w:t xml:space="preserve">    （一）项目背景</w:t>
      </w:r>
    </w:p>
    <w:p>
      <w:pPr>
        <w:spacing w:line="240" w:lineRule="auto"/>
        <w:rPr>
          <w:rFonts w:ascii="宋体" w:hAnsi="宋体" w:cs="仿宋"/>
          <w:color w:val="auto"/>
        </w:rPr>
      </w:pPr>
      <w:r>
        <w:rPr>
          <w:rFonts w:hint="eastAsia" w:ascii="宋体" w:hAnsi="宋体" w:cs="仿宋"/>
          <w:color w:val="auto"/>
        </w:rPr>
        <w:t xml:space="preserve">    智能卡口系统作为口岸通关监控的重要手段之一，发挥着在进出口车辆监控的重要作用。系统进行车辆现场数据的采集工作，结合RFID信息管理系统、辅助收费系统等多样系统，对车辆通关进行快速收费，查验，达到在不影响通关效率、不增加企业负担、不增加工作量的前提下，提高了口岸的查验率和客观公正性。</w:t>
      </w:r>
    </w:p>
    <w:p>
      <w:pPr>
        <w:spacing w:line="240" w:lineRule="auto"/>
        <w:rPr>
          <w:rFonts w:ascii="宋体" w:hAnsi="宋体" w:cs="仿宋"/>
          <w:color w:val="auto"/>
        </w:rPr>
      </w:pPr>
      <w:r>
        <w:rPr>
          <w:rFonts w:hint="eastAsia" w:ascii="宋体" w:hAnsi="宋体" w:cs="仿宋"/>
          <w:color w:val="auto"/>
        </w:rPr>
        <w:t xml:space="preserve">    （二）需求分析</w:t>
      </w:r>
    </w:p>
    <w:p>
      <w:pPr>
        <w:spacing w:line="240" w:lineRule="auto"/>
        <w:rPr>
          <w:rFonts w:ascii="宋体" w:hAnsi="宋体" w:cs="仿宋"/>
          <w:color w:val="auto"/>
        </w:rPr>
      </w:pPr>
      <w:r>
        <w:rPr>
          <w:rFonts w:hint="eastAsia" w:ascii="宋体" w:hAnsi="宋体" w:cs="仿宋"/>
          <w:color w:val="auto"/>
        </w:rPr>
        <w:t xml:space="preserve">    设备的维护保养是管、用、养、修等各项工作的基础，也是操作人员的主要责任之一，是保持设备经常处于完好状态的重要手段，是一项积极的预防工作。设备的保养也是设备运行的客观要求，设备在使用过程中，由于设备的物质运动和化学作用，必然会产生运行状况的不断变化和难以避免的不正常现象，以及人为因素造成的耗损。做好设备的维护保养工作，及时处理随时发生的各种问题， 改善设备的运行条件，就能防患于未然，避免不应有的损失。实践证明，设备的寿命在很大程度上决定于维护保养的程度。</w:t>
      </w:r>
    </w:p>
    <w:p>
      <w:pPr>
        <w:spacing w:line="240" w:lineRule="auto"/>
        <w:rPr>
          <w:rFonts w:ascii="宋体" w:hAnsi="宋体" w:cs="仿宋"/>
          <w:color w:val="auto"/>
        </w:rPr>
      </w:pPr>
      <w:r>
        <w:rPr>
          <w:rFonts w:hint="eastAsia" w:ascii="宋体" w:hAnsi="宋体" w:cs="仿宋"/>
          <w:color w:val="auto"/>
        </w:rPr>
        <w:t xml:space="preserve">    为了保证海南岛进出岛车辆卡口与RFID系统正常运行，加强系统日常管理及提升维护能力，根据相关信息系统管理制度，细化管理，提高管理效率及提升日常维护水平，需安排专人进行日常管理维护和具体操作，做到定员定岗。</w:t>
      </w:r>
    </w:p>
    <w:p>
      <w:pPr>
        <w:spacing w:line="240" w:lineRule="auto"/>
        <w:rPr>
          <w:rFonts w:ascii="宋体" w:hAnsi="宋体" w:cs="仿宋"/>
          <w:color w:val="auto"/>
        </w:rPr>
      </w:pPr>
      <w:bookmarkStart w:id="5" w:name="（三）项目目标"/>
      <w:bookmarkEnd w:id="5"/>
      <w:r>
        <w:rPr>
          <w:rFonts w:hint="eastAsia" w:ascii="宋体" w:hAnsi="宋体" w:cs="仿宋"/>
          <w:color w:val="auto"/>
        </w:rPr>
        <w:t xml:space="preserve">    （三）项目目标</w:t>
      </w:r>
    </w:p>
    <w:p>
      <w:pPr>
        <w:spacing w:line="240" w:lineRule="auto"/>
        <w:rPr>
          <w:rFonts w:ascii="宋体" w:hAnsi="宋体" w:cs="仿宋"/>
          <w:color w:val="auto"/>
        </w:rPr>
      </w:pPr>
      <w:r>
        <w:rPr>
          <w:rFonts w:hint="eastAsia" w:ascii="宋体" w:hAnsi="宋体" w:cs="仿宋"/>
          <w:color w:val="auto"/>
        </w:rPr>
        <w:t xml:space="preserve">    通过服务外包，减少对IT专业人员的引进，降低IT运维成本，与市场化， 专业化IT服务管理规范标准接轨，借鉴IT业界成熟的IT服务管理理念，提高海南岛进出岛车辆卡口与RFID系统管理水平。</w:t>
      </w:r>
    </w:p>
    <w:p>
      <w:pPr>
        <w:spacing w:line="240" w:lineRule="auto"/>
        <w:rPr>
          <w:rFonts w:ascii="宋体" w:hAnsi="宋体" w:cs="仿宋"/>
          <w:color w:val="auto"/>
        </w:rPr>
      </w:pPr>
      <w:r>
        <w:rPr>
          <w:rFonts w:hint="eastAsia" w:ascii="宋体" w:hAnsi="宋体" w:cs="仿宋"/>
          <w:color w:val="auto"/>
        </w:rPr>
        <w:t xml:space="preserve">    （四）运维清单：</w:t>
      </w:r>
    </w:p>
    <w:p>
      <w:pPr>
        <w:spacing w:line="240" w:lineRule="auto"/>
        <w:rPr>
          <w:rFonts w:ascii="宋体" w:hAnsi="宋体" w:cs="仿宋"/>
          <w:color w:val="auto"/>
        </w:rPr>
      </w:pPr>
      <w:r>
        <w:rPr>
          <w:rFonts w:hint="eastAsia" w:ascii="宋体" w:hAnsi="宋体" w:cs="仿宋"/>
          <w:color w:val="auto"/>
        </w:rPr>
        <w:t xml:space="preserve">    以上运行、管理和维护服务范围为整体服务外包内容，供应商所提供的服务必须对所有范围进行运行、管理和维护服务，且仅限于本次招标项目的运行、管理和维护外包范围，如需增加其它项目需双方另行协商确定。</w:t>
      </w:r>
    </w:p>
    <w:p>
      <w:pPr>
        <w:spacing w:line="240" w:lineRule="auto"/>
        <w:rPr>
          <w:rFonts w:ascii="宋体" w:hAnsi="宋体" w:cs="仿宋"/>
          <w:color w:val="auto"/>
        </w:rPr>
      </w:pPr>
      <w:r>
        <w:rPr>
          <w:rFonts w:hint="eastAsia" w:ascii="宋体" w:hAnsi="宋体" w:cs="仿宋"/>
          <w:color w:val="auto"/>
        </w:rPr>
        <w:t xml:space="preserve">    （五）运维内容及要求</w:t>
      </w:r>
    </w:p>
    <w:p>
      <w:pPr>
        <w:spacing w:line="240" w:lineRule="auto"/>
        <w:rPr>
          <w:rFonts w:ascii="宋体" w:hAnsi="宋体" w:cs="仿宋"/>
          <w:color w:val="auto"/>
        </w:rPr>
      </w:pPr>
      <w:r>
        <w:rPr>
          <w:rFonts w:hint="eastAsia" w:ascii="宋体" w:hAnsi="宋体" w:cs="仿宋"/>
          <w:color w:val="auto"/>
        </w:rPr>
        <w:t xml:space="preserve">    本项目服务任务是现有进出岛车辆卡口与RFID管理系统日常修改维护，主要工作内容如下：</w:t>
      </w:r>
    </w:p>
    <w:p>
      <w:pPr>
        <w:spacing w:line="240" w:lineRule="auto"/>
        <w:rPr>
          <w:rFonts w:ascii="宋体" w:hAnsi="宋体" w:cs="仿宋"/>
          <w:color w:val="auto"/>
        </w:rPr>
      </w:pPr>
      <w:r>
        <w:rPr>
          <w:rFonts w:hint="eastAsia" w:ascii="宋体" w:hAnsi="宋体" w:cs="仿宋"/>
          <w:color w:val="auto"/>
        </w:rPr>
        <w:t xml:space="preserve">    进出岛车辆卡口</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2977"/>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17" w:type="dxa"/>
            <w:vAlign w:val="center"/>
          </w:tcPr>
          <w:p>
            <w:pPr>
              <w:spacing w:line="240" w:lineRule="auto"/>
              <w:rPr>
                <w:rFonts w:ascii="宋体" w:hAnsi="宋体" w:cs="仿宋"/>
                <w:color w:val="auto"/>
              </w:rPr>
            </w:pPr>
            <w:r>
              <w:rPr>
                <w:rFonts w:hint="eastAsia" w:ascii="宋体" w:hAnsi="宋体" w:cs="仿宋"/>
                <w:color w:val="auto"/>
              </w:rPr>
              <w:t>序号</w:t>
            </w:r>
          </w:p>
        </w:tc>
        <w:tc>
          <w:tcPr>
            <w:tcW w:w="2268" w:type="dxa"/>
            <w:vAlign w:val="center"/>
          </w:tcPr>
          <w:p>
            <w:pPr>
              <w:spacing w:line="240" w:lineRule="auto"/>
              <w:rPr>
                <w:rFonts w:ascii="宋体" w:hAnsi="宋体" w:cs="仿宋"/>
                <w:color w:val="auto"/>
              </w:rPr>
            </w:pPr>
            <w:r>
              <w:rPr>
                <w:rFonts w:hint="eastAsia" w:ascii="宋体" w:hAnsi="宋体" w:cs="仿宋"/>
                <w:color w:val="auto"/>
              </w:rPr>
              <w:t>港口名称</w:t>
            </w:r>
          </w:p>
        </w:tc>
        <w:tc>
          <w:tcPr>
            <w:tcW w:w="2977" w:type="dxa"/>
            <w:vAlign w:val="center"/>
          </w:tcPr>
          <w:p>
            <w:pPr>
              <w:spacing w:line="240" w:lineRule="auto"/>
              <w:rPr>
                <w:rFonts w:ascii="宋体" w:hAnsi="宋体" w:cs="仿宋"/>
                <w:color w:val="auto"/>
              </w:rPr>
            </w:pPr>
            <w:r>
              <w:rPr>
                <w:rFonts w:hint="eastAsia" w:ascii="宋体" w:hAnsi="宋体" w:cs="仿宋"/>
                <w:color w:val="auto"/>
              </w:rPr>
              <w:t>地点</w:t>
            </w:r>
          </w:p>
        </w:tc>
        <w:tc>
          <w:tcPr>
            <w:tcW w:w="2460" w:type="dxa"/>
            <w:vAlign w:val="center"/>
          </w:tcPr>
          <w:p>
            <w:pPr>
              <w:spacing w:line="240" w:lineRule="auto"/>
              <w:rPr>
                <w:rFonts w:ascii="宋体" w:hAnsi="宋体" w:cs="仿宋"/>
                <w:color w:val="auto"/>
              </w:rPr>
            </w:pPr>
            <w:r>
              <w:rPr>
                <w:rFonts w:hint="eastAsia" w:ascii="宋体" w:hAnsi="宋体" w:cs="仿宋"/>
                <w:color w:val="auto"/>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17" w:type="dxa"/>
            <w:vAlign w:val="center"/>
          </w:tcPr>
          <w:p>
            <w:pPr>
              <w:spacing w:line="240" w:lineRule="auto"/>
              <w:rPr>
                <w:rFonts w:ascii="宋体" w:hAnsi="宋体" w:cs="仿宋"/>
                <w:color w:val="auto"/>
              </w:rPr>
            </w:pPr>
            <w:r>
              <w:rPr>
                <w:rFonts w:hint="eastAsia" w:ascii="宋体" w:hAnsi="宋体" w:cs="仿宋"/>
                <w:color w:val="auto"/>
              </w:rPr>
              <w:t>1</w:t>
            </w:r>
          </w:p>
        </w:tc>
        <w:tc>
          <w:tcPr>
            <w:tcW w:w="2268" w:type="dxa"/>
            <w:vAlign w:val="center"/>
          </w:tcPr>
          <w:p>
            <w:pPr>
              <w:spacing w:line="240" w:lineRule="auto"/>
              <w:rPr>
                <w:rFonts w:ascii="宋体" w:hAnsi="宋体" w:cs="仿宋"/>
                <w:color w:val="auto"/>
              </w:rPr>
            </w:pPr>
            <w:r>
              <w:rPr>
                <w:rFonts w:hint="eastAsia" w:ascii="宋体" w:hAnsi="宋体" w:cs="仿宋"/>
                <w:color w:val="auto"/>
              </w:rPr>
              <w:t>秀英港码头</w:t>
            </w:r>
          </w:p>
        </w:tc>
        <w:tc>
          <w:tcPr>
            <w:tcW w:w="2977" w:type="dxa"/>
            <w:vAlign w:val="center"/>
          </w:tcPr>
          <w:p>
            <w:pPr>
              <w:spacing w:line="240" w:lineRule="auto"/>
              <w:rPr>
                <w:rFonts w:ascii="宋体" w:hAnsi="宋体" w:cs="仿宋"/>
                <w:color w:val="auto"/>
              </w:rPr>
            </w:pPr>
            <w:r>
              <w:rPr>
                <w:rFonts w:hint="eastAsia" w:ascii="宋体" w:hAnsi="宋体" w:cs="仿宋"/>
                <w:color w:val="auto"/>
              </w:rPr>
              <w:t>进出港通道</w:t>
            </w:r>
          </w:p>
        </w:tc>
        <w:tc>
          <w:tcPr>
            <w:tcW w:w="2460" w:type="dxa"/>
            <w:vMerge w:val="restart"/>
            <w:vAlign w:val="center"/>
          </w:tcPr>
          <w:p>
            <w:pPr>
              <w:spacing w:line="240" w:lineRule="auto"/>
              <w:rPr>
                <w:rFonts w:ascii="宋体" w:hAnsi="宋体" w:cs="仿宋"/>
                <w:color w:val="auto"/>
              </w:rPr>
            </w:pPr>
            <w:r>
              <w:rPr>
                <w:rFonts w:hint="eastAsia" w:ascii="宋体" w:hAnsi="宋体" w:cs="仿宋"/>
                <w:color w:val="auto"/>
              </w:rPr>
              <w:t>车辆抓拍设备（海康威视）、车道监控设备（海康威视）、室外ＬＥＤ设备、抓拍平台设备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pPr>
              <w:spacing w:line="240" w:lineRule="auto"/>
              <w:rPr>
                <w:rFonts w:ascii="宋体" w:hAnsi="宋体" w:cs="仿宋"/>
                <w:color w:val="auto"/>
              </w:rPr>
            </w:pPr>
            <w:r>
              <w:rPr>
                <w:rFonts w:hint="eastAsia" w:ascii="宋体" w:hAnsi="宋体" w:cs="仿宋"/>
                <w:color w:val="auto"/>
              </w:rPr>
              <w:t>2</w:t>
            </w:r>
          </w:p>
        </w:tc>
        <w:tc>
          <w:tcPr>
            <w:tcW w:w="2268" w:type="dxa"/>
            <w:vAlign w:val="center"/>
          </w:tcPr>
          <w:p>
            <w:pPr>
              <w:spacing w:line="240" w:lineRule="auto"/>
              <w:rPr>
                <w:rFonts w:ascii="宋体" w:hAnsi="宋体" w:cs="仿宋"/>
                <w:color w:val="auto"/>
              </w:rPr>
            </w:pPr>
            <w:r>
              <w:rPr>
                <w:rFonts w:hint="eastAsia" w:ascii="宋体" w:hAnsi="宋体" w:cs="仿宋"/>
                <w:color w:val="auto"/>
              </w:rPr>
              <w:t>新海港码头</w:t>
            </w:r>
          </w:p>
        </w:tc>
        <w:tc>
          <w:tcPr>
            <w:tcW w:w="2977" w:type="dxa"/>
            <w:vAlign w:val="center"/>
          </w:tcPr>
          <w:p>
            <w:pPr>
              <w:spacing w:line="240" w:lineRule="auto"/>
              <w:rPr>
                <w:rFonts w:ascii="宋体" w:hAnsi="宋体" w:cs="仿宋"/>
                <w:color w:val="auto"/>
              </w:rPr>
            </w:pPr>
            <w:r>
              <w:rPr>
                <w:rFonts w:hint="eastAsia" w:ascii="宋体" w:hAnsi="宋体" w:cs="仿宋"/>
                <w:color w:val="auto"/>
              </w:rPr>
              <w:t>进出港通道及泊位</w:t>
            </w:r>
          </w:p>
        </w:tc>
        <w:tc>
          <w:tcPr>
            <w:tcW w:w="2460" w:type="dxa"/>
            <w:vMerge w:val="continue"/>
            <w:vAlign w:val="center"/>
          </w:tcPr>
          <w:p>
            <w:pPr>
              <w:spacing w:line="240" w:lineRule="auto"/>
              <w:rPr>
                <w:rFonts w:ascii="宋体" w:hAnsi="宋体"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rPr>
                <w:rFonts w:ascii="宋体" w:hAnsi="宋体" w:cs="仿宋"/>
                <w:color w:val="auto"/>
              </w:rPr>
            </w:pPr>
            <w:r>
              <w:rPr>
                <w:rFonts w:hint="eastAsia" w:ascii="宋体" w:hAnsi="宋体" w:cs="仿宋"/>
                <w:color w:val="auto"/>
              </w:rPr>
              <w:t>3</w:t>
            </w:r>
          </w:p>
        </w:tc>
        <w:tc>
          <w:tcPr>
            <w:tcW w:w="2268" w:type="dxa"/>
            <w:vAlign w:val="center"/>
          </w:tcPr>
          <w:p>
            <w:pPr>
              <w:spacing w:line="240" w:lineRule="auto"/>
              <w:rPr>
                <w:rFonts w:ascii="宋体" w:hAnsi="宋体" w:cs="仿宋"/>
                <w:color w:val="auto"/>
              </w:rPr>
            </w:pPr>
            <w:r>
              <w:rPr>
                <w:rFonts w:hint="eastAsia" w:ascii="宋体" w:hAnsi="宋体" w:cs="仿宋"/>
                <w:color w:val="auto"/>
              </w:rPr>
              <w:t>粤海南港码头1</w:t>
            </w:r>
          </w:p>
        </w:tc>
        <w:tc>
          <w:tcPr>
            <w:tcW w:w="2977" w:type="dxa"/>
            <w:vAlign w:val="center"/>
          </w:tcPr>
          <w:p>
            <w:pPr>
              <w:spacing w:line="240" w:lineRule="auto"/>
              <w:rPr>
                <w:rFonts w:ascii="宋体" w:hAnsi="宋体" w:cs="仿宋"/>
                <w:color w:val="auto"/>
              </w:rPr>
            </w:pPr>
            <w:r>
              <w:rPr>
                <w:rFonts w:hint="eastAsia" w:ascii="宋体" w:hAnsi="宋体" w:cs="仿宋"/>
                <w:color w:val="auto"/>
              </w:rPr>
              <w:t>进出港通道</w:t>
            </w:r>
          </w:p>
        </w:tc>
        <w:tc>
          <w:tcPr>
            <w:tcW w:w="2460" w:type="dxa"/>
            <w:vMerge w:val="continue"/>
            <w:vAlign w:val="center"/>
          </w:tcPr>
          <w:p>
            <w:pPr>
              <w:spacing w:line="240" w:lineRule="auto"/>
              <w:rPr>
                <w:rFonts w:ascii="宋体" w:hAnsi="宋体"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rPr>
                <w:rFonts w:ascii="宋体" w:hAnsi="宋体" w:cs="仿宋"/>
                <w:color w:val="auto"/>
              </w:rPr>
            </w:pPr>
            <w:r>
              <w:rPr>
                <w:rFonts w:hint="eastAsia" w:ascii="宋体" w:hAnsi="宋体" w:cs="仿宋"/>
                <w:color w:val="auto"/>
              </w:rPr>
              <w:t>4</w:t>
            </w:r>
          </w:p>
        </w:tc>
        <w:tc>
          <w:tcPr>
            <w:tcW w:w="2268" w:type="dxa"/>
            <w:vAlign w:val="center"/>
          </w:tcPr>
          <w:p>
            <w:pPr>
              <w:spacing w:line="240" w:lineRule="auto"/>
              <w:rPr>
                <w:rFonts w:ascii="宋体" w:hAnsi="宋体" w:cs="仿宋"/>
                <w:color w:val="auto"/>
              </w:rPr>
            </w:pPr>
            <w:r>
              <w:rPr>
                <w:rFonts w:hint="eastAsia" w:ascii="宋体" w:hAnsi="宋体" w:cs="仿宋"/>
                <w:color w:val="auto"/>
              </w:rPr>
              <w:t>粤海南港码头2</w:t>
            </w:r>
          </w:p>
        </w:tc>
        <w:tc>
          <w:tcPr>
            <w:tcW w:w="2977" w:type="dxa"/>
            <w:vAlign w:val="center"/>
          </w:tcPr>
          <w:p>
            <w:pPr>
              <w:spacing w:line="240" w:lineRule="auto"/>
              <w:rPr>
                <w:rFonts w:ascii="宋体" w:hAnsi="宋体" w:cs="仿宋"/>
                <w:color w:val="auto"/>
              </w:rPr>
            </w:pPr>
            <w:r>
              <w:rPr>
                <w:rFonts w:hint="eastAsia" w:ascii="宋体" w:hAnsi="宋体" w:cs="仿宋"/>
                <w:color w:val="auto"/>
              </w:rPr>
              <w:t>进出港通道</w:t>
            </w:r>
          </w:p>
        </w:tc>
        <w:tc>
          <w:tcPr>
            <w:tcW w:w="2460" w:type="dxa"/>
            <w:vMerge w:val="continue"/>
            <w:vAlign w:val="center"/>
          </w:tcPr>
          <w:p>
            <w:pPr>
              <w:spacing w:line="240" w:lineRule="auto"/>
              <w:rPr>
                <w:rFonts w:ascii="宋体" w:hAnsi="宋体" w:cs="仿宋"/>
                <w:color w:val="auto"/>
              </w:rPr>
            </w:pPr>
          </w:p>
        </w:tc>
      </w:tr>
    </w:tbl>
    <w:p>
      <w:pPr>
        <w:spacing w:line="240" w:lineRule="auto"/>
        <w:rPr>
          <w:rFonts w:ascii="宋体" w:hAnsi="宋体" w:cs="仿宋"/>
          <w:color w:val="auto"/>
        </w:rPr>
      </w:pPr>
      <w:r>
        <w:rPr>
          <w:rFonts w:hint="eastAsia" w:ascii="宋体" w:hAnsi="宋体" w:cs="仿宋"/>
          <w:color w:val="auto"/>
        </w:rPr>
        <w:t xml:space="preserve">    RFID管理系统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134"/>
        <w:gridCol w:w="2835"/>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系统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服务</w:t>
            </w:r>
          </w:p>
          <w:p>
            <w:pPr>
              <w:spacing w:line="240" w:lineRule="auto"/>
              <w:rPr>
                <w:rFonts w:ascii="宋体" w:hAnsi="宋体" w:cs="仿宋"/>
                <w:color w:val="auto"/>
              </w:rPr>
            </w:pPr>
            <w:r>
              <w:rPr>
                <w:rFonts w:hint="eastAsia" w:ascii="宋体" w:hAnsi="宋体" w:cs="仿宋"/>
                <w:color w:val="auto"/>
              </w:rPr>
              <w:t>时间</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服务内容</w:t>
            </w:r>
          </w:p>
        </w:tc>
        <w:tc>
          <w:tcPr>
            <w:tcW w:w="260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RFID信息管理系统</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2022年全年</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由第三方开发，日常使用过程存在流程变更，功能优化，硬件故障处理，</w:t>
            </w:r>
          </w:p>
          <w:p>
            <w:pPr>
              <w:spacing w:line="240" w:lineRule="auto"/>
              <w:rPr>
                <w:rFonts w:ascii="宋体" w:hAnsi="宋体" w:cs="仿宋"/>
                <w:color w:val="auto"/>
              </w:rPr>
            </w:pPr>
            <w:r>
              <w:rPr>
                <w:rFonts w:hint="eastAsia" w:ascii="宋体" w:hAnsi="宋体" w:cs="仿宋"/>
                <w:color w:val="auto"/>
              </w:rPr>
              <w:t>网络问题，系统维护（如停电或关机后重启时需要手工启动某些服务）等</w:t>
            </w:r>
          </w:p>
          <w:p>
            <w:pPr>
              <w:spacing w:line="240" w:lineRule="auto"/>
              <w:rPr>
                <w:rFonts w:ascii="宋体" w:hAnsi="宋体" w:cs="仿宋"/>
                <w:color w:val="auto"/>
              </w:rPr>
            </w:pPr>
            <w:r>
              <w:rPr>
                <w:rFonts w:hint="eastAsia" w:ascii="宋体" w:hAnsi="宋体" w:cs="仿宋"/>
                <w:color w:val="auto"/>
              </w:rPr>
              <w:t>维护需求</w:t>
            </w:r>
          </w:p>
        </w:tc>
        <w:tc>
          <w:tcPr>
            <w:tcW w:w="260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现有RFID系统的日常修改与维护；</w:t>
            </w:r>
          </w:p>
          <w:p>
            <w:pPr>
              <w:spacing w:line="240" w:lineRule="auto"/>
              <w:rPr>
                <w:rFonts w:ascii="宋体" w:hAnsi="宋体" w:cs="仿宋"/>
                <w:color w:val="auto"/>
              </w:rPr>
            </w:pPr>
            <w:r>
              <w:rPr>
                <w:rFonts w:hint="eastAsia" w:ascii="宋体" w:hAnsi="宋体" w:cs="仿宋"/>
                <w:color w:val="auto"/>
              </w:rPr>
              <w:t>小型新增功能模块开发；</w:t>
            </w:r>
          </w:p>
          <w:p>
            <w:pPr>
              <w:spacing w:line="240" w:lineRule="auto"/>
              <w:rPr>
                <w:rFonts w:ascii="宋体" w:hAnsi="宋体" w:cs="仿宋"/>
                <w:color w:val="auto"/>
              </w:rPr>
            </w:pPr>
            <w:r>
              <w:rPr>
                <w:rFonts w:hint="eastAsia" w:ascii="宋体" w:hAnsi="宋体" w:cs="仿宋"/>
                <w:color w:val="auto"/>
              </w:rPr>
              <w:t>数据查询和统计；</w:t>
            </w:r>
          </w:p>
          <w:p>
            <w:pPr>
              <w:spacing w:line="240" w:lineRule="auto"/>
              <w:rPr>
                <w:rFonts w:ascii="宋体" w:hAnsi="宋体" w:cs="仿宋"/>
                <w:color w:val="auto"/>
              </w:rPr>
            </w:pPr>
            <w:r>
              <w:rPr>
                <w:rFonts w:hint="eastAsia" w:ascii="宋体" w:hAnsi="宋体" w:cs="仿宋"/>
                <w:color w:val="auto"/>
              </w:rPr>
              <w:t>系统问题诊断及错误修正；</w:t>
            </w:r>
          </w:p>
          <w:p>
            <w:pPr>
              <w:spacing w:line="240" w:lineRule="auto"/>
              <w:rPr>
                <w:rFonts w:ascii="宋体" w:hAnsi="宋体" w:cs="仿宋"/>
                <w:color w:val="auto"/>
              </w:rPr>
            </w:pPr>
            <w:r>
              <w:rPr>
                <w:rFonts w:hint="eastAsia" w:ascii="宋体" w:hAnsi="宋体" w:cs="仿宋"/>
                <w:color w:val="auto"/>
              </w:rPr>
              <w:t>系统使用咨询及操作指导；</w:t>
            </w:r>
          </w:p>
          <w:p>
            <w:pPr>
              <w:spacing w:line="240" w:lineRule="auto"/>
              <w:rPr>
                <w:rFonts w:ascii="宋体" w:hAnsi="宋体" w:cs="仿宋"/>
                <w:color w:val="auto"/>
              </w:rPr>
            </w:pPr>
            <w:r>
              <w:rPr>
                <w:rFonts w:hint="eastAsia" w:ascii="宋体" w:hAnsi="宋体" w:cs="仿宋"/>
                <w:color w:val="auto"/>
              </w:rPr>
              <w:t>系统运行情况的日常监测和问题处理；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技术</w:t>
            </w:r>
          </w:p>
          <w:p>
            <w:pPr>
              <w:spacing w:line="240" w:lineRule="auto"/>
              <w:rPr>
                <w:rFonts w:ascii="宋体" w:hAnsi="宋体" w:cs="仿宋"/>
                <w:color w:val="auto"/>
              </w:rPr>
            </w:pPr>
            <w:r>
              <w:rPr>
                <w:rFonts w:hint="eastAsia" w:ascii="宋体" w:hAnsi="宋体" w:cs="仿宋"/>
                <w:color w:val="auto"/>
              </w:rPr>
              <w:t>服务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2022年全年</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为我单位信息化建设的规划设计咨询提供技术服务。会因信息化建设应用，与相关单位部门发生协调关系时，提供资源保障。</w:t>
            </w:r>
          </w:p>
        </w:tc>
        <w:tc>
          <w:tcPr>
            <w:tcW w:w="260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cs="仿宋"/>
                <w:color w:val="auto"/>
              </w:rPr>
            </w:pPr>
            <w:r>
              <w:rPr>
                <w:rFonts w:hint="eastAsia" w:ascii="宋体" w:hAnsi="宋体" w:cs="仿宋"/>
                <w:color w:val="auto"/>
              </w:rPr>
              <w:t>及时响应需求。</w:t>
            </w:r>
          </w:p>
        </w:tc>
      </w:tr>
    </w:tbl>
    <w:p>
      <w:pPr>
        <w:spacing w:line="240" w:lineRule="auto"/>
        <w:rPr>
          <w:rFonts w:ascii="宋体" w:hAnsi="宋体" w:cs="仿宋"/>
          <w:color w:val="auto"/>
        </w:rPr>
      </w:pPr>
      <w:r>
        <w:rPr>
          <w:rFonts w:hint="eastAsia" w:ascii="宋体" w:hAnsi="宋体" w:cs="仿宋"/>
          <w:color w:val="auto"/>
        </w:rPr>
        <w:t xml:space="preserve">    （六）项目服务方式</w:t>
      </w:r>
    </w:p>
    <w:p>
      <w:pPr>
        <w:spacing w:line="240" w:lineRule="auto"/>
        <w:rPr>
          <w:rFonts w:ascii="宋体" w:hAnsi="宋体" w:cs="仿宋"/>
          <w:color w:val="auto"/>
        </w:rPr>
      </w:pPr>
      <w:r>
        <w:rPr>
          <w:rFonts w:hint="eastAsia" w:ascii="宋体" w:hAnsi="宋体" w:cs="仿宋"/>
          <w:color w:val="auto"/>
        </w:rPr>
        <w:t xml:space="preserve">    1、热线支持服务</w:t>
      </w:r>
    </w:p>
    <w:p>
      <w:pPr>
        <w:spacing w:line="240" w:lineRule="auto"/>
        <w:rPr>
          <w:rFonts w:ascii="宋体" w:hAnsi="宋体" w:cs="仿宋"/>
          <w:color w:val="auto"/>
        </w:rPr>
      </w:pPr>
      <w:r>
        <w:rPr>
          <w:rFonts w:hint="eastAsia" w:ascii="宋体" w:hAnsi="宋体" w:cs="仿宋"/>
          <w:color w:val="auto"/>
        </w:rPr>
        <w:t xml:space="preserve">    提供 7*24 小时热线技术支持服务，对维护需求及时响应，提供统一的服务号码，统一的服务跟踪模式及时间记录平台。提供服务呼叫（包括电话、邮件、传真等）的接收、记录、分类；提供服务请求响应并处理各类突发事件；提供服务的升级处理；协调二线工程师解决故障。</w:t>
      </w:r>
    </w:p>
    <w:p>
      <w:pPr>
        <w:spacing w:line="240" w:lineRule="auto"/>
        <w:rPr>
          <w:rFonts w:ascii="宋体" w:hAnsi="宋体" w:cs="仿宋"/>
          <w:color w:val="auto"/>
        </w:rPr>
      </w:pPr>
      <w:r>
        <w:rPr>
          <w:rFonts w:hint="eastAsia" w:ascii="宋体" w:hAnsi="宋体" w:cs="仿宋"/>
          <w:color w:val="auto"/>
        </w:rPr>
        <w:t xml:space="preserve">    2、现场支持服务</w:t>
      </w:r>
    </w:p>
    <w:p>
      <w:pPr>
        <w:spacing w:line="240" w:lineRule="auto"/>
        <w:rPr>
          <w:rFonts w:ascii="宋体" w:hAnsi="宋体" w:cs="仿宋"/>
          <w:color w:val="auto"/>
        </w:rPr>
      </w:pPr>
      <w:r>
        <w:rPr>
          <w:rFonts w:hint="eastAsia" w:ascii="宋体" w:hAnsi="宋体" w:cs="仿宋"/>
          <w:color w:val="auto"/>
        </w:rPr>
        <w:t xml:space="preserve">    提供 7*5 小时现场技术支持服务，对维护请求及时响应，现场响应时间小于 30 分钟，根据故障级别及响应要求，分配二线工程师进行现场技术支持。服务期内，提供驻点服务，每周一次的例行巡检，并出具相应的系统巡检报告，参与每月或者每季度的服务回顾总结会议，并对运维中发现的问题进行跟踪处理，确保各个设备系统稳定运行。</w:t>
      </w:r>
    </w:p>
    <w:p>
      <w:pPr>
        <w:spacing w:line="240" w:lineRule="auto"/>
        <w:rPr>
          <w:rFonts w:ascii="宋体" w:hAnsi="宋体" w:cs="仿宋"/>
          <w:color w:val="auto"/>
        </w:rPr>
      </w:pPr>
      <w:r>
        <w:rPr>
          <w:rFonts w:hint="eastAsia" w:ascii="宋体" w:hAnsi="宋体" w:cs="仿宋"/>
          <w:color w:val="auto"/>
        </w:rPr>
        <w:t xml:space="preserve">    3、远程服务</w:t>
      </w:r>
    </w:p>
    <w:p>
      <w:pPr>
        <w:spacing w:line="240" w:lineRule="auto"/>
        <w:rPr>
          <w:rFonts w:ascii="宋体" w:hAnsi="宋体" w:cs="仿宋"/>
          <w:color w:val="auto"/>
        </w:rPr>
      </w:pPr>
      <w:r>
        <w:rPr>
          <w:rFonts w:hint="eastAsia" w:ascii="宋体" w:hAnsi="宋体" w:cs="仿宋"/>
          <w:color w:val="auto"/>
        </w:rPr>
        <w:t xml:space="preserve">   对于通过现场人员不能解决的故障，如果设备具备提供远程技术支援的能力，在征得我单位同意后，二线工程师通过远程接入手段，登录到故障设备，进行故障诊断，查找故障出现的原因，指导现场维护人员处理故障。</w:t>
      </w:r>
    </w:p>
    <w:p>
      <w:pPr>
        <w:spacing w:line="240" w:lineRule="auto"/>
        <w:rPr>
          <w:rFonts w:ascii="宋体" w:hAnsi="宋体" w:cs="仿宋"/>
          <w:color w:val="auto"/>
        </w:rPr>
      </w:pPr>
      <w:r>
        <w:rPr>
          <w:rFonts w:hint="eastAsia" w:ascii="宋体" w:hAnsi="宋体" w:cs="仿宋"/>
          <w:color w:val="auto"/>
        </w:rPr>
        <w:t xml:space="preserve">    4、24 小时值守服务</w:t>
      </w:r>
    </w:p>
    <w:p>
      <w:pPr>
        <w:spacing w:line="240" w:lineRule="auto"/>
        <w:rPr>
          <w:rFonts w:ascii="宋体" w:hAnsi="宋体" w:cs="仿宋"/>
          <w:color w:val="auto"/>
        </w:rPr>
      </w:pPr>
      <w:r>
        <w:rPr>
          <w:rFonts w:hint="eastAsia" w:ascii="宋体" w:hAnsi="宋体" w:cs="仿宋"/>
          <w:color w:val="auto"/>
        </w:rPr>
        <w:t xml:space="preserve">   遇到重大事件、特殊时期（如两会期间、博鳌会议期间）、节假日及恶劣气象条件（如台风）等情况下，需按我单位要求提供 24 小时现场值守服务。（提供承诺函）</w:t>
      </w:r>
    </w:p>
    <w:p>
      <w:pPr>
        <w:spacing w:line="240" w:lineRule="auto"/>
        <w:rPr>
          <w:rFonts w:ascii="宋体" w:hAnsi="宋体" w:cs="仿宋"/>
          <w:color w:val="auto"/>
        </w:rPr>
      </w:pPr>
      <w:r>
        <w:rPr>
          <w:rFonts w:hint="eastAsia" w:ascii="宋体" w:hAnsi="宋体" w:cs="仿宋"/>
          <w:color w:val="auto"/>
        </w:rPr>
        <w:t xml:space="preserve">    5、维护期外服务</w:t>
      </w:r>
    </w:p>
    <w:p>
      <w:pPr>
        <w:spacing w:line="240" w:lineRule="auto"/>
        <w:rPr>
          <w:rFonts w:ascii="宋体" w:hAnsi="宋体" w:cs="仿宋"/>
          <w:color w:val="auto"/>
        </w:rPr>
      </w:pPr>
      <w:r>
        <w:rPr>
          <w:rFonts w:hint="eastAsia" w:ascii="宋体" w:hAnsi="宋体" w:cs="仿宋"/>
          <w:color w:val="auto"/>
        </w:rPr>
        <w:t xml:space="preserve">    向我单位提供不限时间、不限数量的售后电话支持或 e-mail 支持，帮助迅速有效地解决问题。我局在任意时间都可以得到服务供应商的专业的服务。（提供承诺函）</w:t>
      </w:r>
    </w:p>
    <w:p>
      <w:pPr>
        <w:spacing w:line="240" w:lineRule="auto"/>
        <w:rPr>
          <w:rFonts w:ascii="宋体" w:hAnsi="宋体" w:cs="仿宋"/>
          <w:color w:val="auto"/>
        </w:rPr>
      </w:pPr>
      <w:r>
        <w:rPr>
          <w:rFonts w:hint="eastAsia" w:ascii="宋体" w:hAnsi="宋体" w:cs="仿宋"/>
          <w:color w:val="auto"/>
        </w:rPr>
        <w:t xml:space="preserve">    （七）项目维护人员要求</w:t>
      </w:r>
    </w:p>
    <w:p>
      <w:pPr>
        <w:spacing w:line="240" w:lineRule="auto"/>
        <w:rPr>
          <w:rFonts w:ascii="宋体" w:hAnsi="宋体" w:cs="仿宋"/>
          <w:color w:val="auto"/>
        </w:rPr>
      </w:pPr>
      <w:r>
        <w:rPr>
          <w:rFonts w:hint="eastAsia" w:ascii="宋体" w:hAnsi="宋体" w:cs="仿宋"/>
          <w:color w:val="auto"/>
        </w:rPr>
        <w:t xml:space="preserve">    投标供应商在响应文件中须提交拟派项目组成员名单。成交供应商必须按照响应文件中拟派项目组名单成立项目组，且项目组中各成员不得随意更换，如遇特殊情况确需更换，须提前向采购人提出书面申请，并取得采购人同意。若项目组人员不能满足项目工作要求，采购人有权要求成交供应商更换或补充人员。</w:t>
      </w:r>
    </w:p>
    <w:p>
      <w:pPr>
        <w:spacing w:line="240" w:lineRule="auto"/>
        <w:ind w:firstLine="240" w:firstLineChars="100"/>
        <w:rPr>
          <w:rFonts w:ascii="宋体" w:hAnsi="宋体" w:cs="仿宋"/>
          <w:color w:val="auto"/>
        </w:rPr>
      </w:pPr>
      <w:r>
        <w:rPr>
          <w:rFonts w:hint="eastAsia" w:ascii="宋体" w:hAnsi="宋体" w:cs="仿宋"/>
          <w:color w:val="auto"/>
        </w:rPr>
        <w:t>（八）其他要求</w:t>
      </w:r>
    </w:p>
    <w:p>
      <w:pPr>
        <w:spacing w:line="240" w:lineRule="auto"/>
        <w:ind w:firstLine="240" w:firstLineChars="100"/>
        <w:rPr>
          <w:rFonts w:ascii="宋体" w:hAnsi="宋体" w:cs="仿宋"/>
          <w:color w:val="auto"/>
        </w:rPr>
      </w:pPr>
      <w:r>
        <w:rPr>
          <w:rFonts w:hint="eastAsia" w:ascii="宋体" w:hAnsi="宋体" w:cs="仿宋"/>
          <w:color w:val="auto"/>
        </w:rPr>
        <w:t xml:space="preserve">  1、服务期限：合同签订后至2022年12月31日。</w:t>
      </w:r>
    </w:p>
    <w:p>
      <w:pPr>
        <w:spacing w:line="240" w:lineRule="auto"/>
        <w:rPr>
          <w:rFonts w:ascii="宋体" w:hAnsi="宋体" w:cs="仿宋"/>
          <w:color w:val="auto"/>
        </w:rPr>
      </w:pPr>
      <w:r>
        <w:rPr>
          <w:rFonts w:hint="eastAsia" w:ascii="宋体" w:hAnsi="宋体" w:cs="仿宋"/>
          <w:color w:val="auto"/>
        </w:rPr>
        <w:t xml:space="preserve">    2、服务地点：用户指定地点。</w:t>
      </w:r>
    </w:p>
    <w:p>
      <w:pPr>
        <w:spacing w:line="240" w:lineRule="auto"/>
        <w:rPr>
          <w:rFonts w:ascii="宋体" w:hAnsi="宋体" w:cs="仿宋"/>
          <w:color w:val="auto"/>
        </w:rPr>
      </w:pPr>
      <w:r>
        <w:rPr>
          <w:rFonts w:hint="eastAsia" w:ascii="宋体" w:hAnsi="宋体" w:cs="仿宋"/>
          <w:color w:val="auto"/>
        </w:rPr>
        <w:t xml:space="preserve">    3、采购资金的支付方式、时间、条件：由双方协商</w:t>
      </w:r>
    </w:p>
    <w:p>
      <w:pPr>
        <w:spacing w:line="240" w:lineRule="auto"/>
        <w:rPr>
          <w:rFonts w:ascii="宋体" w:hAnsi="宋体" w:cs="仿宋"/>
          <w:color w:val="auto"/>
        </w:rPr>
      </w:pPr>
      <w:r>
        <w:rPr>
          <w:rFonts w:hint="eastAsia" w:ascii="宋体" w:hAnsi="宋体" w:cs="仿宋"/>
          <w:color w:val="auto"/>
        </w:rPr>
        <w:t xml:space="preserve">    4、验收要求：按标书服务要求和国家行业标准进行验收。</w:t>
      </w:r>
    </w:p>
    <w:p>
      <w:pPr>
        <w:spacing w:line="240" w:lineRule="auto"/>
        <w:ind w:firstLine="560"/>
        <w:rPr>
          <w:rFonts w:ascii="宋体" w:hAnsi="宋体" w:cs="仿宋"/>
          <w:color w:val="auto"/>
        </w:rPr>
      </w:pPr>
      <w:r>
        <w:rPr>
          <w:rFonts w:hint="eastAsia" w:ascii="宋体" w:hAnsi="宋体" w:cs="仿宋"/>
          <w:color w:val="auto"/>
        </w:rPr>
        <w:t xml:space="preserve">5、其他    </w:t>
      </w:r>
    </w:p>
    <w:p>
      <w:pPr>
        <w:spacing w:line="240" w:lineRule="auto"/>
        <w:ind w:firstLine="560"/>
        <w:rPr>
          <w:rFonts w:ascii="宋体" w:hAnsi="宋体" w:cs="仿宋"/>
          <w:color w:val="auto"/>
        </w:rPr>
      </w:pPr>
      <w:r>
        <w:rPr>
          <w:rFonts w:hint="eastAsia" w:ascii="宋体" w:hAnsi="宋体" w:cs="仿宋"/>
          <w:color w:val="auto"/>
        </w:rPr>
        <w:t>（1）供应商必须根据所投服务内容、资质资料编写投标文件。在中标结果公示期间，采购人有权对中标候选人的资质证书等进行核查，如发现与其投标文件中的描述不一，代理机构将报政府采购主管部门严肃处理。</w:t>
      </w:r>
    </w:p>
    <w:p>
      <w:pPr>
        <w:spacing w:line="240" w:lineRule="auto"/>
        <w:ind w:firstLine="480" w:firstLineChars="200"/>
        <w:rPr>
          <w:rFonts w:ascii="宋体" w:hAnsi="宋体" w:cs="仿宋"/>
          <w:color w:val="auto"/>
        </w:rPr>
      </w:pPr>
      <w:r>
        <w:rPr>
          <w:rFonts w:hint="eastAsia" w:ascii="宋体" w:hAnsi="宋体" w:cs="仿宋"/>
          <w:color w:val="auto"/>
        </w:rPr>
        <w:t>（2）供应商不能低价恶意竞争， 评标委员会认为供应商的报价明显低于其他通过符合性审查供应商的报价，有可能影响产品质量或者不能诚信履约的，应当要求其在评标现场合理的时间内提供书面说明，并提交相关证明材料；供应商不能证明其报价合理性的，评标委员会应当将其作为无效投标处理。如中标人的报价过低，明显不符合市场价格，则采购人有权要求中标人提供政府采购合同金额的</w:t>
      </w:r>
      <w:r>
        <w:rPr>
          <w:rFonts w:ascii="宋体" w:hAnsi="宋体" w:cs="仿宋"/>
          <w:color w:val="auto"/>
        </w:rPr>
        <w:t>5</w:t>
      </w:r>
      <w:r>
        <w:rPr>
          <w:rFonts w:hint="eastAsia" w:ascii="宋体" w:hAnsi="宋体" w:cs="仿宋"/>
          <w:color w:val="auto"/>
        </w:rPr>
        <w:t>%作为履约保证金，同时预付款比例调整为0。如中标人在实施过程中偷工减料、服务质量怠慢，不按质量要求服务完成项目，则采购人有权终止合同，没收履约保证金，并报主管部门严肃处理。</w:t>
      </w:r>
    </w:p>
    <w:p>
      <w:r>
        <w:rPr>
          <w:rFonts w:hint="eastAsia" w:ascii="宋体" w:hAnsi="宋体" w:cs="仿宋"/>
          <w:color w:val="auto"/>
        </w:rPr>
        <w:t>（3）2022年1月1日至签订合同之日期间的运维工作已由原运维公司负责，此期间的运维费用由中标的运维单位代为支付（税费双方均摊），支付标准：运维天数/365天×中标价；本年度运维结束至下一年度运维招标结果确定并签订运维合同前，本年度中标的运维单位应继续做好项目的运维工作，权利义务及责任仍执行原合同之约定，所产生的运维费用由下一年度中标的运维单位按照实际运维时间代为支付。（提供承诺函）</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YmZkNjA3Mjk1ZjM3YzMyZmZmOWJkMWU4Y2E4NGQifQ=="/>
  </w:docVars>
  <w:rsids>
    <w:rsidRoot w:val="00000000"/>
    <w:rsid w:val="2604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120" w:after="120"/>
      <w:jc w:val="center"/>
      <w:outlineLvl w:val="0"/>
    </w:pPr>
    <w:rPr>
      <w:b/>
      <w:bCs/>
      <w:kern w:val="44"/>
      <w:sz w:val="44"/>
      <w:szCs w:val="44"/>
    </w:rPr>
  </w:style>
  <w:style w:type="paragraph" w:styleId="2">
    <w:name w:val="heading 2"/>
    <w:basedOn w:val="1"/>
    <w:next w:val="1"/>
    <w:qFormat/>
    <w:uiPriority w:val="0"/>
    <w:pPr>
      <w:keepNext/>
      <w:keepLines/>
      <w:outlineLvl w:val="1"/>
    </w:pPr>
    <w:rPr>
      <w:rFonts w:ascii="Cambria" w:hAnsi="Cambria"/>
      <w:b/>
      <w:bCs/>
      <w:kern w:val="0"/>
      <w:sz w:val="30"/>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2022-05-06T15:06:45Z</dcterms:created>
  <dc:creator>Administrator</dc:creator>
  <cp:lastModifiedBy>故事与她</cp:lastModifiedBy>
  <dcterms:modified xsi:type="dcterms:W3CDTF">2022-05-06T15:06:50Z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B689B93A44DE422CA5775F1D6853A5F7</vt:lpwstr>
  </property>
</Properties>
</file>