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after="0" w:afterLines="0" w:line="240" w:lineRule="auto"/>
        <w:rPr>
          <w:color w:val="auto"/>
        </w:rPr>
      </w:pPr>
      <w:bookmarkStart w:id="0" w:name="_Toc27759"/>
      <w:bookmarkStart w:id="1" w:name="_Toc425497738"/>
      <w:r>
        <w:rPr>
          <w:color w:val="auto"/>
        </w:rPr>
        <w:t>第三章 用户需求书</w:t>
      </w:r>
      <w:bookmarkEnd w:id="0"/>
      <w:bookmarkEnd w:id="1"/>
      <w:bookmarkStart w:id="2" w:name="_Toc357790812"/>
    </w:p>
    <w:p>
      <w:pPr>
        <w:rPr>
          <w:rFonts w:hint="eastAsia"/>
          <w:color w:val="auto"/>
        </w:rPr>
      </w:pPr>
    </w:p>
    <w:bookmarkEnd w:id="2"/>
    <w:p>
      <w:pPr>
        <w:bidi w:val="0"/>
        <w:spacing w:line="360" w:lineRule="auto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一、项目名称</w:t>
      </w:r>
    </w:p>
    <w:p>
      <w:pPr>
        <w:spacing w:line="360" w:lineRule="auto"/>
        <w:rPr>
          <w:rFonts w:hint="eastAsia"/>
          <w:color w:val="auto"/>
          <w:lang w:val="en-US" w:eastAsia="zh-CN"/>
        </w:rPr>
      </w:pPr>
      <w:bookmarkStart w:id="3" w:name="_Toc458334276"/>
      <w:bookmarkStart w:id="4" w:name="_Toc460421727"/>
      <w:bookmarkStart w:id="5" w:name="_Toc491437779"/>
      <w:bookmarkStart w:id="6" w:name="_Toc458255327"/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文昌市小学配备AED自动体外除颤仪项目</w:t>
      </w:r>
    </w:p>
    <w:p>
      <w:pPr>
        <w:bidi w:val="0"/>
        <w:spacing w:line="360" w:lineRule="auto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项目清单</w:t>
      </w:r>
    </w:p>
    <w:bookmarkEnd w:id="3"/>
    <w:bookmarkEnd w:id="4"/>
    <w:bookmarkEnd w:id="5"/>
    <w:bookmarkEnd w:id="6"/>
    <w:tbl>
      <w:tblPr>
        <w:tblStyle w:val="6"/>
        <w:tblW w:w="100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3388"/>
        <w:gridCol w:w="2326"/>
        <w:gridCol w:w="1095"/>
        <w:gridCol w:w="689"/>
        <w:gridCol w:w="333"/>
        <w:gridCol w:w="332"/>
        <w:gridCol w:w="90"/>
        <w:gridCol w:w="237"/>
        <w:gridCol w:w="95"/>
        <w:gridCol w:w="232"/>
        <w:gridCol w:w="95"/>
        <w:gridCol w:w="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文昌市第一小学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半自动体外除颤器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文昌市第二小学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文昌市第二小学乐群分校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文昌市第三小学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文昌市树芳小学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文昌市第五小学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文昌市特殊教育学校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文城中心小学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文城镇逸夫小学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文昌市清澜中心小学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文昌市清澜第二小学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文昌市清澜同新小学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文昌市清澜智新小学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文昌市清澜南岛小学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文昌市头苑明新小学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文昌市头苑培基小学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文昌市头苑新培文小学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文昌市头苑玉峰小学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文昌市迈号中心小学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文昌市迈号坡口小学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文昌市迈号迈众象德小学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文昌市迈号迈南小学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文昌市南阳农场学校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文昌市南阳中心小学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文昌市东阁中心小学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文昌市东阁群建小学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文昌市东阁西园小学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文昌市东阁良丰小学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文昌市东阁成美小学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文昌市宝芳成德小学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文昌市文教镇尚明小学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文昌市文教镇宋六小学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文昌市文教镇培龙小学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文昌市锦山中心小学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文昌市锦山第二小学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文昌市锦山镇文锦小学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文昌市锦山镇文山小学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文昌市湖山中心小学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文昌市湖山溪尾小学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文昌市罗豆农场中心小学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文昌市重兴中心小学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文昌市重兴镇培英小学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文昌市重兴镇凤鸣小学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文昌市重兴镇甘村小学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文昌市重兴镇光大小学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文昌市重兴镇甲花小学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文昌市重兴镇大勇小学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文昌市重兴镇加昌小学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文昌市铺前中心小学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文昌市铺前镇第二小学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文昌市铺前镇第三小学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文昌市铺前镇华能隆丰小学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文昌市铺前镇东坡小学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文昌市铺前镇有华小学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文昌市铺前镇美东小学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文昌市铺前镇叶茂小学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文昌市龙楼中心小学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文昌市龙楼镇航天小学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文昌市龙楼镇中原小学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文昌市龙楼镇云梯小学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文昌市龙楼镇嘉德小学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文昌市龙楼镇全美小学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文昌市龙楼镇吉水小学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文昌市华侨农场小学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文昌市潭牛中心小学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文昌市潭牛镇时中小学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文昌市潭牛镇中心圩小学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文昌市橡胶研究所学校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文昌市新桥中心小学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文昌市新桥大顶小学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文昌市新桥大昌小学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文昌市会文中心小学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文昌市会文镇滨海小学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文昌市会文镇冠南小学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文昌市会文镇白延小学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文昌市会文镇烟墩小学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文昌市会文镇官公铺小学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文昌市会文镇沙港小学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文昌市东郊白沙小学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文昌市东郊希望小学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文昌市东郊清港小学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文昌市东郊椰海小学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文昌市东郊建华山小学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文昌市东郊通德小学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文昌市东郊联文小学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文昌市东郊务时小学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文昌市东郊益群小学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文昌市东郊中山小学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文昌市昌洒中心小学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文昌市昌洒镇东群小学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文昌市昌洒镇彰善小学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文昌市昌洒镇华侨小学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文昌市昌洒镇联成小学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文昌市昌洒镇毓秀小学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文昌市公坡水北小学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文昌市公坡英敏小学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文昌市翁田中心小学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文昌市翁田镇第二小学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文昌市翁田镇博文小学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文昌市翁田镇文苑小学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文昌市翁田镇大福小学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文昌市翁田镇明月小学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文昌市翁田镇茂山小学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文昌市龙马中心小学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文昌市龙马新村小学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文昌市龙马务明小学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文昌市东路农场学校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文昌市约亭学校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文昌市东路中心小学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文昌市东路镇新民小学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文昌市东路镇蛟塘小学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文昌市东路镇大同小学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文昌市冯坡中心小学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文昌市冯坡镇昌里小学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文昌市冯坡镇凤栖希望小学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文昌市蓬莱中心小学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文昌市蓬莱镇群合小学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文昌市蓬莱镇美德小学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文昌市蓬莱镇罗宝小学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文昌市蓬莱镇石壁小学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文昌市蓬莱镇典昌小学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文昌市抱罗中心小学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文昌市抱罗镇抱锦小学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文昌市抱罗镇昌江小学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文昌市抱罗镇泰山小学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4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文昌市抱罗镇立德小学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076" w:type="dxa"/>
          <w:trHeight w:val="500" w:hRule="atLeast"/>
          <w:jc w:val="center"/>
        </w:trPr>
        <w:tc>
          <w:tcPr>
            <w:tcW w:w="4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4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94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spacing w:line="360" w:lineRule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spacing w:line="360" w:lineRule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三、主要技术要求：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1、采用单相波或双相波技术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2、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设备支持成人和小儿模式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一键切换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简单的3步骤操作：开机-贴电极片-除颤，保证紧急情况下使用仪器有条不紊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输出能量：成人最大除颤能量≥ 200J 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、整机重量（含电池）重量≤3kg，且设备主机具有把手，具有较高便携性 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、具备优异的抗冲击/跌落性能：可承受 1m 高度跌落冲击仍能正常工作 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、防尘防水级别不低于IP24 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8、工作温度范围至少满足 0ºC ～ 50ºC，且从室温环境下进入-20ºC 环境后，至少能工作60分钟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、最大能量保持时间：30s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、开机速度：≤1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秒</w:t>
            </w:r>
          </w:p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="210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设备从开始AED分析到200J放电准备就绪时间：≤10s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电池有效期不下于3年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一次性电池：在适合条件下，可以支持≥200次200J放电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低电量报警后至少还可持不小于20分钟工作时间和至少10次200J除颤充放电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电极片有效期不小于2.5年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类型：提供与机器配套的电极片，要有明显的指示粘贴部位标记，防止粘贴错误，粘贴无效时有语音提示。备用状态时电极片不可裸露，取用AED过程中不得散落。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可自动识别成人、小儿电极片，并根据电极片类型自动选择对应的除颤能量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支持成人/小儿患者类型快速一键切换，可根据病人类型自动切换提示信息、除颤能量和CPR按压模式，在CPR仅按压过程中持续提供操作指导和剩余按压次数提示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数据存储：可存储ECG波形数据、事件数据、录音数据、急救数据（须有急救时间、CPR 持续时间、放电次数等要素）、录音数据等</w:t>
            </w:r>
          </w:p>
          <w:p>
            <w:pPr>
              <w:pStyle w:val="8"/>
              <w:spacing w:line="360" w:lineRule="auto"/>
              <w:ind w:left="211" w:right="194"/>
              <w:rPr>
                <w:rFonts w:hint="default" w:ascii="宋体" w:hAnsi="宋体" w:eastAsia="宋体" w:cs="宋体"/>
                <w:b/>
                <w:bCs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4"/>
                <w:szCs w:val="24"/>
              </w:rPr>
              <w:t>20、</w:t>
            </w:r>
            <w:r>
              <w:rPr>
                <w:rFonts w:ascii="宋体" w:hAnsi="宋体" w:eastAsia="宋体" w:cs="宋体"/>
                <w:color w:val="auto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24"/>
                <w:szCs w:val="24"/>
              </w:rPr>
              <w:t>自检功能：</w:t>
            </w:r>
            <w:r>
              <w:rPr>
                <w:rFonts w:ascii="宋体" w:hAnsi="宋体" w:eastAsia="宋体" w:cs="宋体"/>
                <w:color w:val="auto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24"/>
                <w:szCs w:val="24"/>
              </w:rPr>
              <w:t>具备每日、每周、每月，可及时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</w:rPr>
              <w:t>判断机器状态是否正常。</w:t>
            </w:r>
          </w:p>
          <w:p>
            <w:pPr>
              <w:pStyle w:val="8"/>
              <w:spacing w:line="360" w:lineRule="auto"/>
              <w:ind w:left="211" w:right="194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21、机箱要求：可储存 AED、机箱外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观应比例协调，美观大方，AED 取用方便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智能管理平台：提供设备状态显示、耗材预警、急救员信息、警报管理、信息维护等监控管理功能，系统开放接口：根据采购人需要开放接口，预留接入政府智能网和联动120 急救等接口。 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23、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系统功能:支持对所安装的AED信息维护、性能状况适时监控等功能</w:t>
            </w:r>
          </w:p>
          <w:p>
            <w:pPr>
              <w:pStyle w:val="8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系统反馈功能:设备运行状态显示，根据自检结果，正常/故障显示设备状态，故障时发出报警信息并发送消息到设备管理者:具有急救事件实时反馈功能，设备一旦开机用于抢救病人即刻反馈;急救事件发生时，系统发送信息至设备绑定管理者或急救员，并自动显示所发生地位置信息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24、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保修期3年。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四、每套AED除颤仪配置清单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22" w:type="dxa"/>
          <w:trHeight w:val="1117" w:hRule="atLeast"/>
          <w:jc w:val="center"/>
        </w:trPr>
        <w:tc>
          <w:tcPr>
            <w:tcW w:w="827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6"/>
              <w:tblW w:w="1020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4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1、半自动体外除颤器主机  1台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4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2、电池        1组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4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3、电极片      1副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4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4、挂柜        1台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4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5、AED训练机（含电池、电极片、箱包） 1台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4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6、合格证      1张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4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7、使用说明书  1本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firstLine="241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bookmarkStart w:id="7" w:name="_Toc491437789"/>
      <w:bookmarkStart w:id="8" w:name="_Toc460421740"/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五、项目相关要求</w:t>
      </w:r>
      <w:bookmarkEnd w:id="7"/>
      <w:bookmarkEnd w:id="8"/>
    </w:p>
    <w:p>
      <w:pPr>
        <w:snapToGrid w:val="0"/>
        <w:spacing w:line="480" w:lineRule="auto"/>
        <w:ind w:firstLine="482" w:firstLineChars="200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1、合同履行期限</w:t>
      </w:r>
      <w:r>
        <w:rPr>
          <w:rFonts w:hint="eastAsia" w:ascii="宋体" w:hAnsi="宋体" w:eastAsia="宋体" w:cs="Times New Roman"/>
          <w:b/>
          <w:bCs/>
          <w:color w:val="auto"/>
          <w:sz w:val="24"/>
          <w:lang w:eastAsia="zh-CN"/>
        </w:rPr>
        <w:t>：</w:t>
      </w: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2022年07月30日前完成</w:t>
      </w:r>
    </w:p>
    <w:p>
      <w:pPr>
        <w:snapToGrid w:val="0"/>
        <w:spacing w:line="480" w:lineRule="auto"/>
        <w:ind w:firstLine="482" w:firstLineChars="200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2、</w:t>
      </w:r>
      <w:r>
        <w:rPr>
          <w:rFonts w:hint="eastAsia" w:ascii="宋体" w:hAnsi="宋体"/>
          <w:b/>
          <w:bCs/>
          <w:color w:val="auto"/>
          <w:sz w:val="24"/>
        </w:rPr>
        <w:t>交付地点：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采购人指定地点</w:t>
      </w:r>
      <w:r>
        <w:rPr>
          <w:rFonts w:hint="eastAsia" w:ascii="宋体" w:hAnsi="宋体"/>
          <w:b/>
          <w:bCs/>
          <w:color w:val="auto"/>
          <w:sz w:val="24"/>
        </w:rPr>
        <w:t>。</w:t>
      </w:r>
    </w:p>
    <w:p>
      <w:pPr>
        <w:snapToGrid w:val="0"/>
        <w:spacing w:line="480" w:lineRule="auto"/>
        <w:ind w:firstLine="482" w:firstLineChars="200"/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3、付款条件：</w:t>
      </w: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项目实施完成后一次性支付</w:t>
      </w:r>
    </w:p>
    <w:p>
      <w:pPr>
        <w:snapToGrid w:val="0"/>
        <w:spacing w:line="480" w:lineRule="auto"/>
        <w:ind w:firstLine="482" w:firstLineChars="200"/>
        <w:rPr>
          <w:rFonts w:ascii="宋体" w:hAnsi="宋体" w:cs="Arial"/>
          <w:b/>
          <w:bCs/>
          <w:color w:val="auto"/>
          <w:sz w:val="24"/>
        </w:rPr>
      </w:pPr>
      <w:r>
        <w:rPr>
          <w:rFonts w:hint="eastAsia" w:ascii="宋体" w:hAnsi="宋体" w:cs="Arial"/>
          <w:b/>
          <w:bCs/>
          <w:color w:val="auto"/>
          <w:sz w:val="24"/>
          <w:lang w:val="en-US" w:eastAsia="zh-CN"/>
        </w:rPr>
        <w:t>4</w:t>
      </w:r>
      <w:r>
        <w:rPr>
          <w:rFonts w:ascii="宋体" w:hAnsi="宋体" w:cs="Arial"/>
          <w:b/>
          <w:bCs/>
          <w:color w:val="auto"/>
          <w:sz w:val="24"/>
        </w:rPr>
        <w:t>、</w:t>
      </w:r>
      <w:r>
        <w:rPr>
          <w:rFonts w:hint="eastAsia" w:ascii="宋体" w:hAnsi="宋体" w:cs="Arial"/>
          <w:b/>
          <w:bCs/>
          <w:color w:val="auto"/>
          <w:sz w:val="24"/>
        </w:rPr>
        <w:t>培</w:t>
      </w:r>
      <w:r>
        <w:rPr>
          <w:rFonts w:ascii="宋体" w:hAnsi="宋体" w:cs="Arial"/>
          <w:b/>
          <w:bCs/>
          <w:color w:val="auto"/>
          <w:sz w:val="24"/>
        </w:rPr>
        <w:t>训要求：</w:t>
      </w:r>
    </w:p>
    <w:p>
      <w:pPr>
        <w:snapToGrid w:val="0"/>
        <w:spacing w:line="480" w:lineRule="auto"/>
        <w:ind w:firstLine="482" w:firstLineChars="200"/>
        <w:rPr>
          <w:rFonts w:ascii="宋体" w:hAnsi="宋体" w:cs="Arial"/>
          <w:color w:val="auto"/>
          <w:sz w:val="24"/>
          <w:szCs w:val="24"/>
        </w:rPr>
      </w:pPr>
      <w:r>
        <w:rPr>
          <w:rFonts w:ascii="宋体" w:hAnsi="宋体" w:cs="Arial"/>
          <w:b/>
          <w:bCs/>
          <w:color w:val="auto"/>
          <w:sz w:val="24"/>
          <w:szCs w:val="24"/>
        </w:rPr>
        <w:t>根据具体情况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对AED除颤仪配备的127所小学教职工进行全员培训</w:t>
      </w:r>
      <w:r>
        <w:rPr>
          <w:rFonts w:ascii="宋体" w:hAnsi="宋体" w:cs="Arial"/>
          <w:b/>
          <w:bCs/>
          <w:color w:val="auto"/>
          <w:sz w:val="24"/>
          <w:szCs w:val="24"/>
        </w:rPr>
        <w:t>，以保证管理人员能够了解和熟练地运行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/>
        </w:rPr>
        <w:t>,需配备人体模型2具供培训使用，培训结束后人体模型2具归采购单位所有（提供承诺函，格式自拟，不提供视为无效投标）</w:t>
      </w:r>
      <w:r>
        <w:rPr>
          <w:rFonts w:ascii="宋体" w:hAnsi="宋体" w:eastAsia="宋体" w:cs="Arial"/>
          <w:color w:val="auto"/>
          <w:sz w:val="24"/>
          <w:szCs w:val="24"/>
        </w:rPr>
        <w:t>。</w:t>
      </w:r>
    </w:p>
    <w:p>
      <w:pPr>
        <w:snapToGrid w:val="0"/>
        <w:spacing w:line="480" w:lineRule="auto"/>
        <w:ind w:firstLine="482" w:firstLineChars="200"/>
        <w:rPr>
          <w:rFonts w:hint="eastAsia" w:ascii="宋体" w:hAnsi="宋体" w:eastAsia="宋体" w:cs="Arial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/>
        </w:rPr>
        <w:t>5、</w:t>
      </w:r>
      <w:r>
        <w:rPr>
          <w:rFonts w:ascii="宋体" w:hAnsi="宋体" w:eastAsia="宋体" w:cs="Arial"/>
          <w:b/>
          <w:bCs/>
          <w:color w:val="auto"/>
          <w:sz w:val="24"/>
          <w:szCs w:val="24"/>
        </w:rPr>
        <w:t>验收要求：</w:t>
      </w: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按招标文件第三章“用户需求书”中技术参数要求和国家行业标准进行验收。</w:t>
      </w:r>
    </w:p>
    <w:p>
      <w:r>
        <w:rPr>
          <w:rFonts w:hint="eastAsia" w:ascii="宋体" w:hAnsi="宋体" w:cs="Arial"/>
          <w:b/>
          <w:bCs w:val="0"/>
          <w:color w:val="auto"/>
          <w:sz w:val="24"/>
          <w:lang w:val="en-US" w:eastAsia="zh-CN"/>
        </w:rPr>
        <w:t>6</w:t>
      </w:r>
      <w:r>
        <w:rPr>
          <w:rFonts w:ascii="宋体" w:hAnsi="宋体" w:cs="Arial"/>
          <w:b/>
          <w:bCs w:val="0"/>
          <w:color w:val="auto"/>
          <w:sz w:val="24"/>
        </w:rPr>
        <w:t>、</w:t>
      </w:r>
      <w:r>
        <w:rPr>
          <w:rFonts w:hint="eastAsia" w:ascii="宋体" w:hAnsi="宋体" w:cs="Tahoma"/>
          <w:b/>
          <w:bCs w:val="0"/>
          <w:color w:val="auto"/>
          <w:sz w:val="24"/>
          <w:lang w:eastAsia="zh-CN"/>
        </w:rPr>
        <w:t>报价人</w:t>
      </w:r>
      <w:r>
        <w:rPr>
          <w:rFonts w:hint="eastAsia" w:ascii="宋体" w:hAnsi="宋体" w:cs="Tahoma"/>
          <w:b/>
          <w:bCs w:val="0"/>
          <w:color w:val="auto"/>
          <w:sz w:val="24"/>
        </w:rPr>
        <w:t>必须根据所投产品的技术参数、资质资料编写</w:t>
      </w:r>
      <w:r>
        <w:rPr>
          <w:rFonts w:hint="eastAsia" w:ascii="宋体" w:hAnsi="宋体" w:cs="Tahoma"/>
          <w:b/>
          <w:bCs w:val="0"/>
          <w:color w:val="auto"/>
          <w:sz w:val="24"/>
          <w:lang w:val="en-US" w:eastAsia="zh-CN"/>
        </w:rPr>
        <w:t>响应</w:t>
      </w:r>
      <w:r>
        <w:rPr>
          <w:rFonts w:hint="eastAsia" w:ascii="宋体" w:hAnsi="宋体" w:cs="Tahoma"/>
          <w:b/>
          <w:bCs w:val="0"/>
          <w:color w:val="auto"/>
          <w:sz w:val="24"/>
        </w:rPr>
        <w:t>文件。在中标结果公示期间，采购人有权对中标候选人所投产品的资质证书等进行核查，如发现与其</w:t>
      </w:r>
      <w:r>
        <w:rPr>
          <w:rFonts w:hint="eastAsia" w:ascii="宋体" w:hAnsi="宋体" w:cs="Tahoma"/>
          <w:b/>
          <w:bCs w:val="0"/>
          <w:color w:val="auto"/>
          <w:sz w:val="24"/>
          <w:lang w:val="en-US" w:eastAsia="zh-CN"/>
        </w:rPr>
        <w:t>响应</w:t>
      </w:r>
      <w:r>
        <w:rPr>
          <w:rFonts w:hint="eastAsia" w:ascii="宋体" w:hAnsi="宋体" w:cs="Tahoma"/>
          <w:b/>
          <w:bCs w:val="0"/>
          <w:color w:val="auto"/>
          <w:sz w:val="24"/>
        </w:rPr>
        <w:t>文件中的描述不一，代理机构将报政府采购主管部门严肃处理。</w:t>
      </w: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NWIzMjI5MzhhZDFiMDg1YzI0ZjJjNmNjNzE3MGUifQ=="/>
  </w:docVars>
  <w:rsids>
    <w:rsidRoot w:val="52D12C55"/>
    <w:rsid w:val="52D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pageBreakBefore/>
      <w:spacing w:after="312" w:afterLines="100" w:line="360" w:lineRule="auto"/>
      <w:jc w:val="center"/>
      <w:textAlignment w:val="baseline"/>
      <w:outlineLvl w:val="0"/>
    </w:pPr>
    <w:rPr>
      <w:rFonts w:ascii="宋体" w:hAnsi="宋体"/>
      <w:b/>
      <w:kern w:val="0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spacing w:line="360" w:lineRule="auto"/>
    </w:pPr>
    <w:rPr>
      <w:rFonts w:ascii="PMingLiU" w:hAnsi="PMingLiU" w:eastAsia="PMingLiU" w:cs="PMingLiU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2022-04-26T02:42:00Z</dcterms:created>
  <dc:creator>...</dc:creator>
  <cp:lastModifiedBy>...</cp:lastModifiedBy>
  <dcterms:modified xsi:type="dcterms:W3CDTF">2022-04-26T02:42:53Z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30422D5221254D7182F4C8B4B13B8D4D</vt:lpwstr>
  </property>
</Properties>
</file>