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采购需求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项目基本情况：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项目名称及编号：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2022年琼中县公共体育场馆设施及全民健身器材采购项目</w:t>
      </w:r>
      <w:r>
        <w:rPr>
          <w:rFonts w:ascii="宋体" w:hAnsi="宋体" w:eastAsia="宋体" w:cs="宋体"/>
          <w:sz w:val="24"/>
          <w:szCs w:val="24"/>
        </w:rPr>
        <w:t xml:space="preserve"> （项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</w:t>
      </w:r>
      <w:r>
        <w:rPr>
          <w:rFonts w:ascii="宋体" w:hAnsi="宋体" w:eastAsia="宋体" w:cs="宋体"/>
          <w:sz w:val="24"/>
          <w:szCs w:val="24"/>
        </w:rPr>
        <w:t>编号：</w:t>
      </w:r>
      <w:r>
        <w:rPr>
          <w:rFonts w:hint="eastAsia" w:ascii="宋体" w:hAnsi="宋体" w:eastAsia="宋体" w:cs="宋体"/>
          <w:sz w:val="24"/>
          <w:szCs w:val="24"/>
        </w:rPr>
        <w:t>FJY-CG2022-01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）；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采购预算：¥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129.929</w:t>
      </w:r>
      <w:r>
        <w:rPr>
          <w:rFonts w:ascii="宋体" w:hAnsi="宋体" w:eastAsia="宋体" w:cs="宋体"/>
          <w:sz w:val="24"/>
          <w:szCs w:val="24"/>
        </w:rPr>
        <w:t xml:space="preserve"> 万元； 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 xml:space="preserve">合同履行期限（交付时间）：签订采购合同之日起 45 日内交付； 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 xml:space="preserve">交付地点：采购人指定地点；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5.付款方式：具体以合同签订为准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二、采购清单及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技术</w:t>
      </w:r>
      <w:r>
        <w:rPr>
          <w:rFonts w:ascii="宋体" w:hAnsi="宋体" w:eastAsia="宋体" w:cs="宋体"/>
          <w:b/>
          <w:bCs/>
          <w:sz w:val="24"/>
          <w:szCs w:val="24"/>
        </w:rPr>
        <w:t>参数：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76"/>
        <w:gridCol w:w="1568"/>
        <w:gridCol w:w="684"/>
        <w:gridCol w:w="756"/>
        <w:gridCol w:w="5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骑马机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1727200</wp:posOffset>
                  </wp:positionV>
                  <wp:extent cx="828040" cy="635635"/>
                  <wp:effectExtent l="0" t="0" r="10160" b="12065"/>
                  <wp:wrapNone/>
                  <wp:docPr id="14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1.立柱规格：120×80×3mm钢管；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2.横管规格：60×2.5mm钢管；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3.棱边和棱角半径不小于3.0mm；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4.立柱顶部采用外扣式尼龙合金盖帽，避免淋入雨水；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5.转动部位采用国家标准的轴承.并应采用有效的防水.防尘措施；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6.有内置限位装置，摆动件与立柱内侧距离及在使用中各结构件的内侧距离大于230mm，防止产生挤压.卡夹.碰撞的伤害可能；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7.摆动部件下边缘距地面或底面最小高度不小于120mm；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8.脚踏位有防滑措施，摩擦系数应不小于0.5；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9.座位材质为优质工程塑料.采用滚塑加工成型；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10.不存在卡夹，衣服.头发钩挂或缠绕结构；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11.连接板厚度应不小于6mm；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12.紧固件材质为不锈钢，具有防盗.防锈.防松功能，需专用工具方可拆卸；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13.涂层、橡胶、塑料件有害物质限量应符合GB 19272-2011中5.2.6的要求；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14.器材安全警示牌有图示方式的安全提示；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棋牌桌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896620</wp:posOffset>
                  </wp:positionV>
                  <wp:extent cx="829945" cy="634365"/>
                  <wp:effectExtent l="0" t="0" r="8255" b="13335"/>
                  <wp:wrapNone/>
                  <wp:docPr id="1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1.立柱规格：120×80×3mm钢管；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2.采用横式不锈钢牌面.耐蚀性能相当于0Cr18Ni9（SUS304），厚度0.8mm，图样及字样蚀刻处理；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3.立柱顶部采用钢制封头焊接，避免淋入雨水，防渗水、防内壁上锈；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4.坐板塑木材质；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5.棱边和棱角半径不小于3.0mm；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6.紧固件材质为不锈钢，具有防盗.防锈.防松功能，需专用工具方可拆卸；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7.涂层、橡胶、塑料件有害物质限量应符合GB 19272-2011中5.2.6的要求；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8.器材安全警示牌有图示方式的安全提示；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伸腰伸背器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597535</wp:posOffset>
                  </wp:positionV>
                  <wp:extent cx="878840" cy="662940"/>
                  <wp:effectExtent l="0" t="0" r="16510" b="3810"/>
                  <wp:wrapNone/>
                  <wp:docPr id="13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1.立柱规格：120×80×3mm；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2.座板和背板材质为优质工程塑料.采用滚塑加工成型；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3.侧板规格：450×120×20mm;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4.棱边和棱角半径不小于3.0mm；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5.紧固件材质为不锈钢，具有防盗.防锈.防松功能，需专用工具方可拆卸；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6.涂层、橡胶、塑料件有害物质限量符合GB 19272-2011中5.2.6的要求；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7.器材安全警示牌有图示方式的安全提示；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太空漫步机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2186940</wp:posOffset>
                  </wp:positionV>
                  <wp:extent cx="822325" cy="635635"/>
                  <wp:effectExtent l="0" t="0" r="15875" b="12065"/>
                  <wp:wrapNone/>
                  <wp:docPr id="1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1.立柱规格：120×80×3mm钢管；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2.扶手管规格：38×2.5mm钢管；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3.棱边和棱角半径不小于3.0mm；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4.立柱顶部采用钢制封头焊接，避免淋入雨水.预防立柱内部生锈；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5.转动部位采用国家标准的轴承.并应采用有效的防水.防尘措施；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6.摆杆有内置限位装置，且单侧摆动幅度不大于65°，摆杆选用60×60×3mm钢管；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7.摆杆与立柱内侧的最小距离处应大于60mm；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8.踏板的主运动方向和易滑脱方向应设置高度不小于30mm,长度大于踏板周长2/3的防滑脱的凸台式护板，凸台顶部棱边应全部以不小于2mm的R角圆弧过渡；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9.脚踏部位有防滑措施，摩擦系数不小于0.5；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10.摆动部件下边缘距地面或底面最小高度不小于80mm；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11.相邻运动的两踏板的间距不小于100mm；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12.转轴直径不小于35mm；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13.踏板前后两侧采取防止碰撞第三者的缓冲措施；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14.不存在衣服，头发钩挂或缠绕结构；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15.紧固件材质为不锈钢，具有防盗.防锈.防松功能，需专用工具方可拆卸；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16.涂层、橡胶、塑料件有害物质限量符合GB 19272-2011中5.2.6的要求；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17.器材安全警示牌有图示方式的安全提示；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三位扭腰器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1567815</wp:posOffset>
                  </wp:positionV>
                  <wp:extent cx="857250" cy="528320"/>
                  <wp:effectExtent l="0" t="0" r="0" b="5080"/>
                  <wp:wrapNone/>
                  <wp:docPr id="10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1.立柱规格：120×80×3mm钢管；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2.承载管规格：φ89×3mm钢管；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3.塑木侧板规格：115×20×1040mm；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4.棱边和棱角半径不小于3.0mm；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5.立柱顶部采用钢制封头焊接，避免淋入雨水.预防立柱内部生锈；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6.转盘材质碳钢实际壁厚4毫米；表面采用凹凸设计，转盘上表面边缘R3mm的圆弧过渡；转盘下部棱边2mm的半圆弧予以过渡；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7.转盘转动部位内置阻尼装置（扭力值：2.5N M）.具有符合人体生物学规律的阻尼；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8.脚踏部位有防滑措施，摩擦系数大于0.5；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9.转动部位采用深沟球轴承+推力球轴承。深沟球轴承选用6205承载能力的深沟球轴；推力球轴承选用51305承载能力的推力球轴承；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10.扭腰轴为45#钢，直径为25mm；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11.紧固件材质为不锈钢，具有防盗.防锈.防松功能，需专用工具方可拆卸；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12.涂层、橡胶、塑料件有害物质限量应符合GB 19272-2011中5.2.6的要求；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12.器材安全警示牌有图示方式的安全提示；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太极揉推器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1057275</wp:posOffset>
                  </wp:positionV>
                  <wp:extent cx="896620" cy="624840"/>
                  <wp:effectExtent l="0" t="0" r="17780" b="3810"/>
                  <wp:wrapNone/>
                  <wp:docPr id="4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1.立柱规格：120×80×3mm钢管；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2.承载管规格：48×2.5mm钢管；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3.棱边和棱角半径不小于3.0mm；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4.立柱顶部采用外扣式尼龙合金盖帽，避免淋入雨水；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5.转盘材质须采用工程塑料,滚塑成型.表面采用凹凸设计，起到按摩作用；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6.转盘转动部位内置阻尼装置.具有符合人体生物学规律的阻尼；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7.转盘间距大于230mm，无卡夹危险；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8.紧固件材质为不锈钢，具有防盗.防锈.防松功能，需专用工具方可拆卸；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9.涂层、橡胶、塑料件有害物质限量符合GB 19272-2011中5.2.6的要求；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10.器材安全警示牌有图示方式的安全提示；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腰背按摩器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1607185</wp:posOffset>
                  </wp:positionV>
                  <wp:extent cx="836295" cy="634365"/>
                  <wp:effectExtent l="0" t="0" r="1905" b="13335"/>
                  <wp:wrapNone/>
                  <wp:docPr id="3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1.立柱规格：120×80×3mm钢管；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2.承载管规格：60×2.5mm钢管；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3.塑木侧板规格：115×20×1150mm；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4.棱边和棱角半径不小于3.0mm；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5.立柱顶部采用钢制封头焊接，避免淋入雨水.并加有尼龙盖帽，预防立柱内部生锈；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6．转动部位采用国家标准的轴承(6205-2Z).并应采用有效的防水.防尘措施；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7.各连接片、耳片实际壁厚不小于6mm；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8.不存在卡夹，头发钩挂或缠绕结构；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9.转动轴为45#钢，直径为25mm；限位轴为45#钢，直径为18mm；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10.把手端部直径为52mm.避免产生眼睛刺穿伤害；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11.紧固件材质为不锈钢，具有防盗.防锈.防松功能，需专用工具方可拆卸；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12.涂层、橡胶、塑料件有害物质限量应符合GB 19272-2011中5.2.6的要求；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器材安全警示牌有图示方式的安全提示。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13.器材安全警示牌有图示方式的安全提示；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上肢牵引器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664845</wp:posOffset>
                  </wp:positionV>
                  <wp:extent cx="786130" cy="596265"/>
                  <wp:effectExtent l="0" t="0" r="13970" b="13335"/>
                  <wp:wrapNone/>
                  <wp:docPr id="2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1.立柱规格：120×80×3mm钢管；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2.立柱顶部采用外扣式尼龙合金盖帽，避免淋入雨水；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3.棱边和棱角半径不小于3.0mm；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4.把手端部直径大于50mm，无穿刺危险；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5.采用内置限位装置.把手重量小于600克，柔性连接装置小于把手重量；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6.摆杆运动至极限位置时，摆杆最低点与地面的距离大于1850mm。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7.紧固件材质为不锈钢，具有防盗.防锈.防松功能，需专用工具方可拆卸；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8.涂层、橡胶、塑料件有害物质限量符合GB 19272-2011中5.2.6的要求；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9.器材安全警示牌有图示方式的安全提示；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双位蹬力训练器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1179830</wp:posOffset>
                  </wp:positionV>
                  <wp:extent cx="833755" cy="645160"/>
                  <wp:effectExtent l="0" t="0" r="4445" b="2540"/>
                  <wp:wrapNone/>
                  <wp:docPr id="6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1.立柱规格：120×80×3mm钢管；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2.承载管规格：89×2.5mm钢管；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3.立柱顶部采用外扣式尼龙合金盖帽，避免淋入雨水；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4.棱边和棱角半径不小于3.0mm；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5.轴承座支架、耳片壁厚大于8mm；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6.采用内置限位装置，摆臂与主立柱间距大于230mm，无挤压卡夹危险；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7.不存在剪切点、挤压点、引入点，不允许存在刚性碰撞；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8.座板距地面大于230mm，无卡夹危险；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9.脚踏部位有防滑措施；摩擦系数大于0.5；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10.紧固件材质为不锈钢，具有防盗.防锈.防松功能，需专用工具方可拆卸；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11.涂层、橡胶、塑料件有害物质限量应符合GB 19272-2011中5.2.6的要求；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12.器材安全警示牌有图示方式的安全提示；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仰卧起坐板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982345</wp:posOffset>
                  </wp:positionV>
                  <wp:extent cx="749935" cy="574675"/>
                  <wp:effectExtent l="0" t="0" r="12065" b="15875"/>
                  <wp:wrapNone/>
                  <wp:docPr id="5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1.立柱规格：120×80×3mm钢管；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2.承载管规格：60×2.5mm钢管；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3.立柱顶部采用外扣式尼龙合金盖帽和钢制封片焊接，避免淋入雨水；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4.棱边和棱角半径不小于3.0mm；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5.起坐板采用整体式钢板板面，表面孔眼小于8mm，无手指卡夹危险；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6.人体易接触区域没有剪切点、卡夹、钩挂、缠绕结构；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7.紧固件材质为不锈钢，具有防盗.防锈.防松功能，需专用工具方可拆卸；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8.涂层、橡胶、塑料件有害物质限量符合GB 19272-2011中5.2.6的要求；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9.器材安全警示牌有图示方式的安全提示；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曲臂揉推训练器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778510</wp:posOffset>
                  </wp:positionV>
                  <wp:extent cx="890905" cy="686435"/>
                  <wp:effectExtent l="0" t="0" r="4445" b="18415"/>
                  <wp:wrapNone/>
                  <wp:docPr id="7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1.立柱规格：Φ114×3mm钢管；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2.承载管规格：Φ48×3mm钢管；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3.棱边和棱角半径不小于3.0mm；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4.立柱顶部采用外扣式铝合金盖帽，避免淋入雨水；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5.转盘材质采用工程塑料,滚塑成型.表面采用凹凸设计，起到按摩作用；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6.活动部位内置具有符合人体生物学规律的阻尼装置，有效防止惯性伤害；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7.转动主轴为45#钢，直径为25mm；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8.转盘间距大于230mm，无卡夹危险；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9.紧固件材质为不锈钢，具有防盗.防锈.防松功能，需专用工具方可拆卸；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10.涂层、橡胶、塑料件有害物质限量符合GB 19272-2011中5.2.6的要求；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11.器材安全警示牌有图示方式的安全提示；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看台坐凳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819150" cy="693420"/>
                  <wp:effectExtent l="0" t="0" r="0" b="11430"/>
                  <wp:docPr id="1" name="图片 1" descr="a82a17a72efca378242bcc07cfd92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82a17a72efca378242bcc07cfd92e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中空吹塑座椅采用进口高密度聚乙烯（HDPE）原材料，经60T吹塑设备高温一次性吹塑成型，其各项理化指标均达到国际标准，在国内外各大场馆使用达二十多年无质量原因，目前国内体育场馆采用中空吹塑座椅达到97%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中空吹塑座椅具有优异的抗紫外线耐寒冷、耐高温、耐冲击、耐腐蚀性、抗油污，并添加了特殊的抗老化剂，最大限度地减缓了老化和褪色速度，提高了使用寿命各项理化指标，均达到国际标准,中空吹塑座椅，因双层内空气座椅设计，具有力学舒适感，坐舒适，冬天保暖性能好，夏天因内有空气，不像传统玻璃钢座椅会产生烫的感觉，具有良好的耐用性。   规格：430x520x370。  力学性能 GB10357_89 (1)座加载2000N，背加载760N，10次无损。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（2）背加载330N，座加载950N，200000无损。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（3）椅面冲击高度300mm，冲击重量25kg,10次无损。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（4）椅背冲击高度620mm，冲击角度680，冲击重量6.5kg,10次无损。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老化性能 GB/T9344-88 150h氙灯光源曝露试验，无龟裂、无斑点。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颜色性能 GB/T9344-88 1500h氙灯光源曝露试验，颜色无明显色差，达到4级。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阻燃性能 GB/T2408-1996 FV-3级：（1）每根试样有焰燃时间≦30s;(2)每5根试样有焰燃时间和≦250s;(3)每根试样第二次施焰后有焰加上无焰燃烧≦60s;（4）每根试样有焰燃或无焰燃烧蔓延到夹具现象：无；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（5）滴落物引燃脱脂棉现象：无。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耐候性能 国家体育用品内审标准 750C高温和500C低温16h不变形、不开裂。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室外乒乓球桌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420370</wp:posOffset>
                  </wp:positionV>
                  <wp:extent cx="827405" cy="523240"/>
                  <wp:effectExtent l="0" t="0" r="10795" b="10160"/>
                  <wp:wrapNone/>
                  <wp:docPr id="9" name="Picture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1_SpCnt_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规格：2740MM×1525MM×76OMM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 SMC 防水板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尺寸：2740*1525*760mm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适用：公园、市政、小区、学校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特点：球台脚坚固稳定，防水防晒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球台重量：95kg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球台腿粗：2寸圆管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台面厚度：50mm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lang w:val="en-US" w:eastAsia="zh-CN"/>
              </w:rPr>
              <w:t>说明：以上价格含所有税费，含运输、安装、保险及售后服务等费用。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ascii="宋体" w:hAnsi="宋体" w:eastAsia="宋体" w:cs="宋体"/>
          <w:b/>
          <w:bCs/>
          <w:sz w:val="24"/>
          <w:szCs w:val="24"/>
        </w:rPr>
        <w:t>商务要求</w:t>
      </w:r>
    </w:p>
    <w:p>
      <w:pPr>
        <w:numPr>
          <w:ilvl w:val="0"/>
          <w:numId w:val="3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质量保证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1、所有设备必须是厂商原装、全新的正品。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2、设备外观清洁，标记编号以及盘面显示等字体清晰，明确。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3、所有产品、设备供货时需提供出厂合格证等质量证明文件。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4、所投室外健身器材（1-1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 xml:space="preserve">项）必须符合GB19272-2011《室外健身器材的安全通 用要求》，产品通过国体质量认证（NSCC）（提供产品检测报告及NSCC证书加盖公章）。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5、所投标室外健身器材必须具有产品质量责任险、意外伤害险保险及公众责任险（提供保险单复印件并加盖厂商公章）。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ascii="宋体" w:hAnsi="宋体" w:eastAsia="宋体" w:cs="宋体"/>
          <w:sz w:val="24"/>
          <w:szCs w:val="24"/>
        </w:rPr>
        <w:t xml:space="preserve">）售后服务要求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1、质保期自货物验收之日起计算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安全使用寿命期八年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保修费用已计入总价（设备为原制造商制造的全新产品，整机无污染，无侵权行为、表面无划损、无任何缺陷隐患，在中国境内可依常规安全合法使用）。</w:t>
      </w:r>
      <w:r>
        <w:rPr>
          <w:rFonts w:hint="eastAsia" w:ascii="宋体" w:hAnsi="宋体" w:eastAsia="宋体" w:cs="宋体"/>
          <w:sz w:val="24"/>
          <w:szCs w:val="24"/>
        </w:rPr>
        <w:t>在3日内故障不能排除的，无条件予以更换。在保修期内我司将对器材进行免费维修。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2、供应商应提供满足货物质保期内正常使用的备品备件（如有的话），其费用应包 括在投标价格之内。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3、免费质保期内，接到报障电话1小时内响应，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小时内派工程技术人员上门维修且处理完毕。</w:t>
      </w:r>
      <w:r>
        <w:rPr>
          <w:rFonts w:hint="eastAsia" w:ascii="宋体" w:hAnsi="宋体" w:eastAsia="宋体" w:cs="宋体"/>
          <w:sz w:val="24"/>
          <w:szCs w:val="24"/>
        </w:rPr>
        <w:t>对有质量问题的货物三天内部分更换，七天内全部更换且承担全部费用，确保不影响买方正常使用。质保期满后，货物出现质量、故障时，做好售后服务，并在上述时限内赶到现场，及时处理解决问题。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4、对质保期内的故障报修，如供应商未能做到上款的服务承诺，用户可采取必要的 补救措施，但其风险和费用由供应商承担，由于供应商的保证服务不到位，质保期的到期时间将顺延。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z w:val="24"/>
          <w:szCs w:val="24"/>
        </w:rPr>
        <w:t xml:space="preserve">）其他要求：本预算包含安装调试费、人工费、运输费、税费、等其他所有费用。 </w:t>
      </w:r>
    </w:p>
    <w:p>
      <w:pPr>
        <w:numPr>
          <w:ilvl w:val="0"/>
          <w:numId w:val="0"/>
        </w:num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备注：商务要求为实质性响应要求，不允许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负</w:t>
      </w:r>
      <w:r>
        <w:rPr>
          <w:rFonts w:ascii="宋体" w:hAnsi="宋体" w:eastAsia="宋体" w:cs="宋体"/>
          <w:b/>
          <w:bCs/>
          <w:sz w:val="24"/>
          <w:szCs w:val="24"/>
        </w:rPr>
        <w:t>偏离。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9C095F"/>
    <w:multiLevelType w:val="singleLevel"/>
    <w:tmpl w:val="AB9C09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2C2128"/>
    <w:multiLevelType w:val="singleLevel"/>
    <w:tmpl w:val="B62C21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2F48F93"/>
    <w:multiLevelType w:val="singleLevel"/>
    <w:tmpl w:val="72F48F9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0551E"/>
    <w:rsid w:val="014F4893"/>
    <w:rsid w:val="13702B73"/>
    <w:rsid w:val="22482F0D"/>
    <w:rsid w:val="267267AA"/>
    <w:rsid w:val="34E15227"/>
    <w:rsid w:val="491C319F"/>
    <w:rsid w:val="494F67AB"/>
    <w:rsid w:val="4F7A6BBF"/>
    <w:rsid w:val="68F0551E"/>
    <w:rsid w:val="696A36D8"/>
    <w:rsid w:val="6A241FFF"/>
    <w:rsid w:val="78C25DA2"/>
    <w:rsid w:val="7C4A4A2C"/>
    <w:rsid w:val="7F6E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240" w:lineRule="auto"/>
      <w:ind w:left="0" w:firstLine="0" w:firstLineChars="0"/>
    </w:pPr>
    <w:rPr>
      <w:rFonts w:hint="eastAsia" w:ascii="宋体" w:hAnsi="宋体" w:eastAsia="宋体" w:cs="Times New Roman"/>
      <w:color w:val="000000"/>
      <w:kern w:val="0"/>
      <w:sz w:val="24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eastAsia="宋体"/>
      <w:kern w:val="2"/>
      <w:sz w:val="21"/>
      <w:szCs w:val="21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4358</Words>
  <Characters>5202</Characters>
  <Lines>0</Lines>
  <Paragraphs>0</Paragraphs>
  <TotalTime>178</TotalTime>
  <ScaleCrop>false</ScaleCrop>
  <LinksUpToDate>false</LinksUpToDate>
  <CharactersWithSpaces>5279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2022-04-19T09:11:00Z</dcterms:created>
  <dc:creator>善哉</dc:creator>
  <cp:lastModifiedBy>Administrator</cp:lastModifiedBy>
  <dcterms:modified xsi:type="dcterms:W3CDTF">2022-04-20T05:00:21Z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36BCCC05DA584E278831E8D51DA8B3A5</vt:lpwstr>
  </property>
</Properties>
</file>