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BC" w:rsidRDefault="00411487">
      <w:pPr>
        <w:pStyle w:val="1"/>
        <w:jc w:val="center"/>
        <w:rPr>
          <w:lang w:eastAsia="zh-CN"/>
        </w:rPr>
      </w:pPr>
      <w:bookmarkStart w:id="0" w:name="_Toc17193"/>
      <w:bookmarkStart w:id="1" w:name="bookmark17"/>
      <w:bookmarkStart w:id="2" w:name="bookmark18"/>
      <w:bookmarkStart w:id="3" w:name="bookmark19"/>
      <w:r>
        <w:rPr>
          <w:rFonts w:ascii="宋体" w:eastAsia="宋体" w:hAnsi="宋体" w:cs="宋体" w:hint="eastAsia"/>
          <w:lang w:eastAsia="zh-CN"/>
        </w:rPr>
        <w:t>第三章</w:t>
      </w:r>
      <w:r>
        <w:rPr>
          <w:rFonts w:hint="eastAsia"/>
          <w:lang w:eastAsia="zh-CN"/>
        </w:rPr>
        <w:t xml:space="preserve"> </w:t>
      </w:r>
      <w:r>
        <w:rPr>
          <w:rFonts w:ascii="宋体" w:eastAsia="宋体" w:hAnsi="宋体" w:cs="宋体" w:hint="eastAsia"/>
          <w:lang w:eastAsia="zh-CN"/>
        </w:rPr>
        <w:t>采购需求</w:t>
      </w:r>
    </w:p>
    <w:p w:rsidR="00C41BBC" w:rsidRDefault="00C41BBC">
      <w:pPr>
        <w:rPr>
          <w:lang w:eastAsia="zh-CN"/>
        </w:rPr>
      </w:pPr>
    </w:p>
    <w:p w:rsidR="00C41BBC" w:rsidRDefault="00411487">
      <w:pPr>
        <w:pStyle w:val="Heading210"/>
        <w:keepNext/>
        <w:keepLines/>
        <w:spacing w:after="140" w:line="360" w:lineRule="auto"/>
        <w:ind w:firstLine="0"/>
        <w:rPr>
          <w:b/>
          <w:bCs/>
          <w:sz w:val="28"/>
          <w:szCs w:val="28"/>
          <w:lang w:val="en-US" w:eastAsia="zh-CN" w:bidi="en-US"/>
        </w:rPr>
      </w:pPr>
      <w:r>
        <w:rPr>
          <w:rFonts w:hint="eastAsia"/>
          <w:b/>
          <w:bCs/>
          <w:sz w:val="28"/>
          <w:szCs w:val="28"/>
          <w:lang w:val="en-US" w:eastAsia="zh-CN" w:bidi="en-US"/>
        </w:rPr>
        <w:t>一、基本情况</w:t>
      </w:r>
      <w:bookmarkEnd w:id="0"/>
    </w:p>
    <w:p w:rsidR="00C41BBC" w:rsidRPr="00282DD9" w:rsidRDefault="00411487">
      <w:pPr>
        <w:pStyle w:val="a3"/>
        <w:spacing w:line="360" w:lineRule="auto"/>
        <w:ind w:left="119"/>
        <w:rPr>
          <w:color w:val="auto"/>
          <w:sz w:val="28"/>
          <w:szCs w:val="28"/>
          <w:lang w:val="zh-TW" w:bidi="zh-TW"/>
        </w:rPr>
      </w:pPr>
      <w:r>
        <w:rPr>
          <w:rFonts w:hint="eastAsia"/>
          <w:sz w:val="28"/>
          <w:szCs w:val="28"/>
          <w:lang w:val="en-US" w:bidi="zh-TW"/>
        </w:rPr>
        <w:t>项</w:t>
      </w:r>
      <w:r w:rsidRPr="00282DD9">
        <w:rPr>
          <w:rFonts w:hint="eastAsia"/>
          <w:color w:val="auto"/>
          <w:sz w:val="28"/>
          <w:szCs w:val="28"/>
          <w:lang w:val="en-US" w:bidi="zh-TW"/>
        </w:rPr>
        <w:t>目名称：</w:t>
      </w:r>
      <w:r w:rsidRPr="00282DD9">
        <w:rPr>
          <w:rFonts w:hint="eastAsia"/>
          <w:color w:val="auto"/>
          <w:sz w:val="28"/>
          <w:szCs w:val="28"/>
          <w:lang w:bidi="zh-TW"/>
        </w:rPr>
        <w:t>屯昌县生活垃圾填埋场陈腐垃圾筛分治理</w:t>
      </w:r>
      <w:r w:rsidRPr="00282DD9">
        <w:rPr>
          <w:rFonts w:hint="eastAsia"/>
          <w:color w:val="auto"/>
          <w:sz w:val="28"/>
          <w:szCs w:val="28"/>
          <w:lang w:val="zh-TW" w:eastAsia="zh-TW" w:bidi="zh-TW"/>
        </w:rPr>
        <w:t>项目</w:t>
      </w:r>
      <w:r w:rsidRPr="00282DD9">
        <w:rPr>
          <w:rFonts w:hint="eastAsia"/>
          <w:color w:val="auto"/>
          <w:sz w:val="28"/>
          <w:szCs w:val="28"/>
          <w:lang w:val="zh-TW" w:bidi="zh-TW"/>
        </w:rPr>
        <w:t>（一期）</w:t>
      </w:r>
    </w:p>
    <w:p w:rsidR="00C41BBC" w:rsidRPr="00282DD9" w:rsidRDefault="00411487">
      <w:pPr>
        <w:pStyle w:val="a3"/>
        <w:spacing w:line="360" w:lineRule="auto"/>
        <w:ind w:left="119"/>
        <w:rPr>
          <w:color w:val="auto"/>
          <w:sz w:val="28"/>
          <w:szCs w:val="28"/>
          <w:lang w:val="en-US" w:bidi="zh-TW"/>
        </w:rPr>
      </w:pPr>
      <w:r w:rsidRPr="00282DD9">
        <w:rPr>
          <w:rFonts w:hint="eastAsia"/>
          <w:color w:val="auto"/>
          <w:sz w:val="28"/>
          <w:szCs w:val="28"/>
          <w:lang w:val="en-US" w:bidi="zh-TW"/>
        </w:rPr>
        <w:t xml:space="preserve">项目编号： </w:t>
      </w:r>
      <w:r w:rsidR="00693450">
        <w:rPr>
          <w:rFonts w:hint="eastAsia"/>
        </w:rPr>
        <w:t>HNXL2022-021</w:t>
      </w:r>
      <w:bookmarkStart w:id="4" w:name="_GoBack"/>
      <w:bookmarkEnd w:id="4"/>
    </w:p>
    <w:p w:rsidR="00C41BBC" w:rsidRPr="00282DD9" w:rsidRDefault="00411487">
      <w:pPr>
        <w:pStyle w:val="a3"/>
        <w:spacing w:line="360" w:lineRule="auto"/>
        <w:ind w:left="119"/>
        <w:rPr>
          <w:color w:val="auto"/>
          <w:sz w:val="28"/>
          <w:szCs w:val="28"/>
          <w:lang w:val="zh-TW" w:eastAsia="zh-TW" w:bidi="zh-TW"/>
        </w:rPr>
      </w:pPr>
      <w:r w:rsidRPr="00282DD9">
        <w:rPr>
          <w:rFonts w:hint="eastAsia"/>
          <w:color w:val="auto"/>
          <w:sz w:val="28"/>
          <w:szCs w:val="28"/>
          <w:lang w:val="zh-TW" w:bidi="zh-TW"/>
        </w:rPr>
        <w:t>服务</w:t>
      </w:r>
      <w:r w:rsidRPr="00282DD9">
        <w:rPr>
          <w:rFonts w:hint="eastAsia"/>
          <w:color w:val="auto"/>
          <w:sz w:val="28"/>
          <w:szCs w:val="28"/>
          <w:lang w:val="zh-TW" w:eastAsia="zh-TW" w:bidi="zh-TW"/>
        </w:rPr>
        <w:t>地点：屯昌县屯城镇大洞村牛鼻岭</w:t>
      </w:r>
    </w:p>
    <w:p w:rsidR="00C41BBC" w:rsidRPr="00282DD9" w:rsidRDefault="00411487">
      <w:pPr>
        <w:pStyle w:val="a3"/>
        <w:spacing w:line="360" w:lineRule="auto"/>
        <w:ind w:left="119"/>
        <w:rPr>
          <w:color w:val="auto"/>
          <w:sz w:val="28"/>
          <w:szCs w:val="28"/>
          <w:lang w:val="en-US" w:bidi="zh-TW"/>
        </w:rPr>
      </w:pPr>
      <w:r w:rsidRPr="00282DD9">
        <w:rPr>
          <w:rFonts w:hint="eastAsia"/>
          <w:color w:val="auto"/>
          <w:sz w:val="28"/>
          <w:szCs w:val="28"/>
          <w:lang w:val="en-US" w:bidi="zh-TW"/>
        </w:rPr>
        <w:t>服务时间：预计为18个月</w:t>
      </w:r>
    </w:p>
    <w:p w:rsidR="00C41BBC" w:rsidRDefault="00411487">
      <w:pPr>
        <w:pStyle w:val="a3"/>
        <w:spacing w:line="360" w:lineRule="auto"/>
        <w:ind w:left="119"/>
        <w:rPr>
          <w:sz w:val="28"/>
          <w:szCs w:val="28"/>
          <w:lang w:val="en-US" w:bidi="zh-TW"/>
        </w:rPr>
      </w:pPr>
      <w:r>
        <w:rPr>
          <w:rFonts w:hint="eastAsia"/>
          <w:sz w:val="28"/>
          <w:szCs w:val="28"/>
          <w:lang w:val="en-US" w:bidi="zh-TW"/>
        </w:rPr>
        <w:t>采购预算：</w:t>
      </w:r>
      <w:r w:rsidR="007F7367">
        <w:rPr>
          <w:rFonts w:hint="eastAsia"/>
          <w:sz w:val="28"/>
          <w:szCs w:val="28"/>
          <w:lang w:val="en-US" w:bidi="zh-TW"/>
        </w:rPr>
        <w:t>415.00万</w:t>
      </w:r>
      <w:r>
        <w:rPr>
          <w:rFonts w:hint="eastAsia"/>
          <w:sz w:val="28"/>
          <w:szCs w:val="28"/>
          <w:lang w:val="en-US" w:bidi="zh-TW"/>
        </w:rPr>
        <w:t>元，超出此预算按无效报价处理。</w:t>
      </w:r>
    </w:p>
    <w:p w:rsidR="00C41BBC" w:rsidRDefault="00411487">
      <w:pPr>
        <w:pStyle w:val="a3"/>
        <w:spacing w:line="360" w:lineRule="auto"/>
        <w:ind w:left="119"/>
        <w:rPr>
          <w:sz w:val="28"/>
          <w:szCs w:val="28"/>
          <w:lang w:val="en-US" w:bidi="zh-TW"/>
        </w:rPr>
      </w:pPr>
      <w:r>
        <w:rPr>
          <w:rFonts w:hint="eastAsia"/>
          <w:sz w:val="28"/>
          <w:szCs w:val="28"/>
          <w:lang w:val="en-US" w:bidi="zh-TW"/>
        </w:rPr>
        <w:t>付款方式：合同中双方自行约定</w:t>
      </w:r>
    </w:p>
    <w:p w:rsidR="00C41BBC" w:rsidRDefault="00411487">
      <w:pPr>
        <w:pStyle w:val="Heading110"/>
        <w:keepNext/>
        <w:keepLines/>
        <w:spacing w:after="100" w:line="360" w:lineRule="auto"/>
        <w:jc w:val="both"/>
        <w:outlineLvl w:val="1"/>
        <w:rPr>
          <w:b/>
          <w:bCs/>
          <w:sz w:val="28"/>
          <w:szCs w:val="28"/>
        </w:rPr>
      </w:pPr>
      <w:bookmarkStart w:id="5" w:name="_Toc17277"/>
      <w:bookmarkStart w:id="6" w:name="_Toc19290"/>
      <w:bookmarkStart w:id="7" w:name="_Toc3178"/>
      <w:r>
        <w:rPr>
          <w:rFonts w:hint="eastAsia"/>
          <w:b/>
          <w:bCs/>
          <w:sz w:val="28"/>
          <w:szCs w:val="28"/>
          <w:lang w:eastAsia="zh-CN"/>
        </w:rPr>
        <w:t>二、</w:t>
      </w:r>
      <w:r>
        <w:rPr>
          <w:rFonts w:hint="eastAsia"/>
          <w:b/>
          <w:bCs/>
          <w:sz w:val="28"/>
          <w:szCs w:val="28"/>
        </w:rPr>
        <w:t>项目背景</w:t>
      </w:r>
      <w:bookmarkEnd w:id="1"/>
      <w:bookmarkEnd w:id="2"/>
      <w:bookmarkEnd w:id="3"/>
      <w:bookmarkEnd w:id="5"/>
      <w:bookmarkEnd w:id="6"/>
      <w:bookmarkEnd w:id="7"/>
    </w:p>
    <w:p w:rsidR="00C41BBC" w:rsidRDefault="00411487">
      <w:pPr>
        <w:pStyle w:val="Bodytext10"/>
        <w:spacing w:after="280" w:line="360" w:lineRule="auto"/>
        <w:ind w:firstLine="580"/>
        <w:jc w:val="both"/>
        <w:rPr>
          <w:sz w:val="28"/>
          <w:szCs w:val="28"/>
          <w:lang w:eastAsia="zh-CN"/>
        </w:rPr>
      </w:pPr>
      <w:r>
        <w:rPr>
          <w:rFonts w:hint="eastAsia"/>
          <w:sz w:val="28"/>
          <w:szCs w:val="28"/>
        </w:rPr>
        <w:t>为进一步实现生活垃圾减量化、无害化和资源化，最大程度减少环境污染风险，根据住房和城乡建设部办公厅关于生活垃圾分类和资源化利用</w:t>
      </w:r>
      <w:r>
        <w:rPr>
          <w:rFonts w:hint="eastAsia"/>
          <w:sz w:val="28"/>
          <w:szCs w:val="28"/>
          <w:lang w:eastAsia="zh-CN"/>
        </w:rPr>
        <w:t>和</w:t>
      </w:r>
      <w:r>
        <w:rPr>
          <w:rFonts w:hint="eastAsia"/>
          <w:sz w:val="28"/>
          <w:szCs w:val="28"/>
          <w:lang w:val="en-US" w:eastAsia="zh-CN"/>
        </w:rPr>
        <w:t>2021年按照省委省政府的决策部署，我省生活垃圾全部运往生活垃圾焚烧发电厂进行焚烧处理实现全县生活垃圾“全焚烧”的历史性转变，全省生活垃圾填埋场全部停止使用。为做好中央环保督察整改工作，切实贯彻落实《海南省生活垃圾无害化处理实施建设三年行动方案（2020-2022年）》，以及</w:t>
      </w:r>
      <w:r>
        <w:rPr>
          <w:rFonts w:hint="eastAsia"/>
          <w:sz w:val="28"/>
          <w:szCs w:val="28"/>
        </w:rPr>
        <w:t>《海南省住房和城乡建设厅关于做好生活垃圾填埋场治理工作的函》（琼建环函〔2021）78号）要求</w:t>
      </w:r>
      <w:r>
        <w:rPr>
          <w:rFonts w:hint="eastAsia"/>
          <w:sz w:val="28"/>
          <w:szCs w:val="28"/>
          <w:lang w:eastAsia="zh-CN"/>
        </w:rPr>
        <w:t>。</w:t>
      </w:r>
    </w:p>
    <w:p w:rsidR="00C41BBC" w:rsidRDefault="00411487">
      <w:pPr>
        <w:pStyle w:val="Heading210"/>
        <w:keepNext/>
        <w:keepLines/>
        <w:spacing w:after="140" w:line="360" w:lineRule="auto"/>
        <w:ind w:firstLine="0"/>
        <w:rPr>
          <w:b/>
          <w:bCs/>
          <w:sz w:val="28"/>
          <w:szCs w:val="28"/>
          <w:lang w:val="en-US" w:eastAsia="zh-CN" w:bidi="en-US"/>
        </w:rPr>
      </w:pPr>
      <w:bookmarkStart w:id="8" w:name="bookmark26"/>
      <w:bookmarkStart w:id="9" w:name="bookmark28"/>
      <w:bookmarkStart w:id="10" w:name="bookmark27"/>
      <w:r>
        <w:rPr>
          <w:rFonts w:hint="eastAsia"/>
          <w:b/>
          <w:bCs/>
          <w:sz w:val="28"/>
          <w:szCs w:val="28"/>
          <w:lang w:val="en-US" w:eastAsia="zh-CN" w:bidi="en-US"/>
        </w:rPr>
        <w:t>三、法律法规政策</w:t>
      </w:r>
      <w:bookmarkEnd w:id="8"/>
      <w:bookmarkEnd w:id="9"/>
      <w:bookmarkEnd w:id="10"/>
    </w:p>
    <w:p w:rsidR="00C41BBC" w:rsidRDefault="00411487">
      <w:pPr>
        <w:pStyle w:val="Bodytext10"/>
        <w:spacing w:line="360" w:lineRule="auto"/>
        <w:ind w:firstLineChars="100" w:firstLine="280"/>
        <w:jc w:val="both"/>
        <w:rPr>
          <w:sz w:val="28"/>
          <w:szCs w:val="28"/>
          <w:lang w:val="en-US" w:eastAsia="zh-CN"/>
        </w:rPr>
      </w:pPr>
      <w:bookmarkStart w:id="11" w:name="bookmark29"/>
      <w:bookmarkEnd w:id="11"/>
      <w:r>
        <w:rPr>
          <w:rFonts w:hint="eastAsia"/>
          <w:sz w:val="28"/>
          <w:szCs w:val="28"/>
          <w:lang w:val="en-US" w:eastAsia="zh-CN"/>
        </w:rPr>
        <w:t>（1）《中华人民共和国环境保护法》，2015年；</w:t>
      </w:r>
    </w:p>
    <w:p w:rsidR="00C41BBC" w:rsidRDefault="00411487">
      <w:pPr>
        <w:pStyle w:val="Bodytext10"/>
        <w:tabs>
          <w:tab w:val="left" w:pos="1349"/>
        </w:tabs>
        <w:spacing w:line="360" w:lineRule="auto"/>
        <w:ind w:firstLineChars="100" w:firstLine="280"/>
        <w:rPr>
          <w:sz w:val="28"/>
          <w:szCs w:val="28"/>
        </w:rPr>
      </w:pPr>
      <w:bookmarkStart w:id="12" w:name="bookmark30"/>
      <w:bookmarkEnd w:id="12"/>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《中华人民共和国固体废物污染环境防治法》，2016年；</w:t>
      </w:r>
    </w:p>
    <w:p w:rsidR="00C41BBC" w:rsidRDefault="00411487">
      <w:pPr>
        <w:pStyle w:val="Bodytext10"/>
        <w:spacing w:line="360" w:lineRule="auto"/>
        <w:ind w:firstLineChars="100" w:firstLine="280"/>
        <w:jc w:val="both"/>
        <w:rPr>
          <w:sz w:val="28"/>
          <w:szCs w:val="28"/>
          <w:lang w:val="en-US" w:eastAsia="zh-CN"/>
        </w:rPr>
      </w:pPr>
      <w:bookmarkStart w:id="13" w:name="bookmark31"/>
      <w:bookmarkEnd w:id="13"/>
      <w:r>
        <w:rPr>
          <w:rFonts w:hint="eastAsia"/>
          <w:sz w:val="28"/>
          <w:szCs w:val="28"/>
          <w:lang w:val="en-US" w:eastAsia="zh-CN"/>
        </w:rPr>
        <w:t>（3）《城市生活垃圾处理及污染防治技术政策》，建成[2000]120号；</w:t>
      </w:r>
    </w:p>
    <w:p w:rsidR="00C41BBC" w:rsidRDefault="00411487">
      <w:pPr>
        <w:pStyle w:val="Bodytext10"/>
        <w:spacing w:line="360" w:lineRule="auto"/>
        <w:ind w:firstLineChars="100" w:firstLine="280"/>
        <w:jc w:val="both"/>
        <w:rPr>
          <w:sz w:val="28"/>
          <w:szCs w:val="28"/>
          <w:lang w:val="en-US" w:eastAsia="zh-CN"/>
        </w:rPr>
      </w:pPr>
      <w:bookmarkStart w:id="14" w:name="bookmark33"/>
      <w:bookmarkEnd w:id="14"/>
      <w:r>
        <w:rPr>
          <w:rFonts w:hint="eastAsia"/>
          <w:sz w:val="28"/>
          <w:szCs w:val="28"/>
          <w:lang w:val="en-US" w:eastAsia="zh-CN"/>
        </w:rPr>
        <w:lastRenderedPageBreak/>
        <w:t>（4）《关于印发</w:t>
      </w:r>
      <w:r>
        <w:rPr>
          <w:rFonts w:hint="eastAsia"/>
          <w:sz w:val="28"/>
          <w:szCs w:val="28"/>
          <w:lang w:val="zh-CN" w:eastAsia="zh-CN"/>
        </w:rPr>
        <w:t>〈生活</w:t>
      </w:r>
      <w:r>
        <w:rPr>
          <w:rFonts w:hint="eastAsia"/>
          <w:sz w:val="28"/>
          <w:szCs w:val="28"/>
          <w:lang w:val="en-US" w:eastAsia="zh-CN"/>
        </w:rPr>
        <w:t>垃圾处理技术</w:t>
      </w:r>
      <w:r>
        <w:rPr>
          <w:rFonts w:hint="eastAsia"/>
          <w:sz w:val="28"/>
          <w:szCs w:val="28"/>
          <w:lang w:val="zh-CN" w:eastAsia="zh-CN"/>
        </w:rPr>
        <w:t>指南〉</w:t>
      </w:r>
      <w:r>
        <w:rPr>
          <w:rFonts w:hint="eastAsia"/>
          <w:sz w:val="28"/>
          <w:szCs w:val="28"/>
          <w:lang w:val="en-US" w:eastAsia="zh-CN"/>
        </w:rPr>
        <w:t>的通知》，建城[2010]61 号；</w:t>
      </w:r>
    </w:p>
    <w:p w:rsidR="00C41BBC" w:rsidRDefault="00411487">
      <w:pPr>
        <w:pStyle w:val="Bodytext10"/>
        <w:spacing w:line="360" w:lineRule="auto"/>
        <w:ind w:firstLineChars="100" w:firstLine="280"/>
        <w:jc w:val="both"/>
        <w:rPr>
          <w:sz w:val="28"/>
          <w:szCs w:val="28"/>
          <w:lang w:val="en-US" w:eastAsia="zh-CN"/>
        </w:rPr>
      </w:pPr>
      <w:bookmarkStart w:id="15" w:name="bookmark35"/>
      <w:bookmarkStart w:id="16" w:name="bookmark36"/>
      <w:bookmarkStart w:id="17" w:name="bookmark37"/>
      <w:bookmarkStart w:id="18" w:name="bookmark34"/>
      <w:bookmarkEnd w:id="15"/>
      <w:bookmarkEnd w:id="16"/>
      <w:bookmarkEnd w:id="17"/>
      <w:bookmarkEnd w:id="18"/>
      <w:r>
        <w:rPr>
          <w:rFonts w:hint="eastAsia"/>
          <w:sz w:val="28"/>
          <w:szCs w:val="28"/>
          <w:lang w:val="en-US" w:eastAsia="zh-CN"/>
        </w:rPr>
        <w:t>（5）《住房城乡建设部发展改革委环境保护部关于开展存量生活 垃圾治理工作的通知》，2012年；</w:t>
      </w:r>
    </w:p>
    <w:p w:rsidR="00C41BBC" w:rsidRDefault="00411487">
      <w:pPr>
        <w:pStyle w:val="Bodytext10"/>
        <w:spacing w:line="360" w:lineRule="auto"/>
        <w:ind w:firstLineChars="100" w:firstLine="280"/>
        <w:jc w:val="both"/>
        <w:rPr>
          <w:sz w:val="28"/>
          <w:szCs w:val="28"/>
        </w:rPr>
      </w:pPr>
      <w:bookmarkStart w:id="19" w:name="bookmark43"/>
      <w:bookmarkStart w:id="20" w:name="bookmark38"/>
      <w:bookmarkEnd w:id="19"/>
      <w:bookmarkEnd w:id="20"/>
      <w:r>
        <w:rPr>
          <w:rFonts w:hint="eastAsia"/>
          <w:sz w:val="28"/>
          <w:szCs w:val="28"/>
          <w:lang w:val="en-US" w:eastAsia="zh-CN"/>
        </w:rPr>
        <w:t>（6）《海南省住房和城乡建设厅关于做好生活垃圾填埋场治理工作的函》(琼建环函(2021) 78号)。</w:t>
      </w:r>
    </w:p>
    <w:p w:rsidR="00C41BBC" w:rsidRDefault="00411487">
      <w:pPr>
        <w:pStyle w:val="Heading210"/>
        <w:keepNext/>
        <w:keepLines/>
        <w:spacing w:after="0" w:line="360" w:lineRule="auto"/>
        <w:ind w:firstLine="0"/>
        <w:rPr>
          <w:b/>
          <w:bCs/>
          <w:sz w:val="28"/>
          <w:szCs w:val="28"/>
        </w:rPr>
      </w:pPr>
      <w:bookmarkStart w:id="21" w:name="bookmark46"/>
      <w:bookmarkStart w:id="22" w:name="bookmark45"/>
      <w:bookmarkStart w:id="23" w:name="bookmark44"/>
      <w:r>
        <w:rPr>
          <w:rFonts w:hint="eastAsia"/>
          <w:b/>
          <w:bCs/>
          <w:sz w:val="28"/>
          <w:szCs w:val="28"/>
          <w:lang w:eastAsia="zh-CN"/>
        </w:rPr>
        <w:t>四、</w:t>
      </w:r>
      <w:r>
        <w:rPr>
          <w:rFonts w:hint="eastAsia"/>
          <w:b/>
          <w:bCs/>
          <w:sz w:val="28"/>
          <w:szCs w:val="28"/>
        </w:rPr>
        <w:t>技术规范标准</w:t>
      </w:r>
      <w:bookmarkStart w:id="24" w:name="bookmark47"/>
      <w:bookmarkEnd w:id="21"/>
      <w:bookmarkEnd w:id="22"/>
      <w:bookmarkEnd w:id="23"/>
      <w:bookmarkEnd w:id="24"/>
    </w:p>
    <w:p w:rsidR="00C41BBC" w:rsidRDefault="00411487">
      <w:pPr>
        <w:pStyle w:val="Bodytext10"/>
        <w:spacing w:line="360" w:lineRule="auto"/>
        <w:ind w:firstLineChars="100" w:firstLine="280"/>
        <w:jc w:val="both"/>
        <w:rPr>
          <w:sz w:val="28"/>
          <w:szCs w:val="28"/>
          <w:lang w:val="en-US" w:eastAsia="zh-CN"/>
        </w:rPr>
      </w:pPr>
      <w:r>
        <w:rPr>
          <w:rFonts w:hint="eastAsia"/>
          <w:sz w:val="28"/>
          <w:szCs w:val="28"/>
          <w:lang w:eastAsia="zh-CN"/>
        </w:rPr>
        <w:t>（</w:t>
      </w:r>
      <w:r>
        <w:rPr>
          <w:rFonts w:hint="eastAsia"/>
          <w:sz w:val="28"/>
          <w:szCs w:val="28"/>
          <w:lang w:val="en-US" w:eastAsia="zh-CN"/>
        </w:rPr>
        <w:t>1）《环境空气质量标准》(GB3095-2012)；</w:t>
      </w:r>
    </w:p>
    <w:p w:rsidR="00C41BBC" w:rsidRDefault="00411487">
      <w:pPr>
        <w:pStyle w:val="Bodytext10"/>
        <w:spacing w:line="360" w:lineRule="auto"/>
        <w:ind w:firstLineChars="100" w:firstLine="280"/>
        <w:jc w:val="both"/>
        <w:rPr>
          <w:sz w:val="28"/>
          <w:szCs w:val="28"/>
          <w:lang w:val="en-US" w:eastAsia="zh-CN"/>
        </w:rPr>
      </w:pPr>
      <w:bookmarkStart w:id="25" w:name="bookmark48"/>
      <w:bookmarkEnd w:id="25"/>
      <w:r>
        <w:rPr>
          <w:rFonts w:hint="eastAsia"/>
          <w:sz w:val="28"/>
          <w:szCs w:val="28"/>
          <w:lang w:val="en-US" w:eastAsia="zh-CN"/>
        </w:rPr>
        <w:t>（2）《地下水质量标准》(GB/T14848-2017)；</w:t>
      </w:r>
    </w:p>
    <w:p w:rsidR="00C41BBC" w:rsidRDefault="00411487">
      <w:pPr>
        <w:pStyle w:val="Bodytext10"/>
        <w:spacing w:line="360" w:lineRule="auto"/>
        <w:ind w:firstLineChars="100" w:firstLine="280"/>
        <w:jc w:val="both"/>
        <w:rPr>
          <w:sz w:val="28"/>
          <w:szCs w:val="28"/>
          <w:lang w:val="en-US" w:eastAsia="zh-CN"/>
        </w:rPr>
      </w:pPr>
      <w:bookmarkStart w:id="26" w:name="bookmark49"/>
      <w:bookmarkEnd w:id="26"/>
      <w:r>
        <w:rPr>
          <w:rFonts w:hint="eastAsia"/>
          <w:sz w:val="28"/>
          <w:szCs w:val="28"/>
          <w:lang w:val="en-US" w:eastAsia="zh-CN"/>
        </w:rPr>
        <w:t>（3）《恶臭污染物排放标准》(GB14554-93)；</w:t>
      </w:r>
    </w:p>
    <w:p w:rsidR="00C41BBC" w:rsidRDefault="00411487">
      <w:pPr>
        <w:pStyle w:val="Bodytext10"/>
        <w:spacing w:line="360" w:lineRule="auto"/>
        <w:ind w:firstLineChars="100" w:firstLine="280"/>
        <w:jc w:val="both"/>
        <w:rPr>
          <w:sz w:val="28"/>
          <w:szCs w:val="28"/>
          <w:lang w:val="en-US" w:eastAsia="zh-CN"/>
        </w:rPr>
      </w:pPr>
      <w:bookmarkStart w:id="27" w:name="bookmark50"/>
      <w:bookmarkEnd w:id="27"/>
      <w:r>
        <w:rPr>
          <w:rFonts w:hint="eastAsia"/>
          <w:sz w:val="28"/>
          <w:szCs w:val="28"/>
          <w:lang w:val="en-US" w:eastAsia="zh-CN"/>
        </w:rPr>
        <w:t>（4）《污水综合排放标准》(GB8978-1996)；</w:t>
      </w:r>
    </w:p>
    <w:p w:rsidR="00C41BBC" w:rsidRDefault="00411487">
      <w:pPr>
        <w:pStyle w:val="Bodytext10"/>
        <w:spacing w:line="360" w:lineRule="auto"/>
        <w:ind w:firstLineChars="100" w:firstLine="280"/>
        <w:jc w:val="both"/>
        <w:rPr>
          <w:sz w:val="28"/>
          <w:szCs w:val="28"/>
          <w:lang w:val="en-US" w:eastAsia="zh-CN"/>
        </w:rPr>
      </w:pPr>
      <w:bookmarkStart w:id="28" w:name="bookmark51"/>
      <w:bookmarkEnd w:id="28"/>
      <w:r>
        <w:rPr>
          <w:rFonts w:hint="eastAsia"/>
          <w:sz w:val="28"/>
          <w:szCs w:val="28"/>
          <w:lang w:val="en-US" w:eastAsia="zh-CN"/>
        </w:rPr>
        <w:t>（5）《大气污染物综合排放标准》(GB16297-1996)；</w:t>
      </w:r>
      <w:bookmarkStart w:id="29" w:name="bookmark52"/>
      <w:bookmarkEnd w:id="29"/>
      <w:r>
        <w:rPr>
          <w:rFonts w:hint="eastAsia"/>
          <w:sz w:val="28"/>
          <w:szCs w:val="28"/>
          <w:lang w:val="en-US" w:eastAsia="zh-CN"/>
        </w:rPr>
        <w:t xml:space="preserve"> </w:t>
      </w:r>
    </w:p>
    <w:p w:rsidR="00C41BBC" w:rsidRDefault="00411487">
      <w:pPr>
        <w:pStyle w:val="Bodytext10"/>
        <w:spacing w:line="360" w:lineRule="auto"/>
        <w:ind w:firstLineChars="100" w:firstLine="280"/>
        <w:jc w:val="both"/>
        <w:rPr>
          <w:sz w:val="28"/>
          <w:szCs w:val="28"/>
          <w:lang w:val="en-US" w:eastAsia="zh-CN"/>
        </w:rPr>
      </w:pPr>
      <w:r>
        <w:rPr>
          <w:rFonts w:hint="eastAsia"/>
          <w:sz w:val="28"/>
          <w:szCs w:val="28"/>
          <w:lang w:val="en-US" w:eastAsia="zh-CN"/>
        </w:rPr>
        <w:t>（6）《生活垃圾填埋场填埋气体收集处理及利用工程技术规范》</w:t>
      </w:r>
    </w:p>
    <w:p w:rsidR="00C41BBC" w:rsidRDefault="00411487">
      <w:pPr>
        <w:pStyle w:val="Bodytext10"/>
        <w:spacing w:line="360" w:lineRule="auto"/>
        <w:ind w:firstLineChars="540" w:firstLine="1512"/>
        <w:jc w:val="both"/>
        <w:rPr>
          <w:sz w:val="28"/>
          <w:szCs w:val="28"/>
          <w:lang w:val="en-US" w:eastAsia="zh-CN"/>
        </w:rPr>
      </w:pPr>
      <w:r>
        <w:rPr>
          <w:rFonts w:hint="eastAsia"/>
          <w:sz w:val="28"/>
          <w:szCs w:val="28"/>
          <w:lang w:val="en-US" w:eastAsia="zh-CN"/>
        </w:rPr>
        <w:t>(CJJ 133-2009)；</w:t>
      </w:r>
    </w:p>
    <w:p w:rsidR="00C41BBC" w:rsidRDefault="00411487">
      <w:pPr>
        <w:pStyle w:val="Bodytext10"/>
        <w:spacing w:line="360" w:lineRule="auto"/>
        <w:ind w:firstLineChars="100" w:firstLine="280"/>
        <w:jc w:val="both"/>
        <w:rPr>
          <w:sz w:val="28"/>
          <w:szCs w:val="28"/>
          <w:lang w:val="en-US" w:eastAsia="zh-CN"/>
        </w:rPr>
      </w:pPr>
      <w:bookmarkStart w:id="30" w:name="bookmark53"/>
      <w:bookmarkEnd w:id="30"/>
      <w:r>
        <w:rPr>
          <w:rFonts w:hint="eastAsia"/>
          <w:sz w:val="28"/>
          <w:szCs w:val="28"/>
          <w:lang w:val="en-US" w:eastAsia="zh-CN"/>
        </w:rPr>
        <w:t>（7）《生活垃圾填埋场渗滤液处理工程技术规范》(HJ 564-2010)；</w:t>
      </w:r>
    </w:p>
    <w:p w:rsidR="00C41BBC" w:rsidRDefault="00411487">
      <w:pPr>
        <w:pStyle w:val="Bodytext10"/>
        <w:spacing w:line="360" w:lineRule="auto"/>
        <w:ind w:firstLineChars="100" w:firstLine="280"/>
        <w:jc w:val="both"/>
        <w:rPr>
          <w:sz w:val="28"/>
          <w:szCs w:val="28"/>
          <w:lang w:val="en-US" w:eastAsia="zh-CN"/>
        </w:rPr>
      </w:pPr>
      <w:bookmarkStart w:id="31" w:name="bookmark54"/>
      <w:bookmarkEnd w:id="31"/>
      <w:r>
        <w:rPr>
          <w:rFonts w:hint="eastAsia"/>
          <w:sz w:val="28"/>
          <w:szCs w:val="28"/>
          <w:lang w:val="en-US" w:eastAsia="zh-CN"/>
        </w:rPr>
        <w:t>（8）《生活垃圾渗滤液处理技术规范》(CJJ 150-2010)；</w:t>
      </w:r>
    </w:p>
    <w:p w:rsidR="00C41BBC" w:rsidRDefault="00411487">
      <w:pPr>
        <w:pStyle w:val="Bodytext10"/>
        <w:spacing w:line="360" w:lineRule="auto"/>
        <w:ind w:firstLineChars="100" w:firstLine="280"/>
        <w:jc w:val="both"/>
        <w:rPr>
          <w:sz w:val="28"/>
          <w:szCs w:val="28"/>
          <w:lang w:val="en-US" w:eastAsia="zh-CN"/>
        </w:rPr>
      </w:pPr>
      <w:r>
        <w:rPr>
          <w:rFonts w:hint="eastAsia"/>
          <w:sz w:val="28"/>
          <w:szCs w:val="28"/>
          <w:lang w:val="en-US" w:eastAsia="zh-CN"/>
        </w:rPr>
        <w:t>（9）《生活垃圾卫生填埋场环境监测技术要求》(GB/T18772-2008)；</w:t>
      </w:r>
    </w:p>
    <w:p w:rsidR="00C41BBC" w:rsidRDefault="00411487">
      <w:pPr>
        <w:pStyle w:val="Bodytext10"/>
        <w:spacing w:line="360" w:lineRule="auto"/>
        <w:ind w:firstLineChars="100" w:firstLine="280"/>
        <w:jc w:val="both"/>
        <w:rPr>
          <w:sz w:val="28"/>
          <w:szCs w:val="28"/>
          <w:lang w:val="en-US" w:eastAsia="zh-CN"/>
        </w:rPr>
      </w:pPr>
      <w:r>
        <w:rPr>
          <w:rFonts w:hint="eastAsia"/>
          <w:sz w:val="28"/>
          <w:szCs w:val="28"/>
          <w:lang w:val="en-US" w:eastAsia="zh-CN"/>
        </w:rPr>
        <w:t>（10）《生活垃圾填埋场稳定化场地利用技术要求》(GB/T25179-2010)；</w:t>
      </w:r>
    </w:p>
    <w:p w:rsidR="00C41BBC" w:rsidRDefault="00411487">
      <w:pPr>
        <w:pStyle w:val="Bodytext10"/>
        <w:spacing w:line="360" w:lineRule="auto"/>
        <w:ind w:firstLineChars="100" w:firstLine="280"/>
        <w:jc w:val="both"/>
        <w:rPr>
          <w:sz w:val="28"/>
          <w:szCs w:val="28"/>
          <w:lang w:val="en-US" w:eastAsia="zh-CN"/>
        </w:rPr>
      </w:pPr>
      <w:bookmarkStart w:id="32" w:name="bookmark55"/>
      <w:bookmarkEnd w:id="32"/>
      <w:r>
        <w:rPr>
          <w:rFonts w:hint="eastAsia"/>
          <w:sz w:val="28"/>
          <w:szCs w:val="28"/>
          <w:lang w:val="en-US" w:eastAsia="zh-CN"/>
        </w:rPr>
        <w:t>（11）《生活垃圾卫生填埋处理技术规范》(GB50869-2013)；</w:t>
      </w:r>
    </w:p>
    <w:p w:rsidR="00C41BBC" w:rsidRDefault="00411487">
      <w:pPr>
        <w:pStyle w:val="Bodytext10"/>
        <w:spacing w:line="360" w:lineRule="auto"/>
        <w:ind w:firstLineChars="100" w:firstLine="280"/>
        <w:jc w:val="both"/>
        <w:rPr>
          <w:sz w:val="28"/>
          <w:szCs w:val="28"/>
          <w:lang w:val="en-US" w:eastAsia="zh-CN"/>
        </w:rPr>
      </w:pPr>
      <w:bookmarkStart w:id="33" w:name="bookmark56"/>
      <w:bookmarkEnd w:id="33"/>
      <w:r>
        <w:rPr>
          <w:rFonts w:hint="eastAsia"/>
          <w:sz w:val="28"/>
          <w:szCs w:val="28"/>
          <w:lang w:val="en-US" w:eastAsia="zh-CN"/>
        </w:rPr>
        <w:t>（12）《生活垃圾卫生填埋场封场技术规范》(GB51220-2017)；</w:t>
      </w:r>
    </w:p>
    <w:p w:rsidR="00C41BBC" w:rsidRDefault="00411487">
      <w:pPr>
        <w:pStyle w:val="Bodytext10"/>
        <w:spacing w:line="360" w:lineRule="auto"/>
        <w:ind w:firstLineChars="100" w:firstLine="280"/>
        <w:jc w:val="both"/>
        <w:rPr>
          <w:sz w:val="28"/>
          <w:szCs w:val="28"/>
          <w:lang w:val="en-US" w:eastAsia="zh-CN"/>
        </w:rPr>
      </w:pPr>
      <w:bookmarkStart w:id="34" w:name="bookmark57"/>
      <w:bookmarkEnd w:id="34"/>
      <w:r>
        <w:rPr>
          <w:rFonts w:hint="eastAsia"/>
          <w:sz w:val="28"/>
          <w:szCs w:val="28"/>
          <w:lang w:val="en-US" w:eastAsia="zh-CN"/>
        </w:rPr>
        <w:t>（13）《生活垃圾填埋场封场工程项目建设标准》(建标 140-2010)；</w:t>
      </w:r>
    </w:p>
    <w:p w:rsidR="00C41BBC" w:rsidRDefault="00411487">
      <w:pPr>
        <w:pStyle w:val="Bodytext10"/>
        <w:spacing w:line="360" w:lineRule="auto"/>
        <w:ind w:firstLineChars="100" w:firstLine="280"/>
        <w:jc w:val="both"/>
        <w:rPr>
          <w:sz w:val="28"/>
          <w:szCs w:val="28"/>
          <w:lang w:val="en-US" w:eastAsia="zh-CN"/>
        </w:rPr>
      </w:pPr>
      <w:bookmarkStart w:id="35" w:name="bookmark58"/>
      <w:bookmarkEnd w:id="35"/>
      <w:r>
        <w:rPr>
          <w:rFonts w:hint="eastAsia"/>
          <w:sz w:val="28"/>
          <w:szCs w:val="28"/>
          <w:lang w:val="en-US" w:eastAsia="zh-CN"/>
        </w:rPr>
        <w:t>（14）《生活垃圾填埋场污染控制标准》(GB16889-2008)；</w:t>
      </w:r>
    </w:p>
    <w:p w:rsidR="00C41BBC" w:rsidRDefault="00411487">
      <w:pPr>
        <w:pStyle w:val="Bodytext10"/>
        <w:spacing w:line="360" w:lineRule="auto"/>
        <w:ind w:firstLineChars="100" w:firstLine="280"/>
        <w:jc w:val="both"/>
        <w:rPr>
          <w:sz w:val="28"/>
          <w:szCs w:val="28"/>
          <w:lang w:val="en-US" w:eastAsia="zh-CN"/>
        </w:rPr>
      </w:pPr>
      <w:bookmarkStart w:id="36" w:name="bookmark59"/>
      <w:bookmarkEnd w:id="36"/>
      <w:r>
        <w:rPr>
          <w:rFonts w:hint="eastAsia"/>
          <w:sz w:val="28"/>
          <w:szCs w:val="28"/>
          <w:lang w:val="en-US" w:eastAsia="zh-CN"/>
        </w:rPr>
        <w:t>（15）《老生活垃圾填埋场生态修复技术标准(征求意见稿)》</w:t>
      </w:r>
      <w:r>
        <w:rPr>
          <w:rFonts w:hint="eastAsia"/>
          <w:sz w:val="28"/>
          <w:szCs w:val="28"/>
          <w:lang w:val="zh-CN" w:eastAsia="zh-CN"/>
        </w:rPr>
        <w:t xml:space="preserve">(2017 </w:t>
      </w:r>
      <w:r>
        <w:rPr>
          <w:rFonts w:hint="eastAsia"/>
          <w:sz w:val="28"/>
          <w:szCs w:val="28"/>
          <w:lang w:val="en-US" w:eastAsia="zh-CN"/>
        </w:rPr>
        <w:t>年)；</w:t>
      </w:r>
    </w:p>
    <w:p w:rsidR="00C41BBC" w:rsidRDefault="00411487">
      <w:pPr>
        <w:pStyle w:val="Bodytext10"/>
        <w:spacing w:line="360" w:lineRule="auto"/>
        <w:ind w:firstLineChars="100" w:firstLine="280"/>
        <w:jc w:val="both"/>
        <w:rPr>
          <w:sz w:val="28"/>
          <w:szCs w:val="28"/>
          <w:lang w:val="en-US" w:eastAsia="zh-CN"/>
        </w:rPr>
      </w:pPr>
      <w:r>
        <w:rPr>
          <w:rFonts w:hint="eastAsia"/>
          <w:sz w:val="28"/>
          <w:szCs w:val="28"/>
          <w:lang w:val="en-US" w:eastAsia="zh-CN"/>
        </w:rPr>
        <w:t>（16）《生活垃圾综合处理与资源利用技术要求》(GB/T25810-2010)；</w:t>
      </w:r>
    </w:p>
    <w:p w:rsidR="00C41BBC" w:rsidRDefault="00411487">
      <w:pPr>
        <w:pStyle w:val="Bodytext10"/>
        <w:spacing w:line="360" w:lineRule="auto"/>
        <w:ind w:firstLineChars="100" w:firstLine="280"/>
        <w:jc w:val="both"/>
        <w:rPr>
          <w:sz w:val="28"/>
          <w:szCs w:val="28"/>
          <w:lang w:val="en-US" w:eastAsia="zh-CN"/>
        </w:rPr>
      </w:pPr>
      <w:bookmarkStart w:id="37" w:name="bookmark60"/>
      <w:bookmarkEnd w:id="37"/>
      <w:r>
        <w:rPr>
          <w:rFonts w:hint="eastAsia"/>
          <w:sz w:val="28"/>
          <w:szCs w:val="28"/>
          <w:lang w:val="en-US" w:eastAsia="zh-CN"/>
        </w:rPr>
        <w:t>（17）《生活垃圾卫生填埋场防渗系统工程技术规范》(CJJ113-2007)；</w:t>
      </w:r>
    </w:p>
    <w:p w:rsidR="00C41BBC" w:rsidRDefault="00411487">
      <w:pPr>
        <w:pStyle w:val="Bodytext10"/>
        <w:spacing w:line="360" w:lineRule="auto"/>
        <w:ind w:firstLineChars="100" w:firstLine="280"/>
        <w:jc w:val="both"/>
        <w:rPr>
          <w:sz w:val="28"/>
          <w:szCs w:val="28"/>
          <w:lang w:val="en-US" w:eastAsia="zh-CN"/>
        </w:rPr>
      </w:pPr>
      <w:bookmarkStart w:id="38" w:name="bookmark61"/>
      <w:bookmarkEnd w:id="38"/>
      <w:r>
        <w:rPr>
          <w:rFonts w:hint="eastAsia"/>
          <w:sz w:val="28"/>
          <w:szCs w:val="28"/>
          <w:lang w:val="en-US" w:eastAsia="zh-CN"/>
        </w:rPr>
        <w:t>（18）《城市生活垃圾卫生填埋场运行维护技术规程》(CJJ 93-2003)；</w:t>
      </w:r>
    </w:p>
    <w:p w:rsidR="00C41BBC" w:rsidRDefault="00411487">
      <w:pPr>
        <w:pStyle w:val="Bodytext10"/>
        <w:spacing w:line="360" w:lineRule="auto"/>
        <w:ind w:firstLineChars="100" w:firstLine="280"/>
        <w:jc w:val="both"/>
        <w:rPr>
          <w:sz w:val="28"/>
          <w:szCs w:val="28"/>
          <w:lang w:val="en-US" w:eastAsia="zh-CN"/>
        </w:rPr>
      </w:pPr>
      <w:bookmarkStart w:id="39" w:name="bookmark62"/>
      <w:bookmarkEnd w:id="39"/>
      <w:r>
        <w:rPr>
          <w:rFonts w:hint="eastAsia"/>
          <w:sz w:val="28"/>
          <w:szCs w:val="28"/>
          <w:lang w:val="en-US" w:eastAsia="zh-CN"/>
        </w:rPr>
        <w:t>（19）《生活垃圾填埋场环境监测技术标准》(CJ/T 3037-1995)；</w:t>
      </w:r>
    </w:p>
    <w:p w:rsidR="00C41BBC" w:rsidRDefault="00411487">
      <w:pPr>
        <w:pStyle w:val="Bodytext10"/>
        <w:spacing w:line="360" w:lineRule="auto"/>
        <w:ind w:firstLineChars="100" w:firstLine="280"/>
        <w:jc w:val="both"/>
        <w:rPr>
          <w:sz w:val="28"/>
          <w:szCs w:val="28"/>
          <w:lang w:val="en-US" w:eastAsia="zh-CN"/>
        </w:rPr>
      </w:pPr>
      <w:bookmarkStart w:id="40" w:name="bookmark63"/>
      <w:bookmarkEnd w:id="40"/>
      <w:r>
        <w:rPr>
          <w:rFonts w:hint="eastAsia"/>
          <w:sz w:val="28"/>
          <w:szCs w:val="28"/>
          <w:lang w:val="en-US" w:eastAsia="zh-CN"/>
        </w:rPr>
        <w:lastRenderedPageBreak/>
        <w:t>（20）《室外排水设计规范》(GB 50014-2006) (2016版)；</w:t>
      </w:r>
    </w:p>
    <w:p w:rsidR="00C41BBC" w:rsidRDefault="00411487">
      <w:pPr>
        <w:pStyle w:val="Bodytext10"/>
        <w:spacing w:line="360" w:lineRule="auto"/>
        <w:ind w:firstLineChars="100" w:firstLine="280"/>
        <w:jc w:val="both"/>
        <w:rPr>
          <w:sz w:val="28"/>
          <w:szCs w:val="28"/>
          <w:lang w:val="en-US" w:eastAsia="zh-CN"/>
        </w:rPr>
      </w:pPr>
      <w:bookmarkStart w:id="41" w:name="bookmark64"/>
      <w:bookmarkEnd w:id="41"/>
      <w:r>
        <w:rPr>
          <w:rFonts w:hint="eastAsia"/>
          <w:sz w:val="28"/>
          <w:szCs w:val="28"/>
          <w:lang w:val="en-US" w:eastAsia="zh-CN"/>
        </w:rPr>
        <w:t>（21）《埋地硬聚氯乙烯排水管道工程技术规程》(CECS 122：2001)；</w:t>
      </w:r>
    </w:p>
    <w:p w:rsidR="00C41BBC" w:rsidRDefault="00411487">
      <w:pPr>
        <w:pStyle w:val="Bodytext10"/>
        <w:spacing w:line="360" w:lineRule="auto"/>
        <w:ind w:firstLineChars="100" w:firstLine="280"/>
        <w:jc w:val="both"/>
        <w:rPr>
          <w:sz w:val="28"/>
          <w:szCs w:val="28"/>
          <w:lang w:val="en-US" w:eastAsia="zh-CN"/>
        </w:rPr>
      </w:pPr>
      <w:bookmarkStart w:id="42" w:name="bookmark65"/>
      <w:bookmarkEnd w:id="42"/>
      <w:r>
        <w:rPr>
          <w:rFonts w:hint="eastAsia"/>
          <w:sz w:val="28"/>
          <w:szCs w:val="28"/>
          <w:lang w:val="en-US" w:eastAsia="zh-CN"/>
        </w:rPr>
        <w:t>（22）《垃圾填埋场用高密度聚乙烯管材》(CJ/T 371-2011)；</w:t>
      </w:r>
    </w:p>
    <w:p w:rsidR="00C41BBC" w:rsidRDefault="00411487">
      <w:pPr>
        <w:pStyle w:val="Bodytext10"/>
        <w:spacing w:line="360" w:lineRule="auto"/>
        <w:ind w:firstLineChars="100" w:firstLine="280"/>
        <w:jc w:val="both"/>
        <w:rPr>
          <w:sz w:val="28"/>
          <w:szCs w:val="28"/>
          <w:lang w:val="en-US" w:eastAsia="zh-CN"/>
        </w:rPr>
      </w:pPr>
      <w:bookmarkStart w:id="43" w:name="bookmark66"/>
      <w:bookmarkEnd w:id="43"/>
      <w:r>
        <w:rPr>
          <w:rFonts w:hint="eastAsia"/>
          <w:sz w:val="28"/>
          <w:szCs w:val="28"/>
          <w:lang w:val="en-US" w:eastAsia="zh-CN"/>
        </w:rPr>
        <w:t>（23）《机械挖土工艺标准》(GY102—1996)。</w:t>
      </w:r>
    </w:p>
    <w:p w:rsidR="00C41BBC" w:rsidRDefault="00411487">
      <w:pPr>
        <w:pStyle w:val="Bodytext10"/>
        <w:spacing w:line="360" w:lineRule="auto"/>
        <w:ind w:firstLine="580"/>
        <w:jc w:val="both"/>
        <w:rPr>
          <w:b/>
          <w:sz w:val="28"/>
          <w:szCs w:val="28"/>
          <w:lang w:eastAsia="zh-CN"/>
        </w:rPr>
      </w:pPr>
      <w:r>
        <w:rPr>
          <w:rFonts w:hint="eastAsia"/>
          <w:b/>
          <w:sz w:val="28"/>
          <w:szCs w:val="28"/>
        </w:rPr>
        <w:t>注：以上所列法规、规范及标准，在项目执行过程中如被修订时， 则按最新版本执行。</w:t>
      </w:r>
    </w:p>
    <w:p w:rsidR="00C41BBC" w:rsidRDefault="00C41BBC">
      <w:pPr>
        <w:pStyle w:val="Bodytext10"/>
        <w:spacing w:line="360" w:lineRule="auto"/>
        <w:ind w:firstLine="580"/>
        <w:jc w:val="both"/>
        <w:rPr>
          <w:b/>
          <w:sz w:val="22"/>
          <w:szCs w:val="22"/>
          <w:lang w:eastAsia="zh-CN"/>
        </w:rPr>
      </w:pPr>
    </w:p>
    <w:p w:rsidR="00C41BBC" w:rsidRDefault="00411487">
      <w:pPr>
        <w:pStyle w:val="Heading210"/>
        <w:keepNext/>
        <w:keepLines/>
        <w:spacing w:after="0" w:line="360" w:lineRule="auto"/>
        <w:ind w:firstLine="0"/>
        <w:rPr>
          <w:b/>
          <w:bCs/>
          <w:sz w:val="28"/>
          <w:szCs w:val="28"/>
          <w:lang w:eastAsia="zh-CN"/>
        </w:rPr>
      </w:pPr>
      <w:bookmarkStart w:id="44" w:name="bookmark120"/>
      <w:bookmarkStart w:id="45" w:name="bookmark121"/>
      <w:bookmarkStart w:id="46" w:name="bookmark122"/>
      <w:r>
        <w:rPr>
          <w:rFonts w:hint="eastAsia"/>
          <w:b/>
          <w:bCs/>
          <w:sz w:val="28"/>
          <w:szCs w:val="28"/>
          <w:lang w:eastAsia="zh-CN"/>
        </w:rPr>
        <w:t>五、生活垃圾产生和处置现状</w:t>
      </w:r>
      <w:bookmarkEnd w:id="44"/>
      <w:bookmarkEnd w:id="45"/>
      <w:bookmarkEnd w:id="46"/>
    </w:p>
    <w:p w:rsidR="00C41BBC" w:rsidRDefault="00411487">
      <w:pPr>
        <w:pStyle w:val="Tableofcontents10"/>
        <w:spacing w:line="360" w:lineRule="auto"/>
        <w:rPr>
          <w:sz w:val="28"/>
          <w:szCs w:val="28"/>
          <w:lang w:eastAsia="zh-CN"/>
        </w:rPr>
      </w:pPr>
      <w:r>
        <w:rPr>
          <w:rFonts w:hint="eastAsia"/>
          <w:sz w:val="28"/>
          <w:szCs w:val="28"/>
        </w:rPr>
        <w:t>屯昌县</w:t>
      </w:r>
      <w:r>
        <w:rPr>
          <w:rFonts w:hint="eastAsia"/>
          <w:sz w:val="28"/>
          <w:szCs w:val="28"/>
          <w:lang w:eastAsia="zh-CN"/>
        </w:rPr>
        <w:t>市政事务中心</w:t>
      </w:r>
      <w:r>
        <w:rPr>
          <w:rFonts w:hint="eastAsia"/>
          <w:sz w:val="28"/>
          <w:szCs w:val="28"/>
        </w:rPr>
        <w:t>提供2020年垃圾产生量</w:t>
      </w:r>
      <w:r>
        <w:rPr>
          <w:rFonts w:hint="eastAsia"/>
          <w:sz w:val="28"/>
          <w:szCs w:val="28"/>
          <w:lang w:eastAsia="zh-CN"/>
        </w:rPr>
        <w:t>：</w:t>
      </w:r>
      <w:r>
        <w:rPr>
          <w:rFonts w:hint="eastAsia"/>
          <w:sz w:val="28"/>
          <w:szCs w:val="28"/>
          <w:lang w:val="en-US" w:eastAsia="zh-CN"/>
        </w:rPr>
        <w:t>70145.94</w:t>
      </w:r>
      <w:r>
        <w:rPr>
          <w:rFonts w:hint="eastAsia"/>
          <w:sz w:val="28"/>
          <w:szCs w:val="28"/>
          <w:lang w:eastAsia="zh-CN"/>
        </w:rPr>
        <w:t>吨，日均量</w:t>
      </w:r>
      <w:r>
        <w:rPr>
          <w:rFonts w:hint="eastAsia"/>
          <w:sz w:val="28"/>
          <w:szCs w:val="28"/>
          <w:lang w:val="en-US" w:eastAsia="zh-CN"/>
        </w:rPr>
        <w:t xml:space="preserve">192.18 </w:t>
      </w:r>
      <w:r>
        <w:rPr>
          <w:rFonts w:hint="eastAsia"/>
          <w:sz w:val="28"/>
          <w:szCs w:val="28"/>
          <w:lang w:eastAsia="zh-CN"/>
        </w:rPr>
        <w:t>吨。</w:t>
      </w:r>
    </w:p>
    <w:p w:rsidR="00C41BBC" w:rsidRDefault="00411487">
      <w:pPr>
        <w:pStyle w:val="Bodytext10"/>
        <w:spacing w:line="360" w:lineRule="auto"/>
        <w:jc w:val="both"/>
        <w:rPr>
          <w:sz w:val="28"/>
          <w:szCs w:val="28"/>
        </w:rPr>
      </w:pPr>
      <w:r>
        <w:rPr>
          <w:rFonts w:hint="eastAsia"/>
          <w:sz w:val="28"/>
          <w:szCs w:val="28"/>
        </w:rPr>
        <w:t>处置现状：2020年9月起屯昌县生活垃圾全部进行焚烧处置， 不再进行填埋。屯昌县生活垃圾焚烧发电厂由光大环保能源（屯昌） 有限公司建设，厂址位于屯昌县屯城镇大洞村牛鼻岭（垃圾填埋场旁）, 占地面积</w:t>
      </w:r>
      <w:r>
        <w:rPr>
          <w:rFonts w:hint="eastAsia"/>
          <w:sz w:val="28"/>
          <w:szCs w:val="28"/>
          <w:lang w:val="en-US" w:eastAsia="zh-CN" w:bidi="en-US"/>
        </w:rPr>
        <w:t>70.29</w:t>
      </w:r>
      <w:r>
        <w:rPr>
          <w:rFonts w:hint="eastAsia"/>
          <w:sz w:val="28"/>
          <w:szCs w:val="28"/>
        </w:rPr>
        <w:t>亩。建设有2台</w:t>
      </w:r>
      <w:r>
        <w:rPr>
          <w:rFonts w:hint="eastAsia"/>
          <w:sz w:val="28"/>
          <w:szCs w:val="28"/>
          <w:lang w:val="en-US" w:eastAsia="zh-CN" w:bidi="en-US"/>
        </w:rPr>
        <w:t>300t/d</w:t>
      </w:r>
      <w:r>
        <w:rPr>
          <w:rFonts w:hint="eastAsia"/>
          <w:sz w:val="28"/>
          <w:szCs w:val="28"/>
        </w:rPr>
        <w:t>的机械炉排焚烧炉，年处理垃圾量为20万吨，余热锅炉选用2台中温次高压</w:t>
      </w:r>
      <w:r>
        <w:rPr>
          <w:rFonts w:hint="eastAsia"/>
          <w:sz w:val="28"/>
          <w:szCs w:val="28"/>
          <w:lang w:val="en-US" w:eastAsia="zh-CN" w:bidi="en-US"/>
        </w:rPr>
        <w:t xml:space="preserve">（6.4MPa, 450°C </w:t>
      </w:r>
      <w:r>
        <w:rPr>
          <w:rFonts w:hint="eastAsia"/>
          <w:sz w:val="28"/>
          <w:szCs w:val="28"/>
        </w:rPr>
        <w:t>）锅炉，配一台</w:t>
      </w:r>
      <w:r>
        <w:rPr>
          <w:rFonts w:hint="eastAsia"/>
          <w:sz w:val="28"/>
          <w:szCs w:val="28"/>
          <w:lang w:val="en-US" w:eastAsia="zh-CN" w:bidi="en-US"/>
        </w:rPr>
        <w:t>15MW</w:t>
      </w:r>
      <w:r>
        <w:rPr>
          <w:rFonts w:hint="eastAsia"/>
          <w:sz w:val="28"/>
          <w:szCs w:val="28"/>
        </w:rPr>
        <w:t>凝汽式汽轮发电机组，年运行</w:t>
      </w:r>
      <w:r>
        <w:rPr>
          <w:rFonts w:hint="eastAsia"/>
          <w:sz w:val="28"/>
          <w:szCs w:val="28"/>
          <w:lang w:val="en-US" w:eastAsia="zh-CN" w:bidi="en-US"/>
        </w:rPr>
        <w:t>8000h，</w:t>
      </w:r>
      <w:r>
        <w:rPr>
          <w:rFonts w:hint="eastAsia"/>
          <w:sz w:val="28"/>
          <w:szCs w:val="28"/>
        </w:rPr>
        <w:t>年发电量 9260万</w:t>
      </w:r>
      <w:r>
        <w:rPr>
          <w:rFonts w:hint="eastAsia"/>
          <w:sz w:val="28"/>
          <w:szCs w:val="28"/>
          <w:lang w:val="en-US" w:eastAsia="zh-CN" w:bidi="en-US"/>
        </w:rPr>
        <w:t>kWh，</w:t>
      </w:r>
      <w:r>
        <w:rPr>
          <w:rFonts w:hint="eastAsia"/>
          <w:sz w:val="28"/>
          <w:szCs w:val="28"/>
        </w:rPr>
        <w:t>年上网电量7593万</w:t>
      </w:r>
      <w:r>
        <w:rPr>
          <w:rFonts w:hint="eastAsia"/>
          <w:sz w:val="28"/>
          <w:szCs w:val="28"/>
          <w:lang w:val="en-US" w:eastAsia="zh-CN" w:bidi="en-US"/>
        </w:rPr>
        <w:t>kWh。</w:t>
      </w:r>
      <w:r>
        <w:rPr>
          <w:rFonts w:hint="eastAsia"/>
          <w:sz w:val="28"/>
          <w:szCs w:val="28"/>
          <w:lang w:eastAsia="zh-CN"/>
        </w:rPr>
        <w:t>服</w:t>
      </w:r>
      <w:r>
        <w:rPr>
          <w:rFonts w:hint="eastAsia"/>
          <w:sz w:val="28"/>
          <w:szCs w:val="28"/>
        </w:rPr>
        <w:t>务范围为屯昌县</w:t>
      </w:r>
      <w:r>
        <w:rPr>
          <w:rFonts w:hint="eastAsia"/>
          <w:sz w:val="28"/>
          <w:szCs w:val="28"/>
          <w:lang w:eastAsia="zh-CN"/>
        </w:rPr>
        <w:t>全境</w:t>
      </w:r>
      <w:r>
        <w:rPr>
          <w:rFonts w:hint="eastAsia"/>
          <w:sz w:val="28"/>
          <w:szCs w:val="28"/>
        </w:rPr>
        <w:t>， 以及定安县、琼中县和澄迈县部分区域。</w:t>
      </w:r>
    </w:p>
    <w:p w:rsidR="00C41BBC" w:rsidRDefault="00411487">
      <w:pPr>
        <w:pStyle w:val="Heading210"/>
        <w:keepNext/>
        <w:keepLines/>
        <w:spacing w:after="0" w:line="360" w:lineRule="auto"/>
        <w:ind w:firstLine="0"/>
        <w:rPr>
          <w:b/>
          <w:bCs/>
          <w:sz w:val="28"/>
          <w:szCs w:val="28"/>
          <w:lang w:eastAsia="zh-CN"/>
        </w:rPr>
      </w:pPr>
      <w:bookmarkStart w:id="47" w:name="_Toc13461"/>
      <w:bookmarkStart w:id="48" w:name="_Toc19146"/>
      <w:bookmarkStart w:id="49" w:name="_Toc10743"/>
      <w:r>
        <w:rPr>
          <w:rFonts w:hint="eastAsia"/>
          <w:b/>
          <w:bCs/>
          <w:sz w:val="28"/>
          <w:szCs w:val="28"/>
          <w:lang w:eastAsia="zh-CN"/>
        </w:rPr>
        <w:t>六、填埋场概况</w:t>
      </w:r>
      <w:bookmarkStart w:id="50" w:name="bookmark127"/>
      <w:bookmarkStart w:id="51" w:name="bookmark128"/>
      <w:bookmarkStart w:id="52" w:name="bookmark126"/>
      <w:bookmarkEnd w:id="47"/>
      <w:bookmarkEnd w:id="48"/>
      <w:bookmarkEnd w:id="49"/>
    </w:p>
    <w:p w:rsidR="00C41BBC" w:rsidRDefault="00411487">
      <w:pPr>
        <w:spacing w:after="120" w:line="360" w:lineRule="auto"/>
        <w:rPr>
          <w:b/>
          <w:sz w:val="28"/>
          <w:szCs w:val="28"/>
          <w:lang w:eastAsia="zh-CN"/>
        </w:rPr>
      </w:pPr>
      <w:r>
        <w:rPr>
          <w:rFonts w:ascii="宋体" w:eastAsia="宋体" w:hAnsi="宋体" w:cs="宋体" w:hint="eastAsia"/>
          <w:b/>
          <w:sz w:val="28"/>
          <w:szCs w:val="28"/>
          <w:lang w:eastAsia="zh-CN"/>
        </w:rPr>
        <w:t>（</w:t>
      </w:r>
      <w:r>
        <w:rPr>
          <w:rFonts w:hint="eastAsia"/>
          <w:b/>
          <w:sz w:val="28"/>
          <w:szCs w:val="28"/>
          <w:lang w:eastAsia="zh-CN"/>
        </w:rPr>
        <w:t>1</w:t>
      </w:r>
      <w:r>
        <w:rPr>
          <w:rFonts w:ascii="宋体" w:eastAsia="宋体" w:hAnsi="宋体" w:cs="宋体" w:hint="eastAsia"/>
          <w:b/>
          <w:sz w:val="28"/>
          <w:szCs w:val="28"/>
          <w:lang w:eastAsia="zh-CN"/>
        </w:rPr>
        <w:t>）填埋场历史情况回顾</w:t>
      </w:r>
      <w:bookmarkEnd w:id="50"/>
      <w:bookmarkEnd w:id="51"/>
      <w:bookmarkEnd w:id="52"/>
    </w:p>
    <w:p w:rsidR="00C41BBC" w:rsidRDefault="00411487">
      <w:pPr>
        <w:pStyle w:val="Bodytext10"/>
        <w:spacing w:line="360" w:lineRule="auto"/>
        <w:ind w:firstLineChars="200" w:firstLine="560"/>
        <w:jc w:val="both"/>
        <w:rPr>
          <w:b/>
          <w:bCs/>
          <w:sz w:val="28"/>
          <w:szCs w:val="28"/>
          <w:lang w:val="en-US" w:eastAsia="zh-CN" w:bidi="en-US"/>
        </w:rPr>
      </w:pPr>
      <w:r>
        <w:rPr>
          <w:rFonts w:hint="eastAsia"/>
          <w:sz w:val="28"/>
          <w:szCs w:val="28"/>
          <w:lang w:eastAsia="zh-CN"/>
        </w:rPr>
        <w:t>屯昌县垃圾填埋场分</w:t>
      </w:r>
      <w:r>
        <w:rPr>
          <w:rFonts w:hint="eastAsia"/>
          <w:sz w:val="28"/>
          <w:szCs w:val="28"/>
        </w:rPr>
        <w:t>为一期填埋区</w:t>
      </w:r>
      <w:r>
        <w:rPr>
          <w:rFonts w:hint="eastAsia"/>
          <w:sz w:val="28"/>
          <w:szCs w:val="28"/>
          <w:lang w:eastAsia="zh-CN"/>
        </w:rPr>
        <w:t>和</w:t>
      </w:r>
      <w:r>
        <w:rPr>
          <w:rFonts w:hint="eastAsia"/>
          <w:sz w:val="28"/>
          <w:szCs w:val="28"/>
        </w:rPr>
        <w:t>二期填埋区。其中一期填埋区</w:t>
      </w:r>
      <w:r>
        <w:rPr>
          <w:rFonts w:hint="eastAsia"/>
          <w:sz w:val="28"/>
          <w:szCs w:val="28"/>
          <w:lang w:eastAsia="zh-CN"/>
        </w:rPr>
        <w:t>建于</w:t>
      </w:r>
      <w:r>
        <w:rPr>
          <w:rFonts w:hint="eastAsia"/>
          <w:sz w:val="28"/>
          <w:szCs w:val="28"/>
          <w:lang w:val="en-US" w:eastAsia="zh-CN"/>
        </w:rPr>
        <w:t>2008年，</w:t>
      </w:r>
      <w:r>
        <w:rPr>
          <w:rFonts w:hint="eastAsia"/>
          <w:sz w:val="28"/>
          <w:szCs w:val="28"/>
        </w:rPr>
        <w:t>2009年12月完成建设，2010年2月正式投入试运营，填埋区库容为18万</w:t>
      </w:r>
      <w:r>
        <w:rPr>
          <w:rFonts w:hint="eastAsia"/>
          <w:sz w:val="28"/>
          <w:szCs w:val="28"/>
          <w:lang w:val="en-US" w:eastAsia="zh-CN" w:bidi="en-US"/>
        </w:rPr>
        <w:t>m</w:t>
      </w:r>
      <w:r>
        <w:rPr>
          <w:rFonts w:hint="eastAsia"/>
          <w:sz w:val="28"/>
          <w:szCs w:val="28"/>
          <w:vertAlign w:val="superscript"/>
          <w:lang w:val="en-US" w:eastAsia="zh-CN" w:bidi="en-US"/>
        </w:rPr>
        <w:t>3</w:t>
      </w:r>
      <w:r>
        <w:rPr>
          <w:rFonts w:hint="eastAsia"/>
          <w:sz w:val="28"/>
          <w:szCs w:val="28"/>
        </w:rPr>
        <w:t>二期填埋区于2017年5月投入运行，设计库容10万</w:t>
      </w:r>
      <w:r>
        <w:rPr>
          <w:rFonts w:hint="eastAsia"/>
          <w:sz w:val="28"/>
          <w:szCs w:val="28"/>
          <w:lang w:val="en-US" w:eastAsia="zh-CN" w:bidi="en-US"/>
        </w:rPr>
        <w:t>m</w:t>
      </w:r>
      <w:r>
        <w:rPr>
          <w:rFonts w:hint="eastAsia"/>
          <w:sz w:val="28"/>
          <w:szCs w:val="28"/>
          <w:vertAlign w:val="superscript"/>
          <w:lang w:val="en-US" w:eastAsia="zh-CN" w:bidi="en-US"/>
        </w:rPr>
        <w:t>3</w:t>
      </w:r>
      <w:r>
        <w:rPr>
          <w:rFonts w:hint="eastAsia"/>
          <w:sz w:val="28"/>
          <w:szCs w:val="28"/>
          <w:lang w:val="en-US" w:eastAsia="zh-CN" w:bidi="en-US"/>
        </w:rPr>
        <w:t xml:space="preserve">； </w:t>
      </w:r>
      <w:r>
        <w:rPr>
          <w:rFonts w:hint="eastAsia"/>
          <w:sz w:val="28"/>
          <w:szCs w:val="28"/>
        </w:rPr>
        <w:t>一期、二期库区正常运营库容28万</w:t>
      </w:r>
      <w:r>
        <w:rPr>
          <w:rFonts w:hint="eastAsia"/>
          <w:sz w:val="28"/>
          <w:szCs w:val="28"/>
          <w:lang w:val="en-US" w:eastAsia="zh-CN" w:bidi="en-US"/>
        </w:rPr>
        <w:t>m</w:t>
      </w:r>
      <w:r>
        <w:rPr>
          <w:rFonts w:hint="eastAsia"/>
          <w:sz w:val="28"/>
          <w:szCs w:val="28"/>
          <w:vertAlign w:val="superscript"/>
          <w:lang w:val="en-US" w:eastAsia="zh-CN" w:bidi="en-US"/>
        </w:rPr>
        <w:t>3</w:t>
      </w:r>
      <w:r>
        <w:rPr>
          <w:rFonts w:hint="eastAsia"/>
          <w:sz w:val="28"/>
          <w:szCs w:val="28"/>
          <w:lang w:val="en-US" w:eastAsia="zh-CN" w:bidi="en-US"/>
        </w:rPr>
        <w:t>,</w:t>
      </w:r>
      <w:r>
        <w:rPr>
          <w:rFonts w:hint="eastAsia"/>
          <w:sz w:val="28"/>
          <w:szCs w:val="28"/>
        </w:rPr>
        <w:t>填埋场设计服务年限12年，占地面积129亩。待开挖区域主要为2020年之前填埋的</w:t>
      </w:r>
      <w:r>
        <w:rPr>
          <w:rFonts w:hint="eastAsia"/>
          <w:sz w:val="28"/>
          <w:szCs w:val="28"/>
          <w:lang w:eastAsia="zh-CN"/>
        </w:rPr>
        <w:t>陈腐</w:t>
      </w:r>
      <w:r>
        <w:rPr>
          <w:rFonts w:hint="eastAsia"/>
          <w:sz w:val="28"/>
          <w:szCs w:val="28"/>
        </w:rPr>
        <w:t>垃圾</w:t>
      </w:r>
      <w:r>
        <w:rPr>
          <w:rFonts w:hint="eastAsia"/>
          <w:sz w:val="28"/>
          <w:szCs w:val="28"/>
          <w:lang w:val="en-US" w:eastAsia="zh-CN"/>
        </w:rPr>
        <w:t>41.98万吨</w:t>
      </w:r>
      <w:r>
        <w:rPr>
          <w:rFonts w:hint="eastAsia"/>
          <w:sz w:val="28"/>
          <w:szCs w:val="28"/>
        </w:rPr>
        <w:t>，垃圾场自2010年开始填埋垃圾，根据相关资料，场区内填埋垃圾成分主要为生</w:t>
      </w:r>
      <w:r>
        <w:rPr>
          <w:rFonts w:hint="eastAsia"/>
          <w:sz w:val="28"/>
          <w:szCs w:val="28"/>
        </w:rPr>
        <w:lastRenderedPageBreak/>
        <w:t>活垃圾，混有少</w:t>
      </w:r>
      <w:r>
        <w:rPr>
          <w:rFonts w:hint="eastAsia"/>
          <w:sz w:val="28"/>
          <w:szCs w:val="28"/>
          <w:lang w:val="en-US" w:eastAsia="zh-CN" w:bidi="en-US"/>
        </w:rPr>
        <w:t>量建筑渣土和其它填埋土。</w:t>
      </w:r>
    </w:p>
    <w:p w:rsidR="00C41BBC" w:rsidRDefault="00411487">
      <w:pPr>
        <w:spacing w:after="120" w:line="360" w:lineRule="auto"/>
        <w:rPr>
          <w:rFonts w:ascii="宋体" w:eastAsia="宋体" w:hAnsi="宋体" w:cs="宋体"/>
          <w:b/>
          <w:sz w:val="28"/>
          <w:szCs w:val="28"/>
          <w:lang w:eastAsia="zh-CN"/>
        </w:rPr>
      </w:pPr>
      <w:r>
        <w:rPr>
          <w:rFonts w:ascii="宋体" w:eastAsia="宋体" w:hAnsi="宋体" w:cs="宋体" w:hint="eastAsia"/>
          <w:b/>
          <w:sz w:val="28"/>
          <w:szCs w:val="28"/>
          <w:lang w:eastAsia="zh-CN"/>
        </w:rPr>
        <w:t>（2）周边环境状况</w:t>
      </w:r>
    </w:p>
    <w:p w:rsidR="00C41BBC" w:rsidRDefault="00411487">
      <w:pPr>
        <w:pStyle w:val="Bodytext10"/>
        <w:spacing w:line="360" w:lineRule="auto"/>
        <w:ind w:firstLine="580"/>
        <w:jc w:val="both"/>
        <w:rPr>
          <w:sz w:val="28"/>
          <w:szCs w:val="28"/>
        </w:rPr>
      </w:pPr>
      <w:r>
        <w:rPr>
          <w:rFonts w:hint="eastAsia"/>
          <w:sz w:val="28"/>
          <w:szCs w:val="28"/>
        </w:rPr>
        <w:t>根据现场踏勘、无人机航拍，垃圾填埋场周边土地使用状况如下：</w:t>
      </w:r>
    </w:p>
    <w:p w:rsidR="00C41BBC" w:rsidRDefault="00411487">
      <w:pPr>
        <w:pStyle w:val="Bodytext10"/>
        <w:spacing w:line="360" w:lineRule="auto"/>
        <w:ind w:firstLine="580"/>
        <w:jc w:val="both"/>
        <w:rPr>
          <w:sz w:val="28"/>
          <w:szCs w:val="28"/>
        </w:rPr>
      </w:pPr>
      <w:r>
        <w:rPr>
          <w:rFonts w:hint="eastAsia"/>
          <w:sz w:val="28"/>
          <w:szCs w:val="28"/>
        </w:rPr>
        <w:t>东侧：东侧为山脊林地，林地东侧为釆石场，属定安县；</w:t>
      </w:r>
    </w:p>
    <w:p w:rsidR="00C41BBC" w:rsidRDefault="00411487">
      <w:pPr>
        <w:pStyle w:val="Bodytext10"/>
        <w:spacing w:line="360" w:lineRule="auto"/>
        <w:ind w:firstLine="580"/>
        <w:jc w:val="both"/>
        <w:rPr>
          <w:sz w:val="28"/>
          <w:szCs w:val="28"/>
        </w:rPr>
      </w:pPr>
      <w:r>
        <w:rPr>
          <w:rFonts w:hint="eastAsia"/>
          <w:sz w:val="28"/>
          <w:szCs w:val="28"/>
        </w:rPr>
        <w:t>南侧：南侧为山坡林地；</w:t>
      </w:r>
    </w:p>
    <w:p w:rsidR="00C41BBC" w:rsidRDefault="00411487">
      <w:pPr>
        <w:pStyle w:val="Bodytext10"/>
        <w:spacing w:line="360" w:lineRule="auto"/>
        <w:ind w:firstLine="580"/>
        <w:jc w:val="both"/>
        <w:rPr>
          <w:sz w:val="28"/>
          <w:szCs w:val="28"/>
        </w:rPr>
      </w:pPr>
      <w:r>
        <w:rPr>
          <w:rFonts w:hint="eastAsia"/>
          <w:sz w:val="28"/>
          <w:szCs w:val="28"/>
        </w:rPr>
        <w:t>西侧：西侧基本为山林，局部种植有槟榔树等经济作物林；</w:t>
      </w:r>
    </w:p>
    <w:p w:rsidR="00C41BBC" w:rsidRDefault="00411487">
      <w:pPr>
        <w:pStyle w:val="Bodytext10"/>
        <w:spacing w:line="360" w:lineRule="auto"/>
        <w:ind w:firstLine="580"/>
        <w:jc w:val="both"/>
        <w:rPr>
          <w:sz w:val="28"/>
          <w:szCs w:val="28"/>
        </w:rPr>
      </w:pPr>
      <w:r>
        <w:rPr>
          <w:rFonts w:hint="eastAsia"/>
          <w:sz w:val="28"/>
          <w:szCs w:val="28"/>
        </w:rPr>
        <w:t>北侧：北侧紧邻为生物堆肥厂和进场道路，通</w:t>
      </w:r>
      <w:r>
        <w:rPr>
          <w:rFonts w:hint="eastAsia"/>
          <w:sz w:val="28"/>
          <w:szCs w:val="28"/>
          <w:lang w:val="en-US" w:eastAsia="zh-CN" w:bidi="en-US"/>
        </w:rPr>
        <w:t>S302</w:t>
      </w:r>
      <w:r>
        <w:rPr>
          <w:rFonts w:hint="eastAsia"/>
          <w:sz w:val="28"/>
          <w:szCs w:val="28"/>
        </w:rPr>
        <w:t>省道。正北侧为采石场石子加工分选区，东北为林地和农田。西北侧为填埋场下游山谷荒地。</w:t>
      </w:r>
    </w:p>
    <w:p w:rsidR="00C41BBC" w:rsidRDefault="00411487">
      <w:pPr>
        <w:pStyle w:val="Bodytext10"/>
        <w:spacing w:line="360" w:lineRule="auto"/>
        <w:ind w:firstLine="580"/>
        <w:jc w:val="both"/>
        <w:rPr>
          <w:sz w:val="28"/>
          <w:szCs w:val="28"/>
        </w:rPr>
      </w:pPr>
      <w:bookmarkStart w:id="53" w:name="_Toc16061"/>
      <w:r>
        <w:rPr>
          <w:rFonts w:hint="eastAsia"/>
          <w:sz w:val="28"/>
          <w:szCs w:val="28"/>
        </w:rPr>
        <w:t>垃圾填埋场位于山谷的顶部，东、南、西三面环山，为上游区域， 基岩出露，浅层地下水贫瘠。垃圾填埋场东南方向原为釆石场，形成 一处山坳，现用作垃圾焚烧发电配套设施的建设。西北方向为山谷走向，据了解山谷内原为农田，现已不再耕作，仅下游距填埋场700m 之外至S302省道间山谷内有少量农田仍在耕种。</w:t>
      </w:r>
      <w:bookmarkEnd w:id="53"/>
    </w:p>
    <w:p w:rsidR="00C41BBC" w:rsidRDefault="00411487">
      <w:pPr>
        <w:pStyle w:val="Bodytext10"/>
        <w:spacing w:line="360" w:lineRule="auto"/>
        <w:ind w:firstLine="0"/>
        <w:jc w:val="both"/>
        <w:outlineLvl w:val="1"/>
        <w:rPr>
          <w:b/>
          <w:bCs/>
          <w:sz w:val="28"/>
          <w:szCs w:val="28"/>
        </w:rPr>
      </w:pPr>
      <w:bookmarkStart w:id="54" w:name="bookmark164"/>
      <w:bookmarkStart w:id="55" w:name="bookmark162"/>
      <w:bookmarkStart w:id="56" w:name="bookmark163"/>
      <w:r>
        <w:rPr>
          <w:rFonts w:hint="eastAsia"/>
          <w:b/>
          <w:bCs/>
          <w:sz w:val="28"/>
          <w:szCs w:val="28"/>
          <w:lang w:eastAsia="zh-CN"/>
        </w:rPr>
        <w:t>七、</w:t>
      </w:r>
      <w:r>
        <w:rPr>
          <w:rFonts w:hint="eastAsia"/>
          <w:b/>
          <w:bCs/>
          <w:sz w:val="28"/>
          <w:szCs w:val="28"/>
        </w:rPr>
        <w:t>垃圾筛分治理</w:t>
      </w:r>
      <w:bookmarkEnd w:id="54"/>
      <w:bookmarkEnd w:id="55"/>
      <w:bookmarkEnd w:id="56"/>
    </w:p>
    <w:p w:rsidR="00C41BBC" w:rsidRDefault="00411487">
      <w:pPr>
        <w:pStyle w:val="Bodytext10"/>
        <w:spacing w:line="360" w:lineRule="auto"/>
        <w:ind w:firstLine="620"/>
        <w:jc w:val="both"/>
        <w:rPr>
          <w:sz w:val="28"/>
          <w:szCs w:val="28"/>
        </w:rPr>
      </w:pPr>
      <w:r>
        <w:rPr>
          <w:rFonts w:hint="eastAsia"/>
          <w:sz w:val="28"/>
          <w:szCs w:val="28"/>
          <w:lang w:eastAsia="zh-CN"/>
        </w:rPr>
        <w:t>（1）</w:t>
      </w:r>
      <w:r>
        <w:rPr>
          <w:rFonts w:hint="eastAsia"/>
          <w:sz w:val="28"/>
          <w:szCs w:val="28"/>
        </w:rPr>
        <w:t>垃圾筛分治理就是将填埋场的垃圾经过挖掘、粉碎、筛选、回填、 外运等过程，将原填埋场的垃圾进行分类处理，满足回填土要求的就回填至原垃圾填埋场，可利用的废旧金属等可再生回收利用，腐殖土可作为农作物的肥料进行再生利用，大块轻质物垃圾可压缩后运至焚 烧厂焚烧。筛分治理技术是目前为止最能体现减量化、无害化和资源化的垃圾处置方法。</w:t>
      </w:r>
    </w:p>
    <w:p w:rsidR="00C41BBC" w:rsidRDefault="00411487">
      <w:pPr>
        <w:pStyle w:val="Bodytext10"/>
        <w:tabs>
          <w:tab w:val="left" w:pos="1268"/>
        </w:tabs>
        <w:spacing w:line="360" w:lineRule="auto"/>
        <w:ind w:left="700" w:firstLine="0"/>
        <w:jc w:val="both"/>
        <w:rPr>
          <w:sz w:val="28"/>
          <w:szCs w:val="28"/>
        </w:rPr>
      </w:pPr>
      <w:bookmarkStart w:id="57" w:name="bookmark165"/>
      <w:bookmarkEnd w:id="57"/>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减量化</w:t>
      </w:r>
    </w:p>
    <w:p w:rsidR="00C41BBC" w:rsidRDefault="00411487">
      <w:pPr>
        <w:pStyle w:val="Bodytext10"/>
        <w:spacing w:line="360" w:lineRule="auto"/>
        <w:ind w:firstLine="620"/>
        <w:jc w:val="both"/>
        <w:rPr>
          <w:sz w:val="28"/>
          <w:szCs w:val="28"/>
        </w:rPr>
      </w:pPr>
      <w:r>
        <w:rPr>
          <w:rFonts w:hint="eastAsia"/>
          <w:sz w:val="28"/>
          <w:szCs w:val="28"/>
        </w:rPr>
        <w:t>经过筛分后的垃圾，去掉腐殖土、轻质有机筛上物等可以资源化 利用的成分之后，体积将会大大减少。有效的释放了原垃圾填埋场的土地利用资源，提高了场地的利用效率。</w:t>
      </w:r>
    </w:p>
    <w:p w:rsidR="00C41BBC" w:rsidRDefault="00411487">
      <w:pPr>
        <w:pStyle w:val="Bodytext10"/>
        <w:spacing w:line="360" w:lineRule="auto"/>
        <w:ind w:firstLine="620"/>
        <w:jc w:val="both"/>
        <w:rPr>
          <w:sz w:val="28"/>
          <w:szCs w:val="28"/>
        </w:rPr>
      </w:pPr>
      <w:bookmarkStart w:id="58" w:name="bookmark166"/>
      <w:bookmarkEnd w:id="58"/>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无害化</w:t>
      </w:r>
    </w:p>
    <w:p w:rsidR="00C41BBC" w:rsidRDefault="00411487">
      <w:pPr>
        <w:pStyle w:val="Bodytext10"/>
        <w:spacing w:line="360" w:lineRule="auto"/>
        <w:ind w:firstLine="620"/>
        <w:jc w:val="both"/>
        <w:rPr>
          <w:sz w:val="28"/>
          <w:szCs w:val="28"/>
        </w:rPr>
      </w:pPr>
      <w:r>
        <w:rPr>
          <w:rFonts w:hint="eastAsia"/>
          <w:sz w:val="28"/>
          <w:szCs w:val="28"/>
        </w:rPr>
        <w:t>由于填埋场超库容堆放，雨季渗滤液外溢，影响周边居民生活</w:t>
      </w:r>
      <w:r>
        <w:rPr>
          <w:rFonts w:hint="eastAsia"/>
          <w:sz w:val="28"/>
          <w:szCs w:val="28"/>
          <w:lang w:val="zh-CN" w:eastAsia="zh-CN" w:bidi="zh-CN"/>
        </w:rPr>
        <w:t xml:space="preserve">，一 </w:t>
      </w:r>
      <w:r>
        <w:rPr>
          <w:rFonts w:hint="eastAsia"/>
          <w:sz w:val="28"/>
          <w:szCs w:val="28"/>
        </w:rPr>
        <w:t>危</w:t>
      </w:r>
      <w:r>
        <w:rPr>
          <w:rFonts w:hint="eastAsia"/>
          <w:sz w:val="28"/>
          <w:szCs w:val="28"/>
        </w:rPr>
        <w:lastRenderedPageBreak/>
        <w:t>害地下水和地表水。经过筛分处置后，可以减少对周边环境及地下水、地表水、土壤和空气的污染，实现生态环境的恢复。</w:t>
      </w:r>
    </w:p>
    <w:p w:rsidR="00C41BBC" w:rsidRDefault="00411487">
      <w:pPr>
        <w:pStyle w:val="Bodytext10"/>
        <w:spacing w:line="360" w:lineRule="auto"/>
        <w:ind w:firstLine="620"/>
        <w:jc w:val="both"/>
        <w:rPr>
          <w:sz w:val="28"/>
          <w:szCs w:val="28"/>
        </w:rPr>
      </w:pPr>
      <w:bookmarkStart w:id="59" w:name="bookmark167"/>
      <w:bookmarkEnd w:id="59"/>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rFonts w:hint="eastAsia"/>
          <w:sz w:val="28"/>
          <w:szCs w:val="28"/>
        </w:rPr>
        <w:t>资源化</w:t>
      </w:r>
    </w:p>
    <w:p w:rsidR="00C41BBC" w:rsidRDefault="00411487">
      <w:pPr>
        <w:pStyle w:val="Bodytext10"/>
        <w:spacing w:line="360" w:lineRule="auto"/>
        <w:ind w:firstLine="600"/>
        <w:jc w:val="both"/>
        <w:rPr>
          <w:sz w:val="28"/>
          <w:szCs w:val="28"/>
        </w:rPr>
      </w:pPr>
      <w:r>
        <w:rPr>
          <w:rFonts w:hint="eastAsia"/>
          <w:sz w:val="28"/>
          <w:szCs w:val="28"/>
        </w:rPr>
        <w:t>经过筛分处置，可获得大量可回收利用资源。腐殖土可作为园林绿化的栽培土、填埋场覆盖土等。轻质有机筛上物含有较高的热值</w:t>
      </w:r>
      <w:r>
        <w:rPr>
          <w:rFonts w:hint="eastAsia"/>
          <w:sz w:val="28"/>
          <w:szCs w:val="28"/>
          <w:lang w:eastAsia="zh-CN"/>
        </w:rPr>
        <w:t>，</w:t>
      </w:r>
      <w:r>
        <w:rPr>
          <w:rFonts w:hint="eastAsia"/>
          <w:sz w:val="28"/>
          <w:szCs w:val="28"/>
        </w:rPr>
        <w:t>可直接进入垃圾焚烧发电厂，从而达到资源化。</w:t>
      </w:r>
    </w:p>
    <w:p w:rsidR="00C41BBC" w:rsidRDefault="00411487">
      <w:pPr>
        <w:pStyle w:val="Bodytext10"/>
        <w:spacing w:line="360" w:lineRule="auto"/>
        <w:ind w:firstLine="620"/>
        <w:jc w:val="both"/>
        <w:rPr>
          <w:sz w:val="28"/>
          <w:szCs w:val="28"/>
        </w:rPr>
      </w:pPr>
      <w:r>
        <w:rPr>
          <w:rFonts w:hint="eastAsia"/>
          <w:sz w:val="28"/>
          <w:szCs w:val="28"/>
        </w:rPr>
        <w:t>垃圾筛分治理技术要求垃圾中有机质小于20%、沼气甲烷含量达到相对稳定、垃圾腐殖土及轻质筛上物的消纳出路、垃圾体量大于 2000吨。屯昌县垃圾填埋场垃圾有机质和沼气甲烷总体含量较低， 筛下物的腐殖土作为场区外绿化用土，轻质筛上物可直接运往垃圾焚烧厂焚烧处理或制成的</w:t>
      </w:r>
      <w:r>
        <w:rPr>
          <w:rFonts w:hint="eastAsia"/>
          <w:sz w:val="28"/>
          <w:szCs w:val="28"/>
          <w:lang w:val="en-US" w:eastAsia="zh-CN"/>
        </w:rPr>
        <w:t>RDF,</w:t>
      </w:r>
      <w:r>
        <w:rPr>
          <w:rFonts w:hint="eastAsia"/>
          <w:sz w:val="28"/>
          <w:szCs w:val="28"/>
        </w:rPr>
        <w:t>用于垃圾焚烧发电厂的添加料以提高炉温增加发电量。</w:t>
      </w:r>
    </w:p>
    <w:p w:rsidR="00C41BBC" w:rsidRDefault="00411487">
      <w:pPr>
        <w:pStyle w:val="Bodytext10"/>
        <w:spacing w:line="360" w:lineRule="auto"/>
        <w:ind w:firstLine="0"/>
        <w:jc w:val="both"/>
        <w:outlineLvl w:val="1"/>
        <w:rPr>
          <w:b/>
          <w:bCs/>
          <w:sz w:val="28"/>
          <w:szCs w:val="28"/>
          <w:lang w:eastAsia="zh-CN"/>
        </w:rPr>
      </w:pPr>
      <w:r>
        <w:rPr>
          <w:rFonts w:hint="eastAsia"/>
          <w:b/>
          <w:bCs/>
          <w:sz w:val="28"/>
          <w:szCs w:val="28"/>
          <w:lang w:eastAsia="zh-CN"/>
        </w:rPr>
        <w:t>八、填埋场修复</w:t>
      </w:r>
    </w:p>
    <w:p w:rsidR="00C41BBC" w:rsidRDefault="00411487">
      <w:pPr>
        <w:pStyle w:val="Bodytext10"/>
        <w:spacing w:line="360" w:lineRule="auto"/>
        <w:ind w:firstLine="580"/>
        <w:jc w:val="both"/>
        <w:rPr>
          <w:sz w:val="28"/>
          <w:szCs w:val="28"/>
        </w:rPr>
      </w:pPr>
      <w:r>
        <w:rPr>
          <w:rFonts w:hint="eastAsia"/>
          <w:sz w:val="28"/>
          <w:szCs w:val="28"/>
        </w:rPr>
        <w:t>生活垃圾填埋场治理修复需要考虑的因素众多，在修复技术的选择上需要确保修复效果满足土地利用方式和风险控制的要求，修复技术具体筛选原则如下：</w:t>
      </w:r>
    </w:p>
    <w:p w:rsidR="00C41BBC" w:rsidRDefault="00411487">
      <w:pPr>
        <w:pStyle w:val="Bodytext10"/>
        <w:tabs>
          <w:tab w:val="left" w:pos="1285"/>
        </w:tabs>
        <w:spacing w:line="360" w:lineRule="auto"/>
        <w:ind w:firstLineChars="100" w:firstLine="280"/>
        <w:jc w:val="both"/>
        <w:rPr>
          <w:sz w:val="28"/>
          <w:szCs w:val="28"/>
        </w:rPr>
      </w:pPr>
      <w:bookmarkStart w:id="60" w:name="bookmark171"/>
      <w:r>
        <w:rPr>
          <w:rFonts w:hint="eastAsia"/>
          <w:sz w:val="28"/>
          <w:szCs w:val="28"/>
        </w:rPr>
        <w:t>（</w:t>
      </w:r>
      <w:bookmarkEnd w:id="60"/>
      <w:r>
        <w:rPr>
          <w:rFonts w:hint="eastAsia"/>
          <w:sz w:val="28"/>
          <w:szCs w:val="28"/>
        </w:rPr>
        <w:t>1）修复技术的筛查与选择要优先考虑充分保护人体健康和生态环境；</w:t>
      </w:r>
    </w:p>
    <w:p w:rsidR="00C41BBC" w:rsidRDefault="00411487">
      <w:pPr>
        <w:pStyle w:val="Bodytext10"/>
        <w:tabs>
          <w:tab w:val="left" w:pos="1285"/>
        </w:tabs>
        <w:spacing w:line="360" w:lineRule="auto"/>
        <w:ind w:firstLineChars="100" w:firstLine="280"/>
        <w:jc w:val="both"/>
        <w:rPr>
          <w:sz w:val="28"/>
          <w:szCs w:val="28"/>
        </w:rPr>
      </w:pPr>
      <w:bookmarkStart w:id="61" w:name="bookmark172"/>
      <w:r>
        <w:rPr>
          <w:rFonts w:hint="eastAsia"/>
          <w:sz w:val="28"/>
          <w:szCs w:val="28"/>
        </w:rPr>
        <w:t>（</w:t>
      </w:r>
      <w:bookmarkEnd w:id="61"/>
      <w:r>
        <w:rPr>
          <w:rFonts w:hint="eastAsia"/>
          <w:sz w:val="28"/>
          <w:szCs w:val="28"/>
        </w:rPr>
        <w:t>2）在技术上，修复技术筛查与选择需结合场地再开发利用规划和开发方式，选择可以达到目标的最简化的途径或方法，而不单纯追求技术的先进性。</w:t>
      </w:r>
    </w:p>
    <w:p w:rsidR="00C41BBC" w:rsidRDefault="00411487">
      <w:pPr>
        <w:pStyle w:val="Bodytext10"/>
        <w:tabs>
          <w:tab w:val="left" w:pos="1285"/>
        </w:tabs>
        <w:spacing w:line="360" w:lineRule="auto"/>
        <w:ind w:firstLineChars="100" w:firstLine="280"/>
        <w:jc w:val="both"/>
        <w:rPr>
          <w:sz w:val="28"/>
          <w:szCs w:val="28"/>
        </w:rPr>
      </w:pPr>
      <w:bookmarkStart w:id="62" w:name="bookmark173"/>
      <w:r>
        <w:rPr>
          <w:rFonts w:hint="eastAsia"/>
          <w:sz w:val="28"/>
          <w:szCs w:val="28"/>
        </w:rPr>
        <w:t>（</w:t>
      </w:r>
      <w:bookmarkEnd w:id="62"/>
      <w:r>
        <w:rPr>
          <w:rFonts w:hint="eastAsia"/>
          <w:sz w:val="28"/>
          <w:szCs w:val="28"/>
        </w:rPr>
        <w:t>3）在经济上，修复技术筛查与选择兼顾当前修复费用的实际承受能力和未来经济的发展，使得不仅在当前，而且从较长远来看，修复技术的选择都是合适的；</w:t>
      </w:r>
    </w:p>
    <w:p w:rsidR="00C41BBC" w:rsidRDefault="00411487">
      <w:pPr>
        <w:pStyle w:val="Bodytext10"/>
        <w:tabs>
          <w:tab w:val="left" w:pos="1285"/>
        </w:tabs>
        <w:spacing w:line="360" w:lineRule="auto"/>
        <w:ind w:firstLineChars="100" w:firstLine="280"/>
        <w:jc w:val="both"/>
        <w:rPr>
          <w:sz w:val="28"/>
          <w:szCs w:val="28"/>
        </w:rPr>
      </w:pPr>
      <w:bookmarkStart w:id="63" w:name="bookmark174"/>
      <w:r>
        <w:rPr>
          <w:rFonts w:hint="eastAsia"/>
          <w:sz w:val="28"/>
          <w:szCs w:val="28"/>
        </w:rPr>
        <w:t>（</w:t>
      </w:r>
      <w:bookmarkEnd w:id="63"/>
      <w:r>
        <w:rPr>
          <w:rFonts w:hint="eastAsia"/>
          <w:sz w:val="28"/>
          <w:szCs w:val="28"/>
        </w:rPr>
        <w:t>4）在可行性上，修复技术的筛查与选择从我国的整体现状出发，充分考虑我国生活垃圾修复队伍的能力以及现有污染物处置设施的水平；</w:t>
      </w:r>
    </w:p>
    <w:p w:rsidR="00C41BBC" w:rsidRDefault="00411487">
      <w:pPr>
        <w:pStyle w:val="Bodytext10"/>
        <w:spacing w:line="360" w:lineRule="auto"/>
        <w:ind w:firstLineChars="100" w:firstLine="280"/>
        <w:jc w:val="both"/>
        <w:rPr>
          <w:sz w:val="28"/>
          <w:szCs w:val="28"/>
          <w:lang w:eastAsia="zh-CN"/>
        </w:rPr>
      </w:pPr>
      <w:bookmarkStart w:id="64" w:name="bookmark175"/>
      <w:r>
        <w:rPr>
          <w:rFonts w:hint="eastAsia"/>
          <w:sz w:val="28"/>
          <w:szCs w:val="28"/>
          <w:lang w:eastAsia="zh-CN"/>
        </w:rPr>
        <w:t>（</w:t>
      </w:r>
      <w:bookmarkEnd w:id="64"/>
      <w:r>
        <w:rPr>
          <w:rFonts w:hint="eastAsia"/>
          <w:sz w:val="28"/>
          <w:szCs w:val="28"/>
          <w:lang w:eastAsia="zh-CN"/>
        </w:rPr>
        <w:t>5）在各种条件允许的情况下，尽量选择环境优好的修复技术或原位修复技术。</w:t>
      </w:r>
    </w:p>
    <w:p w:rsidR="00C41BBC" w:rsidRDefault="00411487">
      <w:pPr>
        <w:pStyle w:val="Heading210"/>
        <w:keepNext/>
        <w:keepLines/>
        <w:spacing w:after="0" w:line="360" w:lineRule="auto"/>
        <w:ind w:firstLine="0"/>
        <w:rPr>
          <w:b/>
          <w:bCs/>
          <w:sz w:val="28"/>
          <w:szCs w:val="28"/>
          <w:lang w:eastAsia="zh-CN"/>
        </w:rPr>
      </w:pPr>
      <w:bookmarkStart w:id="65" w:name="bookmark377"/>
      <w:bookmarkStart w:id="66" w:name="bookmark375"/>
      <w:bookmarkStart w:id="67" w:name="bookmark376"/>
      <w:r>
        <w:rPr>
          <w:rFonts w:hint="eastAsia"/>
          <w:b/>
          <w:bCs/>
          <w:sz w:val="28"/>
          <w:szCs w:val="28"/>
          <w:lang w:eastAsia="zh-CN"/>
        </w:rPr>
        <w:lastRenderedPageBreak/>
        <w:t>九、</w:t>
      </w:r>
      <w:r>
        <w:rPr>
          <w:rFonts w:hint="eastAsia"/>
          <w:b/>
          <w:bCs/>
          <w:sz w:val="28"/>
          <w:szCs w:val="28"/>
        </w:rPr>
        <w:t>实施与进度安排</w:t>
      </w:r>
      <w:bookmarkEnd w:id="65"/>
      <w:bookmarkEnd w:id="66"/>
      <w:bookmarkEnd w:id="67"/>
      <w:r>
        <w:rPr>
          <w:rFonts w:hint="eastAsia"/>
          <w:b/>
          <w:bCs/>
          <w:sz w:val="28"/>
          <w:szCs w:val="28"/>
          <w:lang w:eastAsia="zh-CN"/>
        </w:rPr>
        <w:t>（为预计时间及工作量，具体已签订的采购合同为准）</w:t>
      </w:r>
    </w:p>
    <w:p w:rsidR="00C41BBC" w:rsidRDefault="00411487">
      <w:pPr>
        <w:pStyle w:val="Bodytext10"/>
        <w:spacing w:line="360" w:lineRule="auto"/>
        <w:ind w:firstLine="580"/>
        <w:rPr>
          <w:sz w:val="28"/>
          <w:szCs w:val="28"/>
        </w:rPr>
      </w:pPr>
      <w:r>
        <w:rPr>
          <w:rFonts w:hint="eastAsia"/>
          <w:sz w:val="28"/>
          <w:szCs w:val="28"/>
        </w:rPr>
        <w:t>本项目总体时间安排</w:t>
      </w:r>
      <w:r>
        <w:rPr>
          <w:rFonts w:hint="eastAsia"/>
          <w:sz w:val="28"/>
          <w:szCs w:val="28"/>
          <w:lang w:eastAsia="zh-CN"/>
        </w:rPr>
        <w:t>：根据焚烧厂接收量确定具体时间，</w:t>
      </w:r>
      <w:r>
        <w:rPr>
          <w:rFonts w:hint="eastAsia"/>
          <w:sz w:val="28"/>
          <w:szCs w:val="28"/>
        </w:rPr>
        <w:t>分</w:t>
      </w:r>
      <w:r>
        <w:rPr>
          <w:rFonts w:hint="eastAsia"/>
          <w:sz w:val="28"/>
          <w:szCs w:val="28"/>
          <w:lang w:eastAsia="zh-CN"/>
        </w:rPr>
        <w:t>三</w:t>
      </w:r>
      <w:r>
        <w:rPr>
          <w:rFonts w:hint="eastAsia"/>
          <w:sz w:val="28"/>
          <w:szCs w:val="28"/>
        </w:rPr>
        <w:t>期进行治理，第一期为超出容量的</w:t>
      </w:r>
      <w:r>
        <w:rPr>
          <w:rFonts w:hint="eastAsia"/>
          <w:sz w:val="28"/>
          <w:szCs w:val="28"/>
          <w:lang w:val="en-US" w:eastAsia="zh-CN"/>
        </w:rPr>
        <w:t>10</w:t>
      </w:r>
      <w:r>
        <w:rPr>
          <w:rFonts w:hint="eastAsia"/>
          <w:sz w:val="28"/>
          <w:szCs w:val="28"/>
        </w:rPr>
        <w:t>万吨进行筛分治理</w:t>
      </w:r>
      <w:r>
        <w:rPr>
          <w:rFonts w:hint="eastAsia"/>
          <w:sz w:val="28"/>
          <w:szCs w:val="28"/>
          <w:lang w:val="en-US" w:eastAsia="zh-CN"/>
        </w:rPr>
        <w:t>(掀膜、挖掘、简易筛分、外运处理)</w:t>
      </w:r>
      <w:r>
        <w:rPr>
          <w:rFonts w:hint="eastAsia"/>
          <w:sz w:val="28"/>
          <w:szCs w:val="28"/>
        </w:rPr>
        <w:t>，第二期为</w:t>
      </w:r>
      <w:r>
        <w:rPr>
          <w:rFonts w:hint="eastAsia"/>
          <w:sz w:val="28"/>
          <w:szCs w:val="28"/>
          <w:lang w:eastAsia="zh-CN"/>
        </w:rPr>
        <w:t>填埋场二期库区和超出库容的部分垃圾，第三期为一期填埋场库区垃圾。</w:t>
      </w:r>
    </w:p>
    <w:p w:rsidR="00C41BBC" w:rsidRDefault="00C41BBC">
      <w:pPr>
        <w:widowControl/>
        <w:rPr>
          <w:rFonts w:ascii="宋体" w:eastAsiaTheme="minorEastAsia" w:hAnsi="宋体" w:cs="宋体"/>
          <w:sz w:val="28"/>
          <w:szCs w:val="28"/>
          <w:lang w:eastAsia="zh-CN" w:bidi="zh-TW"/>
        </w:rPr>
      </w:pPr>
    </w:p>
    <w:sectPr w:rsidR="00C41BBC">
      <w:footerReference w:type="default" r:id="rId8"/>
      <w:pgSz w:w="11900" w:h="16840"/>
      <w:pgMar w:top="1417" w:right="1417" w:bottom="1417" w:left="1417" w:header="0" w:footer="85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BF" w:rsidRDefault="005F4ABF"/>
  </w:endnote>
  <w:endnote w:type="continuationSeparator" w:id="0">
    <w:p w:rsidR="005F4ABF" w:rsidRDefault="005F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BC" w:rsidRDefault="00411487">
    <w:pPr>
      <w:spacing w:line="1" w:lineRule="exact"/>
    </w:pPr>
    <w:r>
      <w:rPr>
        <w:noProof/>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1BBC" w:rsidRDefault="00411487">
                          <w:pPr>
                            <w:pStyle w:val="a5"/>
                          </w:pPr>
                          <w:r>
                            <w:fldChar w:fldCharType="begin"/>
                          </w:r>
                          <w:r>
                            <w:instrText xml:space="preserve"> PAGE  \* MERGEFORMAT </w:instrText>
                          </w:r>
                          <w:r>
                            <w:fldChar w:fldCharType="separate"/>
                          </w:r>
                          <w:r w:rsidR="00693450">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FUYgIAAAwFAAAOAAAAZHJzL2Uyb0RvYy54bWysVE1uEzEU3iNxB8t7OmkL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WFMFUYgIAAAwFAAAOAAAAAAAAAAAAAAAAAC4CAABkcnMvZTJvRG9jLnht&#10;bFBLAQItABQABgAIAAAAIQBxqtG51wAAAAUBAAAPAAAAAAAAAAAAAAAAALwEAABkcnMvZG93bnJl&#10;di54bWxQSwUGAAAAAAQABADzAAAAwAUAAAAA&#10;" filled="f" stroked="f" strokeweight=".5pt">
              <v:textbox style="mso-fit-shape-to-text:t" inset="0,0,0,0">
                <w:txbxContent>
                  <w:p w:rsidR="00C41BBC" w:rsidRDefault="00411487">
                    <w:pPr>
                      <w:pStyle w:val="a5"/>
                    </w:pPr>
                    <w:r>
                      <w:fldChar w:fldCharType="begin"/>
                    </w:r>
                    <w:r>
                      <w:instrText xml:space="preserve"> PAGE  \* MERGEFORMAT </w:instrText>
                    </w:r>
                    <w:r>
                      <w:fldChar w:fldCharType="separate"/>
                    </w:r>
                    <w:r w:rsidR="00693450">
                      <w:rPr>
                        <w:noProof/>
                      </w:rPr>
                      <w:t>4</w:t>
                    </w:r>
                    <w:r>
                      <w:fldChar w:fldCharType="end"/>
                    </w:r>
                  </w:p>
                </w:txbxContent>
              </v:textbox>
              <w10:wrap anchorx="margin"/>
            </v:shape>
          </w:pict>
        </mc:Fallback>
      </mc:AlternateContent>
    </w:r>
    <w:r>
      <w:rPr>
        <w:noProof/>
        <w:lang w:eastAsia="zh-CN" w:bidi="ar-SA"/>
      </w:rPr>
      <mc:AlternateContent>
        <mc:Choice Requires="wps">
          <w:drawing>
            <wp:anchor distT="0" distB="0" distL="0" distR="0" simplePos="0" relativeHeight="251659264" behindDoc="1" locked="0" layoutInCell="1" allowOverlap="1">
              <wp:simplePos x="0" y="0"/>
              <wp:positionH relativeFrom="page">
                <wp:posOffset>3758565</wp:posOffset>
              </wp:positionH>
              <wp:positionV relativeFrom="page">
                <wp:posOffset>9845040</wp:posOffset>
              </wp:positionV>
              <wp:extent cx="109855" cy="82550"/>
              <wp:effectExtent l="0" t="0" r="0" b="0"/>
              <wp:wrapNone/>
              <wp:docPr id="93" name="Shape 114"/>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rsidR="00C41BBC" w:rsidRDefault="00C41BBC">
                          <w:pPr>
                            <w:pStyle w:val="Headerorfooter10"/>
                          </w:pP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Shape 114" o:spid="_x0000_s1026" o:spt="202" type="#_x0000_t202" style="position:absolute;left:0pt;margin-left:295.95pt;margin-top:775.2pt;height:6.5pt;width:8.65pt;mso-position-horizontal-relative:page;mso-position-vertical-relative:page;mso-wrap-style:none;z-index:-251657216;mso-width-relative:page;mso-height-relative:page;" filled="f" stroked="f" coordsize="21600,21600" o:gfxdata="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8/Pf12AAAAA0BAAAPAAAAAAAAAAEAIAAAACIAAABk&#10;cnMvZG93bnJldi54bWxQSwECFAAUAAAACACHTuJAxpx8r5QBAAAjAwAADgAAAAAAAAABACAAAAAn&#10;AQAAZHJzL2Uyb0RvYy54bWxQSwUGAAAAAAYABgBZAQAALQUAAAAA&#10;">
              <v:fill on="f" focussize="0,0"/>
              <v:stroke on="f"/>
              <v:imagedata o:title=""/>
              <o:lock v:ext="edit" aspectratio="f"/>
              <v:textbox inset="0mm,0mm,0mm,0mm" style="mso-fit-shape-to-text:t;">
                <w:txbxContent>
                  <w:p>
                    <w:pPr>
                      <w:pStyle w:val="29"/>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BF" w:rsidRDefault="005F4ABF"/>
  </w:footnote>
  <w:footnote w:type="continuationSeparator" w:id="0">
    <w:p w:rsidR="005F4ABF" w:rsidRDefault="005F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HorizontalSpacing w:val="181"/>
  <w:drawingGridVerticalSpacing w:val="181"/>
  <w:noPunctuationKerning/>
  <w:characterSpacingControl w:val="compressPunctuation"/>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
  <w:rsids>
    <w:rsidRoot w:val="0072299D"/>
    <w:rsid w:val="00075120"/>
    <w:rsid w:val="000877A5"/>
    <w:rsid w:val="000C5D07"/>
    <w:rsid w:val="00111AFD"/>
    <w:rsid w:val="001435E5"/>
    <w:rsid w:val="001553EA"/>
    <w:rsid w:val="00163704"/>
    <w:rsid w:val="00195971"/>
    <w:rsid w:val="001B0594"/>
    <w:rsid w:val="001F337F"/>
    <w:rsid w:val="002176B7"/>
    <w:rsid w:val="00282DD9"/>
    <w:rsid w:val="002D5648"/>
    <w:rsid w:val="00411487"/>
    <w:rsid w:val="00440ECF"/>
    <w:rsid w:val="004B01F4"/>
    <w:rsid w:val="004D773D"/>
    <w:rsid w:val="00542E3A"/>
    <w:rsid w:val="005F4ABF"/>
    <w:rsid w:val="0068515C"/>
    <w:rsid w:val="00693450"/>
    <w:rsid w:val="006E2AC6"/>
    <w:rsid w:val="0072299D"/>
    <w:rsid w:val="007F7367"/>
    <w:rsid w:val="00804D19"/>
    <w:rsid w:val="00981701"/>
    <w:rsid w:val="00A014F3"/>
    <w:rsid w:val="00A3697A"/>
    <w:rsid w:val="00A927E2"/>
    <w:rsid w:val="00C05975"/>
    <w:rsid w:val="00C10F65"/>
    <w:rsid w:val="00C41BBC"/>
    <w:rsid w:val="00CA394B"/>
    <w:rsid w:val="00D51385"/>
    <w:rsid w:val="00DD09CE"/>
    <w:rsid w:val="091B6E14"/>
    <w:rsid w:val="0BDA3AE9"/>
    <w:rsid w:val="0C345809"/>
    <w:rsid w:val="0C5A474F"/>
    <w:rsid w:val="0E1B163D"/>
    <w:rsid w:val="0F2B17EE"/>
    <w:rsid w:val="11D7527F"/>
    <w:rsid w:val="14FB4FDD"/>
    <w:rsid w:val="16053DF4"/>
    <w:rsid w:val="163104C8"/>
    <w:rsid w:val="166D41E0"/>
    <w:rsid w:val="192F4C69"/>
    <w:rsid w:val="193D6D2B"/>
    <w:rsid w:val="1EC908E0"/>
    <w:rsid w:val="20085B1F"/>
    <w:rsid w:val="24705EFE"/>
    <w:rsid w:val="24BB103B"/>
    <w:rsid w:val="2722523A"/>
    <w:rsid w:val="27366290"/>
    <w:rsid w:val="294A4963"/>
    <w:rsid w:val="29646918"/>
    <w:rsid w:val="29D30E12"/>
    <w:rsid w:val="2AFF0E96"/>
    <w:rsid w:val="2C1C7C27"/>
    <w:rsid w:val="2EC70809"/>
    <w:rsid w:val="2F9A6E49"/>
    <w:rsid w:val="30D41959"/>
    <w:rsid w:val="33D43966"/>
    <w:rsid w:val="3A9261A5"/>
    <w:rsid w:val="3F8B5D41"/>
    <w:rsid w:val="40A86AF0"/>
    <w:rsid w:val="410C71D2"/>
    <w:rsid w:val="417F3868"/>
    <w:rsid w:val="428756E9"/>
    <w:rsid w:val="44BD5CE4"/>
    <w:rsid w:val="4554687D"/>
    <w:rsid w:val="4997514D"/>
    <w:rsid w:val="49EB44F0"/>
    <w:rsid w:val="4DEB509A"/>
    <w:rsid w:val="53157F8B"/>
    <w:rsid w:val="547F6066"/>
    <w:rsid w:val="57B54BA3"/>
    <w:rsid w:val="57B627E9"/>
    <w:rsid w:val="5B3A3F7C"/>
    <w:rsid w:val="5B915C8E"/>
    <w:rsid w:val="5D4D51EC"/>
    <w:rsid w:val="62AD1845"/>
    <w:rsid w:val="656B4AC5"/>
    <w:rsid w:val="66321164"/>
    <w:rsid w:val="66B14E12"/>
    <w:rsid w:val="6C5651CE"/>
    <w:rsid w:val="75B61642"/>
    <w:rsid w:val="776E0DBD"/>
    <w:rsid w:val="78720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ind w:left="120"/>
    </w:pPr>
    <w:rPr>
      <w:rFonts w:ascii="宋体" w:eastAsia="宋体" w:hAnsi="宋体" w:cs="宋体"/>
      <w:lang w:val="zh-CN" w:eastAsia="zh-CN" w:bidi="zh-CN"/>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1">
    <w:name w:val="Picture caption|1_"/>
    <w:basedOn w:val="a0"/>
    <w:link w:val="Picturecaption10"/>
    <w:qFormat/>
    <w:rPr>
      <w:rFonts w:ascii="宋体" w:eastAsia="宋体" w:hAnsi="宋体" w:cs="宋体"/>
      <w:sz w:val="52"/>
      <w:szCs w:val="52"/>
      <w:u w:val="none"/>
      <w:shd w:val="clear" w:color="auto" w:fill="auto"/>
      <w:lang w:val="zh-TW" w:eastAsia="zh-TW" w:bidi="zh-TW"/>
    </w:rPr>
  </w:style>
  <w:style w:type="paragraph" w:customStyle="1" w:styleId="Picturecaption10">
    <w:name w:val="Picture caption|1"/>
    <w:basedOn w:val="a"/>
    <w:link w:val="Picturecaption1"/>
    <w:qFormat/>
    <w:pPr>
      <w:ind w:left="-20"/>
      <w:jc w:val="center"/>
    </w:pPr>
    <w:rPr>
      <w:rFonts w:ascii="宋体" w:eastAsia="宋体" w:hAnsi="宋体" w:cs="宋体"/>
      <w:sz w:val="52"/>
      <w:szCs w:val="52"/>
      <w:lang w:val="zh-TW" w:eastAsia="zh-TW" w:bidi="zh-TW"/>
    </w:rPr>
  </w:style>
  <w:style w:type="character" w:customStyle="1" w:styleId="Bodytext4">
    <w:name w:val="Body text|4_"/>
    <w:basedOn w:val="a0"/>
    <w:link w:val="Bodytext40"/>
    <w:qFormat/>
    <w:rPr>
      <w:sz w:val="34"/>
      <w:szCs w:val="34"/>
      <w:u w:val="none"/>
      <w:shd w:val="clear" w:color="auto" w:fill="auto"/>
      <w:lang w:val="zh-TW" w:eastAsia="zh-TW" w:bidi="zh-TW"/>
    </w:rPr>
  </w:style>
  <w:style w:type="paragraph" w:customStyle="1" w:styleId="Bodytext40">
    <w:name w:val="Body text|4"/>
    <w:basedOn w:val="a"/>
    <w:link w:val="Bodytext4"/>
    <w:qFormat/>
    <w:pPr>
      <w:jc w:val="center"/>
    </w:pPr>
    <w:rPr>
      <w:sz w:val="34"/>
      <w:szCs w:val="34"/>
      <w:lang w:val="zh-TW" w:eastAsia="zh-TW" w:bidi="zh-TW"/>
    </w:rPr>
  </w:style>
  <w:style w:type="character" w:customStyle="1" w:styleId="Heading11">
    <w:name w:val="Heading #1|1_"/>
    <w:basedOn w:val="a0"/>
    <w:link w:val="Heading110"/>
    <w:qFormat/>
    <w:rPr>
      <w:rFonts w:ascii="宋体" w:eastAsia="宋体" w:hAnsi="宋体" w:cs="宋体"/>
      <w:sz w:val="30"/>
      <w:szCs w:val="30"/>
      <w:u w:val="none"/>
      <w:shd w:val="clear" w:color="auto" w:fill="auto"/>
      <w:lang w:val="zh-TW" w:eastAsia="zh-TW" w:bidi="zh-TW"/>
    </w:rPr>
  </w:style>
  <w:style w:type="paragraph" w:customStyle="1" w:styleId="Heading110">
    <w:name w:val="Heading #1|1"/>
    <w:basedOn w:val="a"/>
    <w:link w:val="Heading11"/>
    <w:qFormat/>
    <w:pPr>
      <w:spacing w:after="260"/>
      <w:jc w:val="center"/>
      <w:outlineLvl w:val="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Tableofcontents1">
    <w:name w:val="Table of contents|1_"/>
    <w:basedOn w:val="a0"/>
    <w:link w:val="Tableofcontents10"/>
    <w:qFormat/>
    <w:rPr>
      <w:rFonts w:ascii="宋体" w:eastAsia="宋体" w:hAnsi="宋体" w:cs="宋体"/>
      <w:u w:val="none"/>
      <w:shd w:val="clear" w:color="auto" w:fill="auto"/>
      <w:lang w:val="zh-TW" w:eastAsia="zh-TW" w:bidi="zh-TW"/>
    </w:rPr>
  </w:style>
  <w:style w:type="paragraph" w:customStyle="1" w:styleId="Tableofcontents10">
    <w:name w:val="Table of contents|1"/>
    <w:basedOn w:val="a"/>
    <w:link w:val="Tableofcontents1"/>
    <w:qFormat/>
    <w:pPr>
      <w:spacing w:after="140"/>
      <w:ind w:firstLine="400"/>
    </w:pPr>
    <w:rPr>
      <w:rFonts w:ascii="宋体" w:eastAsia="宋体" w:hAnsi="宋体" w:cs="宋体"/>
      <w:lang w:val="zh-TW" w:eastAsia="zh-TW" w:bidi="zh-TW"/>
    </w:rPr>
  </w:style>
  <w:style w:type="character" w:customStyle="1" w:styleId="Bodytext1">
    <w:name w:val="Body text|1_"/>
    <w:basedOn w:val="a0"/>
    <w:link w:val="Bodytext10"/>
    <w:qFormat/>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pPr>
      <w:spacing w:line="480" w:lineRule="auto"/>
      <w:ind w:firstLine="400"/>
    </w:pPr>
    <w:rPr>
      <w:rFonts w:ascii="宋体" w:eastAsia="宋体" w:hAnsi="宋体" w:cs="宋体"/>
      <w:sz w:val="26"/>
      <w:szCs w:val="26"/>
      <w:lang w:val="zh-TW" w:eastAsia="zh-TW" w:bidi="zh-TW"/>
    </w:rPr>
  </w:style>
  <w:style w:type="character" w:customStyle="1" w:styleId="Headerorfooter1">
    <w:name w:val="Header or footer|1_"/>
    <w:basedOn w:val="a0"/>
    <w:link w:val="Headerorfooter10"/>
    <w:qFormat/>
    <w:rPr>
      <w:sz w:val="19"/>
      <w:szCs w:val="19"/>
      <w:u w:val="none"/>
      <w:shd w:val="clear" w:color="auto" w:fill="auto"/>
      <w:lang w:val="zh-TW" w:eastAsia="zh-TW" w:bidi="zh-TW"/>
    </w:rPr>
  </w:style>
  <w:style w:type="paragraph" w:customStyle="1" w:styleId="Headerorfooter10">
    <w:name w:val="Header or footer|1"/>
    <w:basedOn w:val="a"/>
    <w:link w:val="Headerorfooter1"/>
    <w:qFormat/>
    <w:rPr>
      <w:sz w:val="19"/>
      <w:szCs w:val="19"/>
      <w:lang w:val="zh-TW" w:eastAsia="zh-TW" w:bidi="zh-TW"/>
    </w:rPr>
  </w:style>
  <w:style w:type="character" w:customStyle="1" w:styleId="Heading21">
    <w:name w:val="Heading #2|1_"/>
    <w:basedOn w:val="a0"/>
    <w:link w:val="Heading210"/>
    <w:qFormat/>
    <w:rPr>
      <w:rFonts w:ascii="宋体" w:eastAsia="宋体" w:hAnsi="宋体" w:cs="宋体"/>
      <w:sz w:val="30"/>
      <w:szCs w:val="30"/>
      <w:u w:val="none"/>
      <w:shd w:val="clear" w:color="auto" w:fill="auto"/>
      <w:lang w:val="zh-TW" w:eastAsia="zh-TW" w:bidi="zh-TW"/>
    </w:rPr>
  </w:style>
  <w:style w:type="paragraph" w:customStyle="1" w:styleId="Heading210">
    <w:name w:val="Heading #2|1"/>
    <w:basedOn w:val="a"/>
    <w:link w:val="Heading21"/>
    <w:qFormat/>
    <w:pPr>
      <w:spacing w:after="220"/>
      <w:ind w:firstLine="270"/>
      <w:outlineLvl w:val="1"/>
    </w:pPr>
    <w:rPr>
      <w:rFonts w:ascii="宋体" w:eastAsia="宋体" w:hAnsi="宋体" w:cs="宋体"/>
      <w:sz w:val="30"/>
      <w:szCs w:val="30"/>
      <w:lang w:val="zh-TW" w:eastAsia="zh-TW" w:bidi="zh-TW"/>
    </w:rPr>
  </w:style>
  <w:style w:type="character" w:customStyle="1" w:styleId="Bodytext2">
    <w:name w:val="Body text|2_"/>
    <w:basedOn w:val="a0"/>
    <w:link w:val="Bodytext20"/>
    <w:qFormat/>
    <w:rPr>
      <w:sz w:val="26"/>
      <w:szCs w:val="26"/>
      <w:u w:val="none"/>
      <w:shd w:val="clear" w:color="auto" w:fill="auto"/>
      <w:lang w:val="zh-TW" w:eastAsia="zh-TW" w:bidi="zh-TW"/>
    </w:rPr>
  </w:style>
  <w:style w:type="paragraph" w:customStyle="1" w:styleId="Bodytext20">
    <w:name w:val="Body text|2"/>
    <w:basedOn w:val="a"/>
    <w:link w:val="Bodytext2"/>
    <w:qFormat/>
    <w:pPr>
      <w:spacing w:line="480" w:lineRule="auto"/>
      <w:ind w:firstLine="680"/>
    </w:pPr>
    <w:rPr>
      <w:sz w:val="26"/>
      <w:szCs w:val="26"/>
      <w:lang w:val="zh-TW" w:eastAsia="zh-TW" w:bidi="zh-TW"/>
    </w:rPr>
  </w:style>
  <w:style w:type="character" w:customStyle="1" w:styleId="Other1">
    <w:name w:val="Other|1_"/>
    <w:basedOn w:val="a0"/>
    <w:link w:val="Other10"/>
    <w:qFormat/>
    <w:rPr>
      <w:rFonts w:ascii="宋体" w:eastAsia="宋体" w:hAnsi="宋体" w:cs="宋体"/>
      <w:sz w:val="26"/>
      <w:szCs w:val="26"/>
      <w:u w:val="none"/>
      <w:shd w:val="clear" w:color="auto" w:fill="auto"/>
      <w:lang w:val="zh-TW" w:eastAsia="zh-TW" w:bidi="zh-TW"/>
    </w:rPr>
  </w:style>
  <w:style w:type="paragraph" w:customStyle="1" w:styleId="Other10">
    <w:name w:val="Other|1"/>
    <w:basedOn w:val="a"/>
    <w:link w:val="Other1"/>
    <w:qFormat/>
    <w:pPr>
      <w:spacing w:line="480" w:lineRule="auto"/>
      <w:ind w:firstLine="400"/>
    </w:pPr>
    <w:rPr>
      <w:rFonts w:ascii="宋体" w:eastAsia="宋体" w:hAnsi="宋体" w:cs="宋体"/>
      <w:sz w:val="26"/>
      <w:szCs w:val="26"/>
      <w:lang w:val="zh-TW" w:eastAsia="zh-TW" w:bidi="zh-TW"/>
    </w:rPr>
  </w:style>
  <w:style w:type="character" w:customStyle="1" w:styleId="Bodytext3">
    <w:name w:val="Body text|3_"/>
    <w:basedOn w:val="a0"/>
    <w:link w:val="Bodytext30"/>
    <w:qFormat/>
    <w:rPr>
      <w:rFonts w:ascii="宋体" w:eastAsia="宋体" w:hAnsi="宋体" w:cs="宋体"/>
      <w:sz w:val="36"/>
      <w:szCs w:val="36"/>
      <w:u w:val="none"/>
      <w:shd w:val="clear" w:color="auto" w:fill="auto"/>
      <w:lang w:val="zh-TW" w:eastAsia="zh-TW" w:bidi="zh-TW"/>
    </w:rPr>
  </w:style>
  <w:style w:type="paragraph" w:customStyle="1" w:styleId="Bodytext30">
    <w:name w:val="Body text|3"/>
    <w:basedOn w:val="a"/>
    <w:link w:val="Bodytext3"/>
    <w:qFormat/>
    <w:pPr>
      <w:spacing w:after="100"/>
    </w:pPr>
    <w:rPr>
      <w:rFonts w:ascii="宋体" w:eastAsia="宋体" w:hAnsi="宋体" w:cs="宋体"/>
      <w:sz w:val="36"/>
      <w:szCs w:val="36"/>
      <w:lang w:val="zh-TW" w:eastAsia="zh-TW" w:bidi="zh-TW"/>
    </w:rPr>
  </w:style>
  <w:style w:type="character" w:customStyle="1" w:styleId="Tablecaption1">
    <w:name w:val="Table caption|1_"/>
    <w:basedOn w:val="a0"/>
    <w:link w:val="Tablecaption10"/>
    <w:qFormat/>
    <w:rPr>
      <w:u w:val="none"/>
      <w:shd w:val="clear" w:color="auto" w:fill="auto"/>
    </w:rPr>
  </w:style>
  <w:style w:type="paragraph" w:customStyle="1" w:styleId="Tablecaption10">
    <w:name w:val="Table caption|1"/>
    <w:basedOn w:val="a"/>
    <w:link w:val="Tablecaption1"/>
    <w:qFormat/>
  </w:style>
  <w:style w:type="character" w:customStyle="1" w:styleId="Bodytext5">
    <w:name w:val="Body text|5_"/>
    <w:basedOn w:val="a0"/>
    <w:link w:val="Bodytext50"/>
    <w:qFormat/>
    <w:rPr>
      <w:sz w:val="19"/>
      <w:szCs w:val="19"/>
      <w:u w:val="none"/>
      <w:shd w:val="clear" w:color="auto" w:fill="auto"/>
      <w:lang w:val="zh-TW" w:eastAsia="zh-TW" w:bidi="zh-TW"/>
    </w:rPr>
  </w:style>
  <w:style w:type="paragraph" w:customStyle="1" w:styleId="Bodytext50">
    <w:name w:val="Body text|5"/>
    <w:basedOn w:val="a"/>
    <w:link w:val="Bodytext5"/>
    <w:qFormat/>
    <w:pPr>
      <w:spacing w:after="320"/>
      <w:jc w:val="center"/>
    </w:pPr>
    <w:rPr>
      <w:sz w:val="19"/>
      <w:szCs w:val="19"/>
      <w:lang w:val="zh-TW" w:eastAsia="zh-TW" w:bidi="zh-TW"/>
    </w:rPr>
  </w:style>
  <w:style w:type="paragraph" w:customStyle="1" w:styleId="TableParagraph">
    <w:name w:val="Table Paragraph"/>
    <w:basedOn w:val="a"/>
    <w:uiPriority w:val="1"/>
    <w:qFormat/>
    <w:rPr>
      <w:rFonts w:ascii="宋体" w:eastAsia="宋体" w:hAnsi="宋体" w:cs="宋体"/>
      <w:lang w:val="zh-CN" w:eastAsia="zh-CN" w:bidi="zh-CN"/>
    </w:rPr>
  </w:style>
  <w:style w:type="paragraph" w:styleId="a8">
    <w:name w:val="List Paragraph"/>
    <w:basedOn w:val="a"/>
    <w:uiPriority w:val="1"/>
    <w:qFormat/>
    <w:pPr>
      <w:spacing w:before="161"/>
      <w:ind w:left="120" w:firstLine="480"/>
    </w:pPr>
    <w:rPr>
      <w:rFonts w:ascii="宋体" w:eastAsia="宋体" w:hAnsi="宋体" w:cs="宋体"/>
      <w:lang w:val="zh-CN" w:eastAsia="zh-CN" w:bidi="zh-CN"/>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0"/>
    <w:link w:val="a4"/>
    <w:qFormat/>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ind w:left="120"/>
    </w:pPr>
    <w:rPr>
      <w:rFonts w:ascii="宋体" w:eastAsia="宋体" w:hAnsi="宋体" w:cs="宋体"/>
      <w:lang w:val="zh-CN" w:eastAsia="zh-CN" w:bidi="zh-CN"/>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1">
    <w:name w:val="Picture caption|1_"/>
    <w:basedOn w:val="a0"/>
    <w:link w:val="Picturecaption10"/>
    <w:qFormat/>
    <w:rPr>
      <w:rFonts w:ascii="宋体" w:eastAsia="宋体" w:hAnsi="宋体" w:cs="宋体"/>
      <w:sz w:val="52"/>
      <w:szCs w:val="52"/>
      <w:u w:val="none"/>
      <w:shd w:val="clear" w:color="auto" w:fill="auto"/>
      <w:lang w:val="zh-TW" w:eastAsia="zh-TW" w:bidi="zh-TW"/>
    </w:rPr>
  </w:style>
  <w:style w:type="paragraph" w:customStyle="1" w:styleId="Picturecaption10">
    <w:name w:val="Picture caption|1"/>
    <w:basedOn w:val="a"/>
    <w:link w:val="Picturecaption1"/>
    <w:qFormat/>
    <w:pPr>
      <w:ind w:left="-20"/>
      <w:jc w:val="center"/>
    </w:pPr>
    <w:rPr>
      <w:rFonts w:ascii="宋体" w:eastAsia="宋体" w:hAnsi="宋体" w:cs="宋体"/>
      <w:sz w:val="52"/>
      <w:szCs w:val="52"/>
      <w:lang w:val="zh-TW" w:eastAsia="zh-TW" w:bidi="zh-TW"/>
    </w:rPr>
  </w:style>
  <w:style w:type="character" w:customStyle="1" w:styleId="Bodytext4">
    <w:name w:val="Body text|4_"/>
    <w:basedOn w:val="a0"/>
    <w:link w:val="Bodytext40"/>
    <w:qFormat/>
    <w:rPr>
      <w:sz w:val="34"/>
      <w:szCs w:val="34"/>
      <w:u w:val="none"/>
      <w:shd w:val="clear" w:color="auto" w:fill="auto"/>
      <w:lang w:val="zh-TW" w:eastAsia="zh-TW" w:bidi="zh-TW"/>
    </w:rPr>
  </w:style>
  <w:style w:type="paragraph" w:customStyle="1" w:styleId="Bodytext40">
    <w:name w:val="Body text|4"/>
    <w:basedOn w:val="a"/>
    <w:link w:val="Bodytext4"/>
    <w:qFormat/>
    <w:pPr>
      <w:jc w:val="center"/>
    </w:pPr>
    <w:rPr>
      <w:sz w:val="34"/>
      <w:szCs w:val="34"/>
      <w:lang w:val="zh-TW" w:eastAsia="zh-TW" w:bidi="zh-TW"/>
    </w:rPr>
  </w:style>
  <w:style w:type="character" w:customStyle="1" w:styleId="Heading11">
    <w:name w:val="Heading #1|1_"/>
    <w:basedOn w:val="a0"/>
    <w:link w:val="Heading110"/>
    <w:qFormat/>
    <w:rPr>
      <w:rFonts w:ascii="宋体" w:eastAsia="宋体" w:hAnsi="宋体" w:cs="宋体"/>
      <w:sz w:val="30"/>
      <w:szCs w:val="30"/>
      <w:u w:val="none"/>
      <w:shd w:val="clear" w:color="auto" w:fill="auto"/>
      <w:lang w:val="zh-TW" w:eastAsia="zh-TW" w:bidi="zh-TW"/>
    </w:rPr>
  </w:style>
  <w:style w:type="paragraph" w:customStyle="1" w:styleId="Heading110">
    <w:name w:val="Heading #1|1"/>
    <w:basedOn w:val="a"/>
    <w:link w:val="Heading11"/>
    <w:qFormat/>
    <w:pPr>
      <w:spacing w:after="260"/>
      <w:jc w:val="center"/>
      <w:outlineLvl w:val="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Tableofcontents1">
    <w:name w:val="Table of contents|1_"/>
    <w:basedOn w:val="a0"/>
    <w:link w:val="Tableofcontents10"/>
    <w:qFormat/>
    <w:rPr>
      <w:rFonts w:ascii="宋体" w:eastAsia="宋体" w:hAnsi="宋体" w:cs="宋体"/>
      <w:u w:val="none"/>
      <w:shd w:val="clear" w:color="auto" w:fill="auto"/>
      <w:lang w:val="zh-TW" w:eastAsia="zh-TW" w:bidi="zh-TW"/>
    </w:rPr>
  </w:style>
  <w:style w:type="paragraph" w:customStyle="1" w:styleId="Tableofcontents10">
    <w:name w:val="Table of contents|1"/>
    <w:basedOn w:val="a"/>
    <w:link w:val="Tableofcontents1"/>
    <w:qFormat/>
    <w:pPr>
      <w:spacing w:after="140"/>
      <w:ind w:firstLine="400"/>
    </w:pPr>
    <w:rPr>
      <w:rFonts w:ascii="宋体" w:eastAsia="宋体" w:hAnsi="宋体" w:cs="宋体"/>
      <w:lang w:val="zh-TW" w:eastAsia="zh-TW" w:bidi="zh-TW"/>
    </w:rPr>
  </w:style>
  <w:style w:type="character" w:customStyle="1" w:styleId="Bodytext1">
    <w:name w:val="Body text|1_"/>
    <w:basedOn w:val="a0"/>
    <w:link w:val="Bodytext10"/>
    <w:qFormat/>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pPr>
      <w:spacing w:line="480" w:lineRule="auto"/>
      <w:ind w:firstLine="400"/>
    </w:pPr>
    <w:rPr>
      <w:rFonts w:ascii="宋体" w:eastAsia="宋体" w:hAnsi="宋体" w:cs="宋体"/>
      <w:sz w:val="26"/>
      <w:szCs w:val="26"/>
      <w:lang w:val="zh-TW" w:eastAsia="zh-TW" w:bidi="zh-TW"/>
    </w:rPr>
  </w:style>
  <w:style w:type="character" w:customStyle="1" w:styleId="Headerorfooter1">
    <w:name w:val="Header or footer|1_"/>
    <w:basedOn w:val="a0"/>
    <w:link w:val="Headerorfooter10"/>
    <w:qFormat/>
    <w:rPr>
      <w:sz w:val="19"/>
      <w:szCs w:val="19"/>
      <w:u w:val="none"/>
      <w:shd w:val="clear" w:color="auto" w:fill="auto"/>
      <w:lang w:val="zh-TW" w:eastAsia="zh-TW" w:bidi="zh-TW"/>
    </w:rPr>
  </w:style>
  <w:style w:type="paragraph" w:customStyle="1" w:styleId="Headerorfooter10">
    <w:name w:val="Header or footer|1"/>
    <w:basedOn w:val="a"/>
    <w:link w:val="Headerorfooter1"/>
    <w:qFormat/>
    <w:rPr>
      <w:sz w:val="19"/>
      <w:szCs w:val="19"/>
      <w:lang w:val="zh-TW" w:eastAsia="zh-TW" w:bidi="zh-TW"/>
    </w:rPr>
  </w:style>
  <w:style w:type="character" w:customStyle="1" w:styleId="Heading21">
    <w:name w:val="Heading #2|1_"/>
    <w:basedOn w:val="a0"/>
    <w:link w:val="Heading210"/>
    <w:qFormat/>
    <w:rPr>
      <w:rFonts w:ascii="宋体" w:eastAsia="宋体" w:hAnsi="宋体" w:cs="宋体"/>
      <w:sz w:val="30"/>
      <w:szCs w:val="30"/>
      <w:u w:val="none"/>
      <w:shd w:val="clear" w:color="auto" w:fill="auto"/>
      <w:lang w:val="zh-TW" w:eastAsia="zh-TW" w:bidi="zh-TW"/>
    </w:rPr>
  </w:style>
  <w:style w:type="paragraph" w:customStyle="1" w:styleId="Heading210">
    <w:name w:val="Heading #2|1"/>
    <w:basedOn w:val="a"/>
    <w:link w:val="Heading21"/>
    <w:qFormat/>
    <w:pPr>
      <w:spacing w:after="220"/>
      <w:ind w:firstLine="270"/>
      <w:outlineLvl w:val="1"/>
    </w:pPr>
    <w:rPr>
      <w:rFonts w:ascii="宋体" w:eastAsia="宋体" w:hAnsi="宋体" w:cs="宋体"/>
      <w:sz w:val="30"/>
      <w:szCs w:val="30"/>
      <w:lang w:val="zh-TW" w:eastAsia="zh-TW" w:bidi="zh-TW"/>
    </w:rPr>
  </w:style>
  <w:style w:type="character" w:customStyle="1" w:styleId="Bodytext2">
    <w:name w:val="Body text|2_"/>
    <w:basedOn w:val="a0"/>
    <w:link w:val="Bodytext20"/>
    <w:qFormat/>
    <w:rPr>
      <w:sz w:val="26"/>
      <w:szCs w:val="26"/>
      <w:u w:val="none"/>
      <w:shd w:val="clear" w:color="auto" w:fill="auto"/>
      <w:lang w:val="zh-TW" w:eastAsia="zh-TW" w:bidi="zh-TW"/>
    </w:rPr>
  </w:style>
  <w:style w:type="paragraph" w:customStyle="1" w:styleId="Bodytext20">
    <w:name w:val="Body text|2"/>
    <w:basedOn w:val="a"/>
    <w:link w:val="Bodytext2"/>
    <w:qFormat/>
    <w:pPr>
      <w:spacing w:line="480" w:lineRule="auto"/>
      <w:ind w:firstLine="680"/>
    </w:pPr>
    <w:rPr>
      <w:sz w:val="26"/>
      <w:szCs w:val="26"/>
      <w:lang w:val="zh-TW" w:eastAsia="zh-TW" w:bidi="zh-TW"/>
    </w:rPr>
  </w:style>
  <w:style w:type="character" w:customStyle="1" w:styleId="Other1">
    <w:name w:val="Other|1_"/>
    <w:basedOn w:val="a0"/>
    <w:link w:val="Other10"/>
    <w:qFormat/>
    <w:rPr>
      <w:rFonts w:ascii="宋体" w:eastAsia="宋体" w:hAnsi="宋体" w:cs="宋体"/>
      <w:sz w:val="26"/>
      <w:szCs w:val="26"/>
      <w:u w:val="none"/>
      <w:shd w:val="clear" w:color="auto" w:fill="auto"/>
      <w:lang w:val="zh-TW" w:eastAsia="zh-TW" w:bidi="zh-TW"/>
    </w:rPr>
  </w:style>
  <w:style w:type="paragraph" w:customStyle="1" w:styleId="Other10">
    <w:name w:val="Other|1"/>
    <w:basedOn w:val="a"/>
    <w:link w:val="Other1"/>
    <w:qFormat/>
    <w:pPr>
      <w:spacing w:line="480" w:lineRule="auto"/>
      <w:ind w:firstLine="400"/>
    </w:pPr>
    <w:rPr>
      <w:rFonts w:ascii="宋体" w:eastAsia="宋体" w:hAnsi="宋体" w:cs="宋体"/>
      <w:sz w:val="26"/>
      <w:szCs w:val="26"/>
      <w:lang w:val="zh-TW" w:eastAsia="zh-TW" w:bidi="zh-TW"/>
    </w:rPr>
  </w:style>
  <w:style w:type="character" w:customStyle="1" w:styleId="Bodytext3">
    <w:name w:val="Body text|3_"/>
    <w:basedOn w:val="a0"/>
    <w:link w:val="Bodytext30"/>
    <w:qFormat/>
    <w:rPr>
      <w:rFonts w:ascii="宋体" w:eastAsia="宋体" w:hAnsi="宋体" w:cs="宋体"/>
      <w:sz w:val="36"/>
      <w:szCs w:val="36"/>
      <w:u w:val="none"/>
      <w:shd w:val="clear" w:color="auto" w:fill="auto"/>
      <w:lang w:val="zh-TW" w:eastAsia="zh-TW" w:bidi="zh-TW"/>
    </w:rPr>
  </w:style>
  <w:style w:type="paragraph" w:customStyle="1" w:styleId="Bodytext30">
    <w:name w:val="Body text|3"/>
    <w:basedOn w:val="a"/>
    <w:link w:val="Bodytext3"/>
    <w:qFormat/>
    <w:pPr>
      <w:spacing w:after="100"/>
    </w:pPr>
    <w:rPr>
      <w:rFonts w:ascii="宋体" w:eastAsia="宋体" w:hAnsi="宋体" w:cs="宋体"/>
      <w:sz w:val="36"/>
      <w:szCs w:val="36"/>
      <w:lang w:val="zh-TW" w:eastAsia="zh-TW" w:bidi="zh-TW"/>
    </w:rPr>
  </w:style>
  <w:style w:type="character" w:customStyle="1" w:styleId="Tablecaption1">
    <w:name w:val="Table caption|1_"/>
    <w:basedOn w:val="a0"/>
    <w:link w:val="Tablecaption10"/>
    <w:qFormat/>
    <w:rPr>
      <w:u w:val="none"/>
      <w:shd w:val="clear" w:color="auto" w:fill="auto"/>
    </w:rPr>
  </w:style>
  <w:style w:type="paragraph" w:customStyle="1" w:styleId="Tablecaption10">
    <w:name w:val="Table caption|1"/>
    <w:basedOn w:val="a"/>
    <w:link w:val="Tablecaption1"/>
    <w:qFormat/>
  </w:style>
  <w:style w:type="character" w:customStyle="1" w:styleId="Bodytext5">
    <w:name w:val="Body text|5_"/>
    <w:basedOn w:val="a0"/>
    <w:link w:val="Bodytext50"/>
    <w:qFormat/>
    <w:rPr>
      <w:sz w:val="19"/>
      <w:szCs w:val="19"/>
      <w:u w:val="none"/>
      <w:shd w:val="clear" w:color="auto" w:fill="auto"/>
      <w:lang w:val="zh-TW" w:eastAsia="zh-TW" w:bidi="zh-TW"/>
    </w:rPr>
  </w:style>
  <w:style w:type="paragraph" w:customStyle="1" w:styleId="Bodytext50">
    <w:name w:val="Body text|5"/>
    <w:basedOn w:val="a"/>
    <w:link w:val="Bodytext5"/>
    <w:qFormat/>
    <w:pPr>
      <w:spacing w:after="320"/>
      <w:jc w:val="center"/>
    </w:pPr>
    <w:rPr>
      <w:sz w:val="19"/>
      <w:szCs w:val="19"/>
      <w:lang w:val="zh-TW" w:eastAsia="zh-TW" w:bidi="zh-TW"/>
    </w:rPr>
  </w:style>
  <w:style w:type="paragraph" w:customStyle="1" w:styleId="TableParagraph">
    <w:name w:val="Table Paragraph"/>
    <w:basedOn w:val="a"/>
    <w:uiPriority w:val="1"/>
    <w:qFormat/>
    <w:rPr>
      <w:rFonts w:ascii="宋体" w:eastAsia="宋体" w:hAnsi="宋体" w:cs="宋体"/>
      <w:lang w:val="zh-CN" w:eastAsia="zh-CN" w:bidi="zh-CN"/>
    </w:rPr>
  </w:style>
  <w:style w:type="paragraph" w:styleId="a8">
    <w:name w:val="List Paragraph"/>
    <w:basedOn w:val="a"/>
    <w:uiPriority w:val="1"/>
    <w:qFormat/>
    <w:pPr>
      <w:spacing w:before="161"/>
      <w:ind w:left="120" w:firstLine="480"/>
    </w:pPr>
    <w:rPr>
      <w:rFonts w:ascii="宋体" w:eastAsia="宋体" w:hAnsi="宋体" w:cs="宋体"/>
      <w:lang w:val="zh-CN" w:eastAsia="zh-CN" w:bidi="zh-CN"/>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0"/>
    <w:link w:val="a4"/>
    <w:qFormat/>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521</Words>
  <Characters>2976</Characters>
  <Application>Microsoft Office Word</Application>
  <DocSecurity>0</DocSecurity>
  <Lines>24</Lines>
  <Paragraphs>6</Paragraphs>
  <ScaleCrop>false</ScaleCrop>
  <Company>Home</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23</cp:revision>
  <dcterms:created xsi:type="dcterms:W3CDTF">2021-08-18T07:57:00Z</dcterms:created>
  <dcterms:modified xsi:type="dcterms:W3CDTF">2022-04-08T10:03:00Z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83805A39861A444893F56F1D2470C49E</vt:lpwstr>
  </property>
</Properties>
</file>